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7A1" w:rsidRPr="008A6E07" w:rsidRDefault="009517A1" w:rsidP="00604EA0">
      <w:pPr>
        <w:jc w:val="both"/>
        <w:rPr>
          <w:b/>
          <w:sz w:val="32"/>
          <w:szCs w:val="32"/>
        </w:rPr>
      </w:pPr>
      <w:bookmarkStart w:id="0" w:name="_GoBack"/>
      <w:bookmarkEnd w:id="0"/>
      <w:r w:rsidRPr="008A6E07">
        <w:rPr>
          <w:b/>
          <w:sz w:val="32"/>
          <w:szCs w:val="32"/>
        </w:rPr>
        <w:t>Posudek oponenta diplomové práce</w:t>
      </w:r>
    </w:p>
    <w:p w:rsidR="009517A1" w:rsidRDefault="009517A1" w:rsidP="00604EA0">
      <w:pPr>
        <w:jc w:val="both"/>
      </w:pPr>
    </w:p>
    <w:p w:rsidR="008A6E07" w:rsidRPr="00F41BB0" w:rsidRDefault="008A6E07" w:rsidP="00604EA0">
      <w:pPr>
        <w:jc w:val="both"/>
      </w:pPr>
    </w:p>
    <w:p w:rsidR="009517A1" w:rsidRPr="00F41BB0" w:rsidRDefault="009517A1" w:rsidP="005A75A6">
      <w:pPr>
        <w:spacing w:line="360" w:lineRule="auto"/>
        <w:jc w:val="both"/>
      </w:pPr>
      <w:r w:rsidRPr="00F41BB0">
        <w:rPr>
          <w:b/>
        </w:rPr>
        <w:t>Vysoká škola:</w:t>
      </w:r>
      <w:r w:rsidRPr="00F41BB0">
        <w:rPr>
          <w:b/>
        </w:rPr>
        <w:tab/>
      </w:r>
      <w:r w:rsidRPr="00F41BB0">
        <w:t>Univerzita Palackého v Olomouci</w:t>
      </w:r>
    </w:p>
    <w:p w:rsidR="009517A1" w:rsidRPr="00F41BB0" w:rsidRDefault="009517A1" w:rsidP="005A75A6">
      <w:pPr>
        <w:spacing w:line="360" w:lineRule="auto"/>
        <w:jc w:val="both"/>
      </w:pPr>
      <w:r w:rsidRPr="00F41BB0">
        <w:rPr>
          <w:b/>
        </w:rPr>
        <w:t>Fakulta:</w:t>
      </w:r>
      <w:r w:rsidR="00981B5A" w:rsidRPr="00F41BB0">
        <w:tab/>
      </w:r>
      <w:r w:rsidR="00981B5A" w:rsidRPr="00F41BB0">
        <w:tab/>
      </w:r>
      <w:r w:rsidRPr="00F41BB0">
        <w:t>Právnická fakulta</w:t>
      </w:r>
    </w:p>
    <w:p w:rsidR="009517A1" w:rsidRPr="00F41BB0" w:rsidRDefault="009517A1" w:rsidP="005A75A6">
      <w:pPr>
        <w:spacing w:line="360" w:lineRule="auto"/>
        <w:jc w:val="both"/>
      </w:pPr>
      <w:r w:rsidRPr="00F41BB0">
        <w:rPr>
          <w:b/>
        </w:rPr>
        <w:t>Katedra:</w:t>
      </w:r>
      <w:r w:rsidRPr="00F41BB0">
        <w:rPr>
          <w:b/>
        </w:rPr>
        <w:tab/>
      </w:r>
      <w:r w:rsidR="00981B5A" w:rsidRPr="00F41BB0">
        <w:tab/>
      </w:r>
      <w:r w:rsidRPr="00F41BB0">
        <w:t>Katedra mezinárodního a evropského práva</w:t>
      </w:r>
    </w:p>
    <w:p w:rsidR="009517A1" w:rsidRPr="00F41BB0" w:rsidRDefault="00987C0B" w:rsidP="005A75A6">
      <w:pPr>
        <w:spacing w:line="360" w:lineRule="auto"/>
        <w:jc w:val="both"/>
        <w:rPr>
          <w:b/>
        </w:rPr>
      </w:pPr>
      <w:r>
        <w:rPr>
          <w:b/>
        </w:rPr>
        <w:t>Diplomant</w:t>
      </w:r>
      <w:r w:rsidR="00981B5A" w:rsidRPr="00F41BB0">
        <w:rPr>
          <w:b/>
        </w:rPr>
        <w:t>:</w:t>
      </w:r>
      <w:r>
        <w:rPr>
          <w:b/>
        </w:rPr>
        <w:tab/>
      </w:r>
      <w:r w:rsidR="00981B5A" w:rsidRPr="00F41BB0">
        <w:rPr>
          <w:b/>
        </w:rPr>
        <w:tab/>
      </w:r>
      <w:r w:rsidR="00B77D69">
        <w:t>Richard Gach</w:t>
      </w:r>
    </w:p>
    <w:p w:rsidR="00CC73D6" w:rsidRDefault="009517A1" w:rsidP="00CC73D6">
      <w:pPr>
        <w:spacing w:line="360" w:lineRule="auto"/>
        <w:ind w:left="2127" w:hanging="2127"/>
        <w:jc w:val="both"/>
        <w:rPr>
          <w:i/>
        </w:rPr>
      </w:pPr>
      <w:r w:rsidRPr="00F41BB0">
        <w:rPr>
          <w:b/>
        </w:rPr>
        <w:t xml:space="preserve">Téma </w:t>
      </w:r>
      <w:r w:rsidR="00981B5A" w:rsidRPr="00F41BB0">
        <w:rPr>
          <w:b/>
        </w:rPr>
        <w:t>DP:</w:t>
      </w:r>
      <w:r w:rsidR="00981B5A" w:rsidRPr="00F41BB0">
        <w:rPr>
          <w:b/>
        </w:rPr>
        <w:tab/>
      </w:r>
      <w:r w:rsidR="003C59E1">
        <w:rPr>
          <w:i/>
        </w:rPr>
        <w:t>Vliv Soudního dvora EU na rozhodování Soudního dvora ESVO</w:t>
      </w:r>
    </w:p>
    <w:p w:rsidR="00B77D69" w:rsidRPr="00F41BB0" w:rsidRDefault="00981B5A" w:rsidP="00B77D69">
      <w:pPr>
        <w:spacing w:line="360" w:lineRule="auto"/>
        <w:ind w:left="2127" w:hanging="2127"/>
        <w:jc w:val="both"/>
      </w:pPr>
      <w:r w:rsidRPr="00F41BB0">
        <w:rPr>
          <w:b/>
        </w:rPr>
        <w:t>Vedoucí DP</w:t>
      </w:r>
      <w:r w:rsidR="009517A1" w:rsidRPr="00F41BB0">
        <w:rPr>
          <w:b/>
        </w:rPr>
        <w:t>:</w:t>
      </w:r>
      <w:r w:rsidR="00CC73D6">
        <w:rPr>
          <w:b/>
        </w:rPr>
        <w:tab/>
      </w:r>
      <w:r w:rsidR="00B77D69">
        <w:t>doc. JUDr. Václav Stehlík, Ph.D., LL.M.</w:t>
      </w:r>
    </w:p>
    <w:p w:rsidR="009517A1" w:rsidRPr="00F41BB0" w:rsidRDefault="00981B5A" w:rsidP="00B77D69">
      <w:pPr>
        <w:spacing w:line="360" w:lineRule="auto"/>
        <w:ind w:left="2127" w:hanging="2127"/>
        <w:jc w:val="both"/>
      </w:pPr>
      <w:r w:rsidRPr="00F41BB0">
        <w:rPr>
          <w:b/>
        </w:rPr>
        <w:t>Oponent DP</w:t>
      </w:r>
      <w:r w:rsidR="00B77D69">
        <w:rPr>
          <w:b/>
        </w:rPr>
        <w:t>:</w:t>
      </w:r>
      <w:r w:rsidR="00B77D69">
        <w:rPr>
          <w:b/>
        </w:rPr>
        <w:tab/>
      </w:r>
      <w:r w:rsidR="009517A1" w:rsidRPr="00F41BB0">
        <w:t>JUDr. Ondrej Hamuľák, Ph.D.</w:t>
      </w:r>
    </w:p>
    <w:p w:rsidR="009517A1" w:rsidRPr="00F41BB0" w:rsidRDefault="009517A1" w:rsidP="00604EA0">
      <w:pPr>
        <w:pBdr>
          <w:bottom w:val="single" w:sz="6" w:space="1" w:color="auto"/>
        </w:pBdr>
        <w:jc w:val="both"/>
      </w:pPr>
    </w:p>
    <w:p w:rsidR="0096514F" w:rsidRDefault="0096514F" w:rsidP="00604EA0">
      <w:pPr>
        <w:jc w:val="both"/>
      </w:pPr>
    </w:p>
    <w:p w:rsidR="0096514F" w:rsidRDefault="00D9109E" w:rsidP="008A66AE">
      <w:pPr>
        <w:spacing w:line="276" w:lineRule="auto"/>
        <w:jc w:val="both"/>
      </w:pPr>
      <w:r w:rsidRPr="00D9109E">
        <w:t xml:space="preserve">Diplomant </w:t>
      </w:r>
      <w:r>
        <w:t>si zvolil náročné, originální a v českém prostřední jen málo probádané téma. Vytvoření autonomního ekonomického prostoru v podobě EHP spojujícího jak země EU, tak země držící se (s politických</w:t>
      </w:r>
      <w:r w:rsidR="0009667D">
        <w:t xml:space="preserve"> či ekonomických</w:t>
      </w:r>
      <w:r>
        <w:t xml:space="preserve"> důvodů</w:t>
      </w:r>
      <w:r w:rsidR="0009667D">
        <w:t>)</w:t>
      </w:r>
      <w:r>
        <w:t xml:space="preserve"> mimo hlavní</w:t>
      </w:r>
      <w:r w:rsidR="0009667D">
        <w:t xml:space="preserve"> proud evropské integrace přináší mnoho zajímavých právních otázek. Norsko, Island a Lichtenštejnsko projevily ochotu přizpůsobit se pravidlům fungování vnitřního trhu EU, které výrazně formuje svou judikatur</w:t>
      </w:r>
      <w:r w:rsidR="00AE7C68">
        <w:t xml:space="preserve">ou Soudní dvůr. Zároveň ale, jako nečlenské země nepodléhají jeho jurisdikci, naopak v rámci EHP je pro ně relevantní soudní institucí právě Soudní dvůr ESVO. V jediném hospodářském prostoru – který (jak diplomant v celé práci správně akcentuje) je vystavěn na principu vnitřní koherence = tzv. homogenity, tedy působí dvě soudní autority, což </w:t>
      </w:r>
      <w:r w:rsidR="00D07D11">
        <w:t>nutně otevírá otázky týkající se jejich vztahu, ovlivňování či konkurence. Posuzovaná práce přináší přehledné a srozumitelné pojednání o tomto problému.</w:t>
      </w:r>
    </w:p>
    <w:p w:rsidR="00D07D11" w:rsidRPr="00D9109E" w:rsidRDefault="00662CC1" w:rsidP="008A66AE">
      <w:pPr>
        <w:spacing w:line="276" w:lineRule="auto"/>
        <w:jc w:val="both"/>
      </w:pPr>
      <w:r>
        <w:tab/>
      </w:r>
      <w:r w:rsidR="00D07D11">
        <w:t xml:space="preserve">Po věcné stránce se jedná o zdařilý text, kterému nelze vytknout žádné zásadní nedostatky. Diplomant jasně vymezuje svůj cíl, výzkumnou otázku i metody postupu. V práci přináší bohatý soubor příkladů, relevantních judikátů i reflexí odborné literatury. </w:t>
      </w:r>
    </w:p>
    <w:p w:rsidR="005B3376" w:rsidRPr="00C12A71" w:rsidRDefault="00662CC1" w:rsidP="003019FC">
      <w:pPr>
        <w:spacing w:line="276" w:lineRule="auto"/>
        <w:jc w:val="both"/>
      </w:pPr>
      <w:r>
        <w:tab/>
        <w:t>Z formálního hlediska je text</w:t>
      </w:r>
      <w:r w:rsidR="00F113FA" w:rsidRPr="00C12A71">
        <w:t xml:space="preserve"> vystavěn logicky a celkově vede čtenáře k snadnému náhledu na problematiku a její</w:t>
      </w:r>
      <w:r>
        <w:t>mu</w:t>
      </w:r>
      <w:r w:rsidR="00F113FA" w:rsidRPr="00C12A71">
        <w:t xml:space="preserve"> pochopení</w:t>
      </w:r>
      <w:r w:rsidR="003019FC" w:rsidRPr="00C12A71">
        <w:t xml:space="preserve">. </w:t>
      </w:r>
      <w:r w:rsidR="00E10379" w:rsidRPr="00C12A71">
        <w:t xml:space="preserve">Práce je </w:t>
      </w:r>
      <w:r w:rsidR="00E256E5" w:rsidRPr="00C12A71">
        <w:t xml:space="preserve">v převážné míře </w:t>
      </w:r>
      <w:r w:rsidR="00E10379" w:rsidRPr="00C12A71">
        <w:lastRenderedPageBreak/>
        <w:t>psaná srozumitelným a čtivým jazykem, bez gra</w:t>
      </w:r>
      <w:r>
        <w:t>ma</w:t>
      </w:r>
      <w:r w:rsidR="00506515">
        <w:t>tických či syntaktických chyb (z</w:t>
      </w:r>
      <w:r>
        <w:t>a zmínku stojí snad je občasné chybné používaní zkratek SD EU a SD ESVO</w:t>
      </w:r>
      <w:r w:rsidR="00506515">
        <w:t xml:space="preserve"> pro nesprávný soud z této dvojice, což působí matoucím dojmem – např. na s. 31).</w:t>
      </w:r>
      <w:r w:rsidR="0074724E">
        <w:t xml:space="preserve"> Student použil </w:t>
      </w:r>
      <w:r w:rsidR="00FA4A3A" w:rsidRPr="00C12A71">
        <w:t xml:space="preserve">dostatečné množství primárních zdrojů – </w:t>
      </w:r>
      <w:r>
        <w:t xml:space="preserve">judikatury, </w:t>
      </w:r>
      <w:r w:rsidR="00FA4A3A" w:rsidRPr="00C12A71">
        <w:t xml:space="preserve">které </w:t>
      </w:r>
      <w:r w:rsidR="0074724E">
        <w:t xml:space="preserve">vhodně </w:t>
      </w:r>
      <w:r w:rsidR="00FA4A3A" w:rsidRPr="00C12A71">
        <w:t xml:space="preserve">doplňuje o názory doktríny. </w:t>
      </w:r>
      <w:r w:rsidR="00220154">
        <w:t>V práci použil dostateč</w:t>
      </w:r>
      <w:r w:rsidR="005A6EC5">
        <w:t>ný a vyváž</w:t>
      </w:r>
      <w:r w:rsidR="00220154">
        <w:t xml:space="preserve">ený počet domácích i zahraničních zdrojů. </w:t>
      </w:r>
      <w:r w:rsidR="00213EA5" w:rsidRPr="00C12A71">
        <w:t>Použitou literaturu vhodně a správně cituje.</w:t>
      </w:r>
    </w:p>
    <w:p w:rsidR="00543CAD" w:rsidRPr="00C12A71" w:rsidRDefault="00506515" w:rsidP="008A66AE">
      <w:pPr>
        <w:spacing w:line="276" w:lineRule="auto"/>
        <w:ind w:firstLine="780"/>
        <w:jc w:val="both"/>
      </w:pPr>
      <w:r>
        <w:t>Práci považuji za kvalitní text a osobně ji hodnotím velmi pozitivně. Není mým úkolem hledat v ní nerelevantní chybné maličkosti. Diplomant prokázal, že téma jej zaujal</w:t>
      </w:r>
      <w:r w:rsidR="00AE65FA">
        <w:t>o</w:t>
      </w:r>
      <w:r>
        <w:t>, že se v něm orientuje a je schopný zpracovat jej na vysoké úrovni. Věřím, že ústní obhajoba potvrdí tento můj</w:t>
      </w:r>
      <w:r w:rsidR="00F62D0A">
        <w:t xml:space="preserve"> soud. Jako vhodné téma pro diskusi navrhuji rozbor/zamyšlení se nad rozsahem principu homogenity, především ve vztahu k „povinnosti“ reflektovat novu judikaturu Soudního dvora, přijatou po uzavření Dohody o EHP.</w:t>
      </w:r>
      <w:r>
        <w:t xml:space="preserve">  </w:t>
      </w:r>
    </w:p>
    <w:p w:rsidR="00543CAD" w:rsidRPr="00C12A71" w:rsidRDefault="00543CAD" w:rsidP="008A66AE">
      <w:pPr>
        <w:spacing w:line="276" w:lineRule="auto"/>
        <w:ind w:firstLine="780"/>
        <w:jc w:val="both"/>
      </w:pPr>
    </w:p>
    <w:p w:rsidR="00723D73" w:rsidRPr="00C12A71" w:rsidRDefault="00723D73" w:rsidP="008A66AE">
      <w:pPr>
        <w:spacing w:line="276" w:lineRule="auto"/>
        <w:jc w:val="both"/>
        <w:rPr>
          <w:b/>
        </w:rPr>
      </w:pPr>
      <w:r w:rsidRPr="00C12A71">
        <w:rPr>
          <w:b/>
        </w:rPr>
        <w:t>Klasifikace</w:t>
      </w:r>
    </w:p>
    <w:p w:rsidR="00723D73" w:rsidRPr="00C12A71" w:rsidRDefault="00723D73" w:rsidP="008A66AE">
      <w:pPr>
        <w:spacing w:line="276" w:lineRule="auto"/>
        <w:jc w:val="both"/>
      </w:pPr>
    </w:p>
    <w:p w:rsidR="002A4DF4" w:rsidRPr="00C12A71" w:rsidRDefault="00723D73" w:rsidP="008A66AE">
      <w:pPr>
        <w:spacing w:line="276" w:lineRule="auto"/>
        <w:jc w:val="both"/>
      </w:pPr>
      <w:r w:rsidRPr="00C12A71">
        <w:t>Celkově hodnotím práci jako zdařilou a doporučuji ji k</w:t>
      </w:r>
      <w:r w:rsidR="002A4DF4" w:rsidRPr="00C12A71">
        <w:t> </w:t>
      </w:r>
      <w:r w:rsidRPr="00C12A71">
        <w:t>ús</w:t>
      </w:r>
      <w:r w:rsidR="002A4DF4" w:rsidRPr="00C12A71">
        <w:t>tní obha</w:t>
      </w:r>
      <w:r w:rsidR="00220154">
        <w:t xml:space="preserve">jobě. Vzhledem k výše uvedenému </w:t>
      </w:r>
      <w:r w:rsidR="002A4DF4" w:rsidRPr="00C12A71">
        <w:t xml:space="preserve">ji navrhuji </w:t>
      </w:r>
      <w:r w:rsidR="002A4DF4" w:rsidRPr="00C12A71">
        <w:rPr>
          <w:b/>
        </w:rPr>
        <w:t xml:space="preserve">hodnotit klasifikačním stupněm </w:t>
      </w:r>
      <w:r w:rsidR="003C59E1">
        <w:rPr>
          <w:b/>
        </w:rPr>
        <w:t>A</w:t>
      </w:r>
      <w:r w:rsidR="002A4DF4" w:rsidRPr="00C12A71">
        <w:rPr>
          <w:b/>
        </w:rPr>
        <w:t>.</w:t>
      </w:r>
    </w:p>
    <w:p w:rsidR="00723D73" w:rsidRPr="00C12A71" w:rsidRDefault="00723D73" w:rsidP="008A66AE">
      <w:pPr>
        <w:spacing w:line="276" w:lineRule="auto"/>
        <w:jc w:val="both"/>
      </w:pPr>
    </w:p>
    <w:p w:rsidR="00604EA0" w:rsidRPr="00C12A71" w:rsidRDefault="009517A1" w:rsidP="008A66AE">
      <w:pPr>
        <w:spacing w:line="276" w:lineRule="auto"/>
        <w:jc w:val="both"/>
      </w:pPr>
      <w:r w:rsidRPr="00C12A71">
        <w:t>V </w:t>
      </w:r>
      <w:r w:rsidR="00904EC7" w:rsidRPr="00C12A71">
        <w:t>Olomouci</w:t>
      </w:r>
      <w:r w:rsidRPr="00C12A71">
        <w:t xml:space="preserve"> dne</w:t>
      </w:r>
      <w:r w:rsidR="00F62D0A">
        <w:t xml:space="preserve"> 8. 6. 2016</w:t>
      </w:r>
      <w:r w:rsidRPr="00C12A71">
        <w:tab/>
      </w:r>
      <w:r w:rsidRPr="00C12A71">
        <w:tab/>
      </w:r>
      <w:r w:rsidRPr="00C12A71">
        <w:tab/>
      </w:r>
      <w:r w:rsidRPr="00C12A71">
        <w:tab/>
      </w:r>
      <w:r w:rsidRPr="00C12A71">
        <w:tab/>
      </w:r>
    </w:p>
    <w:p w:rsidR="00604EA0" w:rsidRPr="00C12A71" w:rsidRDefault="00604EA0" w:rsidP="008A66AE">
      <w:pPr>
        <w:spacing w:line="276" w:lineRule="auto"/>
        <w:jc w:val="both"/>
      </w:pPr>
    </w:p>
    <w:p w:rsidR="00981B5A" w:rsidRPr="00C12A71" w:rsidRDefault="00981B5A" w:rsidP="008A66AE">
      <w:pPr>
        <w:spacing w:line="276" w:lineRule="auto"/>
        <w:jc w:val="right"/>
        <w:rPr>
          <w:b/>
        </w:rPr>
      </w:pPr>
      <w:r w:rsidRPr="00C12A71">
        <w:rPr>
          <w:b/>
        </w:rPr>
        <w:t>JUDr. Ondrej Hamuľák, Ph.D.</w:t>
      </w:r>
    </w:p>
    <w:p w:rsidR="00981B5A" w:rsidRPr="00C12A71" w:rsidRDefault="00981B5A" w:rsidP="008A66AE">
      <w:pPr>
        <w:spacing w:line="276" w:lineRule="auto"/>
        <w:jc w:val="right"/>
      </w:pPr>
      <w:r w:rsidRPr="00C12A71">
        <w:t>Katedra mezinárodního a evropského práva</w:t>
      </w:r>
    </w:p>
    <w:p w:rsidR="00981B5A" w:rsidRPr="00C12A71" w:rsidRDefault="00981B5A" w:rsidP="008A66AE">
      <w:pPr>
        <w:spacing w:line="276" w:lineRule="auto"/>
        <w:jc w:val="right"/>
      </w:pPr>
      <w:r w:rsidRPr="00C12A71">
        <w:t>Právnická fakulta Univerzity Palackého v Olomouci</w:t>
      </w:r>
    </w:p>
    <w:p w:rsidR="00981B5A" w:rsidRPr="00C12A71" w:rsidRDefault="00981B5A" w:rsidP="008A66AE">
      <w:pPr>
        <w:spacing w:line="276" w:lineRule="auto"/>
        <w:jc w:val="right"/>
      </w:pPr>
      <w:r w:rsidRPr="00C12A71">
        <w:t>Tř. 17. listopadu 8, 771 11 Olomouc</w:t>
      </w:r>
    </w:p>
    <w:p w:rsidR="00981B5A" w:rsidRPr="00C12A71" w:rsidRDefault="00981B5A" w:rsidP="008A66AE">
      <w:pPr>
        <w:spacing w:line="276" w:lineRule="auto"/>
        <w:jc w:val="right"/>
      </w:pPr>
      <w:r w:rsidRPr="00C12A71">
        <w:t xml:space="preserve">Tel.:  +420 585 637 635, E-mail: </w:t>
      </w:r>
      <w:hyperlink r:id="rId7" w:history="1">
        <w:r w:rsidRPr="00C12A71">
          <w:rPr>
            <w:rStyle w:val="Hypertextovodkaz"/>
          </w:rPr>
          <w:t>ondrej.hamulak@upol.cz</w:t>
        </w:r>
      </w:hyperlink>
    </w:p>
    <w:p w:rsidR="009517A1" w:rsidRPr="00F41BB0" w:rsidRDefault="009517A1" w:rsidP="00981B5A">
      <w:pPr>
        <w:jc w:val="right"/>
      </w:pPr>
    </w:p>
    <w:sectPr w:rsidR="009517A1" w:rsidRPr="00F41BB0" w:rsidSect="00702C0D">
      <w:footerReference w:type="default" r:id="rId8"/>
      <w:headerReference w:type="first" r:id="rId9"/>
      <w:footerReference w:type="first" r:id="rId10"/>
      <w:pgSz w:w="11906" w:h="16838" w:code="9"/>
      <w:pgMar w:top="1985" w:right="1418" w:bottom="1843" w:left="226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0A0" w:rsidRDefault="003D40A0" w:rsidP="00F15613">
      <w:r>
        <w:separator/>
      </w:r>
    </w:p>
  </w:endnote>
  <w:endnote w:type="continuationSeparator" w:id="0">
    <w:p w:rsidR="003D40A0" w:rsidRDefault="003D40A0" w:rsidP="00F1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7F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787E7F" w:rsidRPr="00B53059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787E7F" w:rsidRPr="00B53059" w:rsidRDefault="00787E7F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7F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 xml:space="preserve">Právnická fakulta </w:t>
    </w:r>
    <w:r w:rsidRPr="00B53059">
      <w:rPr>
        <w:rFonts w:cs="Arial"/>
      </w:rPr>
      <w:t>Univerzit</w:t>
    </w:r>
    <w:r>
      <w:rPr>
        <w:rFonts w:cs="Arial"/>
      </w:rPr>
      <w:t>y</w:t>
    </w:r>
    <w:r w:rsidRPr="00B53059">
      <w:rPr>
        <w:rFonts w:cs="Arial"/>
      </w:rPr>
      <w:t xml:space="preserve"> Palackého v</w:t>
    </w:r>
    <w:r>
      <w:rPr>
        <w:rFonts w:cs="Arial"/>
      </w:rPr>
      <w:t> </w:t>
    </w:r>
    <w:r w:rsidRPr="00B53059">
      <w:rPr>
        <w:rFonts w:cs="Arial"/>
      </w:rPr>
      <w:t>Olomouci</w:t>
    </w:r>
  </w:p>
  <w:p w:rsidR="00787E7F" w:rsidRPr="00B53059" w:rsidRDefault="00787E7F" w:rsidP="00787E7F">
    <w:pPr>
      <w:pStyle w:val="Zpat"/>
      <w:spacing w:line="240" w:lineRule="exact"/>
      <w:rPr>
        <w:rFonts w:cs="Arial"/>
      </w:rPr>
    </w:pPr>
    <w:r>
      <w:rPr>
        <w:rFonts w:cs="Arial"/>
      </w:rPr>
      <w:t>Tř. 17. listopadu 8</w:t>
    </w:r>
    <w:r w:rsidRPr="00B53059">
      <w:rPr>
        <w:rFonts w:cs="Arial"/>
      </w:rPr>
      <w:t xml:space="preserve"> | 771 </w:t>
    </w:r>
    <w:r>
      <w:rPr>
        <w:rFonts w:cs="Arial"/>
      </w:rPr>
      <w:t>11</w:t>
    </w:r>
    <w:r w:rsidRPr="00B53059">
      <w:rPr>
        <w:rFonts w:cs="Arial"/>
      </w:rPr>
      <w:t xml:space="preserve"> Olomouc | T: 585</w:t>
    </w:r>
    <w:r>
      <w:rPr>
        <w:rFonts w:cs="Arial"/>
      </w:rPr>
      <w:t> 637 509</w:t>
    </w:r>
  </w:p>
  <w:p w:rsidR="00F11270" w:rsidRPr="00B53059" w:rsidRDefault="00787E7F" w:rsidP="00787E7F">
    <w:pPr>
      <w:pStyle w:val="Zpat"/>
      <w:spacing w:line="240" w:lineRule="exact"/>
      <w:rPr>
        <w:rFonts w:cs="Arial"/>
        <w:b/>
      </w:rPr>
    </w:pPr>
    <w:r w:rsidRPr="00B53059">
      <w:rPr>
        <w:rFonts w:cs="Arial"/>
        <w:b/>
      </w:rPr>
      <w:t>www.</w:t>
    </w:r>
    <w:r>
      <w:rPr>
        <w:rFonts w:cs="Arial"/>
        <w:b/>
      </w:rPr>
      <w:t>pf.</w:t>
    </w:r>
    <w:r w:rsidRPr="00B53059">
      <w:rPr>
        <w:rFonts w:cs="Arial"/>
        <w:b/>
      </w:rPr>
      <w:t>upol.cz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0A0" w:rsidRDefault="003D40A0" w:rsidP="00F15613">
      <w:r>
        <w:separator/>
      </w:r>
    </w:p>
  </w:footnote>
  <w:footnote w:type="continuationSeparator" w:id="0">
    <w:p w:rsidR="003D40A0" w:rsidRDefault="003D40A0" w:rsidP="00F15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13" w:rsidRDefault="00F2345C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6909435</wp:posOffset>
          </wp:positionH>
          <wp:positionV relativeFrom="page">
            <wp:posOffset>459105</wp:posOffset>
          </wp:positionV>
          <wp:extent cx="291465" cy="2127250"/>
          <wp:effectExtent l="0" t="0" r="0" b="635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" cy="212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720090" distB="720090" distL="114300" distR="114300" simplePos="0" relativeHeight="251657216" behindDoc="0" locked="1" layoutInCell="1" allowOverlap="1">
          <wp:simplePos x="0" y="0"/>
          <wp:positionH relativeFrom="page">
            <wp:posOffset>770890</wp:posOffset>
          </wp:positionH>
          <wp:positionV relativeFrom="page">
            <wp:posOffset>1362075</wp:posOffset>
          </wp:positionV>
          <wp:extent cx="1565910" cy="719455"/>
          <wp:effectExtent l="0" t="0" r="0" b="4445"/>
          <wp:wrapTopAndBottom/>
          <wp:docPr id="1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91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16E42"/>
    <w:multiLevelType w:val="hybridMultilevel"/>
    <w:tmpl w:val="4ADE7B8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B25563A"/>
    <w:multiLevelType w:val="hybridMultilevel"/>
    <w:tmpl w:val="806E5F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A7DC3"/>
    <w:multiLevelType w:val="hybridMultilevel"/>
    <w:tmpl w:val="DE4CCB3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A1"/>
    <w:rsid w:val="00005822"/>
    <w:rsid w:val="000136E5"/>
    <w:rsid w:val="00052C90"/>
    <w:rsid w:val="0007026C"/>
    <w:rsid w:val="00070715"/>
    <w:rsid w:val="00073C03"/>
    <w:rsid w:val="00085AC1"/>
    <w:rsid w:val="0009667D"/>
    <w:rsid w:val="000D3E4D"/>
    <w:rsid w:val="000F0CED"/>
    <w:rsid w:val="000F0D39"/>
    <w:rsid w:val="000F55CA"/>
    <w:rsid w:val="000F592F"/>
    <w:rsid w:val="001001E2"/>
    <w:rsid w:val="0010566D"/>
    <w:rsid w:val="001601AE"/>
    <w:rsid w:val="00180B2D"/>
    <w:rsid w:val="001A737C"/>
    <w:rsid w:val="001C4701"/>
    <w:rsid w:val="001E3F5E"/>
    <w:rsid w:val="001E6F0F"/>
    <w:rsid w:val="001F0AE3"/>
    <w:rsid w:val="001F6F21"/>
    <w:rsid w:val="002004C5"/>
    <w:rsid w:val="00213EA5"/>
    <w:rsid w:val="00220154"/>
    <w:rsid w:val="00230085"/>
    <w:rsid w:val="00276D6B"/>
    <w:rsid w:val="002A4DF4"/>
    <w:rsid w:val="002B26F2"/>
    <w:rsid w:val="002E3612"/>
    <w:rsid w:val="002F271E"/>
    <w:rsid w:val="003019FC"/>
    <w:rsid w:val="0030327A"/>
    <w:rsid w:val="0031382F"/>
    <w:rsid w:val="00327D3A"/>
    <w:rsid w:val="00331D95"/>
    <w:rsid w:val="00353A02"/>
    <w:rsid w:val="00355D69"/>
    <w:rsid w:val="003C59E1"/>
    <w:rsid w:val="003D40A0"/>
    <w:rsid w:val="003E7FA8"/>
    <w:rsid w:val="003F6ABC"/>
    <w:rsid w:val="004063AB"/>
    <w:rsid w:val="00416F1E"/>
    <w:rsid w:val="004214CD"/>
    <w:rsid w:val="004305CC"/>
    <w:rsid w:val="00430EEC"/>
    <w:rsid w:val="00430F25"/>
    <w:rsid w:val="00435DAF"/>
    <w:rsid w:val="00453411"/>
    <w:rsid w:val="00461630"/>
    <w:rsid w:val="00477719"/>
    <w:rsid w:val="00486300"/>
    <w:rsid w:val="0049068A"/>
    <w:rsid w:val="004B6623"/>
    <w:rsid w:val="004C2DC1"/>
    <w:rsid w:val="004D171B"/>
    <w:rsid w:val="004E0830"/>
    <w:rsid w:val="004E461C"/>
    <w:rsid w:val="005029E3"/>
    <w:rsid w:val="00502BEF"/>
    <w:rsid w:val="00506515"/>
    <w:rsid w:val="00512A2F"/>
    <w:rsid w:val="00540537"/>
    <w:rsid w:val="00543CAD"/>
    <w:rsid w:val="00557EB3"/>
    <w:rsid w:val="00572C60"/>
    <w:rsid w:val="00587E32"/>
    <w:rsid w:val="00597B43"/>
    <w:rsid w:val="005A6EC5"/>
    <w:rsid w:val="005A75A6"/>
    <w:rsid w:val="005B3376"/>
    <w:rsid w:val="005B6853"/>
    <w:rsid w:val="005C2BD0"/>
    <w:rsid w:val="005C41F5"/>
    <w:rsid w:val="005E387A"/>
    <w:rsid w:val="005F0432"/>
    <w:rsid w:val="00603795"/>
    <w:rsid w:val="00604EA0"/>
    <w:rsid w:val="0062209C"/>
    <w:rsid w:val="0064025F"/>
    <w:rsid w:val="00662CC1"/>
    <w:rsid w:val="006738E9"/>
    <w:rsid w:val="00680944"/>
    <w:rsid w:val="00680D8E"/>
    <w:rsid w:val="00685DE8"/>
    <w:rsid w:val="00697FF3"/>
    <w:rsid w:val="006B22CE"/>
    <w:rsid w:val="006C4992"/>
    <w:rsid w:val="006E3956"/>
    <w:rsid w:val="00702C0D"/>
    <w:rsid w:val="00720B53"/>
    <w:rsid w:val="00723D73"/>
    <w:rsid w:val="00730FB2"/>
    <w:rsid w:val="00745CB8"/>
    <w:rsid w:val="0074724E"/>
    <w:rsid w:val="0076768A"/>
    <w:rsid w:val="00784A7A"/>
    <w:rsid w:val="00787E7F"/>
    <w:rsid w:val="007914EC"/>
    <w:rsid w:val="007C28E4"/>
    <w:rsid w:val="007D067A"/>
    <w:rsid w:val="007F6FCC"/>
    <w:rsid w:val="00862C56"/>
    <w:rsid w:val="0088391C"/>
    <w:rsid w:val="008A66AE"/>
    <w:rsid w:val="008A6E07"/>
    <w:rsid w:val="008B4173"/>
    <w:rsid w:val="008C5E69"/>
    <w:rsid w:val="008E27A7"/>
    <w:rsid w:val="008F29F3"/>
    <w:rsid w:val="00904EC7"/>
    <w:rsid w:val="0093786A"/>
    <w:rsid w:val="009461A8"/>
    <w:rsid w:val="009517A1"/>
    <w:rsid w:val="00953193"/>
    <w:rsid w:val="009554FB"/>
    <w:rsid w:val="00963E30"/>
    <w:rsid w:val="0096514F"/>
    <w:rsid w:val="00981B5A"/>
    <w:rsid w:val="00983B9A"/>
    <w:rsid w:val="00987C0B"/>
    <w:rsid w:val="00990090"/>
    <w:rsid w:val="009D57CF"/>
    <w:rsid w:val="009E629B"/>
    <w:rsid w:val="009F3014"/>
    <w:rsid w:val="009F3F9F"/>
    <w:rsid w:val="009F4FE3"/>
    <w:rsid w:val="009F7D32"/>
    <w:rsid w:val="00A04911"/>
    <w:rsid w:val="00A1351A"/>
    <w:rsid w:val="00A14D8C"/>
    <w:rsid w:val="00A50323"/>
    <w:rsid w:val="00A53A13"/>
    <w:rsid w:val="00A5561A"/>
    <w:rsid w:val="00AB291B"/>
    <w:rsid w:val="00AB4B58"/>
    <w:rsid w:val="00AD18BF"/>
    <w:rsid w:val="00AE65FA"/>
    <w:rsid w:val="00AE7C68"/>
    <w:rsid w:val="00B028C4"/>
    <w:rsid w:val="00B04071"/>
    <w:rsid w:val="00B109D3"/>
    <w:rsid w:val="00B15CD8"/>
    <w:rsid w:val="00B2425E"/>
    <w:rsid w:val="00B323B7"/>
    <w:rsid w:val="00B331B7"/>
    <w:rsid w:val="00B45464"/>
    <w:rsid w:val="00B52715"/>
    <w:rsid w:val="00B70A35"/>
    <w:rsid w:val="00B73CE6"/>
    <w:rsid w:val="00B73FD1"/>
    <w:rsid w:val="00B77D69"/>
    <w:rsid w:val="00B833E0"/>
    <w:rsid w:val="00BD04D6"/>
    <w:rsid w:val="00BE1819"/>
    <w:rsid w:val="00BF49AF"/>
    <w:rsid w:val="00C12A71"/>
    <w:rsid w:val="00C17E0B"/>
    <w:rsid w:val="00C4219C"/>
    <w:rsid w:val="00C6493E"/>
    <w:rsid w:val="00C71E15"/>
    <w:rsid w:val="00C80822"/>
    <w:rsid w:val="00C87054"/>
    <w:rsid w:val="00CB37E4"/>
    <w:rsid w:val="00CC73D6"/>
    <w:rsid w:val="00CD168F"/>
    <w:rsid w:val="00CD5888"/>
    <w:rsid w:val="00CE16BB"/>
    <w:rsid w:val="00CF52B6"/>
    <w:rsid w:val="00D07D11"/>
    <w:rsid w:val="00D13E57"/>
    <w:rsid w:val="00D31313"/>
    <w:rsid w:val="00D61B91"/>
    <w:rsid w:val="00D62385"/>
    <w:rsid w:val="00D9109E"/>
    <w:rsid w:val="00D91483"/>
    <w:rsid w:val="00D955E7"/>
    <w:rsid w:val="00DC5FA7"/>
    <w:rsid w:val="00DE39B0"/>
    <w:rsid w:val="00DE7452"/>
    <w:rsid w:val="00E052F8"/>
    <w:rsid w:val="00E10379"/>
    <w:rsid w:val="00E11C87"/>
    <w:rsid w:val="00E24BFE"/>
    <w:rsid w:val="00E256E5"/>
    <w:rsid w:val="00E31965"/>
    <w:rsid w:val="00E45015"/>
    <w:rsid w:val="00E901A6"/>
    <w:rsid w:val="00E97744"/>
    <w:rsid w:val="00ED673F"/>
    <w:rsid w:val="00EF27E7"/>
    <w:rsid w:val="00F0078F"/>
    <w:rsid w:val="00F049D4"/>
    <w:rsid w:val="00F11270"/>
    <w:rsid w:val="00F113FA"/>
    <w:rsid w:val="00F15613"/>
    <w:rsid w:val="00F2345C"/>
    <w:rsid w:val="00F40B6A"/>
    <w:rsid w:val="00F41BB0"/>
    <w:rsid w:val="00F62D0A"/>
    <w:rsid w:val="00F80218"/>
    <w:rsid w:val="00F81C25"/>
    <w:rsid w:val="00FA4A3A"/>
    <w:rsid w:val="00FA5E73"/>
    <w:rsid w:val="00FB21A4"/>
    <w:rsid w:val="00FC473E"/>
    <w:rsid w:val="00FC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4E8828-D795-4750-A0A1-C9F42A06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základní"/>
    <w:qFormat/>
    <w:rsid w:val="009517A1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outlineLvl w:val="0"/>
    </w:pPr>
    <w:rPr>
      <w:b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2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i/>
      <w:iCs/>
      <w:color w:val="4F4C4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line="200" w:lineRule="exact"/>
    </w:pPr>
    <w:rPr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rPr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</w:pPr>
    <w:rPr>
      <w:color w:val="4F4C4D"/>
      <w:spacing w:val="15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rsid w:val="00D6238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cs="Arial"/>
      <w:b/>
      <w:bCs/>
      <w:color w:val="444444"/>
      <w:szCs w:val="21"/>
    </w:rPr>
  </w:style>
  <w:style w:type="character" w:styleId="Hypertextovodkaz">
    <w:name w:val="Hyperlink"/>
    <w:unhideWhenUsed/>
    <w:rsid w:val="00787E7F"/>
    <w:rPr>
      <w:color w:val="0000FF"/>
      <w:u w:val="single"/>
    </w:rPr>
  </w:style>
  <w:style w:type="table" w:styleId="Mkatabulky">
    <w:name w:val="Table Grid"/>
    <w:basedOn w:val="Normlntabulka"/>
    <w:rsid w:val="009517A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unhideWhenUsed/>
    <w:rsid w:val="00B2425E"/>
    <w:pPr>
      <w:ind w:firstLine="709"/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2425E"/>
    <w:rPr>
      <w:rFonts w:ascii="Times New Roman" w:eastAsiaTheme="minorHAnsi" w:hAnsi="Times New Roman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B2425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2425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425E"/>
    <w:pPr>
      <w:spacing w:after="80"/>
      <w:ind w:firstLine="709"/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425E"/>
    <w:rPr>
      <w:rFonts w:ascii="Times New Roman" w:eastAsiaTheme="minorHAnsi" w:hAnsi="Times New Roman" w:cstheme="minorBid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B242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25E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semiHidden/>
    <w:qFormat/>
    <w:rsid w:val="000D3E4D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1601AE"/>
    <w:pPr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1601AE"/>
    <w:pPr>
      <w:spacing w:before="120" w:after="120" w:line="276" w:lineRule="auto"/>
    </w:pPr>
    <w:rPr>
      <w:rFonts w:asciiTheme="minorHAnsi" w:eastAsiaTheme="minorHAnsi" w:hAnsiTheme="minorHAnsi" w:cstheme="minorHAnsi"/>
      <w:b/>
      <w:bCs/>
      <w:caps/>
      <w:sz w:val="20"/>
      <w:szCs w:val="20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1601AE"/>
    <w:pPr>
      <w:spacing w:line="276" w:lineRule="auto"/>
      <w:ind w:left="220"/>
    </w:pPr>
    <w:rPr>
      <w:rFonts w:asciiTheme="minorHAnsi" w:eastAsiaTheme="minorHAnsi" w:hAnsiTheme="minorHAnsi" w:cstheme="minorHAnsi"/>
      <w:smallCaps/>
      <w:sz w:val="20"/>
      <w:szCs w:val="20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1601AE"/>
    <w:pPr>
      <w:spacing w:line="276" w:lineRule="auto"/>
      <w:ind w:left="440"/>
    </w:pPr>
    <w:rPr>
      <w:rFonts w:asciiTheme="minorHAnsi" w:eastAsiaTheme="minorHAnsi" w:hAnsiTheme="minorHAnsi" w:cstheme="minorHAnsi"/>
      <w:i/>
      <w:i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51224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6137">
          <w:marLeft w:val="1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ndrej.hamulak@upol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mulakova\Downloads\UP_hlavickovy-papir_PF_cz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UP_hlavickovy-papir_PF_cz (1).dot</Template>
  <TotalTime>0</TotalTime>
  <Pages>2</Pages>
  <Words>448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Klára Hamuláková</dc:creator>
  <cp:lastModifiedBy>Moravcova Katerina</cp:lastModifiedBy>
  <cp:revision>2</cp:revision>
  <cp:lastPrinted>2014-08-08T10:54:00Z</cp:lastPrinted>
  <dcterms:created xsi:type="dcterms:W3CDTF">2016-06-09T07:21:00Z</dcterms:created>
  <dcterms:modified xsi:type="dcterms:W3CDTF">2016-06-09T07:21:00Z</dcterms:modified>
</cp:coreProperties>
</file>