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CE1C7" w14:textId="559DA6BC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Posudek </w:t>
      </w:r>
      <w:r w:rsidR="000903E2">
        <w:rPr>
          <w:sz w:val="24"/>
          <w:szCs w:val="24"/>
        </w:rPr>
        <w:t>oponenta</w:t>
      </w:r>
      <w:r>
        <w:rPr>
          <w:sz w:val="24"/>
          <w:szCs w:val="24"/>
        </w:rPr>
        <w:t xml:space="preserve"> diplomové práce </w:t>
      </w:r>
    </w:p>
    <w:p w14:paraId="5AEE4DC8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032ADE3B" w14:textId="375D8B6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Jméno diplomanta/tky: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Barbora </w:t>
      </w:r>
      <w:r>
        <w:rPr>
          <w:sz w:val="24"/>
          <w:szCs w:val="24"/>
        </w:rPr>
        <w:t xml:space="preserve">Švejnohová  </w:t>
      </w:r>
    </w:p>
    <w:p w14:paraId="1E9C387B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Název práce: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Dědické právo a dobré mravy z historicko-právní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perspektivy  </w:t>
      </w:r>
    </w:p>
    <w:p w14:paraId="6A2F7F41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Rozsah práce: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51 stran textu </w:t>
      </w:r>
    </w:p>
    <w:p w14:paraId="3B31D6C7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Počet poznámek pod </w:t>
      </w:r>
      <w:proofErr w:type="gramStart"/>
      <w:r>
        <w:rPr>
          <w:sz w:val="24"/>
          <w:szCs w:val="24"/>
        </w:rPr>
        <w:t xml:space="preserve">čarou:   </w:t>
      </w:r>
      <w:proofErr w:type="gramEnd"/>
      <w:r>
        <w:rPr>
          <w:sz w:val="24"/>
          <w:szCs w:val="24"/>
        </w:rPr>
        <w:t xml:space="preserve">      Více než 120 </w:t>
      </w:r>
    </w:p>
    <w:p w14:paraId="020954EE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Datum odevzdání práce: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proofErr w:type="gramStart"/>
      <w:r>
        <w:rPr>
          <w:sz w:val="24"/>
          <w:szCs w:val="24"/>
        </w:rPr>
        <w:t>Prosinec  2023</w:t>
      </w:r>
      <w:proofErr w:type="gramEnd"/>
    </w:p>
    <w:p w14:paraId="3B0BF0A0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Univerzita: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Univerzita Palackého v Olomouci </w:t>
      </w:r>
    </w:p>
    <w:p w14:paraId="541AEC83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Fakulta: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Právnická fakulta </w:t>
      </w:r>
    </w:p>
    <w:p w14:paraId="27F04BE3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Katedra: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Katedra teorie práva a právních dějin </w:t>
      </w:r>
    </w:p>
    <w:p w14:paraId="489C0554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 posudku: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doc. JUDr. Petr Dostalík, Ph.D.  </w:t>
      </w:r>
    </w:p>
    <w:p w14:paraId="24853465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2537C81B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68047D3C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 práci, která mi byla předlo</w:t>
      </w:r>
      <w:r>
        <w:rPr>
          <w:sz w:val="24"/>
          <w:szCs w:val="24"/>
        </w:rPr>
        <w:t xml:space="preserve">žena jako diplomovou k psouzení, uvádím následující: </w:t>
      </w:r>
    </w:p>
    <w:p w14:paraId="0F45674D" w14:textId="7BFB705F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se zabývá problematikou dobrých mravů v dědickém právu. Tento poněkud nadnesený nadpis je </w:t>
      </w:r>
      <w:r>
        <w:rPr>
          <w:sz w:val="24"/>
          <w:szCs w:val="24"/>
        </w:rPr>
        <w:t>zavádějící. Diplomantka se v podstatě zabývá problematikou závěti jako právního jednání, které je nepla</w:t>
      </w:r>
      <w:r>
        <w:rPr>
          <w:sz w:val="24"/>
          <w:szCs w:val="24"/>
        </w:rPr>
        <w:t xml:space="preserve">tné pro rozpor s dobrými mravy. Práci je možno rozdělit na tři části. V rámci prvé části se autorka zabývá pojmem dobré mravy v českém, rakouském a německém právu. Také se pokouší teoreticky zařadit dobré </w:t>
      </w:r>
      <w:proofErr w:type="gramStart"/>
      <w:r>
        <w:rPr>
          <w:sz w:val="24"/>
          <w:szCs w:val="24"/>
        </w:rPr>
        <w:t>mravy - připadá</w:t>
      </w:r>
      <w:proofErr w:type="gramEnd"/>
      <w:r>
        <w:rPr>
          <w:sz w:val="24"/>
          <w:szCs w:val="24"/>
        </w:rPr>
        <w:t xml:space="preserve"> mi problematické chápat neplatnost </w:t>
      </w:r>
      <w:r>
        <w:rPr>
          <w:sz w:val="24"/>
          <w:szCs w:val="24"/>
        </w:rPr>
        <w:t xml:space="preserve">právního jednání jako omezení autonomie vůle. Co má společného  </w:t>
      </w:r>
    </w:p>
    <w:p w14:paraId="7498BC27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 rámci druhé části rozebírá rozpor s dobrými mravy v rámci českého práva. Ve třetí části potom rozebírá jednotlivé případy nemorálních závětí v rakouském a německém právu. Práce formálně nap</w:t>
      </w:r>
      <w:r>
        <w:rPr>
          <w:sz w:val="24"/>
          <w:szCs w:val="24"/>
        </w:rPr>
        <w:t xml:space="preserve">lňuje požadavky, kladené na tento typ </w:t>
      </w:r>
      <w:proofErr w:type="gramStart"/>
      <w:r>
        <w:rPr>
          <w:sz w:val="24"/>
          <w:szCs w:val="24"/>
        </w:rPr>
        <w:t>práce - rozsah</w:t>
      </w:r>
      <w:proofErr w:type="gramEnd"/>
      <w:r>
        <w:rPr>
          <w:sz w:val="24"/>
          <w:szCs w:val="24"/>
        </w:rPr>
        <w:t xml:space="preserve">, poznámkový aparát, dobrá (logicky koncizní) struktura, zahraniční literatura. </w:t>
      </w:r>
    </w:p>
    <w:p w14:paraId="22771370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Potíž spočívá v tom, že druhá část práce má rozsah pouhých dvou stran. Autorka navíc nevychází z vlastního výzkumu judikatu</w:t>
      </w:r>
      <w:r>
        <w:rPr>
          <w:sz w:val="24"/>
          <w:szCs w:val="24"/>
        </w:rPr>
        <w:t xml:space="preserve">ry nebo literatury, ale opírá se o dílo V. Kubeše </w:t>
      </w:r>
      <w:r>
        <w:rPr>
          <w:rStyle w:val="dn"/>
          <w:i/>
          <w:iCs/>
          <w:sz w:val="24"/>
          <w:szCs w:val="24"/>
        </w:rPr>
        <w:t>Smlouvy proti dobrým mravům</w:t>
      </w:r>
      <w:r>
        <w:rPr>
          <w:sz w:val="24"/>
          <w:szCs w:val="24"/>
        </w:rPr>
        <w:t>.  Více než 40% práce je věnováno nepříliš u popisu jednotlivých ustanovení a kazuistiky v rakouském a německém občanském zákoníku Právní věda se ovšem nevyčerpává německým a rako</w:t>
      </w:r>
      <w:r>
        <w:rPr>
          <w:sz w:val="24"/>
          <w:szCs w:val="24"/>
        </w:rPr>
        <w:t xml:space="preserve">uským občanským zákoníkem.  Očekával bych, že těžiště práce bude ležet v české právní </w:t>
      </w:r>
      <w:proofErr w:type="gramStart"/>
      <w:r>
        <w:rPr>
          <w:sz w:val="24"/>
          <w:szCs w:val="24"/>
        </w:rPr>
        <w:t>úpravě</w:t>
      </w:r>
      <w:proofErr w:type="gramEnd"/>
      <w:r>
        <w:rPr>
          <w:sz w:val="24"/>
          <w:szCs w:val="24"/>
        </w:rPr>
        <w:t xml:space="preserve"> a to jak v hodnocení právní úpravy, tak v kazuistice. </w:t>
      </w:r>
    </w:p>
    <w:p w14:paraId="4D317F7C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Není také podle mě naplněna historická komparace. Když diplomantka hovoří o dobrých mravech, správně uvádí, </w:t>
      </w:r>
      <w:r>
        <w:rPr>
          <w:sz w:val="24"/>
          <w:szCs w:val="24"/>
        </w:rPr>
        <w:t xml:space="preserve">že pojem dobrých mravů vychází z římského práva. Neobtěžuje </w:t>
      </w:r>
      <w:r>
        <w:rPr>
          <w:sz w:val="24"/>
          <w:szCs w:val="24"/>
        </w:rPr>
        <w:lastRenderedPageBreak/>
        <w:t xml:space="preserve">se však uvést jediný zdroj nebo pramen římského práva a spoléhá se zcela na práci J. Salače, více než 20 let starou. </w:t>
      </w:r>
    </w:p>
    <w:p w14:paraId="7EF4A30A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Diplomantka zcela opomíjí bohatou kazuistiku římského práva, která věnovala ve</w:t>
      </w:r>
      <w:r>
        <w:rPr>
          <w:sz w:val="24"/>
          <w:szCs w:val="24"/>
        </w:rPr>
        <w:t xml:space="preserve">lkou pozornost zejména vedlejším ustanovením v závětích (“jestliže svrhne mrtvé ostatky zůstavitele do moře”, “jestliže si nevezme Maevii, “jestliže se nevzdálí od mého pomníku”, “jestliže nevstoupí do Asie”). Zcela opomenuto bylo i </w:t>
      </w:r>
      <w:r>
        <w:rPr>
          <w:rStyle w:val="dn"/>
          <w:i/>
          <w:iCs/>
          <w:sz w:val="24"/>
          <w:szCs w:val="24"/>
        </w:rPr>
        <w:t>ius commune</w:t>
      </w:r>
      <w:r>
        <w:rPr>
          <w:sz w:val="24"/>
          <w:szCs w:val="24"/>
        </w:rPr>
        <w:t xml:space="preserve"> a pandektní</w:t>
      </w:r>
      <w:r>
        <w:rPr>
          <w:sz w:val="24"/>
          <w:szCs w:val="24"/>
        </w:rPr>
        <w:t xml:space="preserve"> právo. Stejně tak by práci jen prospělo, kdyby diplomantka </w:t>
      </w:r>
      <w:proofErr w:type="gramStart"/>
      <w:r>
        <w:rPr>
          <w:sz w:val="24"/>
          <w:szCs w:val="24"/>
        </w:rPr>
        <w:t>provedla</w:t>
      </w:r>
      <w:proofErr w:type="gramEnd"/>
      <w:r>
        <w:rPr>
          <w:sz w:val="24"/>
          <w:szCs w:val="24"/>
        </w:rPr>
        <w:t xml:space="preserve"> byť jen stručnou komparaci s občanským právem </w:t>
      </w:r>
      <w:r>
        <w:rPr>
          <w:sz w:val="24"/>
          <w:szCs w:val="24"/>
          <w:lang w:val="it-IT"/>
        </w:rPr>
        <w:t>“</w:t>
      </w:r>
      <w:r>
        <w:rPr>
          <w:sz w:val="24"/>
          <w:szCs w:val="24"/>
        </w:rPr>
        <w:t>románského okruhu” - francouzským, italským nebo španělským. Takhle je práce pouze zajímavým průvodcem po několika sutanoveních rakouského a</w:t>
      </w:r>
      <w:r>
        <w:rPr>
          <w:sz w:val="24"/>
          <w:szCs w:val="24"/>
        </w:rPr>
        <w:t xml:space="preserve"> německého občanského zákoníku.</w:t>
      </w:r>
    </w:p>
    <w:p w14:paraId="0A1FC586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výše uvedených důvodů sice doporučuji diplomovou práci k obhajobě, v případě úspěšné obhajoby navrhuji známku C. </w:t>
      </w:r>
    </w:p>
    <w:p w14:paraId="7FE96823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rámci diskuze doporučuji srovnat § 1552 OZ a Dig. 35, 1, 71, 1. </w:t>
      </w:r>
    </w:p>
    <w:p w14:paraId="384D0B57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7EB8CF8F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12FFA1AE" w14:textId="77777777" w:rsidR="00B16BD5" w:rsidRDefault="00424149">
      <w:pPr>
        <w:pStyle w:val="Tex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Přerově, dne 6. 12. 2023 </w:t>
      </w:r>
    </w:p>
    <w:p w14:paraId="73EA4615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7D8F8478" w14:textId="77777777" w:rsidR="00B16BD5" w:rsidRDefault="00B16BD5">
      <w:pPr>
        <w:pStyle w:val="Text"/>
        <w:spacing w:line="360" w:lineRule="auto"/>
        <w:jc w:val="both"/>
        <w:rPr>
          <w:sz w:val="24"/>
          <w:szCs w:val="24"/>
        </w:rPr>
      </w:pPr>
    </w:p>
    <w:p w14:paraId="05D9DEB7" w14:textId="77777777" w:rsidR="00B16BD5" w:rsidRDefault="00424149">
      <w:pPr>
        <w:pStyle w:val="Text"/>
        <w:spacing w:line="360" w:lineRule="auto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</w:t>
      </w:r>
      <w:r>
        <w:rPr>
          <w:sz w:val="24"/>
          <w:szCs w:val="24"/>
        </w:rPr>
        <w:t xml:space="preserve">c. JUDr. Petr Dostalík, Ph.D. </w:t>
      </w:r>
    </w:p>
    <w:sectPr w:rsidR="00B16BD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A1FC9" w14:textId="77777777" w:rsidR="00424149" w:rsidRDefault="00424149">
      <w:r>
        <w:separator/>
      </w:r>
    </w:p>
  </w:endnote>
  <w:endnote w:type="continuationSeparator" w:id="0">
    <w:p w14:paraId="504D2C1F" w14:textId="77777777" w:rsidR="00424149" w:rsidRDefault="00424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23BEB" w14:textId="77777777" w:rsidR="00B16BD5" w:rsidRDefault="00B16BD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8339A" w14:textId="77777777" w:rsidR="00424149" w:rsidRDefault="00424149">
      <w:r>
        <w:separator/>
      </w:r>
    </w:p>
  </w:footnote>
  <w:footnote w:type="continuationSeparator" w:id="0">
    <w:p w14:paraId="338971FA" w14:textId="77777777" w:rsidR="00424149" w:rsidRDefault="00424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A9AF9" w14:textId="77777777" w:rsidR="00B16BD5" w:rsidRDefault="00B16B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BD5"/>
    <w:rsid w:val="000903E2"/>
    <w:rsid w:val="002954EE"/>
    <w:rsid w:val="00424149"/>
    <w:rsid w:val="00B16BD5"/>
    <w:rsid w:val="00E7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A8A88"/>
  <w15:docId w15:val="{A6FCFE52-7B60-45D4-8526-1196A289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dn">
    <w:name w:val="Žádný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447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Moravcova Katerina</dc:creator>
  <cp:lastModifiedBy>Moravcova Katerina</cp:lastModifiedBy>
  <cp:revision>4</cp:revision>
  <cp:lastPrinted>2023-12-08T07:37:00Z</cp:lastPrinted>
  <dcterms:created xsi:type="dcterms:W3CDTF">2023-12-08T07:35:00Z</dcterms:created>
  <dcterms:modified xsi:type="dcterms:W3CDTF">2023-12-08T07:39:00Z</dcterms:modified>
</cp:coreProperties>
</file>