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6D6" w:rsidRDefault="00495BCF">
      <w:pPr>
        <w:autoSpaceDE w:val="0"/>
        <w:autoSpaceDN w:val="0"/>
        <w:adjustRightInd w:val="0"/>
        <w:spacing w:after="0" w:line="360" w:lineRule="auto"/>
        <w:jc w:val="center"/>
        <w:rPr>
          <w:rFonts w:ascii="Times New Roman" w:hAnsi="Times New Roman" w:cs="Times New Roman"/>
          <w:b/>
          <w:bCs/>
          <w:sz w:val="28"/>
          <w:szCs w:val="28"/>
        </w:rPr>
      </w:pPr>
      <w:bookmarkStart w:id="0" w:name="_GoBack"/>
      <w:bookmarkEnd w:id="0"/>
      <w:r>
        <w:rPr>
          <w:rFonts w:ascii="Times New Roman" w:hAnsi="Times New Roman" w:cs="Times New Roman"/>
          <w:b/>
          <w:bCs/>
          <w:sz w:val="28"/>
          <w:szCs w:val="28"/>
        </w:rPr>
        <w:t xml:space="preserve">Sobek David: Cechovní korporace ve vrchnostenských městech na raně novověké Moravě: Kroměříž a Prostějov v 16. -19. století </w:t>
      </w:r>
    </w:p>
    <w:p w:rsidR="00F146D6" w:rsidRDefault="00495BCF">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sz w:val="24"/>
          <w:szCs w:val="24"/>
        </w:rPr>
        <w:t>Oponentský posudek</w:t>
      </w:r>
    </w:p>
    <w:p w:rsidR="00F146D6" w:rsidRDefault="00F146D6">
      <w:pPr>
        <w:autoSpaceDE w:val="0"/>
        <w:autoSpaceDN w:val="0"/>
        <w:adjustRightInd w:val="0"/>
        <w:spacing w:after="0" w:line="360" w:lineRule="auto"/>
        <w:jc w:val="center"/>
        <w:rPr>
          <w:rFonts w:ascii="Calibri" w:hAnsi="Calibri" w:cs="Calibri"/>
        </w:rPr>
      </w:pP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Problematika cechovních korporací a řemeslníků v raném novověku náleží k tradičním tématům české historiografie. Povětšinou jde o práce zabývající se hospodářskou rolí cechů nebo ekonomickými vztahy v řemeslné nebo manufakturní výrobě. Úskalím dosavadního </w:t>
      </w:r>
      <w:r>
        <w:rPr>
          <w:rFonts w:ascii="Times New Roman" w:hAnsi="Times New Roman" w:cs="Times New Roman"/>
          <w:sz w:val="24"/>
          <w:szCs w:val="24"/>
        </w:rPr>
        <w:t xml:space="preserve">bádání je přílišná orientace na normativní prameny cechů, městské správy a dalších institucí. Před badateli proto stojí pořád mnoho zásadních otázek o roli cechů v sociálním, ekonomickém nebo náboženském životě naší země. </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Práce Davida Sobka komparující v</w:t>
      </w:r>
      <w:r>
        <w:rPr>
          <w:rFonts w:ascii="Times New Roman" w:hAnsi="Times New Roman" w:cs="Times New Roman"/>
          <w:sz w:val="24"/>
          <w:szCs w:val="24"/>
        </w:rPr>
        <w:t>ývoj cechů v Prostějově a Kroměříži je zajímavým a podnětným počinem na poli dosavadního výzkumu. Autor pochopitelně zúžil svůj pohled na tři řemeslné korporace (řezníky, obuvníky a kožešníky) a v jednotlivých kapitolách sledoval zapojení těchto cechů do m</w:t>
      </w:r>
      <w:r>
        <w:rPr>
          <w:rFonts w:ascii="Times New Roman" w:hAnsi="Times New Roman" w:cs="Times New Roman"/>
          <w:sz w:val="24"/>
          <w:szCs w:val="24"/>
        </w:rPr>
        <w:t>ěstského života. K nejzdařilejším částem práce patří ta, jež se zabývá náboženskými projevy cechů. Kapitola analyzující geografickou a sociální mobilitu mistrů přináší rovněž zajímavé výsledky.</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Široký tematický záběr diplomové práce má ovšem za následek u</w:t>
      </w:r>
      <w:r>
        <w:rPr>
          <w:rFonts w:ascii="Times New Roman" w:hAnsi="Times New Roman" w:cs="Times New Roman"/>
          <w:sz w:val="24"/>
          <w:szCs w:val="24"/>
        </w:rPr>
        <w:t>rčité rozklížení výkladu, což se nutně odrazilo i v metodologii, argumentaci a nakonec i v užívání neurčitého pojmosloví. V hojné míře se v textu objevují pojmy jako „</w:t>
      </w:r>
      <w:proofErr w:type="spellStart"/>
      <w:r>
        <w:rPr>
          <w:rFonts w:ascii="Times New Roman" w:hAnsi="Times New Roman" w:cs="Times New Roman"/>
          <w:sz w:val="24"/>
          <w:szCs w:val="24"/>
        </w:rPr>
        <w:t>disciplinace</w:t>
      </w:r>
      <w:proofErr w:type="spellEnd"/>
      <w:r>
        <w:rPr>
          <w:rFonts w:ascii="Times New Roman" w:hAnsi="Times New Roman" w:cs="Times New Roman"/>
          <w:sz w:val="24"/>
          <w:szCs w:val="24"/>
        </w:rPr>
        <w:t>“ nebo „proces kodifikace“, které nejsou nijak přesně vymezeny. U některých k</w:t>
      </w:r>
      <w:r>
        <w:rPr>
          <w:rFonts w:ascii="Times New Roman" w:hAnsi="Times New Roman" w:cs="Times New Roman"/>
          <w:sz w:val="24"/>
          <w:szCs w:val="24"/>
        </w:rPr>
        <w:t>apitol (</w:t>
      </w:r>
      <w:r>
        <w:rPr>
          <w:rFonts w:ascii="Times New Roman" w:hAnsi="Times New Roman" w:cs="Times New Roman"/>
          <w:i/>
          <w:iCs/>
          <w:sz w:val="24"/>
          <w:szCs w:val="24"/>
        </w:rPr>
        <w:t xml:space="preserve">Dějiny Kroměříže a Prostějova, </w:t>
      </w:r>
      <w:r>
        <w:rPr>
          <w:rFonts w:ascii="Times New Roman" w:hAnsi="Times New Roman" w:cs="Times New Roman"/>
          <w:sz w:val="24"/>
          <w:szCs w:val="24"/>
        </w:rPr>
        <w:t xml:space="preserve">či </w:t>
      </w:r>
      <w:r>
        <w:rPr>
          <w:rFonts w:ascii="Times New Roman" w:hAnsi="Times New Roman" w:cs="Times New Roman"/>
          <w:i/>
          <w:iCs/>
          <w:sz w:val="24"/>
          <w:szCs w:val="24"/>
        </w:rPr>
        <w:t>Artikuly, statuta a privilegia</w:t>
      </w:r>
      <w:r>
        <w:rPr>
          <w:rFonts w:ascii="Times New Roman" w:hAnsi="Times New Roman" w:cs="Times New Roman"/>
          <w:sz w:val="24"/>
          <w:szCs w:val="24"/>
        </w:rPr>
        <w:t>) není jasný jejich smysl v kontextu celé práce. Při komparaci měst není zohledněn jejich demografický vývoj a ekonomická a kulturní specifika jsou nastíněna pouze letmo. Bez jejich hl</w:t>
      </w:r>
      <w:r>
        <w:rPr>
          <w:rFonts w:ascii="Times New Roman" w:hAnsi="Times New Roman" w:cs="Times New Roman"/>
          <w:sz w:val="24"/>
          <w:szCs w:val="24"/>
        </w:rPr>
        <w:t xml:space="preserve">ubší analýzy nelze obě města smysluplně srovnávat. </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Jako příklad může posloužit kapitola </w:t>
      </w:r>
      <w:r>
        <w:rPr>
          <w:rFonts w:ascii="Times New Roman" w:hAnsi="Times New Roman" w:cs="Times New Roman"/>
          <w:i/>
          <w:iCs/>
          <w:sz w:val="24"/>
          <w:szCs w:val="24"/>
        </w:rPr>
        <w:t>Náboženský život a zbožnost</w:t>
      </w:r>
      <w:r>
        <w:rPr>
          <w:rFonts w:ascii="Times New Roman" w:hAnsi="Times New Roman" w:cs="Times New Roman"/>
          <w:sz w:val="24"/>
          <w:szCs w:val="24"/>
        </w:rPr>
        <w:t>, kde autor rezignoval na základní charakteristiky náboženského života vybraných lokalit. Nevíme, zdali ve městě existovala nějaká nábožens</w:t>
      </w:r>
      <w:r>
        <w:rPr>
          <w:rFonts w:ascii="Times New Roman" w:hAnsi="Times New Roman" w:cs="Times New Roman"/>
          <w:sz w:val="24"/>
          <w:szCs w:val="24"/>
        </w:rPr>
        <w:t>ká bratrstva či klášterní komunity. Byly rovněž opomenuty prameny církevní provenience (farní úřady nebo arcibiskupství). Autor také ničím nepodepřel svůj názor, že od konce 18. století byla náboženská bratrstva nahrazena cechovními korporacemi. Je to podn</w:t>
      </w:r>
      <w:r>
        <w:rPr>
          <w:rFonts w:ascii="Times New Roman" w:hAnsi="Times New Roman" w:cs="Times New Roman"/>
          <w:sz w:val="24"/>
          <w:szCs w:val="24"/>
        </w:rPr>
        <w:t>ětná otázka, avšak nezohledňuje další skutečnosti. Např. to, že v mnoha městech byly v 1. polovině 19. století zakládány první pohřební ústavy, některé z nich byly ryze měšťanské (v Olomouci). Rovněž se nelze ztotožnit s implicitní představou, že všechny c</w:t>
      </w:r>
      <w:r>
        <w:rPr>
          <w:rFonts w:ascii="Times New Roman" w:hAnsi="Times New Roman" w:cs="Times New Roman"/>
          <w:sz w:val="24"/>
          <w:szCs w:val="24"/>
        </w:rPr>
        <w:t xml:space="preserve">echy v Prostějově či </w:t>
      </w:r>
      <w:r>
        <w:rPr>
          <w:rFonts w:ascii="Times New Roman" w:hAnsi="Times New Roman" w:cs="Times New Roman"/>
          <w:sz w:val="24"/>
          <w:szCs w:val="24"/>
        </w:rPr>
        <w:lastRenderedPageBreak/>
        <w:t>Kroměříži vykonávaly obdobné religiózní úkony. Cechovní oltář si mohly dovolit pouze velké a bohaté korporace. Dalším zdrojem informací o projevech "cechovní" zbožnosti jsou cechovní účty. Bohužel autor se o nich až na jednu výjimku ne</w:t>
      </w:r>
      <w:r>
        <w:rPr>
          <w:rFonts w:ascii="Times New Roman" w:hAnsi="Times New Roman" w:cs="Times New Roman"/>
          <w:sz w:val="24"/>
          <w:szCs w:val="24"/>
        </w:rPr>
        <w:t>zmiňuje, proto nevíme, zdali se zachovaly či ne.</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Oponent má další drobné výhrady k dalším kapitolám, ale ty nejsou zásadního významu a jsou věcí názoru. Bohužel mnohostránková práce obsahuje nespočet neuhlazených a krkolomných vět a slovních spojení.</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t>Prá</w:t>
      </w:r>
      <w:r>
        <w:rPr>
          <w:rFonts w:ascii="Times New Roman" w:hAnsi="Times New Roman" w:cs="Times New Roman"/>
          <w:sz w:val="24"/>
          <w:szCs w:val="24"/>
        </w:rPr>
        <w:t>ce kolegy Davida Sobka bohužel zůstává na půli cesty. Nelze autorovi upřít, že má přehled o dosavadním bádání a píli při shromaždování archivních dokumentů. Na vzdory tomu posuzovaný texty obsahuje spíše více nedořešených problémů. Proto hodnotím tuto prác</w:t>
      </w:r>
      <w:r>
        <w:rPr>
          <w:rFonts w:ascii="Times New Roman" w:hAnsi="Times New Roman" w:cs="Times New Roman"/>
          <w:sz w:val="24"/>
          <w:szCs w:val="24"/>
        </w:rPr>
        <w:t>i známkou horší C.</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V Třeštině, 21. května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Jakub Huška</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Otázky k obhajobě:</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Jaké byly vztahy prostějovských a kroměřížských cechů s korporacemi z okolních měst?</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Jaké faktory ovlivňovaly mezigenerační mobilitu řemeslníků?</w:t>
      </w:r>
    </w:p>
    <w:p w:rsidR="00F146D6" w:rsidRDefault="00495BC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Cech a jeho role v ná</w:t>
      </w:r>
      <w:r>
        <w:rPr>
          <w:rFonts w:ascii="Times New Roman" w:hAnsi="Times New Roman" w:cs="Times New Roman"/>
          <w:sz w:val="24"/>
          <w:szCs w:val="24"/>
        </w:rPr>
        <w:t xml:space="preserve">boženském vývoji 17. - 19. století?        </w:t>
      </w:r>
    </w:p>
    <w:p w:rsidR="00F146D6" w:rsidRDefault="00F146D6"/>
    <w:sectPr w:rsidR="00F146D6">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6D6"/>
    <w:rsid w:val="00495BCF"/>
    <w:rsid w:val="00F146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509</Words>
  <Characters>3009</Characters>
  <Application>Microsoft Office Word</Application>
  <DocSecurity>4</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Siemens</Company>
  <LinksUpToDate>false</LinksUpToDate>
  <CharactersWithSpaces>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svitkovaj</dc:creator>
  <cp:lastModifiedBy>Markéta Peřinová</cp:lastModifiedBy>
  <cp:revision>2</cp:revision>
  <dcterms:created xsi:type="dcterms:W3CDTF">2015-05-21T13:04:00Z</dcterms:created>
  <dcterms:modified xsi:type="dcterms:W3CDTF">2015-05-21T13:04:00Z</dcterms:modified>
</cp:coreProperties>
</file>