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014484" w14:textId="39F38325" w:rsidR="009708FC" w:rsidRDefault="003127A6" w:rsidP="00241CC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Posudek </w:t>
      </w:r>
      <w:r w:rsidR="004E60DD">
        <w:rPr>
          <w:b/>
          <w:sz w:val="28"/>
          <w:szCs w:val="28"/>
        </w:rPr>
        <w:t>vedoucí</w:t>
      </w:r>
      <w:r w:rsidR="000D654C">
        <w:rPr>
          <w:b/>
          <w:sz w:val="28"/>
          <w:szCs w:val="28"/>
        </w:rPr>
        <w:t xml:space="preserve"> </w:t>
      </w:r>
      <w:r w:rsidR="002F460E">
        <w:rPr>
          <w:b/>
          <w:sz w:val="28"/>
          <w:szCs w:val="28"/>
        </w:rPr>
        <w:t>diplomové</w:t>
      </w:r>
      <w:r w:rsidR="007F4227" w:rsidRPr="007F4227">
        <w:rPr>
          <w:b/>
          <w:sz w:val="28"/>
          <w:szCs w:val="28"/>
        </w:rPr>
        <w:t xml:space="preserve"> práce</w:t>
      </w:r>
    </w:p>
    <w:p w14:paraId="5FAE447B" w14:textId="5A53600C" w:rsidR="00260D78" w:rsidRPr="00260D78" w:rsidRDefault="001A78A0" w:rsidP="00492348">
      <w:pPr>
        <w:spacing w:after="0" w:line="360" w:lineRule="auto"/>
        <w:ind w:left="2127" w:hanging="2127"/>
        <w:jc w:val="both"/>
        <w:rPr>
          <w:rFonts w:cstheme="minorHAnsi"/>
          <w:b/>
          <w:sz w:val="24"/>
          <w:szCs w:val="24"/>
        </w:rPr>
      </w:pPr>
      <w:r>
        <w:rPr>
          <w:sz w:val="24"/>
          <w:szCs w:val="24"/>
        </w:rPr>
        <w:t>Diplomová práce:</w:t>
      </w:r>
      <w:r>
        <w:rPr>
          <w:sz w:val="24"/>
          <w:szCs w:val="24"/>
        </w:rPr>
        <w:tab/>
      </w:r>
      <w:r w:rsidR="000F336B">
        <w:rPr>
          <w:rFonts w:cstheme="minorHAnsi"/>
          <w:b/>
          <w:sz w:val="24"/>
          <w:szCs w:val="24"/>
        </w:rPr>
        <w:t xml:space="preserve"> </w:t>
      </w:r>
      <w:r w:rsidR="004E60DD">
        <w:rPr>
          <w:rFonts w:cstheme="minorHAnsi"/>
          <w:b/>
          <w:sz w:val="24"/>
          <w:szCs w:val="24"/>
        </w:rPr>
        <w:t>Nesouhlas dítěte jako důvod zastaven výkonu rozhodnutí v kontextu rozhodnutí ÚS</w:t>
      </w:r>
    </w:p>
    <w:p w14:paraId="3B861C4B" w14:textId="7A4D8760" w:rsidR="00241CCB" w:rsidRDefault="002F460E" w:rsidP="00492348">
      <w:pPr>
        <w:spacing w:after="0" w:line="360" w:lineRule="auto"/>
        <w:ind w:left="2127" w:hanging="2127"/>
        <w:jc w:val="both"/>
        <w:rPr>
          <w:b/>
          <w:sz w:val="24"/>
          <w:szCs w:val="24"/>
        </w:rPr>
      </w:pPr>
      <w:r>
        <w:rPr>
          <w:sz w:val="24"/>
          <w:szCs w:val="24"/>
        </w:rPr>
        <w:t>Diplomant</w:t>
      </w:r>
      <w:r w:rsidR="007F4227" w:rsidRPr="007F4227">
        <w:rPr>
          <w:sz w:val="24"/>
          <w:szCs w:val="24"/>
        </w:rPr>
        <w:t xml:space="preserve">: </w:t>
      </w:r>
      <w:r w:rsidR="00241CCB">
        <w:rPr>
          <w:sz w:val="24"/>
          <w:szCs w:val="24"/>
        </w:rPr>
        <w:tab/>
      </w:r>
      <w:r w:rsidR="004E60DD">
        <w:rPr>
          <w:b/>
          <w:sz w:val="24"/>
          <w:szCs w:val="24"/>
        </w:rPr>
        <w:t>Valerie Kapková</w:t>
      </w:r>
    </w:p>
    <w:p w14:paraId="22F83B85" w14:textId="77777777" w:rsidR="00241CCB" w:rsidRDefault="007F4227" w:rsidP="00241CCB">
      <w:pPr>
        <w:spacing w:after="0" w:line="360" w:lineRule="auto"/>
        <w:ind w:left="2127" w:hanging="2127"/>
        <w:rPr>
          <w:b/>
          <w:sz w:val="24"/>
          <w:szCs w:val="24"/>
        </w:rPr>
      </w:pPr>
      <w:r w:rsidRPr="007F4227">
        <w:rPr>
          <w:sz w:val="24"/>
          <w:szCs w:val="24"/>
        </w:rPr>
        <w:t xml:space="preserve">Vedoucí práce: </w:t>
      </w:r>
      <w:r w:rsidR="002F460E">
        <w:rPr>
          <w:sz w:val="24"/>
          <w:szCs w:val="24"/>
        </w:rPr>
        <w:tab/>
      </w:r>
      <w:r w:rsidR="00241CCB">
        <w:rPr>
          <w:b/>
          <w:sz w:val="24"/>
          <w:szCs w:val="24"/>
        </w:rPr>
        <w:t xml:space="preserve">JUDr. </w:t>
      </w:r>
      <w:r w:rsidR="00242AAD">
        <w:rPr>
          <w:b/>
          <w:sz w:val="24"/>
          <w:szCs w:val="24"/>
        </w:rPr>
        <w:t>Renáta Šínová, Ph.D.</w:t>
      </w:r>
    </w:p>
    <w:p w14:paraId="281021BA" w14:textId="77777777" w:rsidR="007F4227" w:rsidRPr="00EF72D5" w:rsidRDefault="007F4227" w:rsidP="00241CCB">
      <w:pPr>
        <w:spacing w:after="0" w:line="360" w:lineRule="auto"/>
        <w:rPr>
          <w:b/>
          <w:sz w:val="24"/>
          <w:szCs w:val="24"/>
        </w:rPr>
      </w:pPr>
      <w:r w:rsidRPr="007F4227">
        <w:rPr>
          <w:sz w:val="24"/>
          <w:szCs w:val="24"/>
        </w:rPr>
        <w:t xml:space="preserve">Oponent práce: </w:t>
      </w:r>
      <w:r w:rsidR="002F460E">
        <w:rPr>
          <w:sz w:val="24"/>
          <w:szCs w:val="24"/>
        </w:rPr>
        <w:tab/>
      </w:r>
      <w:r w:rsidR="000D654C">
        <w:rPr>
          <w:b/>
          <w:sz w:val="24"/>
          <w:szCs w:val="24"/>
        </w:rPr>
        <w:t xml:space="preserve">JUDr. </w:t>
      </w:r>
      <w:r w:rsidR="00287EC1">
        <w:rPr>
          <w:b/>
          <w:sz w:val="24"/>
          <w:szCs w:val="24"/>
        </w:rPr>
        <w:t>Lenka Westphalová</w:t>
      </w:r>
      <w:r w:rsidR="00242AAD">
        <w:rPr>
          <w:b/>
          <w:sz w:val="24"/>
          <w:szCs w:val="24"/>
        </w:rPr>
        <w:t>, Ph. D.</w:t>
      </w:r>
    </w:p>
    <w:p w14:paraId="0DEAB032" w14:textId="35D74814" w:rsidR="002F460E" w:rsidRDefault="002F460E" w:rsidP="00241CCB">
      <w:pPr>
        <w:pBdr>
          <w:bottom w:val="single" w:sz="12" w:space="1" w:color="auto"/>
        </w:pBdr>
        <w:spacing w:after="0" w:line="360" w:lineRule="auto"/>
        <w:rPr>
          <w:b/>
          <w:sz w:val="24"/>
          <w:szCs w:val="24"/>
        </w:rPr>
      </w:pPr>
      <w:r>
        <w:rPr>
          <w:sz w:val="24"/>
          <w:szCs w:val="24"/>
        </w:rPr>
        <w:t>Akademický rok:</w:t>
      </w:r>
      <w:r>
        <w:rPr>
          <w:sz w:val="24"/>
          <w:szCs w:val="24"/>
        </w:rPr>
        <w:tab/>
      </w:r>
      <w:r w:rsidR="000F336B">
        <w:rPr>
          <w:b/>
          <w:sz w:val="24"/>
          <w:szCs w:val="24"/>
        </w:rPr>
        <w:t>202</w:t>
      </w:r>
      <w:r w:rsidR="004E60DD">
        <w:rPr>
          <w:b/>
          <w:sz w:val="24"/>
          <w:szCs w:val="24"/>
        </w:rPr>
        <w:t>1</w:t>
      </w:r>
      <w:r w:rsidR="000F336B">
        <w:rPr>
          <w:b/>
          <w:sz w:val="24"/>
          <w:szCs w:val="24"/>
        </w:rPr>
        <w:t>/202</w:t>
      </w:r>
      <w:r w:rsidR="004E60DD">
        <w:rPr>
          <w:b/>
          <w:sz w:val="24"/>
          <w:szCs w:val="24"/>
        </w:rPr>
        <w:t>2</w:t>
      </w:r>
    </w:p>
    <w:p w14:paraId="7F76168C" w14:textId="77777777" w:rsidR="002F460E" w:rsidRPr="004E3180" w:rsidRDefault="002F460E" w:rsidP="002F460E">
      <w:pPr>
        <w:rPr>
          <w:rFonts w:ascii="Calibri" w:hAnsi="Calibri"/>
          <w:b/>
          <w:sz w:val="24"/>
          <w:szCs w:val="24"/>
        </w:rPr>
      </w:pPr>
      <w:r w:rsidRPr="004E3180">
        <w:rPr>
          <w:rFonts w:ascii="Calibri" w:hAnsi="Calibri"/>
          <w:b/>
          <w:sz w:val="24"/>
          <w:szCs w:val="24"/>
        </w:rPr>
        <w:t>I. Obecně k volbě tématu a jeho zpracování</w:t>
      </w:r>
    </w:p>
    <w:p w14:paraId="704BF563" w14:textId="7AFA1513" w:rsidR="003B1F66" w:rsidRDefault="00241CCB" w:rsidP="007F686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70E27">
        <w:rPr>
          <w:sz w:val="24"/>
          <w:szCs w:val="24"/>
        </w:rPr>
        <w:t xml:space="preserve">K volbě tématu nemám zásadnějších připomínek. Nejedná se o téma, které by bylo v současné době „novinkou“, rozhodnutí ÚS týkající se zastavení výkonu rozhodnutí z důvodu nesouhlasu dítěte, a především reflexe názoru dítěte v obecném slova smyslu (participační práva dítěte) jsou dlouhodobě diskutovanou otázkou. Lze tedy konstatovat, že diplomantka si zvolila zajímavé, avšak již analyzované téma. </w:t>
      </w:r>
    </w:p>
    <w:p w14:paraId="2D11D2F9" w14:textId="77777777" w:rsidR="002F460E" w:rsidRPr="004E3180" w:rsidRDefault="002F460E" w:rsidP="002F460E">
      <w:pPr>
        <w:jc w:val="both"/>
        <w:rPr>
          <w:rFonts w:ascii="Calibri" w:hAnsi="Calibri"/>
          <w:b/>
          <w:sz w:val="24"/>
          <w:szCs w:val="24"/>
        </w:rPr>
      </w:pPr>
      <w:r w:rsidRPr="004E3180">
        <w:rPr>
          <w:rFonts w:ascii="Calibri" w:hAnsi="Calibri"/>
          <w:b/>
          <w:sz w:val="24"/>
          <w:szCs w:val="24"/>
        </w:rPr>
        <w:t>II. Použité metody vědecké práce</w:t>
      </w:r>
    </w:p>
    <w:p w14:paraId="1FD7659D" w14:textId="61D17A42" w:rsidR="00060055" w:rsidRDefault="003E7A71" w:rsidP="008526D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C5EE3">
        <w:rPr>
          <w:sz w:val="24"/>
          <w:szCs w:val="24"/>
        </w:rPr>
        <w:t xml:space="preserve">Z hlediska metodologie autorka odkazuje na analýzu právních norem, tj. metodu tradiční právní metodologie. Autorka pak uvádí, že je práce z hlediska metodologického doplněna deskriptivními prvky. </w:t>
      </w:r>
    </w:p>
    <w:p w14:paraId="3C4C24CC" w14:textId="55B941C1" w:rsidR="006C5EE3" w:rsidRDefault="006C5EE3" w:rsidP="008526D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Diplomantka se skutečně o analýzu právních norem pokouší, fakticky však tato analýza poměrně výrazným způsobem klouže po povrchu</w:t>
      </w:r>
      <w:r w:rsidR="00420903">
        <w:rPr>
          <w:sz w:val="24"/>
          <w:szCs w:val="24"/>
        </w:rPr>
        <w:t xml:space="preserve">. Povrchnost se projevuje i v seznamu použité literatury, diplomantka pracuje pouze s menším množstvím (k tomu viz níže), již to samo o sobě svědčí o ne zcela optimálním metodologickém uchopení práce. Deskripce je spíše převažující metodou. </w:t>
      </w:r>
    </w:p>
    <w:p w14:paraId="2561F2A2" w14:textId="77777777" w:rsidR="002F460E" w:rsidRDefault="002F460E" w:rsidP="002F460E">
      <w:pPr>
        <w:jc w:val="both"/>
        <w:rPr>
          <w:rFonts w:ascii="Calibri" w:hAnsi="Calibri"/>
          <w:b/>
          <w:sz w:val="24"/>
          <w:szCs w:val="24"/>
        </w:rPr>
      </w:pPr>
      <w:r w:rsidRPr="004E3180">
        <w:rPr>
          <w:rFonts w:ascii="Calibri" w:hAnsi="Calibri"/>
          <w:b/>
          <w:sz w:val="24"/>
          <w:szCs w:val="24"/>
        </w:rPr>
        <w:t>III. Materiální náplň práce</w:t>
      </w:r>
    </w:p>
    <w:p w14:paraId="0B5FF06D" w14:textId="43006EB4" w:rsidR="003F2DBD" w:rsidRDefault="00E15AB8" w:rsidP="00420903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ab/>
      </w:r>
      <w:r w:rsidR="00420903">
        <w:rPr>
          <w:rFonts w:ascii="Calibri" w:hAnsi="Calibri"/>
          <w:sz w:val="24"/>
          <w:szCs w:val="24"/>
        </w:rPr>
        <w:t xml:space="preserve">Pokud jde o obsah, pak zde diplomantka plní, co si vytyčila v úvodu, věnuje se dvěma rozhodnutím Ústavního soudu týkajícím se zastavení exekuce ve věci péče o nezletilé podle § 268 odst. 1 písm. h) OSŘ, což je právní norma, na základě které dochází k zastavení exekuce v případě, že se exekucí dítě nesouhlasí. Nesouhlasu dítěte je věnováno především první rozhodnutí, druhé rozhodnutí je komplexnější a zaměřuje se též na otázky </w:t>
      </w:r>
      <w:r w:rsidR="00F0641B">
        <w:rPr>
          <w:rFonts w:ascii="Calibri" w:hAnsi="Calibri"/>
          <w:sz w:val="24"/>
          <w:szCs w:val="24"/>
        </w:rPr>
        <w:t xml:space="preserve">exekuce podle cizozemského rozhodnutí. Ačkoli není nesouhlas primárním důvodem zastavení v druhém případě, lze to tolerovat, protože na tomto druhém rozhodnutí diplomantka poměrně vhodně poukazuje na to, že případné vyjádření nesouhlasu nelze posuzovat osamoceně bez ohledu na další skutečnosti případu. I okolnost, že zde existuje vykonatelné rozhodnutí, jehož výkon vychází z mezinárodní úmluvy, kterou je Česká republika vázána, je pro případné rozhodnutí o výkonu podstatná a nelze ji zcela nereflektovat, současně však ani tato okolnost by sama o sobě nemusela být důvodem pro nerespektování názoru dítěte. </w:t>
      </w:r>
    </w:p>
    <w:p w14:paraId="02A3BB86" w14:textId="7FDFAFBB" w:rsidR="00F0641B" w:rsidRDefault="00F0641B" w:rsidP="00420903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lastRenderedPageBreak/>
        <w:tab/>
        <w:t xml:space="preserve">V rámci materiální zpracování oceňuji, že se diplomantka věnuje i důležitým otázkám, jakými jsou další postup v případě, pokud je exekuce zastavena, tj. zhodnocení toho, jak pak dále s takovým, reálně nevykonatelným titulem, naložit. </w:t>
      </w:r>
    </w:p>
    <w:p w14:paraId="43658B80" w14:textId="411BAFA5" w:rsidR="00F0641B" w:rsidRPr="003F2DBD" w:rsidRDefault="00F0641B" w:rsidP="00420903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  <w:t xml:space="preserve">Jak již však bylo výše uvedeno, celkové zpracování je však velmi povrchové a poměrně dost laické. Práce by byla vhodným zpracováním tématu pro laickou veřejnost, které poměrně by poměrně zdařile objasnila, jak lze vyjádřit názor nezletilého v exekuci a jaké to má důsledky. Z vědeckého hlediska je však práce spíše méně zdařilá. </w:t>
      </w:r>
    </w:p>
    <w:p w14:paraId="7A9735B3" w14:textId="77777777" w:rsidR="002F460E" w:rsidRPr="004E3180" w:rsidRDefault="002F460E" w:rsidP="003127A6">
      <w:pPr>
        <w:jc w:val="both"/>
        <w:rPr>
          <w:rFonts w:ascii="Calibri" w:hAnsi="Calibri"/>
          <w:b/>
          <w:sz w:val="24"/>
          <w:szCs w:val="24"/>
        </w:rPr>
      </w:pPr>
      <w:r w:rsidRPr="004E3180">
        <w:rPr>
          <w:rFonts w:ascii="Calibri" w:hAnsi="Calibri"/>
          <w:b/>
          <w:sz w:val="24"/>
          <w:szCs w:val="24"/>
        </w:rPr>
        <w:t>IV. K závěrům práce</w:t>
      </w:r>
    </w:p>
    <w:p w14:paraId="15F40566" w14:textId="21D02612" w:rsidR="003F2DBD" w:rsidRDefault="002E55BB" w:rsidP="002F460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D3007">
        <w:rPr>
          <w:sz w:val="24"/>
          <w:szCs w:val="24"/>
        </w:rPr>
        <w:t xml:space="preserve">Závěry práce </w:t>
      </w:r>
      <w:r w:rsidR="00F0641B">
        <w:rPr>
          <w:sz w:val="24"/>
          <w:szCs w:val="24"/>
        </w:rPr>
        <w:t>odpovídají práci jako takové, tj. nepřináší nic nového, správně však konstatují obsah analyzovaných judikátů.</w:t>
      </w:r>
    </w:p>
    <w:p w14:paraId="4D7FC6C9" w14:textId="69F50C0C" w:rsidR="002F460E" w:rsidRPr="004E3180" w:rsidRDefault="002F460E" w:rsidP="002F460E">
      <w:pPr>
        <w:jc w:val="both"/>
        <w:rPr>
          <w:rFonts w:ascii="Calibri" w:hAnsi="Calibri"/>
          <w:b/>
          <w:sz w:val="24"/>
          <w:szCs w:val="24"/>
        </w:rPr>
      </w:pPr>
      <w:r w:rsidRPr="004E3180">
        <w:rPr>
          <w:rFonts w:ascii="Calibri" w:hAnsi="Calibri"/>
          <w:b/>
          <w:sz w:val="24"/>
          <w:szCs w:val="24"/>
        </w:rPr>
        <w:t xml:space="preserve">V. Práce se </w:t>
      </w:r>
      <w:r w:rsidR="00F0641B">
        <w:rPr>
          <w:rFonts w:ascii="Calibri" w:hAnsi="Calibri"/>
          <w:b/>
          <w:sz w:val="24"/>
          <w:szCs w:val="24"/>
        </w:rPr>
        <w:t>zdroji.</w:t>
      </w:r>
    </w:p>
    <w:p w14:paraId="39F9F7B8" w14:textId="02C4B2B0" w:rsidR="00457453" w:rsidRDefault="003119A0" w:rsidP="007C5A7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D3007">
        <w:rPr>
          <w:sz w:val="24"/>
          <w:szCs w:val="24"/>
        </w:rPr>
        <w:t xml:space="preserve">K práci se zdroji </w:t>
      </w:r>
      <w:r w:rsidR="00F0641B">
        <w:rPr>
          <w:sz w:val="24"/>
          <w:szCs w:val="24"/>
        </w:rPr>
        <w:t xml:space="preserve">jsem se již vyjadřovala výše. </w:t>
      </w:r>
      <w:r w:rsidR="004B23B0">
        <w:rPr>
          <w:sz w:val="24"/>
          <w:szCs w:val="24"/>
        </w:rPr>
        <w:t xml:space="preserve">Práce nevychází z většího množství zdrojů, což jí je rovněž k tíži. Zdroje, které využívá, však cituje řádně. </w:t>
      </w:r>
    </w:p>
    <w:p w14:paraId="45A11A7F" w14:textId="77777777" w:rsidR="002F460E" w:rsidRPr="004E3180" w:rsidRDefault="002F460E" w:rsidP="002F460E">
      <w:pPr>
        <w:jc w:val="both"/>
        <w:rPr>
          <w:rFonts w:ascii="Calibri" w:hAnsi="Calibri"/>
          <w:b/>
          <w:sz w:val="24"/>
          <w:szCs w:val="24"/>
        </w:rPr>
      </w:pPr>
      <w:r w:rsidRPr="004E3180">
        <w:rPr>
          <w:rFonts w:ascii="Calibri" w:hAnsi="Calibri"/>
          <w:b/>
          <w:sz w:val="24"/>
          <w:szCs w:val="24"/>
        </w:rPr>
        <w:t>VI. Formální náležitosti práce</w:t>
      </w:r>
    </w:p>
    <w:p w14:paraId="50824D02" w14:textId="77777777" w:rsidR="009A21E6" w:rsidRDefault="002E55BB" w:rsidP="002F460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Po formální stránce práce </w:t>
      </w:r>
      <w:r w:rsidR="00DC333C">
        <w:rPr>
          <w:sz w:val="24"/>
          <w:szCs w:val="24"/>
        </w:rPr>
        <w:t>na</w:t>
      </w:r>
      <w:r>
        <w:rPr>
          <w:sz w:val="24"/>
          <w:szCs w:val="24"/>
        </w:rPr>
        <w:t xml:space="preserve">plňuje všechny náležitosti stanovení směrnicí </w:t>
      </w:r>
      <w:r w:rsidR="00833757">
        <w:rPr>
          <w:sz w:val="24"/>
          <w:szCs w:val="24"/>
        </w:rPr>
        <w:t xml:space="preserve">děkanky Právnické fakulty Univerzity Palackého v Olomouci </w:t>
      </w:r>
      <w:r>
        <w:rPr>
          <w:sz w:val="24"/>
          <w:szCs w:val="24"/>
        </w:rPr>
        <w:t>č. 2/2010</w:t>
      </w:r>
      <w:r w:rsidR="0068657B">
        <w:rPr>
          <w:sz w:val="24"/>
          <w:szCs w:val="24"/>
        </w:rPr>
        <w:t>.</w:t>
      </w:r>
      <w:r w:rsidR="0042739F">
        <w:rPr>
          <w:sz w:val="24"/>
          <w:szCs w:val="24"/>
        </w:rPr>
        <w:t xml:space="preserve"> </w:t>
      </w:r>
    </w:p>
    <w:p w14:paraId="31D11B85" w14:textId="77777777" w:rsidR="002E55BB" w:rsidRDefault="002E55BB" w:rsidP="002F460E">
      <w:pPr>
        <w:jc w:val="both"/>
        <w:rPr>
          <w:b/>
          <w:sz w:val="24"/>
          <w:szCs w:val="24"/>
        </w:rPr>
      </w:pPr>
      <w:r w:rsidRPr="002E55BB">
        <w:rPr>
          <w:b/>
          <w:sz w:val="24"/>
          <w:szCs w:val="24"/>
        </w:rPr>
        <w:t>VII. Závěr</w:t>
      </w:r>
    </w:p>
    <w:p w14:paraId="3E199655" w14:textId="34EBC92D" w:rsidR="003B14A9" w:rsidRDefault="00990A29" w:rsidP="002F460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E30B2B">
        <w:rPr>
          <w:sz w:val="24"/>
          <w:szCs w:val="24"/>
        </w:rPr>
        <w:t xml:space="preserve">Jedná se o </w:t>
      </w:r>
      <w:r w:rsidR="000E3D10">
        <w:rPr>
          <w:sz w:val="24"/>
          <w:szCs w:val="24"/>
        </w:rPr>
        <w:t xml:space="preserve">práci, která </w:t>
      </w:r>
      <w:r w:rsidR="00E30B2B">
        <w:rPr>
          <w:sz w:val="24"/>
          <w:szCs w:val="24"/>
        </w:rPr>
        <w:t>naplňuje všechny předpokla</w:t>
      </w:r>
      <w:r w:rsidR="000E3D10">
        <w:rPr>
          <w:sz w:val="24"/>
          <w:szCs w:val="24"/>
        </w:rPr>
        <w:t>dy na tento druh prací kladené,</w:t>
      </w:r>
      <w:r w:rsidR="003F2DBD">
        <w:rPr>
          <w:sz w:val="24"/>
          <w:szCs w:val="24"/>
        </w:rPr>
        <w:t xml:space="preserve"> </w:t>
      </w:r>
      <w:r w:rsidR="004B23B0">
        <w:rPr>
          <w:sz w:val="24"/>
          <w:szCs w:val="24"/>
        </w:rPr>
        <w:t>byť na spodní hranici přípustnosti. Lze konstatovat, že práce analyzuje zvolené téma, pracuje s judikaturou a literaturou, a proto práci i přes její nedostatky</w:t>
      </w:r>
    </w:p>
    <w:p w14:paraId="76A90C9F" w14:textId="55D058CE" w:rsidR="00990A29" w:rsidRPr="00E30B2B" w:rsidRDefault="009A21E6" w:rsidP="003B14A9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</w:t>
      </w:r>
      <w:r w:rsidR="00E30B2B" w:rsidRPr="00E30B2B">
        <w:rPr>
          <w:b/>
          <w:sz w:val="24"/>
          <w:szCs w:val="24"/>
        </w:rPr>
        <w:t>poručuji</w:t>
      </w:r>
      <w:r>
        <w:rPr>
          <w:b/>
          <w:sz w:val="24"/>
          <w:szCs w:val="24"/>
        </w:rPr>
        <w:t xml:space="preserve"> práci</w:t>
      </w:r>
      <w:r w:rsidR="00E30B2B" w:rsidRPr="00E30B2B">
        <w:rPr>
          <w:b/>
          <w:sz w:val="24"/>
          <w:szCs w:val="24"/>
        </w:rPr>
        <w:t xml:space="preserve"> k ústní obhajobě a </w:t>
      </w:r>
      <w:r w:rsidR="000E3D10">
        <w:rPr>
          <w:b/>
          <w:sz w:val="24"/>
          <w:szCs w:val="24"/>
        </w:rPr>
        <w:t>hodnotím ji předběžně stupněm „</w:t>
      </w:r>
      <w:r w:rsidR="004B23B0">
        <w:rPr>
          <w:b/>
          <w:sz w:val="24"/>
          <w:szCs w:val="24"/>
        </w:rPr>
        <w:t>E</w:t>
      </w:r>
      <w:r w:rsidR="00E30B2B" w:rsidRPr="00E30B2B">
        <w:rPr>
          <w:b/>
          <w:sz w:val="24"/>
          <w:szCs w:val="24"/>
        </w:rPr>
        <w:t>“.</w:t>
      </w:r>
    </w:p>
    <w:p w14:paraId="4E56367B" w14:textId="0EB376CB" w:rsidR="0068657B" w:rsidRPr="0068657B" w:rsidRDefault="0068657B" w:rsidP="00FB6AD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Při ústní obhajobě</w:t>
      </w:r>
      <w:r w:rsidR="003B14A9">
        <w:rPr>
          <w:sz w:val="24"/>
          <w:szCs w:val="24"/>
        </w:rPr>
        <w:t>,</w:t>
      </w:r>
      <w:r w:rsidR="00E30B2B">
        <w:rPr>
          <w:sz w:val="24"/>
          <w:szCs w:val="24"/>
        </w:rPr>
        <w:t xml:space="preserve"> nechť se diplomant</w:t>
      </w:r>
      <w:r w:rsidR="009A21E6">
        <w:rPr>
          <w:sz w:val="24"/>
          <w:szCs w:val="24"/>
        </w:rPr>
        <w:t>ka vyjádří</w:t>
      </w:r>
      <w:r w:rsidR="00E30B2B">
        <w:rPr>
          <w:sz w:val="24"/>
          <w:szCs w:val="24"/>
        </w:rPr>
        <w:t xml:space="preserve"> </w:t>
      </w:r>
      <w:r w:rsidR="004B23B0">
        <w:rPr>
          <w:sz w:val="24"/>
          <w:szCs w:val="24"/>
        </w:rPr>
        <w:t>k dalšímu možnému postupu ve věci úpravy poměrů nezletilého, pokud nelze realizovat původní exekuční titul z důvodu jeho nesouhlasu.</w:t>
      </w:r>
    </w:p>
    <w:p w14:paraId="5C74FD4D" w14:textId="3398CC66" w:rsidR="00833757" w:rsidRDefault="00833757" w:rsidP="002F460E">
      <w:pPr>
        <w:jc w:val="both"/>
        <w:rPr>
          <w:sz w:val="24"/>
          <w:szCs w:val="24"/>
        </w:rPr>
      </w:pPr>
      <w:r>
        <w:rPr>
          <w:sz w:val="24"/>
          <w:szCs w:val="24"/>
        </w:rPr>
        <w:t>V Olomouc</w:t>
      </w:r>
      <w:r w:rsidR="00003220">
        <w:rPr>
          <w:sz w:val="24"/>
          <w:szCs w:val="24"/>
        </w:rPr>
        <w:t>i</w:t>
      </w:r>
      <w:r>
        <w:rPr>
          <w:sz w:val="24"/>
          <w:szCs w:val="24"/>
        </w:rPr>
        <w:t xml:space="preserve"> dne </w:t>
      </w:r>
      <w:r w:rsidR="004B23B0">
        <w:rPr>
          <w:sz w:val="24"/>
          <w:szCs w:val="24"/>
        </w:rPr>
        <w:t>13</w:t>
      </w:r>
      <w:r w:rsidR="00DD3007">
        <w:rPr>
          <w:sz w:val="24"/>
          <w:szCs w:val="24"/>
        </w:rPr>
        <w:t>. 1</w:t>
      </w:r>
      <w:r w:rsidR="004B23B0">
        <w:rPr>
          <w:sz w:val="24"/>
          <w:szCs w:val="24"/>
        </w:rPr>
        <w:t>2</w:t>
      </w:r>
      <w:r w:rsidR="00DD3007">
        <w:rPr>
          <w:sz w:val="24"/>
          <w:szCs w:val="24"/>
        </w:rPr>
        <w:t>. 2021</w:t>
      </w:r>
    </w:p>
    <w:p w14:paraId="0F264D0A" w14:textId="77777777" w:rsidR="00833757" w:rsidRDefault="00833757" w:rsidP="0083375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JUDr. </w:t>
      </w:r>
      <w:r w:rsidR="005112AC">
        <w:rPr>
          <w:sz w:val="24"/>
          <w:szCs w:val="24"/>
        </w:rPr>
        <w:t>Renáta Šínová, Ph.D.</w:t>
      </w:r>
    </w:p>
    <w:p w14:paraId="4B6638D9" w14:textId="77777777" w:rsidR="002F460E" w:rsidRDefault="002F460E" w:rsidP="00D270D8">
      <w:pPr>
        <w:ind w:firstLine="360"/>
        <w:jc w:val="both"/>
        <w:rPr>
          <w:sz w:val="24"/>
          <w:szCs w:val="24"/>
        </w:rPr>
      </w:pPr>
    </w:p>
    <w:p w14:paraId="2B9FA9DC" w14:textId="77777777" w:rsidR="005C374D" w:rsidRPr="005C374D" w:rsidRDefault="005C374D" w:rsidP="002E55BB">
      <w:pPr>
        <w:jc w:val="both"/>
        <w:rPr>
          <w:sz w:val="24"/>
          <w:szCs w:val="24"/>
        </w:rPr>
      </w:pPr>
    </w:p>
    <w:sectPr w:rsidR="005C374D" w:rsidRPr="005C374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6E9EB6" w14:textId="77777777" w:rsidR="004513B5" w:rsidRDefault="004513B5" w:rsidP="00FA60C1">
      <w:pPr>
        <w:spacing w:after="0" w:line="240" w:lineRule="auto"/>
      </w:pPr>
      <w:r>
        <w:separator/>
      </w:r>
    </w:p>
  </w:endnote>
  <w:endnote w:type="continuationSeparator" w:id="0">
    <w:p w14:paraId="5BF9BD92" w14:textId="77777777" w:rsidR="004513B5" w:rsidRDefault="004513B5" w:rsidP="00FA6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5283677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DFBCC91" w14:textId="77777777" w:rsidR="00FA60C1" w:rsidRDefault="00FA60C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D10">
          <w:rPr>
            <w:noProof/>
          </w:rPr>
          <w:t>2</w:t>
        </w:r>
        <w:r>
          <w:fldChar w:fldCharType="end"/>
        </w:r>
      </w:p>
    </w:sdtContent>
  </w:sdt>
  <w:p w14:paraId="4FE3C3EC" w14:textId="77777777" w:rsidR="00FA60C1" w:rsidRDefault="00FA60C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B70FA8" w14:textId="77777777" w:rsidR="004513B5" w:rsidRDefault="004513B5" w:rsidP="00FA60C1">
      <w:pPr>
        <w:spacing w:after="0" w:line="240" w:lineRule="auto"/>
      </w:pPr>
      <w:r>
        <w:separator/>
      </w:r>
    </w:p>
  </w:footnote>
  <w:footnote w:type="continuationSeparator" w:id="0">
    <w:p w14:paraId="561D4142" w14:textId="77777777" w:rsidR="004513B5" w:rsidRDefault="004513B5" w:rsidP="00FA6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890DD0"/>
    <w:multiLevelType w:val="hybridMultilevel"/>
    <w:tmpl w:val="FB3499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A5658"/>
    <w:multiLevelType w:val="hybridMultilevel"/>
    <w:tmpl w:val="88ACB5D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4227"/>
    <w:rsid w:val="00003220"/>
    <w:rsid w:val="000049F4"/>
    <w:rsid w:val="00005136"/>
    <w:rsid w:val="00010050"/>
    <w:rsid w:val="00011F90"/>
    <w:rsid w:val="00015C01"/>
    <w:rsid w:val="00023292"/>
    <w:rsid w:val="000469B7"/>
    <w:rsid w:val="000515AC"/>
    <w:rsid w:val="00060055"/>
    <w:rsid w:val="000606C8"/>
    <w:rsid w:val="00065353"/>
    <w:rsid w:val="000D4820"/>
    <w:rsid w:val="000D654C"/>
    <w:rsid w:val="000E38BC"/>
    <w:rsid w:val="000E3D10"/>
    <w:rsid w:val="000E414C"/>
    <w:rsid w:val="000F336B"/>
    <w:rsid w:val="00147386"/>
    <w:rsid w:val="001624EC"/>
    <w:rsid w:val="001A78A0"/>
    <w:rsid w:val="001B3ADD"/>
    <w:rsid w:val="001D6D4A"/>
    <w:rsid w:val="00205931"/>
    <w:rsid w:val="0021586E"/>
    <w:rsid w:val="00241CCB"/>
    <w:rsid w:val="00242AAD"/>
    <w:rsid w:val="00260D78"/>
    <w:rsid w:val="00265EC2"/>
    <w:rsid w:val="002772CB"/>
    <w:rsid w:val="0028082D"/>
    <w:rsid w:val="00287EC1"/>
    <w:rsid w:val="00290DB6"/>
    <w:rsid w:val="002A7EAE"/>
    <w:rsid w:val="002B3329"/>
    <w:rsid w:val="002B6C2A"/>
    <w:rsid w:val="002E55BB"/>
    <w:rsid w:val="002F460E"/>
    <w:rsid w:val="003119A0"/>
    <w:rsid w:val="003127A6"/>
    <w:rsid w:val="003265A7"/>
    <w:rsid w:val="003411D2"/>
    <w:rsid w:val="0034204A"/>
    <w:rsid w:val="003426B9"/>
    <w:rsid w:val="003775B8"/>
    <w:rsid w:val="003A69C3"/>
    <w:rsid w:val="003B14A9"/>
    <w:rsid w:val="003B1F66"/>
    <w:rsid w:val="003B5E26"/>
    <w:rsid w:val="003C1911"/>
    <w:rsid w:val="003D2D1C"/>
    <w:rsid w:val="003E6E7D"/>
    <w:rsid w:val="003E7A71"/>
    <w:rsid w:val="003F2DBD"/>
    <w:rsid w:val="003F46B4"/>
    <w:rsid w:val="00420903"/>
    <w:rsid w:val="0042739F"/>
    <w:rsid w:val="004331C8"/>
    <w:rsid w:val="004513B5"/>
    <w:rsid w:val="00457453"/>
    <w:rsid w:val="0047257D"/>
    <w:rsid w:val="00492348"/>
    <w:rsid w:val="004A7A6C"/>
    <w:rsid w:val="004B23B0"/>
    <w:rsid w:val="004B37C3"/>
    <w:rsid w:val="004E3180"/>
    <w:rsid w:val="004E60DD"/>
    <w:rsid w:val="005051EC"/>
    <w:rsid w:val="005112AC"/>
    <w:rsid w:val="00513705"/>
    <w:rsid w:val="00573800"/>
    <w:rsid w:val="005C374D"/>
    <w:rsid w:val="005E3F8E"/>
    <w:rsid w:val="005E7943"/>
    <w:rsid w:val="00621E4C"/>
    <w:rsid w:val="00626539"/>
    <w:rsid w:val="006726CD"/>
    <w:rsid w:val="0068657B"/>
    <w:rsid w:val="00686E5B"/>
    <w:rsid w:val="00695123"/>
    <w:rsid w:val="00697F36"/>
    <w:rsid w:val="006B6E74"/>
    <w:rsid w:val="006C5EE3"/>
    <w:rsid w:val="00703749"/>
    <w:rsid w:val="00721657"/>
    <w:rsid w:val="00766A51"/>
    <w:rsid w:val="00785349"/>
    <w:rsid w:val="007A74A7"/>
    <w:rsid w:val="007C5A79"/>
    <w:rsid w:val="007C6A83"/>
    <w:rsid w:val="007F4227"/>
    <w:rsid w:val="007F6864"/>
    <w:rsid w:val="00807D81"/>
    <w:rsid w:val="00833757"/>
    <w:rsid w:val="008526DA"/>
    <w:rsid w:val="00867534"/>
    <w:rsid w:val="00877A4F"/>
    <w:rsid w:val="008C2D2D"/>
    <w:rsid w:val="00901941"/>
    <w:rsid w:val="00951BC2"/>
    <w:rsid w:val="00960433"/>
    <w:rsid w:val="00964DA6"/>
    <w:rsid w:val="009708FC"/>
    <w:rsid w:val="00982AD1"/>
    <w:rsid w:val="00990A29"/>
    <w:rsid w:val="009A21E6"/>
    <w:rsid w:val="009A2824"/>
    <w:rsid w:val="009C2811"/>
    <w:rsid w:val="009C5770"/>
    <w:rsid w:val="009F2BB2"/>
    <w:rsid w:val="00A06C39"/>
    <w:rsid w:val="00A16E75"/>
    <w:rsid w:val="00A229B0"/>
    <w:rsid w:val="00A76A06"/>
    <w:rsid w:val="00A8478F"/>
    <w:rsid w:val="00AC70B3"/>
    <w:rsid w:val="00AE6628"/>
    <w:rsid w:val="00AE7E41"/>
    <w:rsid w:val="00B12EB8"/>
    <w:rsid w:val="00B20319"/>
    <w:rsid w:val="00B600A0"/>
    <w:rsid w:val="00B71786"/>
    <w:rsid w:val="00B74917"/>
    <w:rsid w:val="00B77CFE"/>
    <w:rsid w:val="00B91DE1"/>
    <w:rsid w:val="00BB72F6"/>
    <w:rsid w:val="00C11926"/>
    <w:rsid w:val="00C21E00"/>
    <w:rsid w:val="00C56C0A"/>
    <w:rsid w:val="00C60135"/>
    <w:rsid w:val="00C76F64"/>
    <w:rsid w:val="00C857F0"/>
    <w:rsid w:val="00CA0649"/>
    <w:rsid w:val="00D00D4D"/>
    <w:rsid w:val="00D270D8"/>
    <w:rsid w:val="00D30762"/>
    <w:rsid w:val="00D45E4E"/>
    <w:rsid w:val="00D75381"/>
    <w:rsid w:val="00D80293"/>
    <w:rsid w:val="00D822B7"/>
    <w:rsid w:val="00DA75DF"/>
    <w:rsid w:val="00DC333C"/>
    <w:rsid w:val="00DD3007"/>
    <w:rsid w:val="00E15AB8"/>
    <w:rsid w:val="00E30B2B"/>
    <w:rsid w:val="00E41A74"/>
    <w:rsid w:val="00E43D18"/>
    <w:rsid w:val="00E44886"/>
    <w:rsid w:val="00E6100E"/>
    <w:rsid w:val="00EC5A97"/>
    <w:rsid w:val="00ED0B3F"/>
    <w:rsid w:val="00ED1A15"/>
    <w:rsid w:val="00EF1978"/>
    <w:rsid w:val="00EF72D5"/>
    <w:rsid w:val="00F0641B"/>
    <w:rsid w:val="00F66C1D"/>
    <w:rsid w:val="00F70E27"/>
    <w:rsid w:val="00F914C2"/>
    <w:rsid w:val="00FA60C1"/>
    <w:rsid w:val="00FB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66B08"/>
  <w15:docId w15:val="{7058B7E8-0914-4915-9E62-A2C5E4B80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422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A60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60C1"/>
  </w:style>
  <w:style w:type="paragraph" w:styleId="Zpat">
    <w:name w:val="footer"/>
    <w:basedOn w:val="Normln"/>
    <w:link w:val="ZpatChar"/>
    <w:uiPriority w:val="99"/>
    <w:unhideWhenUsed/>
    <w:rsid w:val="00FA60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6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D765E-9FC4-464E-93EE-7B23A243E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583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Sinova Renata</dc:creator>
  <cp:lastModifiedBy>Sinova Renata</cp:lastModifiedBy>
  <cp:revision>6</cp:revision>
  <cp:lastPrinted>2017-09-05T13:22:00Z</cp:lastPrinted>
  <dcterms:created xsi:type="dcterms:W3CDTF">2021-12-11T12:04:00Z</dcterms:created>
  <dcterms:modified xsi:type="dcterms:W3CDTF">2021-12-11T12:25:00Z</dcterms:modified>
</cp:coreProperties>
</file>