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65E5" w:rsidRDefault="007C65E5" w:rsidP="007C65E5">
      <w:pPr>
        <w:pStyle w:val="Nadpis1"/>
        <w:jc w:val="center"/>
        <w:rPr>
          <w:b/>
          <w:sz w:val="28"/>
        </w:rPr>
      </w:pPr>
      <w:r>
        <w:rPr>
          <w:b/>
          <w:sz w:val="28"/>
        </w:rPr>
        <w:t xml:space="preserve">Posudek na bakalářskou diplomovou práci </w:t>
      </w:r>
      <w:r w:rsidR="007562CB">
        <w:rPr>
          <w:b/>
          <w:sz w:val="28"/>
        </w:rPr>
        <w:t>Renaty Koudelkové</w:t>
      </w:r>
      <w:r>
        <w:rPr>
          <w:b/>
          <w:sz w:val="28"/>
        </w:rPr>
        <w:t xml:space="preserve"> </w:t>
      </w:r>
    </w:p>
    <w:p w:rsidR="007C65E5" w:rsidRPr="007562CB" w:rsidRDefault="007562CB" w:rsidP="007C65E5">
      <w:pPr>
        <w:pStyle w:val="Nadpis1"/>
        <w:jc w:val="center"/>
        <w:rPr>
          <w:b/>
          <w:sz w:val="28"/>
          <w:szCs w:val="28"/>
        </w:rPr>
      </w:pPr>
      <w:r w:rsidRPr="007562CB">
        <w:rPr>
          <w:b/>
          <w:sz w:val="28"/>
          <w:szCs w:val="28"/>
        </w:rPr>
        <w:t>Evaluace služeb organizace Podané ruce – osobní asistence</w:t>
      </w:r>
    </w:p>
    <w:p w:rsidR="00DE24BD" w:rsidRDefault="00DE24BD" w:rsidP="007C65E5">
      <w:pPr>
        <w:jc w:val="both"/>
        <w:rPr>
          <w:b/>
          <w:sz w:val="24"/>
        </w:rPr>
      </w:pPr>
    </w:p>
    <w:p w:rsidR="007C65E5" w:rsidRPr="00DE24BD" w:rsidRDefault="00DE24BD" w:rsidP="007C65E5">
      <w:pPr>
        <w:jc w:val="both"/>
        <w:rPr>
          <w:b/>
          <w:sz w:val="24"/>
        </w:rPr>
      </w:pPr>
      <w:r w:rsidRPr="00DE24BD">
        <w:rPr>
          <w:b/>
          <w:sz w:val="24"/>
        </w:rPr>
        <w:t>Obor: Sociální práce</w:t>
      </w:r>
    </w:p>
    <w:p w:rsidR="007C65E5" w:rsidRDefault="007C65E5" w:rsidP="007C65E5">
      <w:pPr>
        <w:jc w:val="both"/>
        <w:rPr>
          <w:sz w:val="24"/>
        </w:rPr>
      </w:pPr>
    </w:p>
    <w:p w:rsidR="007C65E5" w:rsidRDefault="007C65E5" w:rsidP="007C65E5">
      <w:pPr>
        <w:jc w:val="both"/>
        <w:rPr>
          <w:b/>
          <w:sz w:val="28"/>
        </w:rPr>
      </w:pPr>
      <w:r>
        <w:rPr>
          <w:b/>
          <w:sz w:val="28"/>
        </w:rPr>
        <w:t>1. Metodologické a metodické aspekty</w:t>
      </w:r>
    </w:p>
    <w:tbl>
      <w:tblPr>
        <w:tblW w:w="9709" w:type="dxa"/>
        <w:tblLayout w:type="fixed"/>
        <w:tblCellMar>
          <w:left w:w="70" w:type="dxa"/>
          <w:right w:w="70" w:type="dxa"/>
        </w:tblCellMar>
        <w:tblLook w:val="04A0" w:firstRow="1" w:lastRow="0" w:firstColumn="1" w:lastColumn="0" w:noHBand="0" w:noVBand="1"/>
      </w:tblPr>
      <w:tblGrid>
        <w:gridCol w:w="2622"/>
        <w:gridCol w:w="7087"/>
      </w:tblGrid>
      <w:tr w:rsidR="007C65E5" w:rsidTr="002F7B69">
        <w:tc>
          <w:tcPr>
            <w:tcW w:w="2622" w:type="dxa"/>
          </w:tcPr>
          <w:p w:rsidR="007C65E5" w:rsidRDefault="007C65E5">
            <w:pPr>
              <w:pStyle w:val="Nadpis2"/>
              <w:spacing w:line="276" w:lineRule="auto"/>
              <w:rPr>
                <w:rFonts w:eastAsiaTheme="minorEastAsia"/>
                <w:lang w:eastAsia="en-US"/>
              </w:rPr>
            </w:pPr>
          </w:p>
        </w:tc>
        <w:tc>
          <w:tcPr>
            <w:tcW w:w="7087" w:type="dxa"/>
          </w:tcPr>
          <w:p w:rsidR="007C65E5" w:rsidRDefault="007C65E5">
            <w:pPr>
              <w:spacing w:line="276" w:lineRule="auto"/>
              <w:jc w:val="both"/>
              <w:rPr>
                <w:sz w:val="24"/>
                <w:lang w:eastAsia="en-US"/>
              </w:rPr>
            </w:pPr>
          </w:p>
        </w:tc>
      </w:tr>
      <w:tr w:rsidR="007C65E5" w:rsidTr="002F7B69">
        <w:tc>
          <w:tcPr>
            <w:tcW w:w="2622" w:type="dxa"/>
            <w:hideMark/>
          </w:tcPr>
          <w:p w:rsidR="007C65E5" w:rsidRDefault="007C65E5">
            <w:pPr>
              <w:pStyle w:val="Nadpis2"/>
              <w:spacing w:line="276" w:lineRule="auto"/>
              <w:rPr>
                <w:rFonts w:eastAsiaTheme="minorEastAsia"/>
                <w:lang w:eastAsia="en-US"/>
              </w:rPr>
            </w:pPr>
            <w:r>
              <w:rPr>
                <w:rFonts w:eastAsiaTheme="minorEastAsia"/>
                <w:lang w:eastAsia="en-US"/>
              </w:rPr>
              <w:t>Formulace cíle</w:t>
            </w:r>
          </w:p>
        </w:tc>
        <w:tc>
          <w:tcPr>
            <w:tcW w:w="7087" w:type="dxa"/>
            <w:hideMark/>
          </w:tcPr>
          <w:p w:rsidR="007C65E5" w:rsidRDefault="004152B5" w:rsidP="004152B5">
            <w:pPr>
              <w:spacing w:line="276" w:lineRule="auto"/>
              <w:jc w:val="both"/>
              <w:rPr>
                <w:sz w:val="24"/>
                <w:lang w:eastAsia="en-US"/>
              </w:rPr>
            </w:pPr>
            <w:r>
              <w:rPr>
                <w:sz w:val="24"/>
                <w:lang w:eastAsia="en-US"/>
              </w:rPr>
              <w:t xml:space="preserve">Cílem práce je zjištění míry spokojenosti klientů organizace Podané ruce – osobní asistence. </w:t>
            </w:r>
          </w:p>
        </w:tc>
      </w:tr>
      <w:tr w:rsidR="007C65E5" w:rsidTr="002F7B69">
        <w:tc>
          <w:tcPr>
            <w:tcW w:w="2622" w:type="dxa"/>
          </w:tcPr>
          <w:p w:rsidR="007C65E5" w:rsidRDefault="007C65E5">
            <w:pPr>
              <w:spacing w:line="276" w:lineRule="auto"/>
              <w:rPr>
                <w:b/>
                <w:sz w:val="24"/>
                <w:lang w:eastAsia="en-US"/>
              </w:rPr>
            </w:pPr>
          </w:p>
        </w:tc>
        <w:tc>
          <w:tcPr>
            <w:tcW w:w="7087" w:type="dxa"/>
          </w:tcPr>
          <w:p w:rsidR="007C65E5" w:rsidRDefault="007C65E5">
            <w:pPr>
              <w:spacing w:line="276" w:lineRule="auto"/>
              <w:jc w:val="both"/>
              <w:rPr>
                <w:sz w:val="24"/>
                <w:lang w:eastAsia="en-US"/>
              </w:rPr>
            </w:pPr>
          </w:p>
        </w:tc>
      </w:tr>
      <w:tr w:rsidR="007C65E5" w:rsidTr="002F7B69">
        <w:tc>
          <w:tcPr>
            <w:tcW w:w="2622" w:type="dxa"/>
            <w:hideMark/>
          </w:tcPr>
          <w:p w:rsidR="007C65E5" w:rsidRDefault="007C65E5">
            <w:pPr>
              <w:spacing w:line="276" w:lineRule="auto"/>
              <w:rPr>
                <w:b/>
                <w:sz w:val="24"/>
                <w:lang w:eastAsia="en-US"/>
              </w:rPr>
            </w:pPr>
            <w:r>
              <w:rPr>
                <w:b/>
                <w:sz w:val="24"/>
                <w:lang w:eastAsia="en-US"/>
              </w:rPr>
              <w:t>Adekvátnost zvolených nástrojů k jeho dosažení</w:t>
            </w:r>
          </w:p>
        </w:tc>
        <w:tc>
          <w:tcPr>
            <w:tcW w:w="7087" w:type="dxa"/>
            <w:hideMark/>
          </w:tcPr>
          <w:p w:rsidR="005D44DD" w:rsidRDefault="00C96A92" w:rsidP="00F33D58">
            <w:pPr>
              <w:spacing w:line="276" w:lineRule="auto"/>
              <w:jc w:val="both"/>
              <w:rPr>
                <w:sz w:val="24"/>
                <w:lang w:eastAsia="en-US"/>
              </w:rPr>
            </w:pPr>
            <w:r>
              <w:rPr>
                <w:sz w:val="24"/>
                <w:lang w:eastAsia="en-US"/>
              </w:rPr>
              <w:t>Práce se dělí na teoretickou a praktickou část. Provázanost mezi těmito částmi však neexistuje. V teoretické části práce se autorka zabývá evaluačním procesem</w:t>
            </w:r>
            <w:r w:rsidR="00586028">
              <w:rPr>
                <w:sz w:val="24"/>
                <w:lang w:eastAsia="en-US"/>
              </w:rPr>
              <w:t xml:space="preserve"> a sociálními službami</w:t>
            </w:r>
            <w:r>
              <w:rPr>
                <w:sz w:val="24"/>
                <w:lang w:eastAsia="en-US"/>
              </w:rPr>
              <w:t>, v praktické části však tyto informace vůbec</w:t>
            </w:r>
            <w:r w:rsidR="005D44DD">
              <w:rPr>
                <w:sz w:val="24"/>
                <w:lang w:eastAsia="en-US"/>
              </w:rPr>
              <w:t xml:space="preserve"> nevyužívá. </w:t>
            </w:r>
          </w:p>
          <w:p w:rsidR="00586028" w:rsidRDefault="005D44DD" w:rsidP="0082471E">
            <w:pPr>
              <w:spacing w:line="276" w:lineRule="auto"/>
              <w:jc w:val="both"/>
              <w:rPr>
                <w:sz w:val="24"/>
                <w:lang w:eastAsia="en-US"/>
              </w:rPr>
            </w:pPr>
            <w:r>
              <w:rPr>
                <w:sz w:val="24"/>
                <w:lang w:eastAsia="en-US"/>
              </w:rPr>
              <w:t xml:space="preserve">Co se týká samotného výzkumu spokojenosti, při konstrukci dotazníku (pro celkem 25 respondentů) autorka využívá zjištění, ke kterým dospěla jiná badatelka kvalitativním výzkumem. Proti tomu nemám námitky, chybí mi však alespoň stručné informace o kvalitativním výzkumu, z kterého autorka vychází. </w:t>
            </w:r>
          </w:p>
          <w:p w:rsidR="00465603" w:rsidRDefault="005D44DD" w:rsidP="0082471E">
            <w:pPr>
              <w:spacing w:line="276" w:lineRule="auto"/>
              <w:jc w:val="both"/>
              <w:rPr>
                <w:sz w:val="24"/>
                <w:lang w:eastAsia="en-US"/>
              </w:rPr>
            </w:pPr>
            <w:r>
              <w:rPr>
                <w:sz w:val="24"/>
                <w:lang w:eastAsia="en-US"/>
              </w:rPr>
              <w:t>Konstrukce dotazníku není vůbec popsána</w:t>
            </w:r>
            <w:r w:rsidR="00465603">
              <w:rPr>
                <w:sz w:val="24"/>
                <w:lang w:eastAsia="en-US"/>
              </w:rPr>
              <w:t xml:space="preserve">, </w:t>
            </w:r>
            <w:r w:rsidR="0002761F">
              <w:rPr>
                <w:sz w:val="24"/>
                <w:lang w:eastAsia="en-US"/>
              </w:rPr>
              <w:t>což považuji za závažnou chybu</w:t>
            </w:r>
            <w:r>
              <w:rPr>
                <w:sz w:val="24"/>
                <w:lang w:eastAsia="en-US"/>
              </w:rPr>
              <w:t xml:space="preserve">. </w:t>
            </w:r>
          </w:p>
          <w:p w:rsidR="009407AE" w:rsidRDefault="008C5EB6" w:rsidP="0082471E">
            <w:pPr>
              <w:spacing w:line="276" w:lineRule="auto"/>
              <w:jc w:val="both"/>
              <w:rPr>
                <w:sz w:val="24"/>
                <w:lang w:eastAsia="en-US"/>
              </w:rPr>
            </w:pPr>
            <w:r>
              <w:rPr>
                <w:sz w:val="24"/>
                <w:lang w:eastAsia="en-US"/>
              </w:rPr>
              <w:t>Není jasné, kdo je respondentem, zda opečovávaná osoba, nebo pečující rodinný příslušník. Na s. 34 nahoře se totiž píše, že dotazník vyplní buď klient, nebo jeho rodinný příslušník. Není však zřejm</w:t>
            </w:r>
            <w:r w:rsidR="009407AE">
              <w:rPr>
                <w:sz w:val="24"/>
                <w:lang w:eastAsia="en-US"/>
              </w:rPr>
              <w:t>é</w:t>
            </w:r>
            <w:r>
              <w:rPr>
                <w:sz w:val="24"/>
                <w:lang w:eastAsia="en-US"/>
              </w:rPr>
              <w:t xml:space="preserve">, zda rodinný příslušník bude vyplňovat dotazník za sebe, či zda bude jen zapisovat to, co soudí klient. </w:t>
            </w:r>
            <w:r w:rsidR="00465603">
              <w:rPr>
                <w:sz w:val="24"/>
                <w:lang w:eastAsia="en-US"/>
              </w:rPr>
              <w:t xml:space="preserve">Až z </w:t>
            </w:r>
            <w:r w:rsidR="009407AE">
              <w:rPr>
                <w:sz w:val="24"/>
                <w:lang w:eastAsia="en-US"/>
              </w:rPr>
              <w:t>přiloženého dotazníku je jasné, že to může být jak klient, tak rodinný příslušník. To zcela jistě zkreslí výsledky. Nerozumím ani tomu, proč k tomu diplomantka přistoupila, když zjištěné výsledky neporovnává</w:t>
            </w:r>
            <w:r w:rsidR="00A20B44">
              <w:rPr>
                <w:sz w:val="24"/>
                <w:lang w:eastAsia="en-US"/>
              </w:rPr>
              <w:t xml:space="preserve"> a u všech grafů pak výsledky interpretuje tak, jako by odpovídal výlučně klient.</w:t>
            </w:r>
            <w:r w:rsidR="009407AE">
              <w:rPr>
                <w:sz w:val="24"/>
                <w:lang w:eastAsia="en-US"/>
              </w:rPr>
              <w:t xml:space="preserve"> </w:t>
            </w:r>
          </w:p>
          <w:p w:rsidR="0082471E" w:rsidRDefault="008C5EB6" w:rsidP="0082471E">
            <w:pPr>
              <w:spacing w:line="276" w:lineRule="auto"/>
              <w:jc w:val="both"/>
              <w:rPr>
                <w:sz w:val="24"/>
                <w:lang w:eastAsia="en-US"/>
              </w:rPr>
            </w:pPr>
            <w:r>
              <w:rPr>
                <w:sz w:val="24"/>
                <w:lang w:eastAsia="en-US"/>
              </w:rPr>
              <w:t xml:space="preserve">To, že výsledky výzkumu mohou být zkresleny např. typem postižení, věkem apod. (viz s. 34 nahoře) je pravda, ovšem na základě toho měla respondentka sebrat také data o typu onemocnění, věku apod. </w:t>
            </w:r>
            <w:r w:rsidR="0082471E">
              <w:rPr>
                <w:sz w:val="24"/>
                <w:lang w:eastAsia="en-US"/>
              </w:rPr>
              <w:t>příslušných respondentů.</w:t>
            </w:r>
          </w:p>
          <w:p w:rsidR="0082471E" w:rsidRDefault="0082471E" w:rsidP="0082471E">
            <w:pPr>
              <w:spacing w:line="276" w:lineRule="auto"/>
              <w:jc w:val="both"/>
              <w:rPr>
                <w:sz w:val="24"/>
                <w:lang w:eastAsia="en-US"/>
              </w:rPr>
            </w:pPr>
            <w:r>
              <w:rPr>
                <w:sz w:val="24"/>
                <w:lang w:eastAsia="en-US"/>
              </w:rPr>
              <w:t>Předvýzkum dotazníku není řádně popsán, není jasné</w:t>
            </w:r>
            <w:r w:rsidR="00FE10B9">
              <w:rPr>
                <w:sz w:val="24"/>
                <w:lang w:eastAsia="en-US"/>
              </w:rPr>
              <w:t>,</w:t>
            </w:r>
            <w:r w:rsidR="00A20B44">
              <w:rPr>
                <w:sz w:val="24"/>
                <w:lang w:eastAsia="en-US"/>
              </w:rPr>
              <w:t xml:space="preserve"> ani</w:t>
            </w:r>
            <w:r>
              <w:rPr>
                <w:sz w:val="24"/>
                <w:lang w:eastAsia="en-US"/>
              </w:rPr>
              <w:t xml:space="preserve"> jak byl prováděn, ani s jakým výsledkem.</w:t>
            </w:r>
            <w:r w:rsidR="00465603">
              <w:rPr>
                <w:sz w:val="24"/>
                <w:lang w:eastAsia="en-US"/>
              </w:rPr>
              <w:t xml:space="preserve"> </w:t>
            </w:r>
            <w:r>
              <w:rPr>
                <w:sz w:val="24"/>
                <w:lang w:eastAsia="en-US"/>
              </w:rPr>
              <w:t xml:space="preserve"> </w:t>
            </w:r>
          </w:p>
          <w:p w:rsidR="007C65E5" w:rsidRDefault="0082471E" w:rsidP="00A5145A">
            <w:pPr>
              <w:spacing w:line="276" w:lineRule="auto"/>
              <w:jc w:val="both"/>
              <w:rPr>
                <w:sz w:val="24"/>
                <w:lang w:eastAsia="en-US"/>
              </w:rPr>
            </w:pPr>
            <w:r>
              <w:rPr>
                <w:sz w:val="24"/>
                <w:lang w:eastAsia="en-US"/>
              </w:rPr>
              <w:t>Co se týká výsledků výzkumu</w:t>
            </w:r>
            <w:r w:rsidR="00465603">
              <w:rPr>
                <w:sz w:val="24"/>
                <w:lang w:eastAsia="en-US"/>
              </w:rPr>
              <w:t>, nezdá se mi vhodné při 25 respondentech počítat relativní četnosti a vytvářet grafy.</w:t>
            </w:r>
            <w:r w:rsidR="0002761F">
              <w:rPr>
                <w:sz w:val="24"/>
                <w:lang w:eastAsia="en-US"/>
              </w:rPr>
              <w:t xml:space="preserve"> U Grafu č. 5 autorka poznamenává, že </w:t>
            </w:r>
            <w:r w:rsidR="00A5145A">
              <w:rPr>
                <w:sz w:val="24"/>
                <w:lang w:eastAsia="en-US"/>
              </w:rPr>
              <w:t xml:space="preserve">záporně odpovídali asi ti klienti, kterým zdravotní stav neumožňuje učit se novým věcem. Kromě toho, že s takovou intepretací nesouhlasím, vytýkám autorce to, že neví, jaký klient (s jakým postižením) </w:t>
            </w:r>
            <w:r w:rsidR="00A20B44">
              <w:rPr>
                <w:sz w:val="24"/>
                <w:lang w:eastAsia="en-US"/>
              </w:rPr>
              <w:t xml:space="preserve">tak </w:t>
            </w:r>
            <w:r w:rsidR="00A5145A">
              <w:rPr>
                <w:sz w:val="24"/>
                <w:lang w:eastAsia="en-US"/>
              </w:rPr>
              <w:t>odpovídal, protože se na to v dotazníku neptala.</w:t>
            </w:r>
            <w:r w:rsidR="00A20B44">
              <w:rPr>
                <w:sz w:val="24"/>
                <w:lang w:eastAsia="en-US"/>
              </w:rPr>
              <w:t xml:space="preserve"> Proto je odsouzena pouze ke spekulacím.</w:t>
            </w:r>
            <w:r w:rsidR="00A5145A">
              <w:rPr>
                <w:sz w:val="24"/>
                <w:lang w:eastAsia="en-US"/>
              </w:rPr>
              <w:t xml:space="preserve"> </w:t>
            </w:r>
            <w:r w:rsidR="00465603">
              <w:rPr>
                <w:sz w:val="24"/>
                <w:lang w:eastAsia="en-US"/>
              </w:rPr>
              <w:t xml:space="preserve"> </w:t>
            </w:r>
            <w:r>
              <w:rPr>
                <w:sz w:val="24"/>
                <w:lang w:eastAsia="en-US"/>
              </w:rPr>
              <w:t xml:space="preserve">  </w:t>
            </w:r>
            <w:r w:rsidR="008C5EB6">
              <w:rPr>
                <w:sz w:val="24"/>
                <w:lang w:eastAsia="en-US"/>
              </w:rPr>
              <w:t xml:space="preserve"> </w:t>
            </w:r>
            <w:r w:rsidR="005D44DD">
              <w:rPr>
                <w:sz w:val="24"/>
                <w:lang w:eastAsia="en-US"/>
              </w:rPr>
              <w:t xml:space="preserve">  </w:t>
            </w:r>
            <w:r w:rsidR="00B0555E">
              <w:rPr>
                <w:sz w:val="24"/>
                <w:lang w:eastAsia="en-US"/>
              </w:rPr>
              <w:t xml:space="preserve">  </w:t>
            </w:r>
            <w:r w:rsidR="008C0AB4">
              <w:rPr>
                <w:sz w:val="24"/>
                <w:lang w:eastAsia="en-US"/>
              </w:rPr>
              <w:t xml:space="preserve">  </w:t>
            </w:r>
            <w:r w:rsidR="00D276E3">
              <w:rPr>
                <w:sz w:val="24"/>
                <w:lang w:eastAsia="en-US"/>
              </w:rPr>
              <w:t xml:space="preserve"> </w:t>
            </w:r>
            <w:r w:rsidR="001E3CAF">
              <w:rPr>
                <w:sz w:val="24"/>
                <w:lang w:eastAsia="en-US"/>
              </w:rPr>
              <w:t xml:space="preserve"> </w:t>
            </w:r>
            <w:r w:rsidR="002F7B69">
              <w:rPr>
                <w:sz w:val="24"/>
                <w:lang w:eastAsia="en-US"/>
              </w:rPr>
              <w:t xml:space="preserve">    </w:t>
            </w:r>
            <w:r w:rsidR="007C65E5">
              <w:rPr>
                <w:sz w:val="24"/>
                <w:lang w:eastAsia="en-US"/>
              </w:rPr>
              <w:t xml:space="preserve">      </w:t>
            </w:r>
          </w:p>
          <w:p w:rsidR="00A20B44" w:rsidRDefault="00A5145A" w:rsidP="00E51192">
            <w:pPr>
              <w:spacing w:line="276" w:lineRule="auto"/>
              <w:jc w:val="both"/>
              <w:rPr>
                <w:sz w:val="24"/>
                <w:lang w:eastAsia="en-US"/>
              </w:rPr>
            </w:pPr>
            <w:r>
              <w:rPr>
                <w:sz w:val="24"/>
                <w:lang w:eastAsia="en-US"/>
              </w:rPr>
              <w:t xml:space="preserve">Po </w:t>
            </w:r>
            <w:r w:rsidR="00E51192">
              <w:rPr>
                <w:sz w:val="24"/>
                <w:lang w:eastAsia="en-US"/>
              </w:rPr>
              <w:t>vyhodnocení</w:t>
            </w:r>
            <w:r>
              <w:rPr>
                <w:sz w:val="24"/>
                <w:lang w:eastAsia="en-US"/>
              </w:rPr>
              <w:t xml:space="preserve"> výzkumu se autorka vůbec nevrací k výsledkům </w:t>
            </w:r>
            <w:r>
              <w:rPr>
                <w:sz w:val="24"/>
                <w:lang w:eastAsia="en-US"/>
              </w:rPr>
              <w:lastRenderedPageBreak/>
              <w:t>kvalitativního výzkumu, které jí sloužily jako východisko pro výzkum kvanti.</w:t>
            </w:r>
            <w:r w:rsidR="00E51192">
              <w:rPr>
                <w:sz w:val="24"/>
                <w:lang w:eastAsia="en-US"/>
              </w:rPr>
              <w:t xml:space="preserve"> </w:t>
            </w:r>
          </w:p>
          <w:p w:rsidR="00A5145A" w:rsidRDefault="00E51192" w:rsidP="00A20B44">
            <w:pPr>
              <w:spacing w:line="276" w:lineRule="auto"/>
              <w:jc w:val="both"/>
              <w:rPr>
                <w:sz w:val="24"/>
                <w:lang w:eastAsia="en-US"/>
              </w:rPr>
            </w:pPr>
            <w:r>
              <w:rPr>
                <w:sz w:val="24"/>
                <w:lang w:eastAsia="en-US"/>
              </w:rPr>
              <w:t>Výzkum je povrchní, nevychází ani z metodických principů sociologického výzkumu, ani z teorie evaluace.</w:t>
            </w:r>
            <w:r w:rsidR="00A20B44">
              <w:rPr>
                <w:sz w:val="24"/>
                <w:lang w:eastAsia="en-US"/>
              </w:rPr>
              <w:t xml:space="preserve"> </w:t>
            </w:r>
            <w:r>
              <w:rPr>
                <w:sz w:val="24"/>
                <w:lang w:eastAsia="en-US"/>
              </w:rPr>
              <w:t xml:space="preserve"> </w:t>
            </w:r>
            <w:r w:rsidR="00A5145A">
              <w:rPr>
                <w:sz w:val="24"/>
                <w:lang w:eastAsia="en-US"/>
              </w:rPr>
              <w:t xml:space="preserve"> </w:t>
            </w:r>
          </w:p>
        </w:tc>
      </w:tr>
    </w:tbl>
    <w:p w:rsidR="007C65E5" w:rsidRDefault="007C65E5" w:rsidP="007C65E5">
      <w:pPr>
        <w:jc w:val="both"/>
        <w:rPr>
          <w:sz w:val="24"/>
        </w:rPr>
      </w:pPr>
      <w:bookmarkStart w:id="0" w:name="_GoBack"/>
      <w:bookmarkEnd w:id="0"/>
    </w:p>
    <w:p w:rsidR="007C65E5" w:rsidRDefault="007C65E5" w:rsidP="007C65E5">
      <w:pPr>
        <w:jc w:val="both"/>
        <w:rPr>
          <w:b/>
          <w:sz w:val="28"/>
        </w:rPr>
      </w:pPr>
      <w:r>
        <w:rPr>
          <w:b/>
          <w:sz w:val="28"/>
        </w:rPr>
        <w:t>2. Práce s literaturou a prameny</w:t>
      </w:r>
    </w:p>
    <w:tbl>
      <w:tblPr>
        <w:tblW w:w="9709" w:type="dxa"/>
        <w:tblLayout w:type="fixed"/>
        <w:tblCellMar>
          <w:left w:w="70" w:type="dxa"/>
          <w:right w:w="70" w:type="dxa"/>
        </w:tblCellMar>
        <w:tblLook w:val="04A0" w:firstRow="1" w:lastRow="0" w:firstColumn="1" w:lastColumn="0" w:noHBand="0" w:noVBand="1"/>
      </w:tblPr>
      <w:tblGrid>
        <w:gridCol w:w="2622"/>
        <w:gridCol w:w="7087"/>
      </w:tblGrid>
      <w:tr w:rsidR="007C65E5" w:rsidTr="001E3CAF">
        <w:tc>
          <w:tcPr>
            <w:tcW w:w="2622" w:type="dxa"/>
          </w:tcPr>
          <w:p w:rsidR="007C65E5" w:rsidRDefault="007C65E5">
            <w:pPr>
              <w:spacing w:line="276" w:lineRule="auto"/>
              <w:rPr>
                <w:b/>
                <w:sz w:val="24"/>
                <w:lang w:eastAsia="en-US"/>
              </w:rPr>
            </w:pPr>
          </w:p>
        </w:tc>
        <w:tc>
          <w:tcPr>
            <w:tcW w:w="7087" w:type="dxa"/>
          </w:tcPr>
          <w:p w:rsidR="007C65E5" w:rsidRDefault="007C65E5">
            <w:pPr>
              <w:spacing w:line="276" w:lineRule="auto"/>
              <w:jc w:val="both"/>
              <w:rPr>
                <w:sz w:val="24"/>
                <w:lang w:eastAsia="en-US"/>
              </w:rPr>
            </w:pPr>
          </w:p>
        </w:tc>
      </w:tr>
      <w:tr w:rsidR="007C65E5" w:rsidTr="001E3CAF">
        <w:tc>
          <w:tcPr>
            <w:tcW w:w="2622" w:type="dxa"/>
            <w:hideMark/>
          </w:tcPr>
          <w:p w:rsidR="007C65E5" w:rsidRDefault="007C65E5">
            <w:pPr>
              <w:spacing w:line="276" w:lineRule="auto"/>
              <w:rPr>
                <w:b/>
                <w:sz w:val="24"/>
                <w:lang w:eastAsia="en-US"/>
              </w:rPr>
            </w:pPr>
            <w:r>
              <w:rPr>
                <w:b/>
                <w:sz w:val="24"/>
                <w:lang w:eastAsia="en-US"/>
              </w:rPr>
              <w:t>Výběr relevantní literatury vzhledem k tématu a cíli práce</w:t>
            </w:r>
          </w:p>
        </w:tc>
        <w:tc>
          <w:tcPr>
            <w:tcW w:w="7087" w:type="dxa"/>
            <w:hideMark/>
          </w:tcPr>
          <w:p w:rsidR="007C65E5" w:rsidRDefault="007C65E5">
            <w:pPr>
              <w:spacing w:line="276" w:lineRule="auto"/>
              <w:jc w:val="both"/>
              <w:rPr>
                <w:sz w:val="24"/>
                <w:lang w:eastAsia="en-US"/>
              </w:rPr>
            </w:pPr>
            <w:r>
              <w:rPr>
                <w:sz w:val="24"/>
                <w:lang w:eastAsia="en-US"/>
              </w:rPr>
              <w:t xml:space="preserve">Výběr literatury a dalších pramenů je relevantní k tématu a cíli práce. </w:t>
            </w:r>
          </w:p>
        </w:tc>
      </w:tr>
      <w:tr w:rsidR="00F33D58" w:rsidTr="001E3CAF">
        <w:tc>
          <w:tcPr>
            <w:tcW w:w="2622" w:type="dxa"/>
          </w:tcPr>
          <w:p w:rsidR="00F33D58" w:rsidRDefault="00F33D58">
            <w:pPr>
              <w:spacing w:line="276" w:lineRule="auto"/>
              <w:rPr>
                <w:b/>
                <w:sz w:val="24"/>
                <w:lang w:eastAsia="en-US"/>
              </w:rPr>
            </w:pPr>
          </w:p>
        </w:tc>
        <w:tc>
          <w:tcPr>
            <w:tcW w:w="7087" w:type="dxa"/>
          </w:tcPr>
          <w:p w:rsidR="00F33D58" w:rsidRDefault="00F33D58">
            <w:pPr>
              <w:spacing w:line="276" w:lineRule="auto"/>
              <w:jc w:val="both"/>
              <w:rPr>
                <w:sz w:val="24"/>
                <w:lang w:eastAsia="en-US"/>
              </w:rPr>
            </w:pPr>
          </w:p>
        </w:tc>
      </w:tr>
      <w:tr w:rsidR="007C65E5" w:rsidTr="001E3CAF">
        <w:tc>
          <w:tcPr>
            <w:tcW w:w="2622" w:type="dxa"/>
            <w:hideMark/>
          </w:tcPr>
          <w:p w:rsidR="007C65E5" w:rsidRDefault="007C65E5">
            <w:pPr>
              <w:spacing w:line="276" w:lineRule="auto"/>
              <w:rPr>
                <w:b/>
                <w:sz w:val="24"/>
                <w:lang w:eastAsia="en-US"/>
              </w:rPr>
            </w:pPr>
            <w:r>
              <w:rPr>
                <w:b/>
                <w:sz w:val="24"/>
                <w:lang w:eastAsia="en-US"/>
              </w:rPr>
              <w:t>Způsob uvádění odkazů a práce s literaturou dle platné normy</w:t>
            </w:r>
          </w:p>
        </w:tc>
        <w:tc>
          <w:tcPr>
            <w:tcW w:w="7087" w:type="dxa"/>
            <w:hideMark/>
          </w:tcPr>
          <w:p w:rsidR="007C65E5" w:rsidRDefault="007C65E5">
            <w:pPr>
              <w:spacing w:line="276" w:lineRule="auto"/>
              <w:jc w:val="both"/>
              <w:rPr>
                <w:sz w:val="24"/>
                <w:lang w:eastAsia="en-US"/>
              </w:rPr>
            </w:pPr>
            <w:r>
              <w:rPr>
                <w:sz w:val="24"/>
                <w:lang w:eastAsia="en-US"/>
              </w:rPr>
              <w:t xml:space="preserve">Autorka správně pracuje s literaturou a prameny. </w:t>
            </w:r>
          </w:p>
        </w:tc>
      </w:tr>
    </w:tbl>
    <w:p w:rsidR="007C65E5" w:rsidRDefault="007C65E5" w:rsidP="007C65E5">
      <w:pPr>
        <w:jc w:val="both"/>
        <w:rPr>
          <w:b/>
          <w:sz w:val="24"/>
        </w:rPr>
      </w:pPr>
    </w:p>
    <w:p w:rsidR="007C65E5" w:rsidRDefault="007C65E5" w:rsidP="007C65E5">
      <w:pPr>
        <w:jc w:val="both"/>
        <w:rPr>
          <w:b/>
          <w:sz w:val="28"/>
        </w:rPr>
      </w:pPr>
      <w:r>
        <w:rPr>
          <w:b/>
          <w:sz w:val="28"/>
        </w:rPr>
        <w:t>3. Formální úroveň textu</w:t>
      </w:r>
    </w:p>
    <w:p w:rsidR="00F33D58" w:rsidRDefault="00F33D58" w:rsidP="007C65E5">
      <w:pPr>
        <w:jc w:val="both"/>
        <w:rPr>
          <w:b/>
          <w:sz w:val="28"/>
        </w:rPr>
      </w:pPr>
    </w:p>
    <w:tbl>
      <w:tblPr>
        <w:tblW w:w="9709" w:type="dxa"/>
        <w:tblLayout w:type="fixed"/>
        <w:tblCellMar>
          <w:left w:w="70" w:type="dxa"/>
          <w:right w:w="70" w:type="dxa"/>
        </w:tblCellMar>
        <w:tblLook w:val="04A0" w:firstRow="1" w:lastRow="0" w:firstColumn="1" w:lastColumn="0" w:noHBand="0" w:noVBand="1"/>
      </w:tblPr>
      <w:tblGrid>
        <w:gridCol w:w="2622"/>
        <w:gridCol w:w="7087"/>
      </w:tblGrid>
      <w:tr w:rsidR="007C65E5" w:rsidTr="001E3CAF">
        <w:tc>
          <w:tcPr>
            <w:tcW w:w="2622" w:type="dxa"/>
            <w:hideMark/>
          </w:tcPr>
          <w:p w:rsidR="007C65E5" w:rsidRDefault="007C65E5">
            <w:pPr>
              <w:pStyle w:val="Nadpis2"/>
              <w:spacing w:line="276" w:lineRule="auto"/>
              <w:rPr>
                <w:rFonts w:eastAsiaTheme="minorEastAsia"/>
                <w:lang w:eastAsia="en-US"/>
              </w:rPr>
            </w:pPr>
            <w:r>
              <w:rPr>
                <w:rFonts w:eastAsiaTheme="minorEastAsia"/>
                <w:lang w:eastAsia="en-US"/>
              </w:rPr>
              <w:t>Rozsah BDP</w:t>
            </w:r>
          </w:p>
        </w:tc>
        <w:tc>
          <w:tcPr>
            <w:tcW w:w="7087" w:type="dxa"/>
            <w:hideMark/>
          </w:tcPr>
          <w:p w:rsidR="007C65E5" w:rsidRDefault="00B0555E" w:rsidP="00E51192">
            <w:pPr>
              <w:spacing w:line="276" w:lineRule="auto"/>
              <w:jc w:val="both"/>
              <w:rPr>
                <w:sz w:val="24"/>
                <w:lang w:eastAsia="en-US"/>
              </w:rPr>
            </w:pPr>
            <w:r>
              <w:rPr>
                <w:sz w:val="24"/>
                <w:lang w:eastAsia="en-US"/>
              </w:rPr>
              <w:t xml:space="preserve">Rozsah </w:t>
            </w:r>
            <w:r w:rsidR="00E51192">
              <w:rPr>
                <w:sz w:val="24"/>
                <w:lang w:eastAsia="en-US"/>
              </w:rPr>
              <w:t xml:space="preserve">30 NS </w:t>
            </w:r>
            <w:r>
              <w:rPr>
                <w:sz w:val="24"/>
                <w:lang w:eastAsia="en-US"/>
              </w:rPr>
              <w:t xml:space="preserve">je </w:t>
            </w:r>
            <w:r w:rsidR="00E51192">
              <w:rPr>
                <w:sz w:val="24"/>
                <w:lang w:eastAsia="en-US"/>
              </w:rPr>
              <w:t xml:space="preserve">na </w:t>
            </w:r>
            <w:r w:rsidR="00A26D74">
              <w:rPr>
                <w:sz w:val="24"/>
                <w:lang w:eastAsia="en-US"/>
              </w:rPr>
              <w:t xml:space="preserve">dolní </w:t>
            </w:r>
            <w:r w:rsidR="00E51192">
              <w:rPr>
                <w:sz w:val="24"/>
                <w:lang w:eastAsia="en-US"/>
              </w:rPr>
              <w:t>hranici normy.</w:t>
            </w:r>
            <w:r w:rsidR="001E3CAF">
              <w:rPr>
                <w:sz w:val="24"/>
                <w:lang w:eastAsia="en-US"/>
              </w:rPr>
              <w:t xml:space="preserve"> </w:t>
            </w:r>
            <w:r w:rsidR="007C65E5">
              <w:rPr>
                <w:sz w:val="24"/>
                <w:lang w:eastAsia="en-US"/>
              </w:rPr>
              <w:t xml:space="preserve"> </w:t>
            </w:r>
          </w:p>
        </w:tc>
      </w:tr>
      <w:tr w:rsidR="00F33D58" w:rsidTr="001E3CAF">
        <w:tc>
          <w:tcPr>
            <w:tcW w:w="2622" w:type="dxa"/>
          </w:tcPr>
          <w:p w:rsidR="00F33D58" w:rsidRDefault="00F33D58">
            <w:pPr>
              <w:pStyle w:val="Nadpis2"/>
              <w:spacing w:line="276" w:lineRule="auto"/>
              <w:rPr>
                <w:rFonts w:eastAsiaTheme="minorEastAsia"/>
                <w:lang w:eastAsia="en-US"/>
              </w:rPr>
            </w:pPr>
          </w:p>
        </w:tc>
        <w:tc>
          <w:tcPr>
            <w:tcW w:w="7087" w:type="dxa"/>
          </w:tcPr>
          <w:p w:rsidR="00F33D58" w:rsidRDefault="00F33D58" w:rsidP="00B0555E">
            <w:pPr>
              <w:spacing w:line="276" w:lineRule="auto"/>
              <w:jc w:val="both"/>
              <w:rPr>
                <w:sz w:val="24"/>
                <w:lang w:eastAsia="en-US"/>
              </w:rPr>
            </w:pPr>
          </w:p>
        </w:tc>
      </w:tr>
      <w:tr w:rsidR="007C65E5" w:rsidTr="001E3CAF">
        <w:tc>
          <w:tcPr>
            <w:tcW w:w="2622" w:type="dxa"/>
            <w:hideMark/>
          </w:tcPr>
          <w:p w:rsidR="007C65E5" w:rsidRDefault="007C65E5">
            <w:pPr>
              <w:spacing w:line="276" w:lineRule="auto"/>
              <w:rPr>
                <w:b/>
                <w:sz w:val="24"/>
                <w:lang w:eastAsia="en-US"/>
              </w:rPr>
            </w:pPr>
            <w:r>
              <w:rPr>
                <w:b/>
                <w:sz w:val="24"/>
                <w:lang w:eastAsia="en-US"/>
              </w:rPr>
              <w:t>Anotace – výstižnost</w:t>
            </w:r>
          </w:p>
        </w:tc>
        <w:tc>
          <w:tcPr>
            <w:tcW w:w="7087" w:type="dxa"/>
            <w:hideMark/>
          </w:tcPr>
          <w:p w:rsidR="007C65E5" w:rsidRDefault="007C65E5" w:rsidP="00B0555E">
            <w:pPr>
              <w:spacing w:line="276" w:lineRule="auto"/>
              <w:jc w:val="both"/>
              <w:rPr>
                <w:sz w:val="24"/>
                <w:lang w:eastAsia="en-US"/>
              </w:rPr>
            </w:pPr>
            <w:r>
              <w:rPr>
                <w:sz w:val="24"/>
                <w:lang w:eastAsia="en-US"/>
              </w:rPr>
              <w:t xml:space="preserve">Anotace </w:t>
            </w:r>
            <w:r w:rsidR="00586028">
              <w:rPr>
                <w:sz w:val="24"/>
                <w:lang w:eastAsia="en-US"/>
              </w:rPr>
              <w:t xml:space="preserve">není </w:t>
            </w:r>
            <w:r>
              <w:rPr>
                <w:sz w:val="24"/>
                <w:lang w:eastAsia="en-US"/>
              </w:rPr>
              <w:t>výstižná</w:t>
            </w:r>
            <w:r w:rsidR="00586028">
              <w:rPr>
                <w:sz w:val="24"/>
                <w:lang w:eastAsia="en-US"/>
              </w:rPr>
              <w:t>, neshrnuje výsledky, ke kterým autorka dospěla</w:t>
            </w:r>
            <w:r>
              <w:rPr>
                <w:sz w:val="24"/>
                <w:lang w:eastAsia="en-US"/>
              </w:rPr>
              <w:t>.</w:t>
            </w:r>
          </w:p>
        </w:tc>
      </w:tr>
      <w:tr w:rsidR="00F33D58" w:rsidTr="001E3CAF">
        <w:tc>
          <w:tcPr>
            <w:tcW w:w="2622" w:type="dxa"/>
          </w:tcPr>
          <w:p w:rsidR="00F33D58" w:rsidRDefault="00F33D58">
            <w:pPr>
              <w:spacing w:line="276" w:lineRule="auto"/>
              <w:rPr>
                <w:b/>
                <w:sz w:val="24"/>
                <w:lang w:eastAsia="en-US"/>
              </w:rPr>
            </w:pPr>
          </w:p>
        </w:tc>
        <w:tc>
          <w:tcPr>
            <w:tcW w:w="7087" w:type="dxa"/>
          </w:tcPr>
          <w:p w:rsidR="00F33D58" w:rsidRDefault="00F33D58" w:rsidP="00B0555E">
            <w:pPr>
              <w:spacing w:line="276" w:lineRule="auto"/>
              <w:jc w:val="both"/>
              <w:rPr>
                <w:sz w:val="24"/>
                <w:lang w:eastAsia="en-US"/>
              </w:rPr>
            </w:pPr>
          </w:p>
        </w:tc>
      </w:tr>
      <w:tr w:rsidR="007C65E5" w:rsidTr="001E3CAF">
        <w:tc>
          <w:tcPr>
            <w:tcW w:w="2622" w:type="dxa"/>
            <w:hideMark/>
          </w:tcPr>
          <w:p w:rsidR="007C65E5" w:rsidRDefault="007C65E5">
            <w:pPr>
              <w:spacing w:line="276" w:lineRule="auto"/>
              <w:rPr>
                <w:b/>
                <w:sz w:val="24"/>
                <w:lang w:eastAsia="en-US"/>
              </w:rPr>
            </w:pPr>
            <w:r>
              <w:rPr>
                <w:b/>
                <w:sz w:val="24"/>
                <w:lang w:eastAsia="en-US"/>
              </w:rPr>
              <w:t>Jasné odlišení myšlenek citovaných autorů od myšlenek autora BDP</w:t>
            </w:r>
          </w:p>
        </w:tc>
        <w:tc>
          <w:tcPr>
            <w:tcW w:w="7087" w:type="dxa"/>
            <w:hideMark/>
          </w:tcPr>
          <w:p w:rsidR="007C65E5" w:rsidRDefault="007C65E5" w:rsidP="00B0555E">
            <w:pPr>
              <w:spacing w:line="276" w:lineRule="auto"/>
              <w:jc w:val="both"/>
              <w:rPr>
                <w:sz w:val="24"/>
                <w:lang w:eastAsia="en-US"/>
              </w:rPr>
            </w:pPr>
            <w:r>
              <w:rPr>
                <w:sz w:val="24"/>
                <w:lang w:eastAsia="en-US"/>
              </w:rPr>
              <w:t xml:space="preserve">Autorka </w:t>
            </w:r>
            <w:r w:rsidR="00B0555E">
              <w:rPr>
                <w:sz w:val="24"/>
                <w:lang w:eastAsia="en-US"/>
              </w:rPr>
              <w:t>d</w:t>
            </w:r>
            <w:r>
              <w:rPr>
                <w:sz w:val="24"/>
                <w:lang w:eastAsia="en-US"/>
              </w:rPr>
              <w:t xml:space="preserve">ůsledně odlišuje svoje myšlenky od myšlenek citovaných autorů. </w:t>
            </w:r>
          </w:p>
        </w:tc>
      </w:tr>
      <w:tr w:rsidR="007C65E5" w:rsidTr="001E3CAF">
        <w:tc>
          <w:tcPr>
            <w:tcW w:w="2622" w:type="dxa"/>
          </w:tcPr>
          <w:p w:rsidR="007C65E5" w:rsidRDefault="007C65E5">
            <w:pPr>
              <w:spacing w:line="276" w:lineRule="auto"/>
              <w:rPr>
                <w:b/>
                <w:sz w:val="24"/>
                <w:lang w:eastAsia="en-US"/>
              </w:rPr>
            </w:pPr>
          </w:p>
        </w:tc>
        <w:tc>
          <w:tcPr>
            <w:tcW w:w="7087" w:type="dxa"/>
          </w:tcPr>
          <w:p w:rsidR="007C65E5" w:rsidRDefault="007C65E5">
            <w:pPr>
              <w:spacing w:line="276" w:lineRule="auto"/>
              <w:jc w:val="both"/>
              <w:rPr>
                <w:sz w:val="24"/>
                <w:lang w:eastAsia="en-US"/>
              </w:rPr>
            </w:pPr>
          </w:p>
        </w:tc>
      </w:tr>
      <w:tr w:rsidR="007C65E5" w:rsidTr="001E3CAF">
        <w:tc>
          <w:tcPr>
            <w:tcW w:w="2622" w:type="dxa"/>
            <w:hideMark/>
          </w:tcPr>
          <w:p w:rsidR="007C65E5" w:rsidRDefault="007C65E5">
            <w:pPr>
              <w:spacing w:line="276" w:lineRule="auto"/>
              <w:rPr>
                <w:b/>
                <w:sz w:val="24"/>
                <w:lang w:eastAsia="en-US"/>
              </w:rPr>
            </w:pPr>
            <w:r>
              <w:rPr>
                <w:b/>
                <w:sz w:val="24"/>
                <w:lang w:eastAsia="en-US"/>
              </w:rPr>
              <w:t>Jasnost strukturování BDP do kapitol a podkapitol</w:t>
            </w:r>
          </w:p>
        </w:tc>
        <w:tc>
          <w:tcPr>
            <w:tcW w:w="7087" w:type="dxa"/>
            <w:hideMark/>
          </w:tcPr>
          <w:p w:rsidR="007C65E5" w:rsidRDefault="007C65E5">
            <w:pPr>
              <w:spacing w:line="276" w:lineRule="auto"/>
              <w:jc w:val="both"/>
              <w:rPr>
                <w:sz w:val="24"/>
                <w:lang w:eastAsia="en-US"/>
              </w:rPr>
            </w:pPr>
            <w:r>
              <w:rPr>
                <w:sz w:val="24"/>
                <w:lang w:eastAsia="en-US"/>
              </w:rPr>
              <w:t>Práce je jasně strukturována do kapitol a podkapitol.</w:t>
            </w:r>
          </w:p>
        </w:tc>
      </w:tr>
      <w:tr w:rsidR="007C65E5" w:rsidTr="001E3CAF">
        <w:tc>
          <w:tcPr>
            <w:tcW w:w="2622" w:type="dxa"/>
          </w:tcPr>
          <w:p w:rsidR="007C65E5" w:rsidRDefault="007C65E5">
            <w:pPr>
              <w:spacing w:line="276" w:lineRule="auto"/>
              <w:rPr>
                <w:b/>
                <w:sz w:val="24"/>
                <w:lang w:eastAsia="en-US"/>
              </w:rPr>
            </w:pPr>
          </w:p>
        </w:tc>
        <w:tc>
          <w:tcPr>
            <w:tcW w:w="7087" w:type="dxa"/>
          </w:tcPr>
          <w:p w:rsidR="007C65E5" w:rsidRDefault="007C65E5">
            <w:pPr>
              <w:spacing w:line="276" w:lineRule="auto"/>
              <w:jc w:val="both"/>
              <w:rPr>
                <w:b/>
                <w:sz w:val="24"/>
                <w:lang w:eastAsia="en-US"/>
              </w:rPr>
            </w:pPr>
          </w:p>
        </w:tc>
      </w:tr>
      <w:tr w:rsidR="007C65E5" w:rsidTr="001E3CAF">
        <w:tc>
          <w:tcPr>
            <w:tcW w:w="2622" w:type="dxa"/>
            <w:hideMark/>
          </w:tcPr>
          <w:p w:rsidR="007C65E5" w:rsidRDefault="007C65E5">
            <w:pPr>
              <w:spacing w:line="276" w:lineRule="auto"/>
              <w:rPr>
                <w:b/>
                <w:sz w:val="24"/>
                <w:lang w:eastAsia="en-US"/>
              </w:rPr>
            </w:pPr>
            <w:r>
              <w:rPr>
                <w:b/>
                <w:sz w:val="24"/>
                <w:lang w:eastAsia="en-US"/>
              </w:rPr>
              <w:t>Jazyková a stylistická správnost</w:t>
            </w:r>
          </w:p>
        </w:tc>
        <w:tc>
          <w:tcPr>
            <w:tcW w:w="7087" w:type="dxa"/>
            <w:hideMark/>
          </w:tcPr>
          <w:p w:rsidR="007C65E5" w:rsidRDefault="007C65E5">
            <w:pPr>
              <w:spacing w:line="276" w:lineRule="auto"/>
              <w:jc w:val="both"/>
              <w:rPr>
                <w:sz w:val="24"/>
                <w:lang w:eastAsia="en-US"/>
              </w:rPr>
            </w:pPr>
            <w:r>
              <w:rPr>
                <w:sz w:val="24"/>
                <w:lang w:eastAsia="en-US"/>
              </w:rPr>
              <w:t>Práce je v tomto ohledu na přiměřené úrovni.</w:t>
            </w:r>
          </w:p>
        </w:tc>
      </w:tr>
    </w:tbl>
    <w:p w:rsidR="007C65E5" w:rsidRDefault="007C65E5" w:rsidP="007C65E5">
      <w:pPr>
        <w:jc w:val="both"/>
        <w:rPr>
          <w:b/>
          <w:sz w:val="24"/>
        </w:rPr>
      </w:pPr>
    </w:p>
    <w:p w:rsidR="007C65E5" w:rsidRDefault="007C65E5" w:rsidP="007C65E5">
      <w:pPr>
        <w:jc w:val="both"/>
        <w:rPr>
          <w:b/>
          <w:sz w:val="24"/>
        </w:rPr>
      </w:pPr>
    </w:p>
    <w:p w:rsidR="007C65E5" w:rsidRDefault="007C65E5" w:rsidP="007C65E5">
      <w:pPr>
        <w:jc w:val="both"/>
        <w:rPr>
          <w:b/>
          <w:sz w:val="24"/>
        </w:rPr>
      </w:pPr>
      <w:r>
        <w:rPr>
          <w:b/>
          <w:sz w:val="24"/>
        </w:rPr>
        <w:t>Závěr</w:t>
      </w:r>
    </w:p>
    <w:p w:rsidR="007C65E5" w:rsidRDefault="004C0291" w:rsidP="007C65E5">
      <w:pPr>
        <w:jc w:val="both"/>
        <w:rPr>
          <w:sz w:val="24"/>
        </w:rPr>
      </w:pPr>
      <w:r>
        <w:rPr>
          <w:b/>
          <w:sz w:val="24"/>
        </w:rPr>
        <w:t>B</w:t>
      </w:r>
      <w:r>
        <w:rPr>
          <w:b/>
          <w:sz w:val="24"/>
        </w:rPr>
        <w:t xml:space="preserve">akalářskou diplomovou práci paní </w:t>
      </w:r>
      <w:r>
        <w:rPr>
          <w:b/>
          <w:sz w:val="24"/>
        </w:rPr>
        <w:t>Renaty Koudelkové doporučuji</w:t>
      </w:r>
      <w:r>
        <w:rPr>
          <w:b/>
          <w:sz w:val="24"/>
        </w:rPr>
        <w:t xml:space="preserve"> k</w:t>
      </w:r>
      <w:r>
        <w:rPr>
          <w:b/>
          <w:sz w:val="24"/>
        </w:rPr>
        <w:t> </w:t>
      </w:r>
      <w:r>
        <w:rPr>
          <w:b/>
          <w:sz w:val="24"/>
        </w:rPr>
        <w:t>obhajobě</w:t>
      </w:r>
      <w:r>
        <w:rPr>
          <w:b/>
          <w:sz w:val="24"/>
        </w:rPr>
        <w:t>.</w:t>
      </w:r>
      <w:r>
        <w:rPr>
          <w:sz w:val="24"/>
        </w:rPr>
        <w:t xml:space="preserve"> </w:t>
      </w:r>
      <w:r w:rsidR="007C65E5">
        <w:rPr>
          <w:sz w:val="24"/>
        </w:rPr>
        <w:t xml:space="preserve">Vzhledem k výše uvedenému </w:t>
      </w:r>
      <w:r w:rsidR="007C65E5">
        <w:rPr>
          <w:b/>
          <w:sz w:val="24"/>
        </w:rPr>
        <w:t xml:space="preserve">navrhuji klasifikaci </w:t>
      </w:r>
      <w:r>
        <w:rPr>
          <w:b/>
          <w:sz w:val="24"/>
        </w:rPr>
        <w:t>E</w:t>
      </w:r>
      <w:r w:rsidR="007C65E5">
        <w:rPr>
          <w:sz w:val="24"/>
        </w:rPr>
        <w:t>.</w:t>
      </w:r>
    </w:p>
    <w:p w:rsidR="007C65E5" w:rsidRDefault="007C65E5" w:rsidP="007C65E5">
      <w:pPr>
        <w:jc w:val="both"/>
        <w:rPr>
          <w:sz w:val="24"/>
        </w:rPr>
      </w:pPr>
    </w:p>
    <w:p w:rsidR="007C65E5" w:rsidRDefault="007C65E5" w:rsidP="007C65E5">
      <w:pPr>
        <w:jc w:val="both"/>
        <w:rPr>
          <w:sz w:val="24"/>
        </w:rPr>
      </w:pPr>
    </w:p>
    <w:p w:rsidR="007C65E5" w:rsidRDefault="007C65E5" w:rsidP="007C65E5">
      <w:pPr>
        <w:jc w:val="both"/>
        <w:rPr>
          <w:sz w:val="24"/>
        </w:rPr>
      </w:pPr>
    </w:p>
    <w:p w:rsidR="007C65E5" w:rsidRDefault="007C65E5" w:rsidP="007C65E5">
      <w:pPr>
        <w:jc w:val="both"/>
        <w:rPr>
          <w:sz w:val="24"/>
        </w:rPr>
      </w:pPr>
      <w:r>
        <w:rPr>
          <w:sz w:val="24"/>
        </w:rPr>
        <w:t xml:space="preserve">V Olomouci dne </w:t>
      </w:r>
      <w:r w:rsidR="004C0291">
        <w:rPr>
          <w:sz w:val="24"/>
        </w:rPr>
        <w:t xml:space="preserve">5. května </w:t>
      </w:r>
      <w:r>
        <w:rPr>
          <w:sz w:val="24"/>
        </w:rPr>
        <w:t>201</w:t>
      </w:r>
      <w:r w:rsidR="004C0291">
        <w:rPr>
          <w:sz w:val="24"/>
        </w:rPr>
        <w:t>6</w:t>
      </w:r>
      <w:r>
        <w:rPr>
          <w:sz w:val="24"/>
        </w:rPr>
        <w:t xml:space="preserve"> </w:t>
      </w:r>
      <w:r>
        <w:rPr>
          <w:sz w:val="24"/>
        </w:rPr>
        <w:tab/>
      </w:r>
      <w:r>
        <w:rPr>
          <w:sz w:val="24"/>
        </w:rPr>
        <w:tab/>
      </w:r>
      <w:r>
        <w:rPr>
          <w:sz w:val="24"/>
        </w:rPr>
        <w:tab/>
      </w:r>
      <w:r>
        <w:rPr>
          <w:sz w:val="24"/>
        </w:rPr>
        <w:tab/>
      </w:r>
      <w:r>
        <w:rPr>
          <w:sz w:val="24"/>
        </w:rPr>
        <w:tab/>
        <w:t>Helena Kubátová</w:t>
      </w:r>
    </w:p>
    <w:p w:rsidR="007C65E5" w:rsidRDefault="007C65E5" w:rsidP="007C65E5">
      <w:pPr>
        <w:jc w:val="both"/>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oponentka</w:t>
      </w:r>
    </w:p>
    <w:p w:rsidR="007C65E5" w:rsidRDefault="007C65E5" w:rsidP="007C65E5">
      <w:pPr>
        <w:jc w:val="both"/>
        <w:rPr>
          <w:sz w:val="24"/>
        </w:rPr>
      </w:pPr>
    </w:p>
    <w:p w:rsidR="007C65E5" w:rsidRDefault="007C65E5" w:rsidP="007C65E5">
      <w:pPr>
        <w:jc w:val="both"/>
        <w:rPr>
          <w:sz w:val="24"/>
        </w:rPr>
      </w:pPr>
    </w:p>
    <w:p w:rsidR="007C65E5" w:rsidRDefault="007C65E5" w:rsidP="007C65E5">
      <w:pPr>
        <w:jc w:val="both"/>
        <w:rPr>
          <w:sz w:val="24"/>
        </w:rPr>
      </w:pPr>
    </w:p>
    <w:p w:rsidR="007C65E5" w:rsidRDefault="007C65E5" w:rsidP="007C65E5">
      <w:pPr>
        <w:jc w:val="both"/>
        <w:rPr>
          <w:sz w:val="24"/>
        </w:rPr>
      </w:pPr>
    </w:p>
    <w:p w:rsidR="007C65E5" w:rsidRDefault="007C65E5" w:rsidP="007C65E5">
      <w:pPr>
        <w:jc w:val="both"/>
        <w:rPr>
          <w:sz w:val="24"/>
        </w:rPr>
      </w:pPr>
    </w:p>
    <w:p w:rsidR="007C65E5" w:rsidRDefault="007C65E5" w:rsidP="007C65E5">
      <w:pPr>
        <w:jc w:val="both"/>
        <w:rPr>
          <w:sz w:val="24"/>
        </w:rPr>
      </w:pPr>
    </w:p>
    <w:p w:rsidR="007C65E5" w:rsidRDefault="007C65E5" w:rsidP="007C65E5">
      <w:pPr>
        <w:jc w:val="both"/>
        <w:rPr>
          <w:sz w:val="24"/>
        </w:rPr>
      </w:pPr>
    </w:p>
    <w:p w:rsidR="007C65E5" w:rsidRDefault="007C65E5" w:rsidP="007C65E5">
      <w:pPr>
        <w:jc w:val="both"/>
        <w:rPr>
          <w:sz w:val="24"/>
        </w:rPr>
      </w:pPr>
    </w:p>
    <w:p w:rsidR="007C65E5" w:rsidRDefault="007C65E5" w:rsidP="007C65E5">
      <w:pPr>
        <w:jc w:val="both"/>
        <w:rPr>
          <w:sz w:val="24"/>
        </w:rPr>
      </w:pPr>
      <w:r>
        <w:rPr>
          <w:sz w:val="24"/>
        </w:rPr>
        <w:t xml:space="preserve"> </w:t>
      </w:r>
    </w:p>
    <w:p w:rsidR="007C65E5" w:rsidRDefault="007C65E5" w:rsidP="007C65E5"/>
    <w:p w:rsidR="007C65E5" w:rsidRDefault="007C65E5" w:rsidP="007C65E5"/>
    <w:p w:rsidR="007C65E5" w:rsidRDefault="007C65E5" w:rsidP="007C65E5"/>
    <w:p w:rsidR="007C65E5" w:rsidRDefault="007C65E5" w:rsidP="007C65E5"/>
    <w:p w:rsidR="007C65E5" w:rsidRDefault="007C65E5" w:rsidP="007C65E5"/>
    <w:p w:rsidR="007C65E5" w:rsidRDefault="007C65E5" w:rsidP="007C65E5"/>
    <w:p w:rsidR="007C65E5" w:rsidRDefault="007C65E5" w:rsidP="007C65E5"/>
    <w:p w:rsidR="007C65E5" w:rsidRDefault="007C65E5" w:rsidP="007C65E5"/>
    <w:p w:rsidR="007C65E5" w:rsidRDefault="007C65E5" w:rsidP="007C65E5"/>
    <w:p w:rsidR="00884EE9" w:rsidRDefault="00884EE9"/>
    <w:sectPr w:rsidR="00884EE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7"/>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4F6E"/>
    <w:rsid w:val="0002761F"/>
    <w:rsid w:val="00074F6E"/>
    <w:rsid w:val="000D0D89"/>
    <w:rsid w:val="001E3CAF"/>
    <w:rsid w:val="002F7B69"/>
    <w:rsid w:val="004152B5"/>
    <w:rsid w:val="00465603"/>
    <w:rsid w:val="004C0291"/>
    <w:rsid w:val="00586028"/>
    <w:rsid w:val="005D44DD"/>
    <w:rsid w:val="007562CB"/>
    <w:rsid w:val="007C65E5"/>
    <w:rsid w:val="0082471E"/>
    <w:rsid w:val="00884EE9"/>
    <w:rsid w:val="008C0AB4"/>
    <w:rsid w:val="008C51FE"/>
    <w:rsid w:val="008C5EB6"/>
    <w:rsid w:val="009407AE"/>
    <w:rsid w:val="00A20B44"/>
    <w:rsid w:val="00A26D74"/>
    <w:rsid w:val="00A5145A"/>
    <w:rsid w:val="00B0555E"/>
    <w:rsid w:val="00C96A92"/>
    <w:rsid w:val="00D276E3"/>
    <w:rsid w:val="00DA4EB7"/>
    <w:rsid w:val="00DE24BD"/>
    <w:rsid w:val="00E51192"/>
    <w:rsid w:val="00F33D58"/>
    <w:rsid w:val="00FE10B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C65E5"/>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qFormat/>
    <w:rsid w:val="007C65E5"/>
    <w:pPr>
      <w:keepNext/>
      <w:jc w:val="both"/>
      <w:outlineLvl w:val="0"/>
    </w:pPr>
    <w:rPr>
      <w:sz w:val="24"/>
    </w:rPr>
  </w:style>
  <w:style w:type="paragraph" w:styleId="Nadpis2">
    <w:name w:val="heading 2"/>
    <w:basedOn w:val="Normln"/>
    <w:next w:val="Normln"/>
    <w:link w:val="Nadpis2Char"/>
    <w:unhideWhenUsed/>
    <w:qFormat/>
    <w:rsid w:val="007C65E5"/>
    <w:pPr>
      <w:keepNext/>
      <w:outlineLvl w:val="1"/>
    </w:pPr>
    <w:rPr>
      <w:b/>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7C65E5"/>
    <w:rPr>
      <w:rFonts w:ascii="Times New Roman" w:eastAsia="Times New Roman" w:hAnsi="Times New Roman" w:cs="Times New Roman"/>
      <w:sz w:val="24"/>
      <w:szCs w:val="20"/>
      <w:lang w:eastAsia="cs-CZ"/>
    </w:rPr>
  </w:style>
  <w:style w:type="character" w:customStyle="1" w:styleId="Nadpis2Char">
    <w:name w:val="Nadpis 2 Char"/>
    <w:basedOn w:val="Standardnpsmoodstavce"/>
    <w:link w:val="Nadpis2"/>
    <w:rsid w:val="007C65E5"/>
    <w:rPr>
      <w:rFonts w:ascii="Times New Roman" w:eastAsia="Times New Roman" w:hAnsi="Times New Roman" w:cs="Times New Roman"/>
      <w:b/>
      <w:sz w:val="24"/>
      <w:szCs w:val="20"/>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C65E5"/>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qFormat/>
    <w:rsid w:val="007C65E5"/>
    <w:pPr>
      <w:keepNext/>
      <w:jc w:val="both"/>
      <w:outlineLvl w:val="0"/>
    </w:pPr>
    <w:rPr>
      <w:sz w:val="24"/>
    </w:rPr>
  </w:style>
  <w:style w:type="paragraph" w:styleId="Nadpis2">
    <w:name w:val="heading 2"/>
    <w:basedOn w:val="Normln"/>
    <w:next w:val="Normln"/>
    <w:link w:val="Nadpis2Char"/>
    <w:unhideWhenUsed/>
    <w:qFormat/>
    <w:rsid w:val="007C65E5"/>
    <w:pPr>
      <w:keepNext/>
      <w:outlineLvl w:val="1"/>
    </w:pPr>
    <w:rPr>
      <w:b/>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7C65E5"/>
    <w:rPr>
      <w:rFonts w:ascii="Times New Roman" w:eastAsia="Times New Roman" w:hAnsi="Times New Roman" w:cs="Times New Roman"/>
      <w:sz w:val="24"/>
      <w:szCs w:val="20"/>
      <w:lang w:eastAsia="cs-CZ"/>
    </w:rPr>
  </w:style>
  <w:style w:type="character" w:customStyle="1" w:styleId="Nadpis2Char">
    <w:name w:val="Nadpis 2 Char"/>
    <w:basedOn w:val="Standardnpsmoodstavce"/>
    <w:link w:val="Nadpis2"/>
    <w:rsid w:val="007C65E5"/>
    <w:rPr>
      <w:rFonts w:ascii="Times New Roman" w:eastAsia="Times New Roman" w:hAnsi="Times New Roman" w:cs="Times New Roman"/>
      <w:b/>
      <w:sz w:val="24"/>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8947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1</Pages>
  <Words>521</Words>
  <Characters>3080</Characters>
  <Application>Microsoft Office Word</Application>
  <DocSecurity>0</DocSecurity>
  <Lines>25</Lines>
  <Paragraphs>7</Paragraphs>
  <ScaleCrop>false</ScaleCrop>
  <HeadingPairs>
    <vt:vector size="2" baseType="variant">
      <vt:variant>
        <vt:lpstr>Název</vt:lpstr>
      </vt:variant>
      <vt:variant>
        <vt:i4>1</vt:i4>
      </vt:variant>
    </vt:vector>
  </HeadingPairs>
  <TitlesOfParts>
    <vt:vector size="1" baseType="lpstr">
      <vt:lpstr/>
    </vt:vector>
  </TitlesOfParts>
  <Company>Univerzita Palackého v Olomouci</Company>
  <LinksUpToDate>false</LinksUpToDate>
  <CharactersWithSpaces>3594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kancelář</dc:creator>
  <cp:keywords/>
  <dc:description/>
  <cp:lastModifiedBy>kancelář</cp:lastModifiedBy>
  <cp:revision>10</cp:revision>
  <cp:lastPrinted>2016-05-05T09:36:00Z</cp:lastPrinted>
  <dcterms:created xsi:type="dcterms:W3CDTF">2013-04-19T09:03:00Z</dcterms:created>
  <dcterms:modified xsi:type="dcterms:W3CDTF">2016-05-05T09:37:00Z</dcterms:modified>
</cp:coreProperties>
</file>