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D7E" w:rsidRDefault="00455D7E" w:rsidP="00455D7E">
      <w:bookmarkStart w:id="0" w:name="_GoBack"/>
      <w:bookmarkEnd w:id="0"/>
    </w:p>
    <w:p w:rsidR="00455D7E" w:rsidRPr="00455D7E" w:rsidRDefault="00455D7E" w:rsidP="00383877">
      <w:pPr>
        <w:spacing w:line="480" w:lineRule="auto"/>
        <w:jc w:val="center"/>
        <w:rPr>
          <w:i/>
          <w:sz w:val="28"/>
          <w:szCs w:val="28"/>
        </w:rPr>
      </w:pPr>
      <w:r w:rsidRPr="00455D7E">
        <w:rPr>
          <w:i/>
          <w:sz w:val="28"/>
          <w:szCs w:val="28"/>
        </w:rPr>
        <w:t>Katedra antropologie a zdravovědy PdF UP v Olomouci</w:t>
      </w:r>
    </w:p>
    <w:p w:rsidR="00455D7E" w:rsidRDefault="00455D7E" w:rsidP="00383877">
      <w:pPr>
        <w:spacing w:line="480" w:lineRule="auto"/>
        <w:jc w:val="center"/>
      </w:pPr>
    </w:p>
    <w:p w:rsidR="00455D7E" w:rsidRPr="00455D7E" w:rsidRDefault="00455D7E" w:rsidP="00383877">
      <w:pPr>
        <w:spacing w:line="480" w:lineRule="auto"/>
        <w:jc w:val="center"/>
        <w:rPr>
          <w:b/>
          <w:sz w:val="40"/>
          <w:szCs w:val="40"/>
        </w:rPr>
      </w:pPr>
      <w:r w:rsidRPr="00455D7E">
        <w:rPr>
          <w:b/>
          <w:sz w:val="40"/>
          <w:szCs w:val="40"/>
        </w:rPr>
        <w:t>UNIVERZITA PALACKÉHO V OLOMOUCI</w:t>
      </w:r>
    </w:p>
    <w:p w:rsidR="00455D7E" w:rsidRPr="00455D7E" w:rsidRDefault="00455D7E" w:rsidP="00383877">
      <w:pPr>
        <w:spacing w:line="480" w:lineRule="auto"/>
        <w:jc w:val="center"/>
        <w:rPr>
          <w:b/>
          <w:sz w:val="40"/>
          <w:szCs w:val="40"/>
        </w:rPr>
      </w:pPr>
      <w:r w:rsidRPr="00455D7E">
        <w:rPr>
          <w:b/>
          <w:sz w:val="40"/>
          <w:szCs w:val="40"/>
        </w:rPr>
        <w:t>PEDAGOGICKÁ FAKULTA</w:t>
      </w:r>
    </w:p>
    <w:p w:rsidR="00455D7E" w:rsidRPr="00455D7E" w:rsidRDefault="00455D7E" w:rsidP="00383877">
      <w:pPr>
        <w:spacing w:line="480" w:lineRule="auto"/>
        <w:jc w:val="center"/>
        <w:rPr>
          <w:b/>
          <w:sz w:val="40"/>
          <w:szCs w:val="40"/>
        </w:rPr>
      </w:pPr>
      <w:r w:rsidRPr="00455D7E">
        <w:rPr>
          <w:b/>
          <w:sz w:val="40"/>
          <w:szCs w:val="40"/>
        </w:rPr>
        <w:t>Katedra antropologie a zdravovědy</w:t>
      </w:r>
    </w:p>
    <w:p w:rsidR="00455D7E" w:rsidRDefault="00455D7E" w:rsidP="00383877">
      <w:pPr>
        <w:spacing w:line="480" w:lineRule="auto"/>
      </w:pPr>
    </w:p>
    <w:p w:rsidR="00383877" w:rsidRPr="00383877" w:rsidRDefault="00383877" w:rsidP="00383877">
      <w:pPr>
        <w:spacing w:line="480" w:lineRule="auto"/>
        <w:rPr>
          <w:b/>
          <w:sz w:val="40"/>
          <w:szCs w:val="40"/>
        </w:rPr>
      </w:pPr>
    </w:p>
    <w:p w:rsidR="00383877" w:rsidRPr="00383877" w:rsidRDefault="00455D7E" w:rsidP="00383877">
      <w:pPr>
        <w:spacing w:line="480" w:lineRule="auto"/>
        <w:jc w:val="center"/>
        <w:rPr>
          <w:b/>
          <w:sz w:val="40"/>
          <w:szCs w:val="40"/>
        </w:rPr>
      </w:pPr>
      <w:r w:rsidRPr="00383877">
        <w:rPr>
          <w:b/>
          <w:sz w:val="40"/>
          <w:szCs w:val="40"/>
        </w:rPr>
        <w:t>DIPLOMOVÁ PRÁCE</w:t>
      </w:r>
    </w:p>
    <w:p w:rsidR="00455D7E" w:rsidRPr="00383877" w:rsidRDefault="00455D7E" w:rsidP="00383877">
      <w:pPr>
        <w:spacing w:line="480" w:lineRule="auto"/>
        <w:jc w:val="center"/>
        <w:rPr>
          <w:sz w:val="36"/>
          <w:szCs w:val="36"/>
        </w:rPr>
      </w:pPr>
      <w:r w:rsidRPr="00383877">
        <w:rPr>
          <w:sz w:val="36"/>
          <w:szCs w:val="36"/>
        </w:rPr>
        <w:t>Bc. Adéla Myslivcová</w:t>
      </w:r>
    </w:p>
    <w:p w:rsidR="00455D7E" w:rsidRPr="00383877" w:rsidRDefault="00455D7E" w:rsidP="00383877">
      <w:pPr>
        <w:spacing w:line="480" w:lineRule="auto"/>
        <w:jc w:val="center"/>
        <w:rPr>
          <w:sz w:val="28"/>
          <w:szCs w:val="28"/>
        </w:rPr>
      </w:pPr>
      <w:r w:rsidRPr="00383877">
        <w:rPr>
          <w:sz w:val="28"/>
          <w:szCs w:val="28"/>
        </w:rPr>
        <w:t xml:space="preserve">Učitelství odborných </w:t>
      </w:r>
      <w:r w:rsidR="00383877">
        <w:rPr>
          <w:sz w:val="28"/>
          <w:szCs w:val="28"/>
        </w:rPr>
        <w:t>předmětů pro zdravotnické školy</w:t>
      </w:r>
    </w:p>
    <w:p w:rsidR="00455D7E" w:rsidRPr="00383877" w:rsidRDefault="00455D7E" w:rsidP="00455D7E">
      <w:pPr>
        <w:jc w:val="center"/>
        <w:rPr>
          <w:sz w:val="36"/>
          <w:szCs w:val="36"/>
        </w:rPr>
      </w:pPr>
    </w:p>
    <w:p w:rsidR="00383877" w:rsidRPr="00383877" w:rsidRDefault="00455D7E" w:rsidP="00383877">
      <w:pPr>
        <w:jc w:val="center"/>
        <w:rPr>
          <w:sz w:val="36"/>
          <w:szCs w:val="36"/>
        </w:rPr>
      </w:pPr>
      <w:r w:rsidRPr="00383877">
        <w:rPr>
          <w:sz w:val="36"/>
          <w:szCs w:val="36"/>
        </w:rPr>
        <w:t>Antidepresiva pohledem ambulantně léčených psychiatrických pacientů</w:t>
      </w:r>
    </w:p>
    <w:p w:rsidR="00455D7E" w:rsidRDefault="00455D7E" w:rsidP="00455D7E">
      <w:pPr>
        <w:jc w:val="center"/>
      </w:pPr>
    </w:p>
    <w:p w:rsidR="00383877" w:rsidRDefault="00383877" w:rsidP="00455D7E">
      <w:pPr>
        <w:jc w:val="center"/>
      </w:pPr>
    </w:p>
    <w:p w:rsidR="00383877" w:rsidRDefault="00383877" w:rsidP="00455D7E">
      <w:pPr>
        <w:jc w:val="center"/>
      </w:pPr>
    </w:p>
    <w:p w:rsidR="00383877" w:rsidRDefault="00383877" w:rsidP="00455D7E">
      <w:pPr>
        <w:jc w:val="center"/>
      </w:pPr>
    </w:p>
    <w:p w:rsidR="00383877" w:rsidRDefault="00383877" w:rsidP="00455D7E">
      <w:pPr>
        <w:jc w:val="center"/>
      </w:pPr>
    </w:p>
    <w:p w:rsidR="00383877" w:rsidRDefault="00383877" w:rsidP="00455D7E">
      <w:pPr>
        <w:jc w:val="center"/>
      </w:pPr>
    </w:p>
    <w:p w:rsidR="00383877" w:rsidRDefault="00455D7E" w:rsidP="00455D7E">
      <w:pPr>
        <w:rPr>
          <w:sz w:val="32"/>
          <w:szCs w:val="32"/>
        </w:rPr>
      </w:pPr>
      <w:r w:rsidRPr="00383877">
        <w:rPr>
          <w:sz w:val="32"/>
          <w:szCs w:val="32"/>
        </w:rPr>
        <w:t>Olomouc 20</w:t>
      </w:r>
      <w:r w:rsidR="00383877" w:rsidRPr="00383877">
        <w:rPr>
          <w:sz w:val="32"/>
          <w:szCs w:val="32"/>
        </w:rPr>
        <w:t xml:space="preserve">13 </w:t>
      </w:r>
      <w:r w:rsidR="000E2F42">
        <w:rPr>
          <w:sz w:val="32"/>
          <w:szCs w:val="32"/>
        </w:rPr>
        <w:t xml:space="preserve">       </w:t>
      </w:r>
      <w:r w:rsidRPr="00383877">
        <w:rPr>
          <w:sz w:val="32"/>
          <w:szCs w:val="32"/>
        </w:rPr>
        <w:t>vedoucí práce: Mgr. Lucie Křeménková,Ph.</w:t>
      </w:r>
      <w:r w:rsidR="000E2F42">
        <w:rPr>
          <w:sz w:val="32"/>
          <w:szCs w:val="32"/>
        </w:rPr>
        <w:t xml:space="preserve"> </w:t>
      </w:r>
      <w:r w:rsidRPr="00383877">
        <w:rPr>
          <w:sz w:val="32"/>
          <w:szCs w:val="32"/>
        </w:rPr>
        <w:t>D</w:t>
      </w:r>
      <w:r w:rsidR="000E2F42">
        <w:rPr>
          <w:sz w:val="32"/>
          <w:szCs w:val="32"/>
        </w:rPr>
        <w:t>.</w:t>
      </w:r>
      <w:r w:rsidR="00383877" w:rsidRPr="00383877">
        <w:rPr>
          <w:sz w:val="32"/>
          <w:szCs w:val="32"/>
        </w:rPr>
        <w:t> </w:t>
      </w:r>
    </w:p>
    <w:p w:rsidR="00383877" w:rsidRDefault="00383877">
      <w:pPr>
        <w:spacing w:line="240" w:lineRule="auto"/>
        <w:jc w:val="left"/>
        <w:rPr>
          <w:sz w:val="32"/>
          <w:szCs w:val="32"/>
        </w:rPr>
      </w:pPr>
      <w:r>
        <w:rPr>
          <w:sz w:val="32"/>
          <w:szCs w:val="32"/>
        </w:rPr>
        <w:br w:type="page"/>
      </w:r>
    </w:p>
    <w:p w:rsidR="00383877" w:rsidRDefault="00383877" w:rsidP="00455D7E">
      <w:pPr>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Default="00383877">
      <w:pPr>
        <w:spacing w:line="240" w:lineRule="auto"/>
        <w:jc w:val="left"/>
        <w:rPr>
          <w:sz w:val="32"/>
          <w:szCs w:val="32"/>
        </w:rPr>
      </w:pPr>
    </w:p>
    <w:p w:rsidR="00383877" w:rsidRPr="008B459E" w:rsidRDefault="00383877" w:rsidP="00383877">
      <w:pPr>
        <w:jc w:val="left"/>
        <w:rPr>
          <w:szCs w:val="24"/>
        </w:rPr>
      </w:pPr>
      <w:r w:rsidRPr="008B459E">
        <w:rPr>
          <w:szCs w:val="24"/>
        </w:rPr>
        <w:t>Prohlašuji, že jsem diplomovou práci vypracovala samostatně a použila jen uvedenou literaturu a zdroje.</w:t>
      </w:r>
    </w:p>
    <w:p w:rsidR="00383877" w:rsidRPr="008B459E" w:rsidRDefault="00383877">
      <w:pPr>
        <w:spacing w:line="240" w:lineRule="auto"/>
        <w:jc w:val="left"/>
        <w:rPr>
          <w:szCs w:val="24"/>
        </w:rPr>
      </w:pPr>
    </w:p>
    <w:p w:rsidR="00383877" w:rsidRPr="008B459E" w:rsidRDefault="00383877">
      <w:pPr>
        <w:spacing w:line="240" w:lineRule="auto"/>
        <w:jc w:val="left"/>
        <w:rPr>
          <w:szCs w:val="24"/>
        </w:rPr>
      </w:pPr>
    </w:p>
    <w:p w:rsidR="00383877" w:rsidRPr="008B459E" w:rsidRDefault="00383877">
      <w:pPr>
        <w:spacing w:line="240" w:lineRule="auto"/>
        <w:jc w:val="left"/>
        <w:rPr>
          <w:szCs w:val="24"/>
        </w:rPr>
      </w:pPr>
    </w:p>
    <w:p w:rsidR="00383877" w:rsidRPr="008B459E" w:rsidRDefault="00383877">
      <w:pPr>
        <w:spacing w:line="240" w:lineRule="auto"/>
        <w:jc w:val="left"/>
        <w:rPr>
          <w:szCs w:val="24"/>
        </w:rPr>
      </w:pPr>
    </w:p>
    <w:p w:rsidR="00383877" w:rsidRPr="008B459E" w:rsidRDefault="00383877">
      <w:pPr>
        <w:spacing w:line="240" w:lineRule="auto"/>
        <w:jc w:val="left"/>
        <w:rPr>
          <w:szCs w:val="24"/>
        </w:rPr>
      </w:pPr>
    </w:p>
    <w:p w:rsidR="00383877" w:rsidRPr="008B459E" w:rsidRDefault="00A50671">
      <w:pPr>
        <w:spacing w:line="240" w:lineRule="auto"/>
        <w:jc w:val="left"/>
        <w:rPr>
          <w:szCs w:val="24"/>
        </w:rPr>
      </w:pPr>
      <w:r>
        <w:rPr>
          <w:szCs w:val="24"/>
        </w:rPr>
        <w:t>V Olomouci dne 11. 4</w:t>
      </w:r>
      <w:r w:rsidR="00383877" w:rsidRPr="008B459E">
        <w:rPr>
          <w:szCs w:val="24"/>
        </w:rPr>
        <w:t>. 2013</w:t>
      </w:r>
    </w:p>
    <w:p w:rsidR="00383877" w:rsidRPr="008B459E" w:rsidRDefault="00383877">
      <w:pPr>
        <w:spacing w:line="240" w:lineRule="auto"/>
        <w:jc w:val="left"/>
        <w:rPr>
          <w:szCs w:val="24"/>
        </w:rPr>
      </w:pPr>
      <w:r w:rsidRPr="008B459E">
        <w:rPr>
          <w:szCs w:val="24"/>
        </w:rPr>
        <w:t xml:space="preserve">                                                           </w:t>
      </w:r>
      <w:r w:rsidR="008B459E">
        <w:rPr>
          <w:szCs w:val="24"/>
        </w:rPr>
        <w:t xml:space="preserve">                 </w:t>
      </w:r>
      <w:r w:rsidRPr="008B459E">
        <w:rPr>
          <w:szCs w:val="24"/>
        </w:rPr>
        <w:t xml:space="preserve">       </w:t>
      </w:r>
      <w:r w:rsidR="006100A4" w:rsidRPr="008B459E">
        <w:rPr>
          <w:szCs w:val="24"/>
        </w:rPr>
        <w:t>.</w:t>
      </w:r>
      <w:r w:rsidRPr="008B459E">
        <w:rPr>
          <w:szCs w:val="24"/>
        </w:rPr>
        <w:t>…………………………</w:t>
      </w:r>
    </w:p>
    <w:p w:rsidR="006100A4" w:rsidRPr="008B459E" w:rsidRDefault="00383877">
      <w:pPr>
        <w:spacing w:line="240" w:lineRule="auto"/>
        <w:jc w:val="left"/>
        <w:rPr>
          <w:szCs w:val="24"/>
        </w:rPr>
      </w:pPr>
      <w:r w:rsidRPr="008B459E">
        <w:rPr>
          <w:szCs w:val="24"/>
        </w:rPr>
        <w:t xml:space="preserve">                                       </w:t>
      </w:r>
      <w:r w:rsidR="006100A4" w:rsidRPr="008B459E">
        <w:rPr>
          <w:szCs w:val="24"/>
        </w:rPr>
        <w:t xml:space="preserve">                             </w:t>
      </w:r>
      <w:r w:rsidR="008B459E">
        <w:rPr>
          <w:szCs w:val="24"/>
        </w:rPr>
        <w:t xml:space="preserve">                  </w:t>
      </w:r>
      <w:r w:rsidRPr="008B459E">
        <w:rPr>
          <w:szCs w:val="24"/>
        </w:rPr>
        <w:t>Bc. Adéla Myslivcová</w:t>
      </w: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Default="006100A4">
      <w:pPr>
        <w:spacing w:line="240" w:lineRule="auto"/>
        <w:jc w:val="left"/>
        <w:rPr>
          <w:sz w:val="32"/>
          <w:szCs w:val="32"/>
        </w:rPr>
      </w:pPr>
    </w:p>
    <w:p w:rsidR="006100A4" w:rsidRPr="008B459E" w:rsidRDefault="006100A4" w:rsidP="008B459E">
      <w:pPr>
        <w:rPr>
          <w:szCs w:val="24"/>
        </w:rPr>
      </w:pPr>
      <w:r w:rsidRPr="008B459E">
        <w:rPr>
          <w:szCs w:val="24"/>
        </w:rPr>
        <w:t>Děkuji Mgr. Lucii Křeménkové, Ph.</w:t>
      </w:r>
      <w:r w:rsidR="000E2F42">
        <w:rPr>
          <w:szCs w:val="24"/>
        </w:rPr>
        <w:t xml:space="preserve"> </w:t>
      </w:r>
      <w:r w:rsidRPr="008B459E">
        <w:rPr>
          <w:szCs w:val="24"/>
        </w:rPr>
        <w:t xml:space="preserve">D., za odborné vedení diplomové práce, poskytování rad a materiálových podkladů k práci. Dále děkuji MUDr. Skačánimu za pomoc při dotazníkovém šetření. </w:t>
      </w:r>
      <w:r w:rsidRPr="008B459E">
        <w:rPr>
          <w:szCs w:val="24"/>
        </w:rPr>
        <w:br w:type="page"/>
      </w:r>
    </w:p>
    <w:p w:rsidR="00383877" w:rsidRDefault="00383877">
      <w:pPr>
        <w:spacing w:line="240" w:lineRule="auto"/>
        <w:jc w:val="left"/>
        <w:rPr>
          <w:sz w:val="32"/>
          <w:szCs w:val="32"/>
        </w:rPr>
      </w:pPr>
    </w:p>
    <w:p w:rsidR="000A75EA" w:rsidRDefault="005B07C8">
      <w:pPr>
        <w:pStyle w:val="Obsah6"/>
        <w:rPr>
          <w:rFonts w:asciiTheme="minorHAnsi" w:eastAsiaTheme="minorEastAsia" w:hAnsiTheme="minorHAnsi" w:cstheme="minorBidi"/>
          <w:b w:val="0"/>
          <w:sz w:val="22"/>
          <w:szCs w:val="22"/>
          <w:lang w:eastAsia="cs-CZ"/>
        </w:rPr>
      </w:pPr>
      <w:r w:rsidRPr="00320E05">
        <w:rPr>
          <w:rFonts w:eastAsiaTheme="minorEastAsia"/>
          <w:sz w:val="28"/>
          <w:szCs w:val="28"/>
        </w:rPr>
        <w:fldChar w:fldCharType="begin"/>
      </w:r>
      <w:r w:rsidR="00320E05" w:rsidRPr="00320E05">
        <w:instrText xml:space="preserve"> TOC \o "1-6" \h \z \u </w:instrText>
      </w:r>
      <w:r w:rsidRPr="00320E05">
        <w:rPr>
          <w:rFonts w:eastAsiaTheme="minorEastAsia"/>
          <w:sz w:val="28"/>
          <w:szCs w:val="28"/>
        </w:rPr>
        <w:fldChar w:fldCharType="separate"/>
      </w:r>
      <w:hyperlink w:anchor="_Toc353433169" w:history="1">
        <w:r w:rsidR="000A75EA" w:rsidRPr="00616B11">
          <w:rPr>
            <w:rStyle w:val="Hypertextovodkaz"/>
          </w:rPr>
          <w:t>Úvod</w:t>
        </w:r>
        <w:r w:rsidR="000A75EA">
          <w:rPr>
            <w:webHidden/>
          </w:rPr>
          <w:tab/>
        </w:r>
        <w:r w:rsidR="000A75EA">
          <w:rPr>
            <w:webHidden/>
          </w:rPr>
          <w:fldChar w:fldCharType="begin"/>
        </w:r>
        <w:r w:rsidR="000A75EA">
          <w:rPr>
            <w:webHidden/>
          </w:rPr>
          <w:instrText xml:space="preserve"> PAGEREF _Toc353433169 \h </w:instrText>
        </w:r>
        <w:r w:rsidR="000A75EA">
          <w:rPr>
            <w:webHidden/>
          </w:rPr>
        </w:r>
        <w:r w:rsidR="000A75EA">
          <w:rPr>
            <w:webHidden/>
          </w:rPr>
          <w:fldChar w:fldCharType="separate"/>
        </w:r>
        <w:r w:rsidR="002B44ED">
          <w:rPr>
            <w:webHidden/>
          </w:rPr>
          <w:t>6</w:t>
        </w:r>
        <w:r w:rsidR="000A75EA">
          <w:rPr>
            <w:webHidden/>
          </w:rPr>
          <w:fldChar w:fldCharType="end"/>
        </w:r>
      </w:hyperlink>
    </w:p>
    <w:p w:rsidR="000A75EA" w:rsidRDefault="002B44ED">
      <w:pPr>
        <w:pStyle w:val="Obsah1"/>
        <w:rPr>
          <w:rFonts w:asciiTheme="minorHAnsi" w:hAnsiTheme="minorHAnsi" w:cstheme="minorBidi"/>
          <w:b w:val="0"/>
          <w:sz w:val="22"/>
          <w:szCs w:val="22"/>
          <w:lang w:eastAsia="cs-CZ"/>
        </w:rPr>
      </w:pPr>
      <w:hyperlink w:anchor="_Toc353433170" w:history="1">
        <w:r w:rsidR="000A75EA" w:rsidRPr="00616B11">
          <w:rPr>
            <w:rStyle w:val="Hypertextovodkaz"/>
          </w:rPr>
          <w:t>I TEORETICKÁ ČÁST</w:t>
        </w:r>
        <w:r w:rsidR="000A75EA">
          <w:rPr>
            <w:webHidden/>
          </w:rPr>
          <w:tab/>
        </w:r>
        <w:r w:rsidR="000A75EA">
          <w:rPr>
            <w:webHidden/>
          </w:rPr>
          <w:fldChar w:fldCharType="begin"/>
        </w:r>
        <w:r w:rsidR="000A75EA">
          <w:rPr>
            <w:webHidden/>
          </w:rPr>
          <w:instrText xml:space="preserve"> PAGEREF _Toc353433170 \h </w:instrText>
        </w:r>
        <w:r w:rsidR="000A75EA">
          <w:rPr>
            <w:webHidden/>
          </w:rPr>
        </w:r>
        <w:r w:rsidR="000A75EA">
          <w:rPr>
            <w:webHidden/>
          </w:rPr>
          <w:fldChar w:fldCharType="separate"/>
        </w:r>
        <w:r>
          <w:rPr>
            <w:webHidden/>
          </w:rPr>
          <w:t>7</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171" w:history="1">
        <w:r w:rsidR="000A75EA" w:rsidRPr="00616B11">
          <w:rPr>
            <w:rStyle w:val="Hypertextovodkaz"/>
          </w:rPr>
          <w:t>1 Deprese</w:t>
        </w:r>
        <w:r w:rsidR="000A75EA">
          <w:rPr>
            <w:webHidden/>
          </w:rPr>
          <w:tab/>
        </w:r>
        <w:r w:rsidR="000A75EA">
          <w:rPr>
            <w:webHidden/>
          </w:rPr>
          <w:fldChar w:fldCharType="begin"/>
        </w:r>
        <w:r w:rsidR="000A75EA">
          <w:rPr>
            <w:webHidden/>
          </w:rPr>
          <w:instrText xml:space="preserve"> PAGEREF _Toc353433171 \h </w:instrText>
        </w:r>
        <w:r w:rsidR="000A75EA">
          <w:rPr>
            <w:webHidden/>
          </w:rPr>
        </w:r>
        <w:r w:rsidR="000A75EA">
          <w:rPr>
            <w:webHidden/>
          </w:rPr>
          <w:fldChar w:fldCharType="separate"/>
        </w:r>
        <w:r>
          <w:rPr>
            <w:webHidden/>
          </w:rPr>
          <w:t>8</w:t>
        </w:r>
        <w:r w:rsidR="000A75EA">
          <w:rPr>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72" w:history="1">
        <w:r w:rsidR="000A75EA" w:rsidRPr="00616B11">
          <w:rPr>
            <w:rStyle w:val="Hypertextovodkaz"/>
          </w:rPr>
          <w:t>1.2 Epidemiologie deprese</w:t>
        </w:r>
        <w:r w:rsidR="000A75EA">
          <w:rPr>
            <w:webHidden/>
          </w:rPr>
          <w:tab/>
        </w:r>
        <w:r w:rsidR="000A75EA">
          <w:rPr>
            <w:webHidden/>
          </w:rPr>
          <w:fldChar w:fldCharType="begin"/>
        </w:r>
        <w:r w:rsidR="000A75EA">
          <w:rPr>
            <w:webHidden/>
          </w:rPr>
          <w:instrText xml:space="preserve"> PAGEREF _Toc353433172 \h </w:instrText>
        </w:r>
        <w:r w:rsidR="000A75EA">
          <w:rPr>
            <w:webHidden/>
          </w:rPr>
        </w:r>
        <w:r w:rsidR="000A75EA">
          <w:rPr>
            <w:webHidden/>
          </w:rPr>
          <w:fldChar w:fldCharType="separate"/>
        </w:r>
        <w:r>
          <w:rPr>
            <w:webHidden/>
          </w:rPr>
          <w:t>8</w:t>
        </w:r>
        <w:r w:rsidR="000A75EA">
          <w:rPr>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73" w:history="1">
        <w:r w:rsidR="000A75EA" w:rsidRPr="00616B11">
          <w:rPr>
            <w:rStyle w:val="Hypertextovodkaz"/>
          </w:rPr>
          <w:t>1.3 Etiopatogeneze deprese</w:t>
        </w:r>
        <w:r w:rsidR="000A75EA">
          <w:rPr>
            <w:webHidden/>
          </w:rPr>
          <w:tab/>
        </w:r>
        <w:r w:rsidR="000A75EA">
          <w:rPr>
            <w:webHidden/>
          </w:rPr>
          <w:fldChar w:fldCharType="begin"/>
        </w:r>
        <w:r w:rsidR="000A75EA">
          <w:rPr>
            <w:webHidden/>
          </w:rPr>
          <w:instrText xml:space="preserve"> PAGEREF _Toc353433173 \h </w:instrText>
        </w:r>
        <w:r w:rsidR="000A75EA">
          <w:rPr>
            <w:webHidden/>
          </w:rPr>
        </w:r>
        <w:r w:rsidR="000A75EA">
          <w:rPr>
            <w:webHidden/>
          </w:rPr>
          <w:fldChar w:fldCharType="separate"/>
        </w:r>
        <w:r>
          <w:rPr>
            <w:webHidden/>
          </w:rPr>
          <w:t>10</w:t>
        </w:r>
        <w:r w:rsidR="000A75EA">
          <w:rPr>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74" w:history="1">
        <w:r w:rsidR="000A75EA" w:rsidRPr="00616B11">
          <w:rPr>
            <w:rStyle w:val="Hypertextovodkaz"/>
          </w:rPr>
          <w:t>1.4 Klinické příznaky</w:t>
        </w:r>
        <w:r w:rsidR="000A75EA">
          <w:rPr>
            <w:webHidden/>
          </w:rPr>
          <w:tab/>
        </w:r>
        <w:r w:rsidR="000A75EA">
          <w:rPr>
            <w:webHidden/>
          </w:rPr>
          <w:fldChar w:fldCharType="begin"/>
        </w:r>
        <w:r w:rsidR="000A75EA">
          <w:rPr>
            <w:webHidden/>
          </w:rPr>
          <w:instrText xml:space="preserve"> PAGEREF _Toc353433174 \h </w:instrText>
        </w:r>
        <w:r w:rsidR="000A75EA">
          <w:rPr>
            <w:webHidden/>
          </w:rPr>
        </w:r>
        <w:r w:rsidR="000A75EA">
          <w:rPr>
            <w:webHidden/>
          </w:rPr>
          <w:fldChar w:fldCharType="separate"/>
        </w:r>
        <w:r>
          <w:rPr>
            <w:webHidden/>
          </w:rPr>
          <w:t>12</w:t>
        </w:r>
        <w:r w:rsidR="000A75EA">
          <w:rPr>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75" w:history="1">
        <w:r w:rsidR="000A75EA" w:rsidRPr="00616B11">
          <w:rPr>
            <w:rStyle w:val="Hypertextovodkaz"/>
          </w:rPr>
          <w:t>1.5 Diagnostika</w:t>
        </w:r>
        <w:r w:rsidR="000A75EA">
          <w:rPr>
            <w:webHidden/>
          </w:rPr>
          <w:tab/>
        </w:r>
        <w:r w:rsidR="000A75EA">
          <w:rPr>
            <w:webHidden/>
          </w:rPr>
          <w:fldChar w:fldCharType="begin"/>
        </w:r>
        <w:r w:rsidR="000A75EA">
          <w:rPr>
            <w:webHidden/>
          </w:rPr>
          <w:instrText xml:space="preserve"> PAGEREF _Toc353433175 \h </w:instrText>
        </w:r>
        <w:r w:rsidR="000A75EA">
          <w:rPr>
            <w:webHidden/>
          </w:rPr>
        </w:r>
        <w:r w:rsidR="000A75EA">
          <w:rPr>
            <w:webHidden/>
          </w:rPr>
          <w:fldChar w:fldCharType="separate"/>
        </w:r>
        <w:r>
          <w:rPr>
            <w:webHidden/>
          </w:rPr>
          <w:t>14</w:t>
        </w:r>
        <w:r w:rsidR="000A75EA">
          <w:rPr>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176" w:history="1">
        <w:r w:rsidR="000A75EA" w:rsidRPr="00616B11">
          <w:rPr>
            <w:rStyle w:val="Hypertextovodkaz"/>
            <w:noProof/>
          </w:rPr>
          <w:t>1.5.1  MKN 10- diagnostická kategorie (Mezinárodní klasifikace nemocí)</w:t>
        </w:r>
        <w:r w:rsidR="000A75EA">
          <w:rPr>
            <w:noProof/>
            <w:webHidden/>
          </w:rPr>
          <w:tab/>
        </w:r>
        <w:r w:rsidR="000A75EA">
          <w:rPr>
            <w:noProof/>
            <w:webHidden/>
          </w:rPr>
          <w:fldChar w:fldCharType="begin"/>
        </w:r>
        <w:r w:rsidR="000A75EA">
          <w:rPr>
            <w:noProof/>
            <w:webHidden/>
          </w:rPr>
          <w:instrText xml:space="preserve"> PAGEREF _Toc353433176 \h </w:instrText>
        </w:r>
        <w:r w:rsidR="000A75EA">
          <w:rPr>
            <w:noProof/>
            <w:webHidden/>
          </w:rPr>
        </w:r>
        <w:r w:rsidR="000A75EA">
          <w:rPr>
            <w:noProof/>
            <w:webHidden/>
          </w:rPr>
          <w:fldChar w:fldCharType="separate"/>
        </w:r>
        <w:r>
          <w:rPr>
            <w:noProof/>
            <w:webHidden/>
          </w:rPr>
          <w:t>14</w:t>
        </w:r>
        <w:r w:rsidR="000A75EA">
          <w:rPr>
            <w:noProof/>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177" w:history="1">
        <w:r w:rsidR="000A75EA" w:rsidRPr="00616B11">
          <w:rPr>
            <w:rStyle w:val="Hypertextovodkaz"/>
            <w:noProof/>
          </w:rPr>
          <w:t>1.5.2 DSM-IV</w:t>
        </w:r>
        <w:r w:rsidR="000A75EA">
          <w:rPr>
            <w:noProof/>
            <w:webHidden/>
          </w:rPr>
          <w:tab/>
        </w:r>
        <w:r w:rsidR="000A75EA">
          <w:rPr>
            <w:noProof/>
            <w:webHidden/>
          </w:rPr>
          <w:fldChar w:fldCharType="begin"/>
        </w:r>
        <w:r w:rsidR="000A75EA">
          <w:rPr>
            <w:noProof/>
            <w:webHidden/>
          </w:rPr>
          <w:instrText xml:space="preserve"> PAGEREF _Toc353433177 \h </w:instrText>
        </w:r>
        <w:r w:rsidR="000A75EA">
          <w:rPr>
            <w:noProof/>
            <w:webHidden/>
          </w:rPr>
        </w:r>
        <w:r w:rsidR="000A75EA">
          <w:rPr>
            <w:noProof/>
            <w:webHidden/>
          </w:rPr>
          <w:fldChar w:fldCharType="separate"/>
        </w:r>
        <w:r>
          <w:rPr>
            <w:noProof/>
            <w:webHidden/>
          </w:rPr>
          <w:t>16</w:t>
        </w:r>
        <w:r w:rsidR="000A75EA">
          <w:rPr>
            <w:noProof/>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178" w:history="1">
        <w:r w:rsidR="000A75EA" w:rsidRPr="00616B11">
          <w:rPr>
            <w:rStyle w:val="Hypertextovodkaz"/>
            <w:noProof/>
          </w:rPr>
          <w:t>1.5.3 Anamnéza</w:t>
        </w:r>
        <w:r w:rsidR="000A75EA">
          <w:rPr>
            <w:noProof/>
            <w:webHidden/>
          </w:rPr>
          <w:tab/>
        </w:r>
        <w:r w:rsidR="000A75EA">
          <w:rPr>
            <w:noProof/>
            <w:webHidden/>
          </w:rPr>
          <w:fldChar w:fldCharType="begin"/>
        </w:r>
        <w:r w:rsidR="000A75EA">
          <w:rPr>
            <w:noProof/>
            <w:webHidden/>
          </w:rPr>
          <w:instrText xml:space="preserve"> PAGEREF _Toc353433178 \h </w:instrText>
        </w:r>
        <w:r w:rsidR="000A75EA">
          <w:rPr>
            <w:noProof/>
            <w:webHidden/>
          </w:rPr>
        </w:r>
        <w:r w:rsidR="000A75EA">
          <w:rPr>
            <w:noProof/>
            <w:webHidden/>
          </w:rPr>
          <w:fldChar w:fldCharType="separate"/>
        </w:r>
        <w:r>
          <w:rPr>
            <w:noProof/>
            <w:webHidden/>
          </w:rPr>
          <w:t>17</w:t>
        </w:r>
        <w:r w:rsidR="000A75EA">
          <w:rPr>
            <w:noProof/>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179" w:history="1">
        <w:r w:rsidR="000A75EA" w:rsidRPr="00616B11">
          <w:rPr>
            <w:rStyle w:val="Hypertextovodkaz"/>
            <w:noProof/>
          </w:rPr>
          <w:t>1.5.4 Psychometrická vyšetření-škály</w:t>
        </w:r>
        <w:r w:rsidR="000A75EA">
          <w:rPr>
            <w:noProof/>
            <w:webHidden/>
          </w:rPr>
          <w:tab/>
        </w:r>
        <w:r w:rsidR="000A75EA">
          <w:rPr>
            <w:noProof/>
            <w:webHidden/>
          </w:rPr>
          <w:fldChar w:fldCharType="begin"/>
        </w:r>
        <w:r w:rsidR="000A75EA">
          <w:rPr>
            <w:noProof/>
            <w:webHidden/>
          </w:rPr>
          <w:instrText xml:space="preserve"> PAGEREF _Toc353433179 \h </w:instrText>
        </w:r>
        <w:r w:rsidR="000A75EA">
          <w:rPr>
            <w:noProof/>
            <w:webHidden/>
          </w:rPr>
        </w:r>
        <w:r w:rsidR="000A75EA">
          <w:rPr>
            <w:noProof/>
            <w:webHidden/>
          </w:rPr>
          <w:fldChar w:fldCharType="separate"/>
        </w:r>
        <w:r>
          <w:rPr>
            <w:noProof/>
            <w:webHidden/>
          </w:rPr>
          <w:t>18</w:t>
        </w:r>
        <w:r w:rsidR="000A75EA">
          <w:rPr>
            <w:noProof/>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80" w:history="1">
        <w:r w:rsidR="000A75EA" w:rsidRPr="00616B11">
          <w:rPr>
            <w:rStyle w:val="Hypertextovodkaz"/>
          </w:rPr>
          <w:t>1.6 Diferenciální diagnóza</w:t>
        </w:r>
        <w:r w:rsidR="000A75EA">
          <w:rPr>
            <w:webHidden/>
          </w:rPr>
          <w:tab/>
        </w:r>
        <w:r w:rsidR="000A75EA">
          <w:rPr>
            <w:webHidden/>
          </w:rPr>
          <w:fldChar w:fldCharType="begin"/>
        </w:r>
        <w:r w:rsidR="000A75EA">
          <w:rPr>
            <w:webHidden/>
          </w:rPr>
          <w:instrText xml:space="preserve"> PAGEREF _Toc353433180 \h </w:instrText>
        </w:r>
        <w:r w:rsidR="000A75EA">
          <w:rPr>
            <w:webHidden/>
          </w:rPr>
        </w:r>
        <w:r w:rsidR="000A75EA">
          <w:rPr>
            <w:webHidden/>
          </w:rPr>
          <w:fldChar w:fldCharType="separate"/>
        </w:r>
        <w:r>
          <w:rPr>
            <w:webHidden/>
          </w:rPr>
          <w:t>18</w:t>
        </w:r>
        <w:r w:rsidR="000A75EA">
          <w:rPr>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81" w:history="1">
        <w:r w:rsidR="000A75EA" w:rsidRPr="00616B11">
          <w:rPr>
            <w:rStyle w:val="Hypertextovodkaz"/>
          </w:rPr>
          <w:t>1.7 Léčba deprese</w:t>
        </w:r>
        <w:r w:rsidR="000A75EA">
          <w:rPr>
            <w:webHidden/>
          </w:rPr>
          <w:tab/>
        </w:r>
        <w:r w:rsidR="000A75EA">
          <w:rPr>
            <w:webHidden/>
          </w:rPr>
          <w:fldChar w:fldCharType="begin"/>
        </w:r>
        <w:r w:rsidR="000A75EA">
          <w:rPr>
            <w:webHidden/>
          </w:rPr>
          <w:instrText xml:space="preserve"> PAGEREF _Toc353433181 \h </w:instrText>
        </w:r>
        <w:r w:rsidR="000A75EA">
          <w:rPr>
            <w:webHidden/>
          </w:rPr>
        </w:r>
        <w:r w:rsidR="000A75EA">
          <w:rPr>
            <w:webHidden/>
          </w:rPr>
          <w:fldChar w:fldCharType="separate"/>
        </w:r>
        <w:r>
          <w:rPr>
            <w:webHidden/>
          </w:rPr>
          <w:t>19</w:t>
        </w:r>
        <w:r w:rsidR="000A75EA">
          <w:rPr>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182" w:history="1">
        <w:r w:rsidR="000A75EA" w:rsidRPr="00616B11">
          <w:rPr>
            <w:rStyle w:val="Hypertextovodkaz"/>
            <w:noProof/>
          </w:rPr>
          <w:t>2.7.1. Biologická léčba</w:t>
        </w:r>
        <w:r w:rsidR="000A75EA">
          <w:rPr>
            <w:noProof/>
            <w:webHidden/>
          </w:rPr>
          <w:tab/>
        </w:r>
        <w:r w:rsidR="000A75EA">
          <w:rPr>
            <w:noProof/>
            <w:webHidden/>
          </w:rPr>
          <w:fldChar w:fldCharType="begin"/>
        </w:r>
        <w:r w:rsidR="000A75EA">
          <w:rPr>
            <w:noProof/>
            <w:webHidden/>
          </w:rPr>
          <w:instrText xml:space="preserve"> PAGEREF _Toc353433182 \h </w:instrText>
        </w:r>
        <w:r w:rsidR="000A75EA">
          <w:rPr>
            <w:noProof/>
            <w:webHidden/>
          </w:rPr>
        </w:r>
        <w:r w:rsidR="000A75EA">
          <w:rPr>
            <w:noProof/>
            <w:webHidden/>
          </w:rPr>
          <w:fldChar w:fldCharType="separate"/>
        </w:r>
        <w:r>
          <w:rPr>
            <w:noProof/>
            <w:webHidden/>
          </w:rPr>
          <w:t>20</w:t>
        </w:r>
        <w:r w:rsidR="000A75EA">
          <w:rPr>
            <w:noProof/>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183" w:history="1">
        <w:r w:rsidR="000A75EA" w:rsidRPr="00616B11">
          <w:rPr>
            <w:rStyle w:val="Hypertextovodkaz"/>
            <w:noProof/>
          </w:rPr>
          <w:t>1.7.2 Psychoterapeutické metody</w:t>
        </w:r>
        <w:r w:rsidR="000A75EA">
          <w:rPr>
            <w:noProof/>
            <w:webHidden/>
          </w:rPr>
          <w:tab/>
        </w:r>
        <w:r w:rsidR="000A75EA">
          <w:rPr>
            <w:noProof/>
            <w:webHidden/>
          </w:rPr>
          <w:fldChar w:fldCharType="begin"/>
        </w:r>
        <w:r w:rsidR="000A75EA">
          <w:rPr>
            <w:noProof/>
            <w:webHidden/>
          </w:rPr>
          <w:instrText xml:space="preserve"> PAGEREF _Toc353433183 \h </w:instrText>
        </w:r>
        <w:r w:rsidR="000A75EA">
          <w:rPr>
            <w:noProof/>
            <w:webHidden/>
          </w:rPr>
        </w:r>
        <w:r w:rsidR="000A75EA">
          <w:rPr>
            <w:noProof/>
            <w:webHidden/>
          </w:rPr>
          <w:fldChar w:fldCharType="separate"/>
        </w:r>
        <w:r>
          <w:rPr>
            <w:noProof/>
            <w:webHidden/>
          </w:rPr>
          <w:t>21</w:t>
        </w:r>
        <w:r w:rsidR="000A75EA">
          <w:rPr>
            <w:noProof/>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84" w:history="1">
        <w:r w:rsidR="000A75EA" w:rsidRPr="00616B11">
          <w:rPr>
            <w:rStyle w:val="Hypertextovodkaz"/>
          </w:rPr>
          <w:t>1.8 Deprese a ambulantní psychiatrická léčba</w:t>
        </w:r>
        <w:r w:rsidR="000A75EA">
          <w:rPr>
            <w:webHidden/>
          </w:rPr>
          <w:tab/>
        </w:r>
        <w:r w:rsidR="000A75EA">
          <w:rPr>
            <w:webHidden/>
          </w:rPr>
          <w:fldChar w:fldCharType="begin"/>
        </w:r>
        <w:r w:rsidR="000A75EA">
          <w:rPr>
            <w:webHidden/>
          </w:rPr>
          <w:instrText xml:space="preserve"> PAGEREF _Toc353433184 \h </w:instrText>
        </w:r>
        <w:r w:rsidR="000A75EA">
          <w:rPr>
            <w:webHidden/>
          </w:rPr>
        </w:r>
        <w:r w:rsidR="000A75EA">
          <w:rPr>
            <w:webHidden/>
          </w:rPr>
          <w:fldChar w:fldCharType="separate"/>
        </w:r>
        <w:r>
          <w:rPr>
            <w:webHidden/>
          </w:rPr>
          <w:t>22</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185" w:history="1">
        <w:r w:rsidR="000A75EA" w:rsidRPr="00616B11">
          <w:rPr>
            <w:rStyle w:val="Hypertextovodkaz"/>
          </w:rPr>
          <w:t>2 Antidepresiva</w:t>
        </w:r>
        <w:r w:rsidR="000A75EA">
          <w:rPr>
            <w:webHidden/>
          </w:rPr>
          <w:tab/>
        </w:r>
        <w:r w:rsidR="000A75EA">
          <w:rPr>
            <w:webHidden/>
          </w:rPr>
          <w:fldChar w:fldCharType="begin"/>
        </w:r>
        <w:r w:rsidR="000A75EA">
          <w:rPr>
            <w:webHidden/>
          </w:rPr>
          <w:instrText xml:space="preserve"> PAGEREF _Toc353433185 \h </w:instrText>
        </w:r>
        <w:r w:rsidR="000A75EA">
          <w:rPr>
            <w:webHidden/>
          </w:rPr>
        </w:r>
        <w:r w:rsidR="000A75EA">
          <w:rPr>
            <w:webHidden/>
          </w:rPr>
          <w:fldChar w:fldCharType="separate"/>
        </w:r>
        <w:r>
          <w:rPr>
            <w:webHidden/>
          </w:rPr>
          <w:t>24</w:t>
        </w:r>
        <w:r w:rsidR="000A75EA">
          <w:rPr>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86" w:history="1">
        <w:r w:rsidR="000A75EA" w:rsidRPr="00616B11">
          <w:rPr>
            <w:rStyle w:val="Hypertextovodkaz"/>
          </w:rPr>
          <w:t>2.1 Antidepresiva I. generace</w:t>
        </w:r>
        <w:r w:rsidR="000A75EA">
          <w:rPr>
            <w:webHidden/>
          </w:rPr>
          <w:tab/>
        </w:r>
        <w:r w:rsidR="000A75EA">
          <w:rPr>
            <w:webHidden/>
          </w:rPr>
          <w:fldChar w:fldCharType="begin"/>
        </w:r>
        <w:r w:rsidR="000A75EA">
          <w:rPr>
            <w:webHidden/>
          </w:rPr>
          <w:instrText xml:space="preserve"> PAGEREF _Toc353433186 \h </w:instrText>
        </w:r>
        <w:r w:rsidR="000A75EA">
          <w:rPr>
            <w:webHidden/>
          </w:rPr>
        </w:r>
        <w:r w:rsidR="000A75EA">
          <w:rPr>
            <w:webHidden/>
          </w:rPr>
          <w:fldChar w:fldCharType="separate"/>
        </w:r>
        <w:r>
          <w:rPr>
            <w:webHidden/>
          </w:rPr>
          <w:t>25</w:t>
        </w:r>
        <w:r w:rsidR="000A75EA">
          <w:rPr>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187" w:history="1">
        <w:r w:rsidR="000A75EA" w:rsidRPr="00616B11">
          <w:rPr>
            <w:rStyle w:val="Hypertextovodkaz"/>
            <w:noProof/>
          </w:rPr>
          <w:t>2.1.1 Využití antidepresiv I. generace v ambulantní léčbě deprese</w:t>
        </w:r>
        <w:r w:rsidR="000A75EA">
          <w:rPr>
            <w:noProof/>
            <w:webHidden/>
          </w:rPr>
          <w:tab/>
        </w:r>
        <w:r w:rsidR="000A75EA">
          <w:rPr>
            <w:noProof/>
            <w:webHidden/>
          </w:rPr>
          <w:fldChar w:fldCharType="begin"/>
        </w:r>
        <w:r w:rsidR="000A75EA">
          <w:rPr>
            <w:noProof/>
            <w:webHidden/>
          </w:rPr>
          <w:instrText xml:space="preserve"> PAGEREF _Toc353433187 \h </w:instrText>
        </w:r>
        <w:r w:rsidR="000A75EA">
          <w:rPr>
            <w:noProof/>
            <w:webHidden/>
          </w:rPr>
        </w:r>
        <w:r w:rsidR="000A75EA">
          <w:rPr>
            <w:noProof/>
            <w:webHidden/>
          </w:rPr>
          <w:fldChar w:fldCharType="separate"/>
        </w:r>
        <w:r>
          <w:rPr>
            <w:noProof/>
            <w:webHidden/>
          </w:rPr>
          <w:t>26</w:t>
        </w:r>
        <w:r w:rsidR="000A75EA">
          <w:rPr>
            <w:noProof/>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88" w:history="1">
        <w:r w:rsidR="000A75EA" w:rsidRPr="00616B11">
          <w:rPr>
            <w:rStyle w:val="Hypertextovodkaz"/>
          </w:rPr>
          <w:t>2.2 Antidepresiva II. generace</w:t>
        </w:r>
        <w:r w:rsidR="000A75EA">
          <w:rPr>
            <w:webHidden/>
          </w:rPr>
          <w:tab/>
        </w:r>
        <w:r w:rsidR="000A75EA">
          <w:rPr>
            <w:webHidden/>
          </w:rPr>
          <w:fldChar w:fldCharType="begin"/>
        </w:r>
        <w:r w:rsidR="000A75EA">
          <w:rPr>
            <w:webHidden/>
          </w:rPr>
          <w:instrText xml:space="preserve"> PAGEREF _Toc353433188 \h </w:instrText>
        </w:r>
        <w:r w:rsidR="000A75EA">
          <w:rPr>
            <w:webHidden/>
          </w:rPr>
        </w:r>
        <w:r w:rsidR="000A75EA">
          <w:rPr>
            <w:webHidden/>
          </w:rPr>
          <w:fldChar w:fldCharType="separate"/>
        </w:r>
        <w:r>
          <w:rPr>
            <w:webHidden/>
          </w:rPr>
          <w:t>27</w:t>
        </w:r>
        <w:r w:rsidR="000A75EA">
          <w:rPr>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189" w:history="1">
        <w:r w:rsidR="000A75EA" w:rsidRPr="00616B11">
          <w:rPr>
            <w:rStyle w:val="Hypertextovodkaz"/>
            <w:noProof/>
          </w:rPr>
          <w:t>2.2.1 Využití antidepresiv II. generace v ambulantní léčbě deprese</w:t>
        </w:r>
        <w:r w:rsidR="000A75EA">
          <w:rPr>
            <w:noProof/>
            <w:webHidden/>
          </w:rPr>
          <w:tab/>
        </w:r>
        <w:r w:rsidR="000A75EA">
          <w:rPr>
            <w:noProof/>
            <w:webHidden/>
          </w:rPr>
          <w:fldChar w:fldCharType="begin"/>
        </w:r>
        <w:r w:rsidR="000A75EA">
          <w:rPr>
            <w:noProof/>
            <w:webHidden/>
          </w:rPr>
          <w:instrText xml:space="preserve"> PAGEREF _Toc353433189 \h </w:instrText>
        </w:r>
        <w:r w:rsidR="000A75EA">
          <w:rPr>
            <w:noProof/>
            <w:webHidden/>
          </w:rPr>
        </w:r>
        <w:r w:rsidR="000A75EA">
          <w:rPr>
            <w:noProof/>
            <w:webHidden/>
          </w:rPr>
          <w:fldChar w:fldCharType="separate"/>
        </w:r>
        <w:r>
          <w:rPr>
            <w:noProof/>
            <w:webHidden/>
          </w:rPr>
          <w:t>27</w:t>
        </w:r>
        <w:r w:rsidR="000A75EA">
          <w:rPr>
            <w:noProof/>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90" w:history="1">
        <w:r w:rsidR="000A75EA" w:rsidRPr="00616B11">
          <w:rPr>
            <w:rStyle w:val="Hypertextovodkaz"/>
          </w:rPr>
          <w:t>2.3 Antidepresiva III. generace</w:t>
        </w:r>
        <w:r w:rsidR="000A75EA">
          <w:rPr>
            <w:webHidden/>
          </w:rPr>
          <w:tab/>
        </w:r>
        <w:r w:rsidR="000A75EA">
          <w:rPr>
            <w:webHidden/>
          </w:rPr>
          <w:fldChar w:fldCharType="begin"/>
        </w:r>
        <w:r w:rsidR="000A75EA">
          <w:rPr>
            <w:webHidden/>
          </w:rPr>
          <w:instrText xml:space="preserve"> PAGEREF _Toc353433190 \h </w:instrText>
        </w:r>
        <w:r w:rsidR="000A75EA">
          <w:rPr>
            <w:webHidden/>
          </w:rPr>
        </w:r>
        <w:r w:rsidR="000A75EA">
          <w:rPr>
            <w:webHidden/>
          </w:rPr>
          <w:fldChar w:fldCharType="separate"/>
        </w:r>
        <w:r>
          <w:rPr>
            <w:webHidden/>
          </w:rPr>
          <w:t>28</w:t>
        </w:r>
        <w:r w:rsidR="000A75EA">
          <w:rPr>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191" w:history="1">
        <w:r w:rsidR="000A75EA" w:rsidRPr="00616B11">
          <w:rPr>
            <w:rStyle w:val="Hypertextovodkaz"/>
            <w:noProof/>
          </w:rPr>
          <w:t>2.3.1 Využití antidepresiv III. generace v ambulantní léčbě deprese</w:t>
        </w:r>
        <w:r w:rsidR="000A75EA">
          <w:rPr>
            <w:noProof/>
            <w:webHidden/>
          </w:rPr>
          <w:tab/>
        </w:r>
        <w:r w:rsidR="000A75EA">
          <w:rPr>
            <w:noProof/>
            <w:webHidden/>
          </w:rPr>
          <w:fldChar w:fldCharType="begin"/>
        </w:r>
        <w:r w:rsidR="000A75EA">
          <w:rPr>
            <w:noProof/>
            <w:webHidden/>
          </w:rPr>
          <w:instrText xml:space="preserve"> PAGEREF _Toc353433191 \h </w:instrText>
        </w:r>
        <w:r w:rsidR="000A75EA">
          <w:rPr>
            <w:noProof/>
            <w:webHidden/>
          </w:rPr>
        </w:r>
        <w:r w:rsidR="000A75EA">
          <w:rPr>
            <w:noProof/>
            <w:webHidden/>
          </w:rPr>
          <w:fldChar w:fldCharType="separate"/>
        </w:r>
        <w:r>
          <w:rPr>
            <w:noProof/>
            <w:webHidden/>
          </w:rPr>
          <w:t>30</w:t>
        </w:r>
        <w:r w:rsidR="000A75EA">
          <w:rPr>
            <w:noProof/>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92" w:history="1">
        <w:r w:rsidR="000A75EA" w:rsidRPr="00616B11">
          <w:rPr>
            <w:rStyle w:val="Hypertextovodkaz"/>
          </w:rPr>
          <w:t>2.4 Antidepresiva IV. generace</w:t>
        </w:r>
        <w:r w:rsidR="000A75EA">
          <w:rPr>
            <w:webHidden/>
          </w:rPr>
          <w:tab/>
        </w:r>
        <w:r w:rsidR="000A75EA">
          <w:rPr>
            <w:webHidden/>
          </w:rPr>
          <w:fldChar w:fldCharType="begin"/>
        </w:r>
        <w:r w:rsidR="000A75EA">
          <w:rPr>
            <w:webHidden/>
          </w:rPr>
          <w:instrText xml:space="preserve"> PAGEREF _Toc353433192 \h </w:instrText>
        </w:r>
        <w:r w:rsidR="000A75EA">
          <w:rPr>
            <w:webHidden/>
          </w:rPr>
        </w:r>
        <w:r w:rsidR="000A75EA">
          <w:rPr>
            <w:webHidden/>
          </w:rPr>
          <w:fldChar w:fldCharType="separate"/>
        </w:r>
        <w:r>
          <w:rPr>
            <w:webHidden/>
          </w:rPr>
          <w:t>31</w:t>
        </w:r>
        <w:r w:rsidR="000A75EA">
          <w:rPr>
            <w:webHidden/>
          </w:rPr>
          <w:fldChar w:fldCharType="end"/>
        </w:r>
      </w:hyperlink>
    </w:p>
    <w:p w:rsidR="000A75EA" w:rsidRDefault="002B44ED">
      <w:pPr>
        <w:pStyle w:val="Obsah5"/>
        <w:tabs>
          <w:tab w:val="right" w:leader="dot" w:pos="8664"/>
        </w:tabs>
        <w:rPr>
          <w:rFonts w:asciiTheme="minorHAnsi" w:eastAsiaTheme="minorEastAsia" w:hAnsiTheme="minorHAnsi"/>
          <w:noProof/>
          <w:sz w:val="22"/>
          <w:lang w:eastAsia="cs-CZ"/>
        </w:rPr>
      </w:pPr>
      <w:hyperlink w:anchor="_Toc353433193" w:history="1">
        <w:r w:rsidR="000A75EA" w:rsidRPr="00616B11">
          <w:rPr>
            <w:rStyle w:val="Hypertextovodkaz"/>
            <w:b/>
            <w:bCs/>
            <w:iCs/>
            <w:noProof/>
          </w:rPr>
          <w:t>2.4.1. Využití antidepresiv IV. generace v ambulantní léčbě deprese</w:t>
        </w:r>
        <w:r w:rsidR="000A75EA">
          <w:rPr>
            <w:noProof/>
            <w:webHidden/>
          </w:rPr>
          <w:tab/>
        </w:r>
        <w:r w:rsidR="000A75EA">
          <w:rPr>
            <w:noProof/>
            <w:webHidden/>
          </w:rPr>
          <w:fldChar w:fldCharType="begin"/>
        </w:r>
        <w:r w:rsidR="000A75EA">
          <w:rPr>
            <w:noProof/>
            <w:webHidden/>
          </w:rPr>
          <w:instrText xml:space="preserve"> PAGEREF _Toc353433193 \h </w:instrText>
        </w:r>
        <w:r w:rsidR="000A75EA">
          <w:rPr>
            <w:noProof/>
            <w:webHidden/>
          </w:rPr>
        </w:r>
        <w:r w:rsidR="000A75EA">
          <w:rPr>
            <w:noProof/>
            <w:webHidden/>
          </w:rPr>
          <w:fldChar w:fldCharType="separate"/>
        </w:r>
        <w:r>
          <w:rPr>
            <w:noProof/>
            <w:webHidden/>
          </w:rPr>
          <w:t>33</w:t>
        </w:r>
        <w:r w:rsidR="000A75EA">
          <w:rPr>
            <w:noProof/>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94" w:history="1">
        <w:r w:rsidR="000A75EA" w:rsidRPr="00616B11">
          <w:rPr>
            <w:rStyle w:val="Hypertextovodkaz"/>
          </w:rPr>
          <w:t>2.5 IMAO (Inhibitory enzymu monoaminooxidázy)</w:t>
        </w:r>
        <w:r w:rsidR="000A75EA">
          <w:rPr>
            <w:webHidden/>
          </w:rPr>
          <w:tab/>
        </w:r>
        <w:r w:rsidR="000A75EA">
          <w:rPr>
            <w:webHidden/>
          </w:rPr>
          <w:fldChar w:fldCharType="begin"/>
        </w:r>
        <w:r w:rsidR="000A75EA">
          <w:rPr>
            <w:webHidden/>
          </w:rPr>
          <w:instrText xml:space="preserve"> PAGEREF _Toc353433194 \h </w:instrText>
        </w:r>
        <w:r w:rsidR="000A75EA">
          <w:rPr>
            <w:webHidden/>
          </w:rPr>
        </w:r>
        <w:r w:rsidR="000A75EA">
          <w:rPr>
            <w:webHidden/>
          </w:rPr>
          <w:fldChar w:fldCharType="separate"/>
        </w:r>
        <w:r>
          <w:rPr>
            <w:webHidden/>
          </w:rPr>
          <w:t>34</w:t>
        </w:r>
        <w:r w:rsidR="000A75EA">
          <w:rPr>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195" w:history="1">
        <w:r w:rsidR="000A75EA" w:rsidRPr="00616B11">
          <w:rPr>
            <w:rStyle w:val="Hypertextovodkaz"/>
            <w:noProof/>
          </w:rPr>
          <w:t>2.5.1 Využití IMAO v ambulantní léčbě deprese</w:t>
        </w:r>
        <w:r w:rsidR="000A75EA">
          <w:rPr>
            <w:noProof/>
            <w:webHidden/>
          </w:rPr>
          <w:tab/>
        </w:r>
        <w:r w:rsidR="000A75EA">
          <w:rPr>
            <w:noProof/>
            <w:webHidden/>
          </w:rPr>
          <w:fldChar w:fldCharType="begin"/>
        </w:r>
        <w:r w:rsidR="000A75EA">
          <w:rPr>
            <w:noProof/>
            <w:webHidden/>
          </w:rPr>
          <w:instrText xml:space="preserve"> PAGEREF _Toc353433195 \h </w:instrText>
        </w:r>
        <w:r w:rsidR="000A75EA">
          <w:rPr>
            <w:noProof/>
            <w:webHidden/>
          </w:rPr>
        </w:r>
        <w:r w:rsidR="000A75EA">
          <w:rPr>
            <w:noProof/>
            <w:webHidden/>
          </w:rPr>
          <w:fldChar w:fldCharType="separate"/>
        </w:r>
        <w:r>
          <w:rPr>
            <w:noProof/>
            <w:webHidden/>
          </w:rPr>
          <w:t>35</w:t>
        </w:r>
        <w:r w:rsidR="000A75EA">
          <w:rPr>
            <w:noProof/>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96" w:history="1">
        <w:r w:rsidR="000A75EA" w:rsidRPr="00616B11">
          <w:rPr>
            <w:rStyle w:val="Hypertextovodkaz"/>
          </w:rPr>
          <w:t>2.6 Ostatní antidepresiva</w:t>
        </w:r>
        <w:r w:rsidR="000A75EA">
          <w:rPr>
            <w:webHidden/>
          </w:rPr>
          <w:tab/>
        </w:r>
        <w:r w:rsidR="000A75EA">
          <w:rPr>
            <w:webHidden/>
          </w:rPr>
          <w:fldChar w:fldCharType="begin"/>
        </w:r>
        <w:r w:rsidR="000A75EA">
          <w:rPr>
            <w:webHidden/>
          </w:rPr>
          <w:instrText xml:space="preserve"> PAGEREF _Toc353433196 \h </w:instrText>
        </w:r>
        <w:r w:rsidR="000A75EA">
          <w:rPr>
            <w:webHidden/>
          </w:rPr>
        </w:r>
        <w:r w:rsidR="000A75EA">
          <w:rPr>
            <w:webHidden/>
          </w:rPr>
          <w:fldChar w:fldCharType="separate"/>
        </w:r>
        <w:r>
          <w:rPr>
            <w:webHidden/>
          </w:rPr>
          <w:t>35</w:t>
        </w:r>
        <w:r w:rsidR="000A75EA">
          <w:rPr>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197" w:history="1">
        <w:r w:rsidR="000A75EA" w:rsidRPr="00616B11">
          <w:rPr>
            <w:rStyle w:val="Hypertextovodkaz"/>
            <w:noProof/>
          </w:rPr>
          <w:t>2.6.1 Využití ostatních antidepresiv v ambulantní léčbě deprese</w:t>
        </w:r>
        <w:r w:rsidR="000A75EA">
          <w:rPr>
            <w:noProof/>
            <w:webHidden/>
          </w:rPr>
          <w:tab/>
        </w:r>
        <w:r w:rsidR="000A75EA">
          <w:rPr>
            <w:noProof/>
            <w:webHidden/>
          </w:rPr>
          <w:fldChar w:fldCharType="begin"/>
        </w:r>
        <w:r w:rsidR="000A75EA">
          <w:rPr>
            <w:noProof/>
            <w:webHidden/>
          </w:rPr>
          <w:instrText xml:space="preserve"> PAGEREF _Toc353433197 \h </w:instrText>
        </w:r>
        <w:r w:rsidR="000A75EA">
          <w:rPr>
            <w:noProof/>
            <w:webHidden/>
          </w:rPr>
        </w:r>
        <w:r w:rsidR="000A75EA">
          <w:rPr>
            <w:noProof/>
            <w:webHidden/>
          </w:rPr>
          <w:fldChar w:fldCharType="separate"/>
        </w:r>
        <w:r>
          <w:rPr>
            <w:noProof/>
            <w:webHidden/>
          </w:rPr>
          <w:t>36</w:t>
        </w:r>
        <w:r w:rsidR="000A75EA">
          <w:rPr>
            <w:noProof/>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198" w:history="1">
        <w:r w:rsidR="000A75EA" w:rsidRPr="00616B11">
          <w:rPr>
            <w:rStyle w:val="Hypertextovodkaz"/>
          </w:rPr>
          <w:t>3 Pohled pacienta na léčbu antidepresivy</w:t>
        </w:r>
        <w:r w:rsidR="000A75EA">
          <w:rPr>
            <w:webHidden/>
          </w:rPr>
          <w:tab/>
        </w:r>
        <w:r w:rsidR="000A75EA">
          <w:rPr>
            <w:webHidden/>
          </w:rPr>
          <w:fldChar w:fldCharType="begin"/>
        </w:r>
        <w:r w:rsidR="000A75EA">
          <w:rPr>
            <w:webHidden/>
          </w:rPr>
          <w:instrText xml:space="preserve"> PAGEREF _Toc353433198 \h </w:instrText>
        </w:r>
        <w:r w:rsidR="000A75EA">
          <w:rPr>
            <w:webHidden/>
          </w:rPr>
        </w:r>
        <w:r w:rsidR="000A75EA">
          <w:rPr>
            <w:webHidden/>
          </w:rPr>
          <w:fldChar w:fldCharType="separate"/>
        </w:r>
        <w:r>
          <w:rPr>
            <w:webHidden/>
          </w:rPr>
          <w:t>38</w:t>
        </w:r>
        <w:r w:rsidR="000A75EA">
          <w:rPr>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199" w:history="1">
        <w:r w:rsidR="000A75EA" w:rsidRPr="00616B11">
          <w:rPr>
            <w:rStyle w:val="Hypertextovodkaz"/>
          </w:rPr>
          <w:t>3.1 Compliance pacienta při léčbě deprese</w:t>
        </w:r>
        <w:r w:rsidR="000A75EA">
          <w:rPr>
            <w:webHidden/>
          </w:rPr>
          <w:tab/>
        </w:r>
        <w:r w:rsidR="000A75EA">
          <w:rPr>
            <w:webHidden/>
          </w:rPr>
          <w:fldChar w:fldCharType="begin"/>
        </w:r>
        <w:r w:rsidR="000A75EA">
          <w:rPr>
            <w:webHidden/>
          </w:rPr>
          <w:instrText xml:space="preserve"> PAGEREF _Toc353433199 \h </w:instrText>
        </w:r>
        <w:r w:rsidR="000A75EA">
          <w:rPr>
            <w:webHidden/>
          </w:rPr>
        </w:r>
        <w:r w:rsidR="000A75EA">
          <w:rPr>
            <w:webHidden/>
          </w:rPr>
          <w:fldChar w:fldCharType="separate"/>
        </w:r>
        <w:r>
          <w:rPr>
            <w:webHidden/>
          </w:rPr>
          <w:t>38</w:t>
        </w:r>
        <w:r w:rsidR="000A75EA">
          <w:rPr>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200" w:history="1">
        <w:r w:rsidR="000A75EA" w:rsidRPr="00616B11">
          <w:rPr>
            <w:rStyle w:val="Hypertextovodkaz"/>
          </w:rPr>
          <w:t>3. 2 Edukace pacienta o zásadách léčby antidepresivy</w:t>
        </w:r>
        <w:r w:rsidR="000A75EA">
          <w:rPr>
            <w:webHidden/>
          </w:rPr>
          <w:tab/>
        </w:r>
        <w:r w:rsidR="000A75EA">
          <w:rPr>
            <w:webHidden/>
          </w:rPr>
          <w:fldChar w:fldCharType="begin"/>
        </w:r>
        <w:r w:rsidR="000A75EA">
          <w:rPr>
            <w:webHidden/>
          </w:rPr>
          <w:instrText xml:space="preserve"> PAGEREF _Toc353433200 \h </w:instrText>
        </w:r>
        <w:r w:rsidR="000A75EA">
          <w:rPr>
            <w:webHidden/>
          </w:rPr>
        </w:r>
        <w:r w:rsidR="000A75EA">
          <w:rPr>
            <w:webHidden/>
          </w:rPr>
          <w:fldChar w:fldCharType="separate"/>
        </w:r>
        <w:r>
          <w:rPr>
            <w:webHidden/>
          </w:rPr>
          <w:t>40</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01" w:history="1">
        <w:r w:rsidR="000A75EA" w:rsidRPr="00616B11">
          <w:rPr>
            <w:rStyle w:val="Hypertextovodkaz"/>
          </w:rPr>
          <w:t>II PRAKTICKÁ ČÁST</w:t>
        </w:r>
        <w:r w:rsidR="000A75EA">
          <w:rPr>
            <w:webHidden/>
          </w:rPr>
          <w:tab/>
        </w:r>
        <w:r w:rsidR="000A75EA">
          <w:rPr>
            <w:webHidden/>
          </w:rPr>
          <w:fldChar w:fldCharType="begin"/>
        </w:r>
        <w:r w:rsidR="000A75EA">
          <w:rPr>
            <w:webHidden/>
          </w:rPr>
          <w:instrText xml:space="preserve"> PAGEREF _Toc353433201 \h </w:instrText>
        </w:r>
        <w:r w:rsidR="000A75EA">
          <w:rPr>
            <w:webHidden/>
          </w:rPr>
        </w:r>
        <w:r w:rsidR="000A75EA">
          <w:rPr>
            <w:webHidden/>
          </w:rPr>
          <w:fldChar w:fldCharType="separate"/>
        </w:r>
        <w:r>
          <w:rPr>
            <w:webHidden/>
          </w:rPr>
          <w:t>42</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02" w:history="1">
        <w:r w:rsidR="000A75EA" w:rsidRPr="00616B11">
          <w:rPr>
            <w:rStyle w:val="Hypertextovodkaz"/>
          </w:rPr>
          <w:t>4 Cíle výzkumu</w:t>
        </w:r>
        <w:r w:rsidR="000A75EA">
          <w:rPr>
            <w:webHidden/>
          </w:rPr>
          <w:tab/>
        </w:r>
        <w:r w:rsidR="000A75EA">
          <w:rPr>
            <w:webHidden/>
          </w:rPr>
          <w:fldChar w:fldCharType="begin"/>
        </w:r>
        <w:r w:rsidR="000A75EA">
          <w:rPr>
            <w:webHidden/>
          </w:rPr>
          <w:instrText xml:space="preserve"> PAGEREF _Toc353433202 \h </w:instrText>
        </w:r>
        <w:r w:rsidR="000A75EA">
          <w:rPr>
            <w:webHidden/>
          </w:rPr>
        </w:r>
        <w:r w:rsidR="000A75EA">
          <w:rPr>
            <w:webHidden/>
          </w:rPr>
          <w:fldChar w:fldCharType="separate"/>
        </w:r>
        <w:r>
          <w:rPr>
            <w:webHidden/>
          </w:rPr>
          <w:t>43</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03" w:history="1">
        <w:r w:rsidR="000A75EA" w:rsidRPr="00616B11">
          <w:rPr>
            <w:rStyle w:val="Hypertextovodkaz"/>
          </w:rPr>
          <w:t>5 Výzkumný soubor</w:t>
        </w:r>
        <w:r w:rsidR="000A75EA">
          <w:rPr>
            <w:webHidden/>
          </w:rPr>
          <w:tab/>
        </w:r>
        <w:r w:rsidR="000A75EA">
          <w:rPr>
            <w:webHidden/>
          </w:rPr>
          <w:fldChar w:fldCharType="begin"/>
        </w:r>
        <w:r w:rsidR="000A75EA">
          <w:rPr>
            <w:webHidden/>
          </w:rPr>
          <w:instrText xml:space="preserve"> PAGEREF _Toc353433203 \h </w:instrText>
        </w:r>
        <w:r w:rsidR="000A75EA">
          <w:rPr>
            <w:webHidden/>
          </w:rPr>
        </w:r>
        <w:r w:rsidR="000A75EA">
          <w:rPr>
            <w:webHidden/>
          </w:rPr>
          <w:fldChar w:fldCharType="separate"/>
        </w:r>
        <w:r>
          <w:rPr>
            <w:webHidden/>
          </w:rPr>
          <w:t>45</w:t>
        </w:r>
        <w:r w:rsidR="000A75EA">
          <w:rPr>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204" w:history="1">
        <w:r w:rsidR="000A75EA" w:rsidRPr="00616B11">
          <w:rPr>
            <w:rStyle w:val="Hypertextovodkaz"/>
          </w:rPr>
          <w:t>5.1 Průběh výzkumného šetření</w:t>
        </w:r>
        <w:r w:rsidR="000A75EA">
          <w:rPr>
            <w:webHidden/>
          </w:rPr>
          <w:tab/>
        </w:r>
        <w:r w:rsidR="000A75EA">
          <w:rPr>
            <w:webHidden/>
          </w:rPr>
          <w:fldChar w:fldCharType="begin"/>
        </w:r>
        <w:r w:rsidR="000A75EA">
          <w:rPr>
            <w:webHidden/>
          </w:rPr>
          <w:instrText xml:space="preserve"> PAGEREF _Toc353433204 \h </w:instrText>
        </w:r>
        <w:r w:rsidR="000A75EA">
          <w:rPr>
            <w:webHidden/>
          </w:rPr>
        </w:r>
        <w:r w:rsidR="000A75EA">
          <w:rPr>
            <w:webHidden/>
          </w:rPr>
          <w:fldChar w:fldCharType="separate"/>
        </w:r>
        <w:r>
          <w:rPr>
            <w:webHidden/>
          </w:rPr>
          <w:t>47</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05" w:history="1">
        <w:r w:rsidR="000A75EA" w:rsidRPr="00616B11">
          <w:rPr>
            <w:rStyle w:val="Hypertextovodkaz"/>
          </w:rPr>
          <w:t>6 Výzkumná metoda</w:t>
        </w:r>
        <w:r w:rsidR="000A75EA">
          <w:rPr>
            <w:webHidden/>
          </w:rPr>
          <w:tab/>
        </w:r>
        <w:r w:rsidR="000A75EA">
          <w:rPr>
            <w:webHidden/>
          </w:rPr>
          <w:fldChar w:fldCharType="begin"/>
        </w:r>
        <w:r w:rsidR="000A75EA">
          <w:rPr>
            <w:webHidden/>
          </w:rPr>
          <w:instrText xml:space="preserve"> PAGEREF _Toc353433205 \h </w:instrText>
        </w:r>
        <w:r w:rsidR="000A75EA">
          <w:rPr>
            <w:webHidden/>
          </w:rPr>
        </w:r>
        <w:r w:rsidR="000A75EA">
          <w:rPr>
            <w:webHidden/>
          </w:rPr>
          <w:fldChar w:fldCharType="separate"/>
        </w:r>
        <w:r>
          <w:rPr>
            <w:webHidden/>
          </w:rPr>
          <w:t>49</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06" w:history="1">
        <w:r w:rsidR="000A75EA" w:rsidRPr="00616B11">
          <w:rPr>
            <w:rStyle w:val="Hypertextovodkaz"/>
          </w:rPr>
          <w:t>7 Prezentace výzkumných šetření</w:t>
        </w:r>
        <w:r w:rsidR="000A75EA">
          <w:rPr>
            <w:webHidden/>
          </w:rPr>
          <w:tab/>
        </w:r>
        <w:r w:rsidR="000A75EA">
          <w:rPr>
            <w:webHidden/>
          </w:rPr>
          <w:fldChar w:fldCharType="begin"/>
        </w:r>
        <w:r w:rsidR="000A75EA">
          <w:rPr>
            <w:webHidden/>
          </w:rPr>
          <w:instrText xml:space="preserve"> PAGEREF _Toc353433206 \h </w:instrText>
        </w:r>
        <w:r w:rsidR="000A75EA">
          <w:rPr>
            <w:webHidden/>
          </w:rPr>
        </w:r>
        <w:r w:rsidR="000A75EA">
          <w:rPr>
            <w:webHidden/>
          </w:rPr>
          <w:fldChar w:fldCharType="separate"/>
        </w:r>
        <w:r>
          <w:rPr>
            <w:webHidden/>
          </w:rPr>
          <w:t>50</w:t>
        </w:r>
        <w:r w:rsidR="000A75EA">
          <w:rPr>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207" w:history="1">
        <w:r w:rsidR="000A75EA" w:rsidRPr="00616B11">
          <w:rPr>
            <w:rStyle w:val="Hypertextovodkaz"/>
          </w:rPr>
          <w:t>7.1 Subjektivní posouzení míry deprese u respondentů ve vztahu k proměnným</w:t>
        </w:r>
        <w:r w:rsidR="000A75EA">
          <w:rPr>
            <w:webHidden/>
          </w:rPr>
          <w:tab/>
        </w:r>
        <w:r w:rsidR="000A75EA">
          <w:rPr>
            <w:webHidden/>
          </w:rPr>
          <w:fldChar w:fldCharType="begin"/>
        </w:r>
        <w:r w:rsidR="000A75EA">
          <w:rPr>
            <w:webHidden/>
          </w:rPr>
          <w:instrText xml:space="preserve"> PAGEREF _Toc353433207 \h </w:instrText>
        </w:r>
        <w:r w:rsidR="000A75EA">
          <w:rPr>
            <w:webHidden/>
          </w:rPr>
        </w:r>
        <w:r w:rsidR="000A75EA">
          <w:rPr>
            <w:webHidden/>
          </w:rPr>
          <w:fldChar w:fldCharType="separate"/>
        </w:r>
        <w:r>
          <w:rPr>
            <w:webHidden/>
          </w:rPr>
          <w:t>50</w:t>
        </w:r>
        <w:r w:rsidR="000A75EA">
          <w:rPr>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208" w:history="1">
        <w:r w:rsidR="000A75EA" w:rsidRPr="00616B11">
          <w:rPr>
            <w:rStyle w:val="Hypertextovodkaz"/>
            <w:noProof/>
          </w:rPr>
          <w:t>7.1.1 Subjektivní posouzení míry deprese u respondentů vzhledem k typu užívaných antidepresiv</w:t>
        </w:r>
        <w:r w:rsidR="000A75EA">
          <w:rPr>
            <w:noProof/>
            <w:webHidden/>
          </w:rPr>
          <w:tab/>
        </w:r>
        <w:r w:rsidR="000A75EA">
          <w:rPr>
            <w:noProof/>
            <w:webHidden/>
          </w:rPr>
          <w:fldChar w:fldCharType="begin"/>
        </w:r>
        <w:r w:rsidR="000A75EA">
          <w:rPr>
            <w:noProof/>
            <w:webHidden/>
          </w:rPr>
          <w:instrText xml:space="preserve"> PAGEREF _Toc353433208 \h </w:instrText>
        </w:r>
        <w:r w:rsidR="000A75EA">
          <w:rPr>
            <w:noProof/>
            <w:webHidden/>
          </w:rPr>
        </w:r>
        <w:r w:rsidR="000A75EA">
          <w:rPr>
            <w:noProof/>
            <w:webHidden/>
          </w:rPr>
          <w:fldChar w:fldCharType="separate"/>
        </w:r>
        <w:r>
          <w:rPr>
            <w:noProof/>
            <w:webHidden/>
          </w:rPr>
          <w:t>50</w:t>
        </w:r>
        <w:r w:rsidR="000A75EA">
          <w:rPr>
            <w:noProof/>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209" w:history="1">
        <w:r w:rsidR="000A75EA" w:rsidRPr="00616B11">
          <w:rPr>
            <w:rStyle w:val="Hypertextovodkaz"/>
            <w:noProof/>
          </w:rPr>
          <w:t>7.2.2. Subjektivní posouzení míry deprese u respondentů vzhledem k délce užívaných antidepresiv</w:t>
        </w:r>
        <w:r w:rsidR="000A75EA">
          <w:rPr>
            <w:noProof/>
            <w:webHidden/>
          </w:rPr>
          <w:tab/>
        </w:r>
        <w:r w:rsidR="000A75EA">
          <w:rPr>
            <w:noProof/>
            <w:webHidden/>
          </w:rPr>
          <w:fldChar w:fldCharType="begin"/>
        </w:r>
        <w:r w:rsidR="000A75EA">
          <w:rPr>
            <w:noProof/>
            <w:webHidden/>
          </w:rPr>
          <w:instrText xml:space="preserve"> PAGEREF _Toc353433209 \h </w:instrText>
        </w:r>
        <w:r w:rsidR="000A75EA">
          <w:rPr>
            <w:noProof/>
            <w:webHidden/>
          </w:rPr>
        </w:r>
        <w:r w:rsidR="000A75EA">
          <w:rPr>
            <w:noProof/>
            <w:webHidden/>
          </w:rPr>
          <w:fldChar w:fldCharType="separate"/>
        </w:r>
        <w:r>
          <w:rPr>
            <w:noProof/>
            <w:webHidden/>
          </w:rPr>
          <w:t>56</w:t>
        </w:r>
        <w:r w:rsidR="000A75EA">
          <w:rPr>
            <w:noProof/>
            <w:webHidden/>
          </w:rPr>
          <w:fldChar w:fldCharType="end"/>
        </w:r>
      </w:hyperlink>
    </w:p>
    <w:p w:rsidR="000A75EA" w:rsidRDefault="002B44ED">
      <w:pPr>
        <w:pStyle w:val="Obsah4"/>
        <w:rPr>
          <w:rFonts w:asciiTheme="minorHAnsi" w:eastAsiaTheme="minorEastAsia" w:hAnsiTheme="minorHAnsi"/>
          <w:noProof/>
          <w:sz w:val="22"/>
          <w:lang w:eastAsia="cs-CZ"/>
        </w:rPr>
      </w:pPr>
      <w:hyperlink w:anchor="_Toc353433210" w:history="1">
        <w:r w:rsidR="000A75EA" w:rsidRPr="00616B11">
          <w:rPr>
            <w:rStyle w:val="Hypertextovodkaz"/>
            <w:noProof/>
          </w:rPr>
          <w:t>7.2.3 Subjektivní posouzení míry deprese u respondentů vzhledem k pohlaví</w:t>
        </w:r>
        <w:r w:rsidR="000A75EA">
          <w:rPr>
            <w:noProof/>
            <w:webHidden/>
          </w:rPr>
          <w:tab/>
        </w:r>
        <w:r w:rsidR="000A75EA">
          <w:rPr>
            <w:noProof/>
            <w:webHidden/>
          </w:rPr>
          <w:fldChar w:fldCharType="begin"/>
        </w:r>
        <w:r w:rsidR="000A75EA">
          <w:rPr>
            <w:noProof/>
            <w:webHidden/>
          </w:rPr>
          <w:instrText xml:space="preserve"> PAGEREF _Toc353433210 \h </w:instrText>
        </w:r>
        <w:r w:rsidR="000A75EA">
          <w:rPr>
            <w:noProof/>
            <w:webHidden/>
          </w:rPr>
        </w:r>
        <w:r w:rsidR="000A75EA">
          <w:rPr>
            <w:noProof/>
            <w:webHidden/>
          </w:rPr>
          <w:fldChar w:fldCharType="separate"/>
        </w:r>
        <w:r>
          <w:rPr>
            <w:noProof/>
            <w:webHidden/>
          </w:rPr>
          <w:t>59</w:t>
        </w:r>
        <w:r w:rsidR="000A75EA">
          <w:rPr>
            <w:noProof/>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211" w:history="1">
        <w:r w:rsidR="000A75EA" w:rsidRPr="00616B11">
          <w:rPr>
            <w:rStyle w:val="Hypertextovodkaz"/>
          </w:rPr>
          <w:t>7.2 Výskyt nežádoucích účinků u respondentů užívajících antidepresiva</w:t>
        </w:r>
        <w:r w:rsidR="000A75EA">
          <w:rPr>
            <w:webHidden/>
          </w:rPr>
          <w:tab/>
        </w:r>
        <w:r w:rsidR="000A75EA">
          <w:rPr>
            <w:webHidden/>
          </w:rPr>
          <w:fldChar w:fldCharType="begin"/>
        </w:r>
        <w:r w:rsidR="000A75EA">
          <w:rPr>
            <w:webHidden/>
          </w:rPr>
          <w:instrText xml:space="preserve"> PAGEREF _Toc353433211 \h </w:instrText>
        </w:r>
        <w:r w:rsidR="000A75EA">
          <w:rPr>
            <w:webHidden/>
          </w:rPr>
        </w:r>
        <w:r w:rsidR="000A75EA">
          <w:rPr>
            <w:webHidden/>
          </w:rPr>
          <w:fldChar w:fldCharType="separate"/>
        </w:r>
        <w:r>
          <w:rPr>
            <w:webHidden/>
          </w:rPr>
          <w:t>61</w:t>
        </w:r>
        <w:r w:rsidR="000A75EA">
          <w:rPr>
            <w:webHidden/>
          </w:rPr>
          <w:fldChar w:fldCharType="end"/>
        </w:r>
      </w:hyperlink>
    </w:p>
    <w:p w:rsidR="000A75EA" w:rsidRDefault="002B44ED">
      <w:pPr>
        <w:pStyle w:val="Obsah3"/>
        <w:rPr>
          <w:rFonts w:asciiTheme="minorHAnsi" w:eastAsiaTheme="minorEastAsia" w:hAnsiTheme="minorHAnsi"/>
          <w:b w:val="0"/>
          <w:sz w:val="22"/>
          <w:lang w:eastAsia="cs-CZ"/>
        </w:rPr>
      </w:pPr>
      <w:hyperlink w:anchor="_Toc353433212" w:history="1">
        <w:r w:rsidR="000A75EA" w:rsidRPr="00616B11">
          <w:rPr>
            <w:rStyle w:val="Hypertextovodkaz"/>
          </w:rPr>
          <w:t>7.3. Svévolné vysazení antidepresiv</w:t>
        </w:r>
        <w:r w:rsidR="000A75EA">
          <w:rPr>
            <w:webHidden/>
          </w:rPr>
          <w:tab/>
        </w:r>
        <w:r w:rsidR="000A75EA">
          <w:rPr>
            <w:webHidden/>
          </w:rPr>
          <w:fldChar w:fldCharType="begin"/>
        </w:r>
        <w:r w:rsidR="000A75EA">
          <w:rPr>
            <w:webHidden/>
          </w:rPr>
          <w:instrText xml:space="preserve"> PAGEREF _Toc353433212 \h </w:instrText>
        </w:r>
        <w:r w:rsidR="000A75EA">
          <w:rPr>
            <w:webHidden/>
          </w:rPr>
        </w:r>
        <w:r w:rsidR="000A75EA">
          <w:rPr>
            <w:webHidden/>
          </w:rPr>
          <w:fldChar w:fldCharType="separate"/>
        </w:r>
        <w:r>
          <w:rPr>
            <w:webHidden/>
          </w:rPr>
          <w:t>68</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13" w:history="1">
        <w:r w:rsidR="000A75EA" w:rsidRPr="00616B11">
          <w:rPr>
            <w:rStyle w:val="Hypertextovodkaz"/>
          </w:rPr>
          <w:t>8 Diskuze</w:t>
        </w:r>
        <w:r w:rsidR="000A75EA">
          <w:rPr>
            <w:webHidden/>
          </w:rPr>
          <w:tab/>
        </w:r>
        <w:r w:rsidR="000A75EA">
          <w:rPr>
            <w:webHidden/>
          </w:rPr>
          <w:fldChar w:fldCharType="begin"/>
        </w:r>
        <w:r w:rsidR="000A75EA">
          <w:rPr>
            <w:webHidden/>
          </w:rPr>
          <w:instrText xml:space="preserve"> PAGEREF _Toc353433213 \h </w:instrText>
        </w:r>
        <w:r w:rsidR="000A75EA">
          <w:rPr>
            <w:webHidden/>
          </w:rPr>
        </w:r>
        <w:r w:rsidR="000A75EA">
          <w:rPr>
            <w:webHidden/>
          </w:rPr>
          <w:fldChar w:fldCharType="separate"/>
        </w:r>
        <w:r>
          <w:rPr>
            <w:webHidden/>
          </w:rPr>
          <w:t>73</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14" w:history="1">
        <w:r w:rsidR="000A75EA" w:rsidRPr="00616B11">
          <w:rPr>
            <w:rStyle w:val="Hypertextovodkaz"/>
          </w:rPr>
          <w:t>Závěr</w:t>
        </w:r>
        <w:r w:rsidR="000A75EA">
          <w:rPr>
            <w:webHidden/>
          </w:rPr>
          <w:tab/>
        </w:r>
        <w:r w:rsidR="000A75EA">
          <w:rPr>
            <w:webHidden/>
          </w:rPr>
          <w:fldChar w:fldCharType="begin"/>
        </w:r>
        <w:r w:rsidR="000A75EA">
          <w:rPr>
            <w:webHidden/>
          </w:rPr>
          <w:instrText xml:space="preserve"> PAGEREF _Toc353433214 \h </w:instrText>
        </w:r>
        <w:r w:rsidR="000A75EA">
          <w:rPr>
            <w:webHidden/>
          </w:rPr>
        </w:r>
        <w:r w:rsidR="000A75EA">
          <w:rPr>
            <w:webHidden/>
          </w:rPr>
          <w:fldChar w:fldCharType="separate"/>
        </w:r>
        <w:r>
          <w:rPr>
            <w:webHidden/>
          </w:rPr>
          <w:t>78</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15" w:history="1">
        <w:r w:rsidR="000A75EA" w:rsidRPr="00616B11">
          <w:rPr>
            <w:rStyle w:val="Hypertextovodkaz"/>
          </w:rPr>
          <w:t>Souhrn</w:t>
        </w:r>
        <w:r w:rsidR="000A75EA">
          <w:rPr>
            <w:webHidden/>
          </w:rPr>
          <w:tab/>
        </w:r>
        <w:r w:rsidR="000A75EA">
          <w:rPr>
            <w:webHidden/>
          </w:rPr>
          <w:fldChar w:fldCharType="begin"/>
        </w:r>
        <w:r w:rsidR="000A75EA">
          <w:rPr>
            <w:webHidden/>
          </w:rPr>
          <w:instrText xml:space="preserve"> PAGEREF _Toc353433215 \h </w:instrText>
        </w:r>
        <w:r w:rsidR="000A75EA">
          <w:rPr>
            <w:webHidden/>
          </w:rPr>
        </w:r>
        <w:r w:rsidR="000A75EA">
          <w:rPr>
            <w:webHidden/>
          </w:rPr>
          <w:fldChar w:fldCharType="separate"/>
        </w:r>
        <w:r>
          <w:rPr>
            <w:webHidden/>
          </w:rPr>
          <w:t>79</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16" w:history="1">
        <w:r w:rsidR="000A75EA" w:rsidRPr="00616B11">
          <w:rPr>
            <w:rStyle w:val="Hypertextovodkaz"/>
          </w:rPr>
          <w:t>Summary</w:t>
        </w:r>
        <w:r w:rsidR="000A75EA">
          <w:rPr>
            <w:webHidden/>
          </w:rPr>
          <w:tab/>
        </w:r>
        <w:r w:rsidR="000A75EA">
          <w:rPr>
            <w:webHidden/>
          </w:rPr>
          <w:fldChar w:fldCharType="begin"/>
        </w:r>
        <w:r w:rsidR="000A75EA">
          <w:rPr>
            <w:webHidden/>
          </w:rPr>
          <w:instrText xml:space="preserve"> PAGEREF _Toc353433216 \h </w:instrText>
        </w:r>
        <w:r w:rsidR="000A75EA">
          <w:rPr>
            <w:webHidden/>
          </w:rPr>
        </w:r>
        <w:r w:rsidR="000A75EA">
          <w:rPr>
            <w:webHidden/>
          </w:rPr>
          <w:fldChar w:fldCharType="separate"/>
        </w:r>
        <w:r>
          <w:rPr>
            <w:webHidden/>
          </w:rPr>
          <w:t>80</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17" w:history="1">
        <w:r w:rsidR="000A75EA" w:rsidRPr="00616B11">
          <w:rPr>
            <w:rStyle w:val="Hypertextovodkaz"/>
          </w:rPr>
          <w:t>Referenční seznam</w:t>
        </w:r>
        <w:r w:rsidR="000A75EA">
          <w:rPr>
            <w:webHidden/>
          </w:rPr>
          <w:tab/>
        </w:r>
        <w:r w:rsidR="000A75EA">
          <w:rPr>
            <w:webHidden/>
          </w:rPr>
          <w:fldChar w:fldCharType="begin"/>
        </w:r>
        <w:r w:rsidR="000A75EA">
          <w:rPr>
            <w:webHidden/>
          </w:rPr>
          <w:instrText xml:space="preserve"> PAGEREF _Toc353433217 \h </w:instrText>
        </w:r>
        <w:r w:rsidR="000A75EA">
          <w:rPr>
            <w:webHidden/>
          </w:rPr>
        </w:r>
        <w:r w:rsidR="000A75EA">
          <w:rPr>
            <w:webHidden/>
          </w:rPr>
          <w:fldChar w:fldCharType="separate"/>
        </w:r>
        <w:r>
          <w:rPr>
            <w:webHidden/>
          </w:rPr>
          <w:t>81</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18" w:history="1">
        <w:r w:rsidR="000A75EA" w:rsidRPr="00616B11">
          <w:rPr>
            <w:rStyle w:val="Hypertextovodkaz"/>
          </w:rPr>
          <w:t>Seznam použitých zkratek</w:t>
        </w:r>
        <w:r w:rsidR="000A75EA">
          <w:rPr>
            <w:webHidden/>
          </w:rPr>
          <w:tab/>
        </w:r>
        <w:r w:rsidR="000A75EA">
          <w:rPr>
            <w:webHidden/>
          </w:rPr>
          <w:fldChar w:fldCharType="begin"/>
        </w:r>
        <w:r w:rsidR="000A75EA">
          <w:rPr>
            <w:webHidden/>
          </w:rPr>
          <w:instrText xml:space="preserve"> PAGEREF _Toc353433218 \h </w:instrText>
        </w:r>
        <w:r w:rsidR="000A75EA">
          <w:rPr>
            <w:webHidden/>
          </w:rPr>
        </w:r>
        <w:r w:rsidR="000A75EA">
          <w:rPr>
            <w:webHidden/>
          </w:rPr>
          <w:fldChar w:fldCharType="separate"/>
        </w:r>
        <w:r>
          <w:rPr>
            <w:webHidden/>
          </w:rPr>
          <w:t>90</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19" w:history="1">
        <w:r w:rsidR="000A75EA" w:rsidRPr="00616B11">
          <w:rPr>
            <w:rStyle w:val="Hypertextovodkaz"/>
          </w:rPr>
          <w:t>Seznam tabulek</w:t>
        </w:r>
        <w:r w:rsidR="000A75EA">
          <w:rPr>
            <w:webHidden/>
          </w:rPr>
          <w:tab/>
        </w:r>
        <w:r w:rsidR="000A75EA">
          <w:rPr>
            <w:webHidden/>
          </w:rPr>
          <w:fldChar w:fldCharType="begin"/>
        </w:r>
        <w:r w:rsidR="000A75EA">
          <w:rPr>
            <w:webHidden/>
          </w:rPr>
          <w:instrText xml:space="preserve"> PAGEREF _Toc353433219 \h </w:instrText>
        </w:r>
        <w:r w:rsidR="000A75EA">
          <w:rPr>
            <w:webHidden/>
          </w:rPr>
        </w:r>
        <w:r w:rsidR="000A75EA">
          <w:rPr>
            <w:webHidden/>
          </w:rPr>
          <w:fldChar w:fldCharType="separate"/>
        </w:r>
        <w:r>
          <w:rPr>
            <w:webHidden/>
          </w:rPr>
          <w:t>91</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20" w:history="1">
        <w:r w:rsidR="000A75EA" w:rsidRPr="00616B11">
          <w:rPr>
            <w:rStyle w:val="Hypertextovodkaz"/>
          </w:rPr>
          <w:t>Seznam grafů</w:t>
        </w:r>
        <w:r w:rsidR="000A75EA">
          <w:rPr>
            <w:webHidden/>
          </w:rPr>
          <w:tab/>
        </w:r>
        <w:r w:rsidR="000A75EA">
          <w:rPr>
            <w:webHidden/>
          </w:rPr>
          <w:fldChar w:fldCharType="begin"/>
        </w:r>
        <w:r w:rsidR="000A75EA">
          <w:rPr>
            <w:webHidden/>
          </w:rPr>
          <w:instrText xml:space="preserve"> PAGEREF _Toc353433220 \h </w:instrText>
        </w:r>
        <w:r w:rsidR="000A75EA">
          <w:rPr>
            <w:webHidden/>
          </w:rPr>
        </w:r>
        <w:r w:rsidR="000A75EA">
          <w:rPr>
            <w:webHidden/>
          </w:rPr>
          <w:fldChar w:fldCharType="separate"/>
        </w:r>
        <w:r>
          <w:rPr>
            <w:webHidden/>
          </w:rPr>
          <w:t>92</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21" w:history="1">
        <w:r w:rsidR="000A75EA" w:rsidRPr="00616B11">
          <w:rPr>
            <w:rStyle w:val="Hypertextovodkaz"/>
          </w:rPr>
          <w:t>Seznam obrázků</w:t>
        </w:r>
        <w:r w:rsidR="000A75EA">
          <w:rPr>
            <w:webHidden/>
          </w:rPr>
          <w:tab/>
        </w:r>
        <w:r w:rsidR="000A75EA">
          <w:rPr>
            <w:webHidden/>
          </w:rPr>
          <w:fldChar w:fldCharType="begin"/>
        </w:r>
        <w:r w:rsidR="000A75EA">
          <w:rPr>
            <w:webHidden/>
          </w:rPr>
          <w:instrText xml:space="preserve"> PAGEREF _Toc353433221 \h </w:instrText>
        </w:r>
        <w:r w:rsidR="000A75EA">
          <w:rPr>
            <w:webHidden/>
          </w:rPr>
        </w:r>
        <w:r w:rsidR="000A75EA">
          <w:rPr>
            <w:webHidden/>
          </w:rPr>
          <w:fldChar w:fldCharType="separate"/>
        </w:r>
        <w:r>
          <w:rPr>
            <w:webHidden/>
          </w:rPr>
          <w:t>93</w:t>
        </w:r>
        <w:r w:rsidR="000A75EA">
          <w:rPr>
            <w:webHidden/>
          </w:rPr>
          <w:fldChar w:fldCharType="end"/>
        </w:r>
      </w:hyperlink>
    </w:p>
    <w:p w:rsidR="000A75EA" w:rsidRDefault="002B44ED">
      <w:pPr>
        <w:pStyle w:val="Obsah6"/>
        <w:rPr>
          <w:rFonts w:asciiTheme="minorHAnsi" w:eastAsiaTheme="minorEastAsia" w:hAnsiTheme="minorHAnsi" w:cstheme="minorBidi"/>
          <w:b w:val="0"/>
          <w:sz w:val="22"/>
          <w:szCs w:val="22"/>
          <w:lang w:eastAsia="cs-CZ"/>
        </w:rPr>
      </w:pPr>
      <w:hyperlink w:anchor="_Toc353433222" w:history="1">
        <w:r w:rsidR="000A75EA" w:rsidRPr="00616B11">
          <w:rPr>
            <w:rStyle w:val="Hypertextovodkaz"/>
          </w:rPr>
          <w:t>Seznam příloh</w:t>
        </w:r>
        <w:r w:rsidR="000A75EA">
          <w:rPr>
            <w:webHidden/>
          </w:rPr>
          <w:tab/>
        </w:r>
        <w:r w:rsidR="000A75EA">
          <w:rPr>
            <w:webHidden/>
          </w:rPr>
          <w:fldChar w:fldCharType="begin"/>
        </w:r>
        <w:r w:rsidR="000A75EA">
          <w:rPr>
            <w:webHidden/>
          </w:rPr>
          <w:instrText xml:space="preserve"> PAGEREF _Toc353433222 \h </w:instrText>
        </w:r>
        <w:r w:rsidR="000A75EA">
          <w:rPr>
            <w:webHidden/>
          </w:rPr>
        </w:r>
        <w:r w:rsidR="000A75EA">
          <w:rPr>
            <w:webHidden/>
          </w:rPr>
          <w:fldChar w:fldCharType="separate"/>
        </w:r>
        <w:r>
          <w:rPr>
            <w:webHidden/>
          </w:rPr>
          <w:t>94</w:t>
        </w:r>
        <w:r w:rsidR="000A75EA">
          <w:rPr>
            <w:webHidden/>
          </w:rPr>
          <w:fldChar w:fldCharType="end"/>
        </w:r>
      </w:hyperlink>
    </w:p>
    <w:p w:rsidR="005A06E4" w:rsidRDefault="005B07C8" w:rsidP="00041C3D">
      <w:pPr>
        <w:pStyle w:val="Nadpis6"/>
        <w:rPr>
          <w:rFonts w:cs="Times New Roman"/>
        </w:rPr>
        <w:sectPr w:rsidR="005A06E4" w:rsidSect="004C0F59">
          <w:pgSz w:w="11906" w:h="16838"/>
          <w:pgMar w:top="1418" w:right="1247" w:bottom="1418" w:left="1985" w:header="709" w:footer="709" w:gutter="0"/>
          <w:cols w:space="708"/>
          <w:docGrid w:linePitch="360"/>
        </w:sectPr>
      </w:pPr>
      <w:r w:rsidRPr="00320E05">
        <w:rPr>
          <w:rFonts w:cs="Times New Roman"/>
        </w:rPr>
        <w:fldChar w:fldCharType="end"/>
      </w:r>
    </w:p>
    <w:p w:rsidR="00E06772" w:rsidRPr="005A06E4" w:rsidRDefault="00E06772" w:rsidP="005A06E4">
      <w:pPr>
        <w:pStyle w:val="Nadpis6"/>
        <w:rPr>
          <w:rFonts w:cs="Times New Roman"/>
        </w:rPr>
      </w:pPr>
      <w:bookmarkStart w:id="1" w:name="_Toc353433169"/>
      <w:r>
        <w:lastRenderedPageBreak/>
        <w:t>Úvod</w:t>
      </w:r>
      <w:bookmarkEnd w:id="1"/>
    </w:p>
    <w:p w:rsidR="005C32E4" w:rsidRDefault="00E06772" w:rsidP="004C0F59">
      <w:pPr>
        <w:ind w:firstLine="284"/>
      </w:pPr>
      <w:r>
        <w:t>Deprese je vážné onemocnění, které výrazně zneschopňuje nemocné</w:t>
      </w:r>
      <w:r w:rsidR="000E2F42">
        <w:t>,</w:t>
      </w:r>
      <w:r>
        <w:t xml:space="preserve"> a je u ní zvýšené riziko vzniku relapsů. </w:t>
      </w:r>
      <w:r w:rsidR="00E04F41">
        <w:t xml:space="preserve">Z hlediska psychiatrie je důležitá dlouhodobá farmakologická léčba za využití antidepresiv. Ta </w:t>
      </w:r>
      <w:r w:rsidR="000E2F42">
        <w:t xml:space="preserve">s </w:t>
      </w:r>
      <w:r w:rsidR="00E04F41">
        <w:t>sebou ovšem nese určitá úskalí, která často souvisí s pohledem pacienta na léčbu. Pro dlouhodobou</w:t>
      </w:r>
      <w:r w:rsidR="00B14695">
        <w:t xml:space="preserve"> léčbu antidepresivy je důležitá</w:t>
      </w:r>
      <w:r w:rsidR="00E04F41">
        <w:t xml:space="preserve"> spolupráce mezi pacientem a lékařem, v tomto případě psychiatrem. K</w:t>
      </w:r>
      <w:r w:rsidR="005C32E4">
        <w:t> </w:t>
      </w:r>
      <w:r w:rsidR="00E04F41">
        <w:t>tomu</w:t>
      </w:r>
      <w:r w:rsidR="005C32E4">
        <w:t>,</w:t>
      </w:r>
      <w:r w:rsidR="00E04F41">
        <w:t xml:space="preserve"> aby byla léčba úspěšná</w:t>
      </w:r>
      <w:r w:rsidR="005C32E4">
        <w:t>,</w:t>
      </w:r>
      <w:r w:rsidR="00E04F41">
        <w:t xml:space="preserve"> musí bý</w:t>
      </w:r>
      <w:r w:rsidR="005C32E4">
        <w:t>t zvoleno vhodné antidepresivum a</w:t>
      </w:r>
      <w:r w:rsidR="00E04F41">
        <w:t xml:space="preserve"> vhodná dávka s minimem nežádoucích účinků. Lékař by měl být k pacientovi co nejvstřícnější, empatický a pomoci pacientovi ventilovat negativní emoce. Pacient by </w:t>
      </w:r>
      <w:r w:rsidR="005C32E4">
        <w:t xml:space="preserve">naopak měl být přesvědčen o nutnosti užívat léky a samozřejmě věřit v uzdravení. </w:t>
      </w:r>
    </w:p>
    <w:p w:rsidR="001C7CA2" w:rsidRDefault="00E90A29" w:rsidP="00E04F41">
      <w:pPr>
        <w:ind w:firstLine="284"/>
      </w:pPr>
      <w:r>
        <w:t>V teoretické části práce se pojednává</w:t>
      </w:r>
      <w:r w:rsidR="005C32E4">
        <w:t xml:space="preserve"> o depresi, jejím vzniku, klinických projevech, diagnostice a léčbě. Další část je věnována problematice antidepresiv. Je zde přehledně uvedeno několik</w:t>
      </w:r>
      <w:r w:rsidR="00B14695">
        <w:t>,</w:t>
      </w:r>
      <w:r w:rsidR="005C32E4">
        <w:t xml:space="preserve"> v dnešní době dostupných</w:t>
      </w:r>
      <w:r w:rsidR="00B14695">
        <w:t>, generací antidepresiv,</w:t>
      </w:r>
      <w:r w:rsidR="005C32E4">
        <w:t xml:space="preserve"> které se k léčbě deprese užívají. Probrány jsou nejen jejich indikace, ale i nežádoucí účinky, kontraindikace apod.</w:t>
      </w:r>
      <w:r w:rsidR="000E2F42">
        <w:t>.</w:t>
      </w:r>
      <w:r w:rsidR="005C32E4">
        <w:t xml:space="preserve"> Třetí částí je pohled p</w:t>
      </w:r>
      <w:r w:rsidR="001C7CA2">
        <w:t>acienta na léčbu antidepresivy, je zde zejména probrána problematika compliance</w:t>
      </w:r>
      <w:r>
        <w:rPr>
          <w:rStyle w:val="Znakapoznpodarou"/>
        </w:rPr>
        <w:footnoteReference w:id="1"/>
      </w:r>
      <w:r w:rsidR="001C7CA2">
        <w:t xml:space="preserve"> </w:t>
      </w:r>
      <w:r w:rsidR="00B14695">
        <w:t xml:space="preserve">pacientů </w:t>
      </w:r>
      <w:r w:rsidR="001C7CA2">
        <w:t xml:space="preserve">k léčbě. </w:t>
      </w:r>
    </w:p>
    <w:p w:rsidR="00E04F41" w:rsidRDefault="0092743D" w:rsidP="00E04F41">
      <w:pPr>
        <w:ind w:firstLine="284"/>
      </w:pPr>
      <w:r>
        <w:t xml:space="preserve">Praktická část pracuje s výzkumnými otázkami a  hypotézami a prezentuje získaná data. Tato data byla získána od ambulantních pacientů, kteří se léčí s diagnózou deprese </w:t>
      </w:r>
      <w:r w:rsidR="00B14695">
        <w:t xml:space="preserve"> </w:t>
      </w:r>
      <w:r>
        <w:t xml:space="preserve">F 32. </w:t>
      </w:r>
      <w:r w:rsidRPr="00B14695">
        <w:rPr>
          <w:b/>
        </w:rPr>
        <w:t>Hlavním cílem této práce je zjistit subjektivní posouzení míry deprese u zkoumaných osob ve vztahu k typu, délce užívání antidepresiv a pohlaví respondentů, dále zjistit nežádoucí účinky antidepresiv a hledat souvislosti s předčasným vysazením antidepresiv</w:t>
      </w:r>
      <w:r w:rsidRPr="0092743D">
        <w:t>.</w:t>
      </w:r>
    </w:p>
    <w:p w:rsidR="00CA7363" w:rsidRDefault="00CA7363" w:rsidP="00E04F41">
      <w:pPr>
        <w:ind w:firstLine="284"/>
      </w:pPr>
      <w:r>
        <w:t>Je také nutné říci, že psychiatrická onemocnění mají ve společnosti zvláštní postavení a není jednoduché se s onemocněním smířit. Na druhou stranu jsou tato onemocnění léčitelná</w:t>
      </w:r>
      <w:r w:rsidR="00B14695">
        <w:t>,</w:t>
      </w:r>
      <w:r>
        <w:t xml:space="preserve"> a proto </w:t>
      </w:r>
      <w:r w:rsidR="00B14695">
        <w:t xml:space="preserve">je </w:t>
      </w:r>
      <w:r>
        <w:t xml:space="preserve">hlavní neztrácet naději. I když se deprese zdá být bezvýchodná.  </w:t>
      </w:r>
    </w:p>
    <w:p w:rsidR="003B29A4" w:rsidRDefault="00AB5734" w:rsidP="00E04F41">
      <w:r>
        <w:br w:type="page"/>
      </w:r>
      <w:r w:rsidR="00041C3D">
        <w:lastRenderedPageBreak/>
        <w:t xml:space="preserve"> </w:t>
      </w:r>
    </w:p>
    <w:p w:rsidR="003B29A4" w:rsidRDefault="003B29A4" w:rsidP="003B29A4">
      <w:pPr>
        <w:spacing w:line="720" w:lineRule="auto"/>
        <w:jc w:val="center"/>
      </w:pPr>
    </w:p>
    <w:p w:rsidR="003B29A4" w:rsidRDefault="003B29A4" w:rsidP="003B29A4">
      <w:pPr>
        <w:spacing w:line="720" w:lineRule="auto"/>
        <w:jc w:val="center"/>
      </w:pPr>
    </w:p>
    <w:p w:rsidR="003B29A4" w:rsidRDefault="003B29A4" w:rsidP="003B29A4">
      <w:pPr>
        <w:spacing w:line="720" w:lineRule="auto"/>
        <w:jc w:val="center"/>
      </w:pPr>
    </w:p>
    <w:p w:rsidR="003B29A4" w:rsidRDefault="003B29A4" w:rsidP="003B29A4">
      <w:pPr>
        <w:spacing w:line="720" w:lineRule="auto"/>
        <w:jc w:val="center"/>
      </w:pPr>
    </w:p>
    <w:p w:rsidR="003B29A4" w:rsidRDefault="003B29A4" w:rsidP="003B29A4">
      <w:pPr>
        <w:spacing w:line="720" w:lineRule="auto"/>
        <w:jc w:val="center"/>
      </w:pPr>
    </w:p>
    <w:p w:rsidR="003B29A4" w:rsidRDefault="003B29A4" w:rsidP="003B29A4">
      <w:pPr>
        <w:spacing w:line="720" w:lineRule="auto"/>
        <w:jc w:val="center"/>
      </w:pPr>
    </w:p>
    <w:p w:rsidR="003B29A4" w:rsidRDefault="003B29A4" w:rsidP="003B29A4">
      <w:pPr>
        <w:spacing w:line="720" w:lineRule="auto"/>
        <w:jc w:val="center"/>
      </w:pPr>
    </w:p>
    <w:p w:rsidR="00CA10E4" w:rsidRPr="003B29A4" w:rsidRDefault="003B29A4" w:rsidP="003B29A4">
      <w:pPr>
        <w:pStyle w:val="Nadpis1"/>
        <w:numPr>
          <w:ilvl w:val="0"/>
          <w:numId w:val="0"/>
        </w:numPr>
      </w:pPr>
      <w:r>
        <w:rPr>
          <w:rStyle w:val="Nadpis6Char"/>
          <w:b/>
          <w:iCs w:val="0"/>
        </w:rPr>
        <w:t xml:space="preserve">                            </w:t>
      </w:r>
      <w:r w:rsidR="00CA10E4" w:rsidRPr="003B29A4">
        <w:rPr>
          <w:rStyle w:val="Nadpis6Char"/>
          <w:b/>
          <w:iCs w:val="0"/>
        </w:rPr>
        <w:t xml:space="preserve"> </w:t>
      </w:r>
      <w:bookmarkStart w:id="2" w:name="_Toc353433170"/>
      <w:r>
        <w:rPr>
          <w:rStyle w:val="Nadpis6Char"/>
          <w:b/>
          <w:iCs w:val="0"/>
        </w:rPr>
        <w:t xml:space="preserve">I </w:t>
      </w:r>
      <w:r w:rsidR="00CA10E4" w:rsidRPr="003B29A4">
        <w:rPr>
          <w:rStyle w:val="Nadpis6Char"/>
          <w:b/>
          <w:iCs w:val="0"/>
        </w:rPr>
        <w:t>TEORETICKÁ ČÁST</w:t>
      </w:r>
      <w:bookmarkEnd w:id="2"/>
    </w:p>
    <w:p w:rsidR="003B29A4" w:rsidRDefault="003B29A4" w:rsidP="003B29A4">
      <w:pPr>
        <w:rPr>
          <w:rStyle w:val="Nadpis1Char"/>
        </w:rPr>
      </w:pPr>
    </w:p>
    <w:p w:rsidR="003B29A4" w:rsidRDefault="003B29A4" w:rsidP="003B29A4">
      <w:pPr>
        <w:rPr>
          <w:rStyle w:val="Nadpis1Char"/>
        </w:rPr>
      </w:pPr>
    </w:p>
    <w:p w:rsidR="003B29A4" w:rsidRDefault="003B29A4" w:rsidP="003B29A4">
      <w:pPr>
        <w:rPr>
          <w:rStyle w:val="Nadpis1Char"/>
        </w:rPr>
      </w:pPr>
    </w:p>
    <w:p w:rsidR="003B29A4" w:rsidRDefault="003B29A4" w:rsidP="003B29A4">
      <w:pPr>
        <w:rPr>
          <w:rStyle w:val="Nadpis1Char"/>
        </w:rPr>
      </w:pPr>
    </w:p>
    <w:p w:rsidR="003B29A4" w:rsidRDefault="003B29A4" w:rsidP="003B29A4">
      <w:pPr>
        <w:rPr>
          <w:rStyle w:val="Nadpis1Char"/>
        </w:rPr>
      </w:pPr>
    </w:p>
    <w:p w:rsidR="003B29A4" w:rsidRDefault="003B29A4" w:rsidP="003B29A4">
      <w:pPr>
        <w:rPr>
          <w:rStyle w:val="Nadpis1Char"/>
        </w:rPr>
      </w:pPr>
    </w:p>
    <w:p w:rsidR="003B29A4" w:rsidRDefault="003B29A4" w:rsidP="003B29A4">
      <w:pPr>
        <w:rPr>
          <w:rStyle w:val="Nadpis1Char"/>
        </w:rPr>
      </w:pPr>
    </w:p>
    <w:p w:rsidR="003B29A4" w:rsidRDefault="003B29A4" w:rsidP="003B29A4">
      <w:pPr>
        <w:rPr>
          <w:rStyle w:val="Nadpis1Char"/>
        </w:rPr>
      </w:pPr>
    </w:p>
    <w:p w:rsidR="003B29A4" w:rsidRDefault="003B29A4" w:rsidP="003B29A4">
      <w:pPr>
        <w:rPr>
          <w:rStyle w:val="Nadpis1Char"/>
        </w:rPr>
      </w:pPr>
    </w:p>
    <w:p w:rsidR="003B29A4" w:rsidRDefault="003B29A4" w:rsidP="003B29A4">
      <w:pPr>
        <w:rPr>
          <w:rStyle w:val="Nadpis1Char"/>
        </w:rPr>
      </w:pPr>
    </w:p>
    <w:p w:rsidR="003B29A4" w:rsidRDefault="003B29A4" w:rsidP="003B29A4">
      <w:pPr>
        <w:rPr>
          <w:rStyle w:val="Nadpis1Char"/>
        </w:rPr>
      </w:pPr>
    </w:p>
    <w:p w:rsidR="00A84FE5" w:rsidRDefault="00EA053B" w:rsidP="00A84FE5">
      <w:pPr>
        <w:pStyle w:val="Nadpis6"/>
      </w:pPr>
      <w:bookmarkStart w:id="3" w:name="_Toc343360451"/>
      <w:bookmarkStart w:id="4" w:name="_Toc343360485"/>
      <w:bookmarkStart w:id="5" w:name="_Toc343360707"/>
      <w:bookmarkStart w:id="6" w:name="_Toc343360806"/>
      <w:bookmarkStart w:id="7" w:name="_Toc343782732"/>
      <w:bookmarkStart w:id="8" w:name="_Toc353433171"/>
      <w:r w:rsidRPr="00320E05">
        <w:lastRenderedPageBreak/>
        <w:t>1</w:t>
      </w:r>
      <w:bookmarkEnd w:id="3"/>
      <w:bookmarkEnd w:id="4"/>
      <w:bookmarkEnd w:id="5"/>
      <w:bookmarkEnd w:id="6"/>
      <w:bookmarkEnd w:id="7"/>
      <w:r w:rsidR="00A84FE5">
        <w:t xml:space="preserve"> Deprese</w:t>
      </w:r>
      <w:bookmarkEnd w:id="8"/>
    </w:p>
    <w:p w:rsidR="00A640FD" w:rsidRDefault="00A84FE5" w:rsidP="00A640FD">
      <w:pPr>
        <w:ind w:firstLine="284"/>
      </w:pPr>
      <w:r>
        <w:rPr>
          <w:i/>
        </w:rPr>
        <w:t>„</w:t>
      </w:r>
      <w:r w:rsidRPr="00241290">
        <w:rPr>
          <w:i/>
        </w:rPr>
        <w:t>Deprese je nemoc, není to situačně smutná nálada, lítost nebo nespokojenost. Jedná se o intenzivní duševní stav charakterizovaný projevy j</w:t>
      </w:r>
      <w:r w:rsidR="00403144">
        <w:rPr>
          <w:i/>
        </w:rPr>
        <w:t>ak psychickými, tak i tělesnými</w:t>
      </w:r>
      <w:r>
        <w:rPr>
          <w:i/>
        </w:rPr>
        <w:t>“ (</w:t>
      </w:r>
      <w:r w:rsidR="000E2F42">
        <w:t>Janů, Racková, 2007, s. 24-</w:t>
      </w:r>
      <w:r>
        <w:t>27)</w:t>
      </w:r>
      <w:r w:rsidR="00403144">
        <w:t>.</w:t>
      </w:r>
      <w:r w:rsidR="00A640FD" w:rsidRPr="00A640FD">
        <w:t xml:space="preserve"> </w:t>
      </w:r>
      <w:r w:rsidR="00A640FD">
        <w:t>Narušení emočního prožívání se objevuje jako součást většiny duševních i somatických obtíží. Lze je chápat jako schopnost našeho organismu signaliz</w:t>
      </w:r>
      <w:r w:rsidR="00403144">
        <w:t>ovat narušení vlastní rovnováhy (Vágnerová, 2004).</w:t>
      </w:r>
    </w:p>
    <w:p w:rsidR="00A84FE5" w:rsidRDefault="00026B29" w:rsidP="00A84FE5">
      <w:pPr>
        <w:ind w:firstLine="284"/>
      </w:pPr>
      <w:r>
        <w:t xml:space="preserve"> Diagnóza deprese stojí z velké části n</w:t>
      </w:r>
      <w:r w:rsidR="004078ED">
        <w:t>a líčení subjektivních prožitků nemocného</w:t>
      </w:r>
      <w:r>
        <w:t xml:space="preserve"> člověka.</w:t>
      </w:r>
      <w:r w:rsidR="004078ED">
        <w:t xml:space="preserve">  Lidmi je často vnímána jako tělesné utrpení: kámen v břiše, nesnesitelný vnitřní neklid apod</w:t>
      </w:r>
      <w:r w:rsidR="000E2F42">
        <w:t>.</w:t>
      </w:r>
      <w:r w:rsidR="004078ED">
        <w:t>.</w:t>
      </w:r>
      <w:r w:rsidR="00917D16">
        <w:t xml:space="preserve"> Cítění a myšlení nemocného zpočátku odpovídá všední depresivní náladě zdravého člověka, proto není jednoduché pro okolí poznat a uznat ji jako nemoc (Rahn, Mahnkopf, 2000).</w:t>
      </w:r>
      <w:r w:rsidR="00A84FE5">
        <w:t xml:space="preserve"> Je chybné se domnívat, že deprese je onemocnění vůle. Nutné je také odlišit depresi od smutku nebo rozlady. Deprese je intenzivnější než smutek, trvá déle a narušuje každodenní fungování. Mnoho lidí užívá přirovnání „mám depku“, to ovšem nevyjadřuje onemocnění jako takové, ale spíše nespokojenost</w:t>
      </w:r>
      <w:r w:rsidR="00403144">
        <w:t xml:space="preserve"> se svým životem</w:t>
      </w:r>
      <w:r w:rsidR="00A84FE5">
        <w:t xml:space="preserve"> (Praško, Buliková, Sikmundová, 2009)</w:t>
      </w:r>
      <w:r w:rsidR="00403144">
        <w:t>.</w:t>
      </w:r>
      <w:r w:rsidR="00A640FD">
        <w:t xml:space="preserve"> </w:t>
      </w:r>
      <w:r w:rsidR="00A84FE5">
        <w:t>Onemocnění deprese je vážné a výrazně zneschopňuje pacienta. I když je deprese léčitelné onemocnění, pravděpodo</w:t>
      </w:r>
      <w:r w:rsidR="00403144">
        <w:t>bnost výskytu relapsů je vysoká</w:t>
      </w:r>
      <w:r w:rsidR="00A84FE5">
        <w:t xml:space="preserve"> (Martinický, 2008). Pokud není léčena, dochází ke ztrátě výkonnosti, izolaci, ztrátě radosti ze života a zhoršuje celkový stav člověka. </w:t>
      </w:r>
    </w:p>
    <w:p w:rsidR="001F44DA" w:rsidRPr="00AB5734" w:rsidRDefault="00A84FE5" w:rsidP="00414C11">
      <w:pPr>
        <w:ind w:firstLine="284"/>
      </w:pPr>
      <w:r>
        <w:t>Mnoho lidí s depresí nehledá pomoc. Neuvědomují si, že jsou nemocní, stydí se anebo doufají, že to překonají sami. Pro některé je to jako přiznat slabost nebo selhání. Důležité je si uvědomit, že</w:t>
      </w:r>
      <w:r w:rsidR="00403144">
        <w:t xml:space="preserve"> deprese je nemoc a dá se léčit</w:t>
      </w:r>
      <w:r>
        <w:t xml:space="preserve"> (Praško, Buliková, Sikmundová, 2009)</w:t>
      </w:r>
      <w:r w:rsidR="00403144">
        <w:t>.</w:t>
      </w:r>
    </w:p>
    <w:p w:rsidR="004E190E" w:rsidRDefault="004E190E" w:rsidP="000806E5">
      <w:pPr>
        <w:ind w:firstLine="284"/>
      </w:pPr>
    </w:p>
    <w:p w:rsidR="00D109D6" w:rsidRPr="00D109D6" w:rsidRDefault="00D109D6" w:rsidP="00D109D6"/>
    <w:p w:rsidR="00206017" w:rsidRPr="00D62F3D" w:rsidRDefault="000806E5" w:rsidP="00206017">
      <w:pPr>
        <w:pStyle w:val="Nadpis3"/>
      </w:pPr>
      <w:r w:rsidRPr="00A12EED">
        <w:t> </w:t>
      </w:r>
      <w:bookmarkStart w:id="9" w:name="_Toc343360808"/>
      <w:bookmarkStart w:id="10" w:name="_Toc343782734"/>
      <w:bookmarkStart w:id="11" w:name="_Toc353433172"/>
      <w:r w:rsidR="009E72C1">
        <w:t>1</w:t>
      </w:r>
      <w:r w:rsidR="001636C1">
        <w:t>.2</w:t>
      </w:r>
      <w:r w:rsidR="005576C1" w:rsidRPr="00A12EED">
        <w:t xml:space="preserve"> </w:t>
      </w:r>
      <w:r w:rsidR="00206017" w:rsidRPr="00A12EED">
        <w:t>Epidemiologie deprese</w:t>
      </w:r>
      <w:bookmarkEnd w:id="9"/>
      <w:bookmarkEnd w:id="10"/>
      <w:bookmarkEnd w:id="11"/>
    </w:p>
    <w:p w:rsidR="00206017" w:rsidRPr="00E112C1" w:rsidRDefault="000E2F42" w:rsidP="00206017">
      <w:pPr>
        <w:ind w:firstLine="284"/>
        <w:rPr>
          <w:color w:val="000000"/>
        </w:rPr>
      </w:pPr>
      <w:r>
        <w:t>Z hlediska afektivních poruch</w:t>
      </w:r>
      <w:r w:rsidR="00206017">
        <w:t xml:space="preserve"> patří deprese mezi nejčastější duševní onemocnění. V současné době deprese postihuje</w:t>
      </w:r>
      <w:r w:rsidR="00806A63">
        <w:t xml:space="preserve"> </w:t>
      </w:r>
      <w:r w:rsidR="00806A63" w:rsidRPr="003365D6">
        <w:t>10 % obyvatelstva</w:t>
      </w:r>
      <w:r w:rsidR="00806A63">
        <w:t xml:space="preserve"> (</w:t>
      </w:r>
      <w:r w:rsidR="003365D6">
        <w:t>Praško, 2007</w:t>
      </w:r>
      <w:r w:rsidR="00806A63">
        <w:t>)</w:t>
      </w:r>
      <w:r w:rsidR="009C0E27">
        <w:t>.</w:t>
      </w:r>
      <w:r w:rsidR="00206017">
        <w:t xml:space="preserve"> </w:t>
      </w:r>
      <w:r w:rsidR="00347102">
        <w:t xml:space="preserve">Švestka (2009) poukazuje na fakt, že výskyt deprese v posledních desetiletích stoupá, zvláště u narozených po roce 1945. </w:t>
      </w:r>
      <w:r w:rsidR="00206017">
        <w:t>Celoživotní prevalence se v civiliz</w:t>
      </w:r>
      <w:r>
        <w:t>ovaných zemích pohybuje okolo 5-</w:t>
      </w:r>
      <w:r w:rsidR="00206017">
        <w:t xml:space="preserve">17 %. Přičemž na prvním místě je USA (17 %). Naopak nejnižší celoživotní </w:t>
      </w:r>
      <w:r w:rsidR="0078723A">
        <w:t>prevalenci udává Japonsko (3 %)</w:t>
      </w:r>
      <w:r w:rsidR="009C0E27">
        <w:t>;</w:t>
      </w:r>
      <w:r w:rsidR="0078723A">
        <w:t xml:space="preserve"> </w:t>
      </w:r>
      <w:r w:rsidR="00806A63">
        <w:t>(Andrade, Caraveo,</w:t>
      </w:r>
      <w:r w:rsidR="00FC2A11">
        <w:t xml:space="preserve"> </w:t>
      </w:r>
      <w:r w:rsidR="00BE3ED2">
        <w:t>2003</w:t>
      </w:r>
      <w:r w:rsidR="00806A63">
        <w:t>)</w:t>
      </w:r>
      <w:r w:rsidR="0078723A">
        <w:t>.</w:t>
      </w:r>
      <w:r w:rsidR="00206017">
        <w:t xml:space="preserve">  </w:t>
      </w:r>
    </w:p>
    <w:p w:rsidR="000E2F42" w:rsidRDefault="00206017" w:rsidP="00206017">
      <w:pPr>
        <w:ind w:firstLine="284"/>
        <w:rPr>
          <w:szCs w:val="24"/>
        </w:rPr>
      </w:pPr>
      <w:r w:rsidRPr="00303348">
        <w:rPr>
          <w:rStyle w:val="Znakapoznpodarou"/>
          <w:szCs w:val="24"/>
        </w:rPr>
        <w:t xml:space="preserve"> </w:t>
      </w:r>
    </w:p>
    <w:p w:rsidR="0087093D" w:rsidRDefault="00FC2A11" w:rsidP="00206017">
      <w:pPr>
        <w:ind w:firstLine="284"/>
      </w:pPr>
      <w:r>
        <w:rPr>
          <w:szCs w:val="24"/>
        </w:rPr>
        <w:lastRenderedPageBreak/>
        <w:t>V Evropských zemích se dle šetření EHIS vyskytují dep</w:t>
      </w:r>
      <w:r w:rsidR="00403144">
        <w:rPr>
          <w:szCs w:val="24"/>
        </w:rPr>
        <w:t>rese nejčastěji mezi 45-64 lety</w:t>
      </w:r>
      <w:r>
        <w:rPr>
          <w:szCs w:val="24"/>
        </w:rPr>
        <w:t xml:space="preserve"> </w:t>
      </w:r>
      <w:r w:rsidR="00107B3D">
        <w:rPr>
          <w:szCs w:val="24"/>
        </w:rPr>
        <w:t>(Daňk</w:t>
      </w:r>
      <w:r w:rsidR="00347102">
        <w:rPr>
          <w:szCs w:val="24"/>
        </w:rPr>
        <w:t>o</w:t>
      </w:r>
      <w:r w:rsidR="00107B3D">
        <w:rPr>
          <w:szCs w:val="24"/>
        </w:rPr>
        <w:t>vá, 2011)</w:t>
      </w:r>
      <w:r w:rsidR="00403144">
        <w:rPr>
          <w:szCs w:val="24"/>
        </w:rPr>
        <w:t>.</w:t>
      </w:r>
      <w:r w:rsidR="00107B3D">
        <w:rPr>
          <w:szCs w:val="24"/>
        </w:rPr>
        <w:t xml:space="preserve"> </w:t>
      </w:r>
      <w:r w:rsidR="009C0E27">
        <w:t>H</w:t>
      </w:r>
      <w:r w:rsidR="009C0E27">
        <w:rPr>
          <w:rFonts w:cs="Times New Roman"/>
        </w:rPr>
        <w:t>öschl</w:t>
      </w:r>
      <w:r w:rsidR="00403144">
        <w:rPr>
          <w:rFonts w:cs="Times New Roman"/>
        </w:rPr>
        <w:t xml:space="preserve"> uvádí jako průměrný věk 40 let</w:t>
      </w:r>
      <w:r w:rsidR="009C0E27">
        <w:rPr>
          <w:rFonts w:cs="Times New Roman"/>
        </w:rPr>
        <w:t xml:space="preserve"> (Höschl, Libiger, Švestka, 2004). </w:t>
      </w:r>
      <w:r w:rsidR="00206017">
        <w:t xml:space="preserve">Depresemi trpí až 50 % lidí nad 65 </w:t>
      </w:r>
      <w:r w:rsidR="00474F44">
        <w:t xml:space="preserve">let. Z toho 10-40 % seniorů je postižených </w:t>
      </w:r>
      <w:r w:rsidR="00206017">
        <w:t xml:space="preserve"> subsyndromální depresí, která nenaplňuje diagnostická kritéria dle MKN</w:t>
      </w:r>
      <w:r w:rsidR="00E90A29">
        <w:rPr>
          <w:rStyle w:val="Znakapoznpodarou"/>
        </w:rPr>
        <w:footnoteReference w:id="2"/>
      </w:r>
      <w:r w:rsidR="00206017">
        <w:t xml:space="preserve"> 10. Dle studie HUNT, do které bylo zapojeno 60 tisíc lidí, byla diagnostikována deprese u 4 % osob mezi 20-29 lety. Výrazně vyššího výskytu deprese dosáhli senioři nad 80 let (20 %). Z této studie tedy vyplynulo, že výskyt deprese stoupá s</w:t>
      </w:r>
      <w:r w:rsidR="008750DC">
        <w:t> </w:t>
      </w:r>
      <w:r w:rsidR="00206017">
        <w:t>věkem</w:t>
      </w:r>
      <w:r w:rsidR="008750DC">
        <w:t xml:space="preserve"> </w:t>
      </w:r>
      <w:r w:rsidR="00EC025A">
        <w:t>(Holmerová, Jurašková, Vaňková, 2007</w:t>
      </w:r>
      <w:r w:rsidR="008750DC" w:rsidRPr="008750DC">
        <w:t>)</w:t>
      </w:r>
      <w:r w:rsidR="00206017">
        <w:t xml:space="preserve">.  </w:t>
      </w:r>
    </w:p>
    <w:p w:rsidR="00206017" w:rsidRDefault="00206017" w:rsidP="0087093D">
      <w:pPr>
        <w:ind w:firstLine="284"/>
      </w:pPr>
      <w:r>
        <w:t xml:space="preserve">U depresivních onemocnění je velmi zjevný rozdíl incidence v závislosti na pohlaví. Poměr mužů a žen trpících unipolární depresí je zhruba 1:2. </w:t>
      </w:r>
      <w:r w:rsidRPr="003536BA">
        <w:t xml:space="preserve">Prevalence deprese </w:t>
      </w:r>
      <w:r>
        <w:t>je</w:t>
      </w:r>
      <w:r w:rsidR="0087093D">
        <w:t xml:space="preserve"> v rozmezí </w:t>
      </w:r>
      <w:r w:rsidR="00301E0D">
        <w:t>4,5</w:t>
      </w:r>
      <w:r w:rsidR="00403144">
        <w:t>-9,3 % u žen a 2,3-3,2 % u mužů</w:t>
      </w:r>
      <w:r w:rsidR="00301E0D">
        <w:t xml:space="preserve"> </w:t>
      </w:r>
      <w:r w:rsidR="00FC2A11">
        <w:t>(Marková, Venglářová, Babiaková, 2006)</w:t>
      </w:r>
      <w:r w:rsidR="00403144">
        <w:t>.</w:t>
      </w:r>
      <w:r>
        <w:t xml:space="preserve"> </w:t>
      </w:r>
      <w:r w:rsidR="00B069FA">
        <w:t>Čéšková (2012) uvádí</w:t>
      </w:r>
      <w:r w:rsidR="00B12C99">
        <w:t>, že se ve svém životě s depresí setká 21 % žen a 13 % mužů. Důvodem zvýšené incidence deprese u žen může být synergismus estrogenu se serotoninem nebo také fakt, že muži mé</w:t>
      </w:r>
      <w:r w:rsidR="00403144">
        <w:t>ně často vyhledají pomoc lékaře</w:t>
      </w:r>
      <w:r w:rsidR="00B12C99">
        <w:t xml:space="preserve"> (Čéšková, 2012)</w:t>
      </w:r>
      <w:r w:rsidR="00403144">
        <w:t>.</w:t>
      </w:r>
      <w:r w:rsidR="00B12C99">
        <w:t xml:space="preserve"> </w:t>
      </w:r>
    </w:p>
    <w:p w:rsidR="00206017" w:rsidRDefault="00206017" w:rsidP="009176AA">
      <w:pPr>
        <w:ind w:firstLine="284"/>
      </w:pPr>
      <w:r>
        <w:t>U dětí je výskyt deprese mezi dívkami a chlapci stejný. Možnost výskytu deprese se u dítěte zvyšuje, pokud oba rodiče trpí afektivním onemocněním, v to</w:t>
      </w:r>
      <w:r w:rsidR="00403144">
        <w:t xml:space="preserve">mto případě riziko činí 55,7 % </w:t>
      </w:r>
      <w:r w:rsidR="00107B3D">
        <w:t>(Rahn, 2000)</w:t>
      </w:r>
      <w:r w:rsidR="00403144">
        <w:t>.</w:t>
      </w:r>
    </w:p>
    <w:p w:rsidR="0087093D" w:rsidRDefault="009176AA" w:rsidP="009176AA">
      <w:pPr>
        <w:ind w:firstLine="284"/>
      </w:pPr>
      <w:r>
        <w:t>V ambulancích psychiatrů bylo léčeno v roce 2011 celkem 102 671 pacientů s afekti</w:t>
      </w:r>
      <w:r w:rsidR="00085FC0">
        <w:t>vní poruchou. Dle statistik, v O</w:t>
      </w:r>
      <w:r>
        <w:t>lomouckém kraji, navštívilo ambulance psychiatrů 8 051 pacientů s afektivní poruchou. Na Vysočině to bylo 6 469 pacientů.  Incidence afektivních poruch v ambulantní péči je</w:t>
      </w:r>
      <w:r w:rsidR="00403144">
        <w:t xml:space="preserve"> 18 pacientů na 10 000 obyvatel</w:t>
      </w:r>
      <w:r>
        <w:t xml:space="preserve"> (Nechanská, 2012)</w:t>
      </w:r>
      <w:r w:rsidR="00403144">
        <w:t>.</w:t>
      </w:r>
    </w:p>
    <w:p w:rsidR="005576C1" w:rsidRDefault="00206017" w:rsidP="005576C1">
      <w:pPr>
        <w:ind w:firstLine="284"/>
      </w:pPr>
      <w:r>
        <w:t>Deprese je těžké duševní onemo</w:t>
      </w:r>
      <w:r w:rsidR="008773E8">
        <w:t>cnění, které může lidi dovést</w:t>
      </w:r>
      <w:r>
        <w:t xml:space="preserve"> na okraj jejich existence a dohnat je až k sebevraždě. Podle studií až 15 % depresivních pacientů umírá sebevraždou. V letech 2000-2005 byly duševní poruchy v čele s depresivním onemocněním na druhém místě z celkovéh</w:t>
      </w:r>
      <w:r w:rsidR="00403144">
        <w:t>o počtu dokonaných sebevražd</w:t>
      </w:r>
      <w:r w:rsidR="004E190E">
        <w:t xml:space="preserve"> </w:t>
      </w:r>
      <w:r w:rsidR="00107B3D">
        <w:t>(Lukeš, 2007)</w:t>
      </w:r>
      <w:r w:rsidR="00403144">
        <w:t>.</w:t>
      </w:r>
    </w:p>
    <w:p w:rsidR="005576C1" w:rsidRDefault="005576C1" w:rsidP="005576C1">
      <w:pPr>
        <w:ind w:firstLine="284"/>
      </w:pPr>
    </w:p>
    <w:p w:rsidR="000E2F42" w:rsidRDefault="000E2F42" w:rsidP="005576C1">
      <w:pPr>
        <w:ind w:firstLine="284"/>
      </w:pPr>
    </w:p>
    <w:p w:rsidR="000E2F42" w:rsidRDefault="000E2F42" w:rsidP="005576C1">
      <w:pPr>
        <w:ind w:firstLine="284"/>
      </w:pPr>
    </w:p>
    <w:p w:rsidR="005341E5" w:rsidRPr="000E2F42" w:rsidRDefault="008727CC" w:rsidP="005341E5">
      <w:pPr>
        <w:pStyle w:val="Nadpis3"/>
      </w:pPr>
      <w:bookmarkStart w:id="12" w:name="_Toc343360809"/>
      <w:bookmarkStart w:id="13" w:name="_Toc343782735"/>
      <w:bookmarkStart w:id="14" w:name="_Toc353433173"/>
      <w:r>
        <w:lastRenderedPageBreak/>
        <w:t>1</w:t>
      </w:r>
      <w:r w:rsidR="001636C1">
        <w:t>.3</w:t>
      </w:r>
      <w:r w:rsidR="005576C1" w:rsidRPr="00A12EED">
        <w:t xml:space="preserve"> </w:t>
      </w:r>
      <w:r w:rsidR="005341E5" w:rsidRPr="00A12EED">
        <w:t>Etiopatogeneze deprese</w:t>
      </w:r>
      <w:bookmarkEnd w:id="12"/>
      <w:bookmarkEnd w:id="13"/>
      <w:bookmarkEnd w:id="14"/>
    </w:p>
    <w:p w:rsidR="00C85549" w:rsidRDefault="005341E5" w:rsidP="005341E5">
      <w:pPr>
        <w:ind w:firstLine="284"/>
        <w:rPr>
          <w:szCs w:val="24"/>
        </w:rPr>
      </w:pPr>
      <w:r>
        <w:rPr>
          <w:szCs w:val="24"/>
        </w:rPr>
        <w:t>I když o depresi víme mnoho, není možné jednoznačně určit příčinu. Fakt</w:t>
      </w:r>
      <w:r w:rsidR="000E2F42">
        <w:rPr>
          <w:szCs w:val="24"/>
        </w:rPr>
        <w:t>orů</w:t>
      </w:r>
      <w:r w:rsidR="00741B21">
        <w:rPr>
          <w:szCs w:val="24"/>
        </w:rPr>
        <w:t>, které se podílejí na vznik</w:t>
      </w:r>
      <w:r w:rsidR="00C85549">
        <w:rPr>
          <w:szCs w:val="24"/>
        </w:rPr>
        <w:t>u deprese</w:t>
      </w:r>
      <w:r w:rsidR="00741B21">
        <w:rPr>
          <w:szCs w:val="24"/>
        </w:rPr>
        <w:t>,</w:t>
      </w:r>
      <w:r w:rsidR="00C85549">
        <w:rPr>
          <w:szCs w:val="24"/>
        </w:rPr>
        <w:t xml:space="preserve"> ale i jiných psychických onemocnění může být několik (tabulka 1).</w:t>
      </w:r>
      <w:r w:rsidR="00741B21">
        <w:rPr>
          <w:szCs w:val="24"/>
        </w:rPr>
        <w:t xml:space="preserve"> Vá</w:t>
      </w:r>
      <w:r>
        <w:rPr>
          <w:szCs w:val="24"/>
        </w:rPr>
        <w:t xml:space="preserve">gnerová </w:t>
      </w:r>
      <w:r w:rsidR="00741B21">
        <w:rPr>
          <w:szCs w:val="24"/>
        </w:rPr>
        <w:t>(</w:t>
      </w:r>
      <w:r>
        <w:rPr>
          <w:szCs w:val="24"/>
        </w:rPr>
        <w:t xml:space="preserve">2004) uvádí, že se jedná o soubor dědičných dispozic, vývojově podmíněných změn i různých aktuálních zátěžových faktorů. </w:t>
      </w:r>
    </w:p>
    <w:p w:rsidR="005341E5" w:rsidRDefault="005341E5" w:rsidP="005341E5">
      <w:pPr>
        <w:ind w:firstLine="284"/>
        <w:rPr>
          <w:szCs w:val="24"/>
        </w:rPr>
      </w:pPr>
      <w:r>
        <w:rPr>
          <w:szCs w:val="24"/>
        </w:rPr>
        <w:t xml:space="preserve">Význam </w:t>
      </w:r>
      <w:r w:rsidRPr="008B2DBD">
        <w:rPr>
          <w:b/>
          <w:szCs w:val="24"/>
        </w:rPr>
        <w:t>genetických faktorů</w:t>
      </w:r>
      <w:r>
        <w:rPr>
          <w:szCs w:val="24"/>
        </w:rPr>
        <w:t xml:space="preserve"> je v případě deprese nesporný. O tom také vypovídají geneticko-epidemiologické studie, které potvrzují, že čím bližší je biologický vztah, tím je i vyšší výskyt depresivního onemocn</w:t>
      </w:r>
      <w:r w:rsidR="00403144">
        <w:rPr>
          <w:szCs w:val="24"/>
        </w:rPr>
        <w:t>ění mezi příslušníky</w:t>
      </w:r>
      <w:r w:rsidR="00085FC0">
        <w:rPr>
          <w:szCs w:val="24"/>
        </w:rPr>
        <w:t xml:space="preserve"> (Raboch, Zvolský, 2001</w:t>
      </w:r>
      <w:r w:rsidR="00403144">
        <w:rPr>
          <w:szCs w:val="24"/>
        </w:rPr>
        <w:t xml:space="preserve">). </w:t>
      </w:r>
      <w:r>
        <w:rPr>
          <w:szCs w:val="24"/>
        </w:rPr>
        <w:t>Bylo také prokázáno, že u pacientů s </w:t>
      </w:r>
      <w:r w:rsidR="00085FC0">
        <w:rPr>
          <w:szCs w:val="24"/>
        </w:rPr>
        <w:t>rodinnou zátěží</w:t>
      </w:r>
      <w:r>
        <w:rPr>
          <w:szCs w:val="24"/>
        </w:rPr>
        <w:t xml:space="preserve"> se depresivní one</w:t>
      </w:r>
      <w:r w:rsidR="00403144">
        <w:rPr>
          <w:szCs w:val="24"/>
        </w:rPr>
        <w:t>mocnění projevuje v nižším věku</w:t>
      </w:r>
      <w:r>
        <w:rPr>
          <w:szCs w:val="24"/>
        </w:rPr>
        <w:t xml:space="preserve"> </w:t>
      </w:r>
      <w:r w:rsidR="00403144">
        <w:t>(Hatterma, 2010).</w:t>
      </w:r>
    </w:p>
    <w:p w:rsidR="00085FC0" w:rsidRDefault="005341E5" w:rsidP="004E190E">
      <w:pPr>
        <w:ind w:firstLine="284"/>
        <w:rPr>
          <w:szCs w:val="24"/>
        </w:rPr>
      </w:pPr>
      <w:r>
        <w:rPr>
          <w:szCs w:val="24"/>
        </w:rPr>
        <w:t xml:space="preserve">Další možná příčina může být ve </w:t>
      </w:r>
      <w:r w:rsidRPr="008B2DBD">
        <w:rPr>
          <w:b/>
          <w:szCs w:val="24"/>
        </w:rPr>
        <w:t>struktuře a funkci mozku</w:t>
      </w:r>
      <w:r>
        <w:rPr>
          <w:szCs w:val="24"/>
        </w:rPr>
        <w:t>. U depresivních pacientů bylo zjištěno, že mají levou část pr</w:t>
      </w:r>
      <w:r w:rsidR="00085FC0">
        <w:rPr>
          <w:szCs w:val="24"/>
        </w:rPr>
        <w:t>efrontální kůry méně aktivní, což</w:t>
      </w:r>
      <w:r>
        <w:rPr>
          <w:szCs w:val="24"/>
        </w:rPr>
        <w:t xml:space="preserve"> vysvětluje nedostatek pozitivních pocitů. Dále také snížený objem šedé kůry mozkové. </w:t>
      </w:r>
    </w:p>
    <w:p w:rsidR="005341E5" w:rsidRPr="004E190E" w:rsidRDefault="00085FC0" w:rsidP="004E190E">
      <w:pPr>
        <w:ind w:firstLine="284"/>
        <w:rPr>
          <w:szCs w:val="24"/>
        </w:rPr>
      </w:pPr>
      <w:r>
        <w:rPr>
          <w:szCs w:val="24"/>
        </w:rPr>
        <w:t> </w:t>
      </w:r>
      <w:r w:rsidR="005341E5">
        <w:rPr>
          <w:szCs w:val="24"/>
        </w:rPr>
        <w:t>Hipokampus</w:t>
      </w:r>
      <w:r w:rsidR="009C0E27">
        <w:rPr>
          <w:rStyle w:val="Znakapoznpodarou"/>
          <w:szCs w:val="24"/>
        </w:rPr>
        <w:footnoteReference w:id="3"/>
      </w:r>
      <w:r w:rsidR="005341E5">
        <w:rPr>
          <w:szCs w:val="24"/>
        </w:rPr>
        <w:t xml:space="preserve"> bývá u tohoto onemocnění o 8-19 % menší. A </w:t>
      </w:r>
      <w:r w:rsidR="005341E5" w:rsidRPr="00DD1429">
        <w:rPr>
          <w:szCs w:val="24"/>
        </w:rPr>
        <w:t>ventrální striga</w:t>
      </w:r>
      <w:r w:rsidR="00EB2125">
        <w:rPr>
          <w:rStyle w:val="Znakapoznpodarou"/>
          <w:szCs w:val="24"/>
        </w:rPr>
        <w:footnoteReference w:id="4"/>
      </w:r>
      <w:r w:rsidR="005341E5">
        <w:rPr>
          <w:szCs w:val="24"/>
        </w:rPr>
        <w:t xml:space="preserve"> jsou atrofována.</w:t>
      </w:r>
      <w:r w:rsidR="004E190E">
        <w:rPr>
          <w:szCs w:val="24"/>
        </w:rPr>
        <w:t xml:space="preserve">(Preiss, Kučerová, 2004) </w:t>
      </w:r>
      <w:r w:rsidR="005341E5">
        <w:rPr>
          <w:szCs w:val="24"/>
        </w:rPr>
        <w:t>Vliv na vznik onemocnění může mít také postižení levé hemisfér</w:t>
      </w:r>
      <w:r w:rsidR="00403144">
        <w:rPr>
          <w:szCs w:val="24"/>
        </w:rPr>
        <w:t xml:space="preserve">y, především frontálního laloku </w:t>
      </w:r>
      <w:r w:rsidR="00403144">
        <w:t>(Vágnerová, 2004).</w:t>
      </w:r>
    </w:p>
    <w:p w:rsidR="005341E5" w:rsidRDefault="005341E5" w:rsidP="009D7D1A">
      <w:pPr>
        <w:ind w:firstLine="284"/>
        <w:rPr>
          <w:szCs w:val="24"/>
        </w:rPr>
      </w:pPr>
      <w:r>
        <w:rPr>
          <w:szCs w:val="24"/>
        </w:rPr>
        <w:t>Dlouhodobé sledování také prokázalo rozšíření třetí mozkové</w:t>
      </w:r>
      <w:r w:rsidR="00403144">
        <w:rPr>
          <w:szCs w:val="24"/>
        </w:rPr>
        <w:t xml:space="preserve"> komory u depresivních pacientů </w:t>
      </w:r>
      <w:r>
        <w:rPr>
          <w:szCs w:val="24"/>
        </w:rPr>
        <w:t xml:space="preserve">(Preiss, Kučerová, 2004). Funkční změny a biochemické odchylky také hrají v etiopatogenezi onemocnění významnou roli. </w:t>
      </w:r>
      <w:r w:rsidR="00F30DEB">
        <w:rPr>
          <w:szCs w:val="24"/>
        </w:rPr>
        <w:t xml:space="preserve">Raboch a Laňková (2006) </w:t>
      </w:r>
      <w:r>
        <w:rPr>
          <w:szCs w:val="24"/>
        </w:rPr>
        <w:t>uvádí, že v dnešní době se deprese považuje za dysfunkci mozkových okruhů modulovaných monoaminovými systémy. Jedná se zejména o funkci noradrenalinového systému, a stejně tak je přikládána důležitost správné sekreci serotoninu. Výzkum těchto neurotransmiterů</w:t>
      </w:r>
      <w:r w:rsidR="00EB2125">
        <w:rPr>
          <w:rStyle w:val="Znakapoznpodarou"/>
          <w:szCs w:val="24"/>
        </w:rPr>
        <w:footnoteReference w:id="5"/>
      </w:r>
      <w:r>
        <w:rPr>
          <w:szCs w:val="24"/>
        </w:rPr>
        <w:t xml:space="preserve"> si vydobyl svou pozornost zejména</w:t>
      </w:r>
      <w:r w:rsidR="00403144">
        <w:rPr>
          <w:szCs w:val="24"/>
        </w:rPr>
        <w:t xml:space="preserve"> z důvodu nalezení antidepresiv </w:t>
      </w:r>
      <w:r w:rsidR="00F30DEB">
        <w:rPr>
          <w:szCs w:val="24"/>
        </w:rPr>
        <w:t>(Rahn, 2000)</w:t>
      </w:r>
      <w:r w:rsidR="00403144">
        <w:rPr>
          <w:szCs w:val="24"/>
        </w:rPr>
        <w:t>.</w:t>
      </w:r>
      <w:r w:rsidR="00301E0D">
        <w:rPr>
          <w:szCs w:val="24"/>
        </w:rPr>
        <w:t xml:space="preserve"> </w:t>
      </w:r>
      <w:r w:rsidR="00C35110">
        <w:rPr>
          <w:szCs w:val="24"/>
        </w:rPr>
        <w:t>Další biologický podklad duševních poruch, vychází z předpokladu, že deprese (zejména sezónní) a poruchy nálady vznikají narušením cirkadiánních rytmů. Z medicínského pohledu se rytmizace uplatňuje ve všech úrovních činnosti organismu. Na podkladě této hypotézy se mezi terapeutické me</w:t>
      </w:r>
      <w:r w:rsidR="00403144">
        <w:rPr>
          <w:szCs w:val="24"/>
        </w:rPr>
        <w:t>tody řadí také chronobioterapie</w:t>
      </w:r>
      <w:r w:rsidR="00C35110">
        <w:rPr>
          <w:szCs w:val="24"/>
        </w:rPr>
        <w:t xml:space="preserve"> </w:t>
      </w:r>
      <w:r w:rsidR="00703CD5">
        <w:rPr>
          <w:szCs w:val="24"/>
        </w:rPr>
        <w:t>(Raboch, 2012)</w:t>
      </w:r>
      <w:r w:rsidR="00403144">
        <w:rPr>
          <w:szCs w:val="24"/>
        </w:rPr>
        <w:t>.</w:t>
      </w:r>
    </w:p>
    <w:p w:rsidR="00EB2125" w:rsidRDefault="005341E5" w:rsidP="009C0E27">
      <w:pPr>
        <w:ind w:firstLine="284"/>
        <w:rPr>
          <w:szCs w:val="24"/>
        </w:rPr>
      </w:pPr>
      <w:r>
        <w:rPr>
          <w:szCs w:val="24"/>
        </w:rPr>
        <w:lastRenderedPageBreak/>
        <w:t xml:space="preserve">Další možnou příčinou vzniku depresí mohou být </w:t>
      </w:r>
      <w:r w:rsidRPr="008B2DBD">
        <w:rPr>
          <w:b/>
          <w:szCs w:val="24"/>
        </w:rPr>
        <w:t>vnější vlivy</w:t>
      </w:r>
      <w:r>
        <w:rPr>
          <w:szCs w:val="24"/>
        </w:rPr>
        <w:t xml:space="preserve">. </w:t>
      </w:r>
      <w:r w:rsidR="00237D26">
        <w:rPr>
          <w:szCs w:val="24"/>
        </w:rPr>
        <w:t>U</w:t>
      </w:r>
      <w:r>
        <w:rPr>
          <w:szCs w:val="24"/>
        </w:rPr>
        <w:t>vádí</w:t>
      </w:r>
      <w:r w:rsidR="00237D26">
        <w:rPr>
          <w:szCs w:val="24"/>
        </w:rPr>
        <w:t xml:space="preserve"> se</w:t>
      </w:r>
      <w:r>
        <w:rPr>
          <w:szCs w:val="24"/>
        </w:rPr>
        <w:t>, že až 83 % depresivních epizod vzniká v návaznosti</w:t>
      </w:r>
      <w:r w:rsidR="00403144">
        <w:rPr>
          <w:szCs w:val="24"/>
        </w:rPr>
        <w:t xml:space="preserve"> na předešlé negativní události</w:t>
      </w:r>
      <w:r>
        <w:rPr>
          <w:szCs w:val="24"/>
        </w:rPr>
        <w:t xml:space="preserve"> </w:t>
      </w:r>
      <w:r w:rsidR="00237D26">
        <w:rPr>
          <w:szCs w:val="24"/>
        </w:rPr>
        <w:t>(Keller, Nesse, 2005)</w:t>
      </w:r>
      <w:r w:rsidR="00403144">
        <w:rPr>
          <w:szCs w:val="24"/>
        </w:rPr>
        <w:t>.</w:t>
      </w:r>
      <w:r w:rsidR="00237D26">
        <w:rPr>
          <w:szCs w:val="24"/>
        </w:rPr>
        <w:t xml:space="preserve"> </w:t>
      </w:r>
      <w:r>
        <w:rPr>
          <w:szCs w:val="24"/>
        </w:rPr>
        <w:t xml:space="preserve">Mezi </w:t>
      </w:r>
      <w:r w:rsidR="00741B21">
        <w:rPr>
          <w:szCs w:val="24"/>
        </w:rPr>
        <w:t xml:space="preserve">ně </w:t>
      </w:r>
      <w:r>
        <w:rPr>
          <w:szCs w:val="24"/>
        </w:rPr>
        <w:t>patří zejména ztráta milované osoby, ztráta zaměstnání, rozvod, problematické vztahy a samozře</w:t>
      </w:r>
      <w:r w:rsidR="00403144">
        <w:rPr>
          <w:szCs w:val="24"/>
        </w:rPr>
        <w:t xml:space="preserve">jmě také zdravotní problémy </w:t>
      </w:r>
      <w:r w:rsidR="00741B21">
        <w:t>(Bilsker, 2007)</w:t>
      </w:r>
      <w:r w:rsidR="00403144">
        <w:t>.</w:t>
      </w:r>
      <w:r>
        <w:rPr>
          <w:szCs w:val="24"/>
        </w:rPr>
        <w:t xml:space="preserve"> Samotný výskyt těchto událostí ovšem nemusí být jednoznačným prediktorem pro vznik deprese. Záleží na tom, jak jsou tyto události vnímány. Negativně působí také depresivní rodinné klima. Podle některých teorií má pro vznik deprese význam učení, disponovaný člověk se naučí na nepříznivé životní situace reagovat depresivním chováním. Mezi vnější vlivy se řadí i klimatické podmínky. Je známo, že deprese se objevují častěji v podzimním období a mění intenzitu také běh</w:t>
      </w:r>
      <w:r w:rsidR="00403144">
        <w:rPr>
          <w:szCs w:val="24"/>
        </w:rPr>
        <w:t xml:space="preserve">em cyklu střídání dne a noci </w:t>
      </w:r>
      <w:r w:rsidR="00741B21">
        <w:rPr>
          <w:szCs w:val="24"/>
        </w:rPr>
        <w:t>(Vágnerová, 2004)</w:t>
      </w:r>
      <w:r w:rsidR="00403144">
        <w:rPr>
          <w:szCs w:val="24"/>
        </w:rPr>
        <w:t>.</w:t>
      </w:r>
    </w:p>
    <w:p w:rsidR="004F7CE6" w:rsidRDefault="004F7CE6" w:rsidP="004B775B">
      <w:pPr>
        <w:ind w:firstLine="284"/>
        <w:rPr>
          <w:szCs w:val="24"/>
        </w:rPr>
      </w:pPr>
      <w:r>
        <w:rPr>
          <w:szCs w:val="24"/>
        </w:rPr>
        <w:t>Vymětal</w:t>
      </w:r>
      <w:r w:rsidR="00557DA8">
        <w:rPr>
          <w:szCs w:val="24"/>
        </w:rPr>
        <w:t xml:space="preserve"> (2003)</w:t>
      </w:r>
      <w:r>
        <w:rPr>
          <w:szCs w:val="24"/>
        </w:rPr>
        <w:t xml:space="preserve"> depresivní stavy</w:t>
      </w:r>
      <w:r w:rsidR="00AA0567">
        <w:rPr>
          <w:szCs w:val="24"/>
        </w:rPr>
        <w:t xml:space="preserve"> dělí dle etiologie </w:t>
      </w:r>
      <w:r>
        <w:rPr>
          <w:szCs w:val="24"/>
        </w:rPr>
        <w:t xml:space="preserve">na deprese symptomatické, endogenní, psychogenní a larvované. Symptomatické deprese </w:t>
      </w:r>
      <w:r w:rsidR="00557DA8">
        <w:rPr>
          <w:szCs w:val="24"/>
        </w:rPr>
        <w:t>předcházejí, doprovázejí anebo následují somatická onemocnění. Mohou to být např. virózy, infekční žloutenka nebo mozkový tumor. Endogenní deprese je postavena na řadě biochemických hypotéz a řadí se mezi ně endogenní deprese s monopolárním nebo bipolárním průběhem. Mezi deprese psychogenní jsou řazeny reaktivní depresivní stavy, deprese neurotické nebo deprese mající pravděpodobnou příčinu v osobnosti pacienta.</w:t>
      </w:r>
      <w:r w:rsidR="004B775B">
        <w:rPr>
          <w:szCs w:val="24"/>
        </w:rPr>
        <w:t xml:space="preserve"> Deprese larvované jsou charakteristické tím, že se příliš neprojevují na psychice pacienta, ale spíše mají vyjádřeny somatické příznaky. Bývají řazeny do endogenních depr</w:t>
      </w:r>
      <w:r w:rsidR="00403144">
        <w:rPr>
          <w:szCs w:val="24"/>
        </w:rPr>
        <w:t>esí</w:t>
      </w:r>
      <w:r w:rsidR="004B775B">
        <w:rPr>
          <w:szCs w:val="24"/>
        </w:rPr>
        <w:t xml:space="preserve"> (Vymětal, 2003)</w:t>
      </w:r>
      <w:r w:rsidR="00403144">
        <w:rPr>
          <w:szCs w:val="24"/>
        </w:rPr>
        <w:t>.</w:t>
      </w:r>
    </w:p>
    <w:p w:rsidR="001A2DCC" w:rsidRPr="009C0E27" w:rsidRDefault="001A2DCC" w:rsidP="004B775B">
      <w:pPr>
        <w:ind w:firstLine="284"/>
        <w:rPr>
          <w:szCs w:val="24"/>
        </w:rPr>
      </w:pPr>
    </w:p>
    <w:p w:rsidR="005341E5" w:rsidRDefault="00631F90" w:rsidP="00631F90">
      <w:pPr>
        <w:rPr>
          <w:szCs w:val="24"/>
        </w:rPr>
      </w:pPr>
      <w:r>
        <w:rPr>
          <w:b/>
          <w:szCs w:val="24"/>
        </w:rPr>
        <w:t> </w:t>
      </w:r>
      <w:r w:rsidR="00741B21" w:rsidRPr="00741B21">
        <w:rPr>
          <w:b/>
          <w:szCs w:val="24"/>
        </w:rPr>
        <w:t>Tabulka</w:t>
      </w:r>
      <w:r w:rsidR="005341E5" w:rsidRPr="00741B21">
        <w:rPr>
          <w:b/>
          <w:szCs w:val="24"/>
        </w:rPr>
        <w:t xml:space="preserve"> 1</w:t>
      </w:r>
      <w:r w:rsidR="00741B21">
        <w:rPr>
          <w:szCs w:val="24"/>
        </w:rPr>
        <w:t>.</w:t>
      </w:r>
      <w:r w:rsidR="005341E5">
        <w:rPr>
          <w:szCs w:val="24"/>
        </w:rPr>
        <w:t xml:space="preserve"> </w:t>
      </w:r>
      <w:r w:rsidR="00741B21">
        <w:rPr>
          <w:szCs w:val="24"/>
        </w:rPr>
        <w:t>Vznik psychických onemocnění (Vá</w:t>
      </w:r>
      <w:r w:rsidR="005341E5">
        <w:rPr>
          <w:szCs w:val="24"/>
        </w:rPr>
        <w:t>gnerová, 2004)</w:t>
      </w:r>
    </w:p>
    <w:tbl>
      <w:tblPr>
        <w:tblStyle w:val="Mkatabulky"/>
        <w:tblW w:w="8906" w:type="dxa"/>
        <w:tblLook w:val="04A0" w:firstRow="1" w:lastRow="0" w:firstColumn="1" w:lastColumn="0" w:noHBand="0" w:noVBand="1"/>
      </w:tblPr>
      <w:tblGrid>
        <w:gridCol w:w="2243"/>
        <w:gridCol w:w="2227"/>
        <w:gridCol w:w="2218"/>
        <w:gridCol w:w="2218"/>
      </w:tblGrid>
      <w:tr w:rsidR="005341E5" w:rsidTr="00FD10B6">
        <w:trPr>
          <w:trHeight w:val="484"/>
        </w:trPr>
        <w:tc>
          <w:tcPr>
            <w:tcW w:w="2243" w:type="dxa"/>
            <w:shd w:val="clear" w:color="auto" w:fill="EEECE1" w:themeFill="background2"/>
          </w:tcPr>
          <w:p w:rsidR="005341E5" w:rsidRPr="00EB2125" w:rsidRDefault="005341E5" w:rsidP="00741B21">
            <w:pPr>
              <w:jc w:val="center"/>
              <w:rPr>
                <w:b/>
                <w:szCs w:val="24"/>
              </w:rPr>
            </w:pPr>
            <w:r w:rsidRPr="00EB2125">
              <w:rPr>
                <w:b/>
                <w:szCs w:val="24"/>
              </w:rPr>
              <w:t>Porucha</w:t>
            </w:r>
          </w:p>
        </w:tc>
        <w:tc>
          <w:tcPr>
            <w:tcW w:w="2227" w:type="dxa"/>
            <w:shd w:val="clear" w:color="auto" w:fill="EEECE1" w:themeFill="background2"/>
          </w:tcPr>
          <w:p w:rsidR="005341E5" w:rsidRPr="00EB2125" w:rsidRDefault="00741B21" w:rsidP="00741B21">
            <w:pPr>
              <w:jc w:val="center"/>
              <w:rPr>
                <w:b/>
                <w:szCs w:val="24"/>
              </w:rPr>
            </w:pPr>
            <w:r w:rsidRPr="00EB2125">
              <w:rPr>
                <w:b/>
                <w:szCs w:val="24"/>
              </w:rPr>
              <w:t>D</w:t>
            </w:r>
            <w:r w:rsidR="005341E5" w:rsidRPr="00EB2125">
              <w:rPr>
                <w:b/>
                <w:szCs w:val="24"/>
              </w:rPr>
              <w:t>ědičnost</w:t>
            </w:r>
          </w:p>
        </w:tc>
        <w:tc>
          <w:tcPr>
            <w:tcW w:w="2218" w:type="dxa"/>
            <w:shd w:val="clear" w:color="auto" w:fill="EEECE1" w:themeFill="background2"/>
          </w:tcPr>
          <w:p w:rsidR="005341E5" w:rsidRPr="00EB2125" w:rsidRDefault="005341E5" w:rsidP="00741B21">
            <w:pPr>
              <w:jc w:val="center"/>
              <w:rPr>
                <w:b/>
                <w:szCs w:val="24"/>
              </w:rPr>
            </w:pPr>
            <w:r w:rsidRPr="00EB2125">
              <w:rPr>
                <w:b/>
                <w:szCs w:val="24"/>
              </w:rPr>
              <w:t>Rodinné prostředí</w:t>
            </w:r>
          </w:p>
        </w:tc>
        <w:tc>
          <w:tcPr>
            <w:tcW w:w="2218" w:type="dxa"/>
            <w:shd w:val="clear" w:color="auto" w:fill="EEECE1" w:themeFill="background2"/>
          </w:tcPr>
          <w:p w:rsidR="005341E5" w:rsidRPr="00EB2125" w:rsidRDefault="005341E5" w:rsidP="00741B21">
            <w:pPr>
              <w:jc w:val="center"/>
              <w:rPr>
                <w:b/>
                <w:szCs w:val="24"/>
              </w:rPr>
            </w:pPr>
            <w:r w:rsidRPr="00EB2125">
              <w:rPr>
                <w:b/>
                <w:szCs w:val="24"/>
              </w:rPr>
              <w:t>Jiné vlivy prostředí</w:t>
            </w:r>
          </w:p>
        </w:tc>
      </w:tr>
      <w:tr w:rsidR="005341E5" w:rsidTr="00FD10B6">
        <w:trPr>
          <w:trHeight w:val="484"/>
        </w:trPr>
        <w:tc>
          <w:tcPr>
            <w:tcW w:w="2243" w:type="dxa"/>
            <w:shd w:val="clear" w:color="auto" w:fill="EEECE1" w:themeFill="background2"/>
          </w:tcPr>
          <w:p w:rsidR="005341E5" w:rsidRPr="00EB2125" w:rsidRDefault="005341E5" w:rsidP="00741B21">
            <w:pPr>
              <w:jc w:val="center"/>
              <w:rPr>
                <w:b/>
                <w:szCs w:val="24"/>
              </w:rPr>
            </w:pPr>
            <w:r w:rsidRPr="00EB2125">
              <w:rPr>
                <w:b/>
                <w:szCs w:val="24"/>
              </w:rPr>
              <w:t>Bipolární poruchy</w:t>
            </w:r>
          </w:p>
        </w:tc>
        <w:tc>
          <w:tcPr>
            <w:tcW w:w="2227" w:type="dxa"/>
          </w:tcPr>
          <w:p w:rsidR="005341E5" w:rsidRDefault="005341E5" w:rsidP="00741B21">
            <w:pPr>
              <w:jc w:val="center"/>
              <w:rPr>
                <w:szCs w:val="24"/>
              </w:rPr>
            </w:pPr>
            <w:r>
              <w:rPr>
                <w:szCs w:val="24"/>
              </w:rPr>
              <w:t>0,86</w:t>
            </w:r>
          </w:p>
        </w:tc>
        <w:tc>
          <w:tcPr>
            <w:tcW w:w="2218" w:type="dxa"/>
          </w:tcPr>
          <w:p w:rsidR="005341E5" w:rsidRDefault="005341E5" w:rsidP="00741B21">
            <w:pPr>
              <w:jc w:val="center"/>
              <w:rPr>
                <w:szCs w:val="24"/>
              </w:rPr>
            </w:pPr>
            <w:r>
              <w:rPr>
                <w:szCs w:val="24"/>
              </w:rPr>
              <w:t>0,07</w:t>
            </w:r>
          </w:p>
        </w:tc>
        <w:tc>
          <w:tcPr>
            <w:tcW w:w="2218" w:type="dxa"/>
          </w:tcPr>
          <w:p w:rsidR="005341E5" w:rsidRDefault="005341E5" w:rsidP="00741B21">
            <w:pPr>
              <w:jc w:val="center"/>
              <w:rPr>
                <w:szCs w:val="24"/>
              </w:rPr>
            </w:pPr>
            <w:r>
              <w:rPr>
                <w:szCs w:val="24"/>
              </w:rPr>
              <w:t>0,07</w:t>
            </w:r>
          </w:p>
        </w:tc>
      </w:tr>
      <w:tr w:rsidR="005341E5" w:rsidTr="00FD10B6">
        <w:trPr>
          <w:trHeight w:val="484"/>
        </w:trPr>
        <w:tc>
          <w:tcPr>
            <w:tcW w:w="2243" w:type="dxa"/>
            <w:shd w:val="clear" w:color="auto" w:fill="EEECE1" w:themeFill="background2"/>
          </w:tcPr>
          <w:p w:rsidR="005341E5" w:rsidRPr="00EB2125" w:rsidRDefault="005341E5" w:rsidP="00741B21">
            <w:pPr>
              <w:jc w:val="center"/>
              <w:rPr>
                <w:b/>
                <w:szCs w:val="24"/>
              </w:rPr>
            </w:pPr>
            <w:r w:rsidRPr="00EB2125">
              <w:rPr>
                <w:b/>
                <w:szCs w:val="24"/>
              </w:rPr>
              <w:t>Velké deprese</w:t>
            </w:r>
          </w:p>
        </w:tc>
        <w:tc>
          <w:tcPr>
            <w:tcW w:w="2227" w:type="dxa"/>
          </w:tcPr>
          <w:p w:rsidR="005341E5" w:rsidRDefault="005341E5" w:rsidP="00741B21">
            <w:pPr>
              <w:jc w:val="center"/>
              <w:rPr>
                <w:szCs w:val="24"/>
              </w:rPr>
            </w:pPr>
            <w:r>
              <w:rPr>
                <w:szCs w:val="24"/>
              </w:rPr>
              <w:t>0,52</w:t>
            </w:r>
          </w:p>
        </w:tc>
        <w:tc>
          <w:tcPr>
            <w:tcW w:w="2218" w:type="dxa"/>
          </w:tcPr>
          <w:p w:rsidR="005341E5" w:rsidRDefault="005341E5" w:rsidP="00741B21">
            <w:pPr>
              <w:jc w:val="center"/>
              <w:rPr>
                <w:szCs w:val="24"/>
              </w:rPr>
            </w:pPr>
            <w:r>
              <w:rPr>
                <w:szCs w:val="24"/>
              </w:rPr>
              <w:t>0,30</w:t>
            </w:r>
          </w:p>
        </w:tc>
        <w:tc>
          <w:tcPr>
            <w:tcW w:w="2218" w:type="dxa"/>
          </w:tcPr>
          <w:p w:rsidR="005341E5" w:rsidRDefault="005341E5" w:rsidP="00741B21">
            <w:pPr>
              <w:jc w:val="center"/>
              <w:rPr>
                <w:szCs w:val="24"/>
              </w:rPr>
            </w:pPr>
            <w:r>
              <w:rPr>
                <w:szCs w:val="24"/>
              </w:rPr>
              <w:t>0,18</w:t>
            </w:r>
          </w:p>
        </w:tc>
      </w:tr>
      <w:tr w:rsidR="005341E5" w:rsidTr="00FD10B6">
        <w:trPr>
          <w:trHeight w:val="502"/>
        </w:trPr>
        <w:tc>
          <w:tcPr>
            <w:tcW w:w="2243" w:type="dxa"/>
            <w:shd w:val="clear" w:color="auto" w:fill="EEECE1" w:themeFill="background2"/>
          </w:tcPr>
          <w:p w:rsidR="005341E5" w:rsidRPr="00EB2125" w:rsidRDefault="005341E5" w:rsidP="00741B21">
            <w:pPr>
              <w:jc w:val="center"/>
              <w:rPr>
                <w:b/>
                <w:szCs w:val="24"/>
              </w:rPr>
            </w:pPr>
            <w:r w:rsidRPr="00EB2125">
              <w:rPr>
                <w:b/>
                <w:szCs w:val="24"/>
              </w:rPr>
              <w:t>Schizofrenie</w:t>
            </w:r>
          </w:p>
        </w:tc>
        <w:tc>
          <w:tcPr>
            <w:tcW w:w="2227" w:type="dxa"/>
          </w:tcPr>
          <w:p w:rsidR="005341E5" w:rsidRDefault="005341E5" w:rsidP="00741B21">
            <w:pPr>
              <w:jc w:val="center"/>
              <w:rPr>
                <w:szCs w:val="24"/>
              </w:rPr>
            </w:pPr>
            <w:r>
              <w:rPr>
                <w:szCs w:val="24"/>
              </w:rPr>
              <w:t>0,63</w:t>
            </w:r>
          </w:p>
        </w:tc>
        <w:tc>
          <w:tcPr>
            <w:tcW w:w="2218" w:type="dxa"/>
          </w:tcPr>
          <w:p w:rsidR="005341E5" w:rsidRDefault="005341E5" w:rsidP="00741B21">
            <w:pPr>
              <w:jc w:val="center"/>
              <w:rPr>
                <w:szCs w:val="24"/>
              </w:rPr>
            </w:pPr>
            <w:r>
              <w:rPr>
                <w:szCs w:val="24"/>
              </w:rPr>
              <w:t>0,29</w:t>
            </w:r>
          </w:p>
        </w:tc>
        <w:tc>
          <w:tcPr>
            <w:tcW w:w="2218" w:type="dxa"/>
          </w:tcPr>
          <w:p w:rsidR="005341E5" w:rsidRDefault="005341E5" w:rsidP="00741B21">
            <w:pPr>
              <w:jc w:val="center"/>
              <w:rPr>
                <w:szCs w:val="24"/>
              </w:rPr>
            </w:pPr>
            <w:r>
              <w:rPr>
                <w:szCs w:val="24"/>
              </w:rPr>
              <w:t>0,08</w:t>
            </w:r>
          </w:p>
        </w:tc>
      </w:tr>
    </w:tbl>
    <w:p w:rsidR="009176AA" w:rsidRDefault="00631F90" w:rsidP="00D74A6A">
      <w:pPr>
        <w:rPr>
          <w:szCs w:val="24"/>
        </w:rPr>
      </w:pPr>
      <w:r>
        <w:rPr>
          <w:szCs w:val="24"/>
        </w:rPr>
        <w:t> </w:t>
      </w:r>
      <w:r w:rsidR="005341E5">
        <w:rPr>
          <w:szCs w:val="24"/>
        </w:rPr>
        <w:t>Tabulka uvádí různé vlivy a jejich dopad na vznik některých psychických onemocnění.</w:t>
      </w:r>
      <w:r w:rsidR="00C35EE7">
        <w:rPr>
          <w:szCs w:val="24"/>
        </w:rPr>
        <w:t> </w:t>
      </w:r>
    </w:p>
    <w:p w:rsidR="00EB2125" w:rsidRDefault="00D62F3D" w:rsidP="00D62F3D">
      <w:pPr>
        <w:pStyle w:val="Nadpis3"/>
        <w:numPr>
          <w:ilvl w:val="0"/>
          <w:numId w:val="0"/>
        </w:numPr>
      </w:pPr>
      <w:r>
        <w:t> </w:t>
      </w:r>
    </w:p>
    <w:p w:rsidR="000E2F42" w:rsidRDefault="000E2F42" w:rsidP="000E2F42"/>
    <w:p w:rsidR="000E2F42" w:rsidRDefault="000E2F42" w:rsidP="000E2F42"/>
    <w:p w:rsidR="000E2F42" w:rsidRPr="000E2F42" w:rsidRDefault="000E2F42" w:rsidP="000E2F42"/>
    <w:p w:rsidR="00C85549" w:rsidRPr="00EB2125" w:rsidRDefault="008F327D" w:rsidP="00EB2125">
      <w:pPr>
        <w:pStyle w:val="Nadpis3"/>
      </w:pPr>
      <w:r>
        <w:lastRenderedPageBreak/>
        <w:t> </w:t>
      </w:r>
      <w:bookmarkStart w:id="15" w:name="_Toc343360810"/>
      <w:bookmarkStart w:id="16" w:name="_Toc343782736"/>
      <w:r w:rsidR="00D62F3D">
        <w:t> </w:t>
      </w:r>
      <w:bookmarkStart w:id="17" w:name="_Toc353433174"/>
      <w:r w:rsidR="008727CC">
        <w:t>1</w:t>
      </w:r>
      <w:r w:rsidR="001636C1" w:rsidRPr="00EB2125">
        <w:t>.4</w:t>
      </w:r>
      <w:r w:rsidR="005576C1" w:rsidRPr="00EB2125">
        <w:t xml:space="preserve"> </w:t>
      </w:r>
      <w:r w:rsidR="00D21869" w:rsidRPr="00EB2125">
        <w:t>Klinické příznaky</w:t>
      </w:r>
      <w:bookmarkEnd w:id="15"/>
      <w:bookmarkEnd w:id="16"/>
      <w:bookmarkEnd w:id="17"/>
    </w:p>
    <w:p w:rsidR="00DC3C76" w:rsidRDefault="00DC3C76" w:rsidP="00EB2125">
      <w:pPr>
        <w:jc w:val="right"/>
        <w:rPr>
          <w:i/>
        </w:rPr>
      </w:pPr>
      <w:r>
        <w:rPr>
          <w:i/>
        </w:rPr>
        <w:t xml:space="preserve">„Deprese je nejstarší trýznitel lidstva.“ </w:t>
      </w:r>
    </w:p>
    <w:p w:rsidR="00DC3C76" w:rsidRDefault="00DC3C76" w:rsidP="000E2F42">
      <w:pPr>
        <w:jc w:val="right"/>
      </w:pPr>
      <w:r>
        <w:rPr>
          <w:i/>
        </w:rPr>
        <w:t xml:space="preserve">                                                   </w:t>
      </w:r>
      <w:r>
        <w:t>(</w:t>
      </w:r>
      <w:r w:rsidR="00631F90">
        <w:t>Křivohlavý, 2012; s. 87)</w:t>
      </w:r>
    </w:p>
    <w:p w:rsidR="000E2F42" w:rsidRPr="00DC3C76" w:rsidRDefault="000E2F42" w:rsidP="000E2F42">
      <w:pPr>
        <w:jc w:val="right"/>
      </w:pPr>
    </w:p>
    <w:p w:rsidR="00C35EE7" w:rsidRDefault="00DC3C76" w:rsidP="00C35EE7">
      <w:pPr>
        <w:ind w:firstLine="284"/>
        <w:rPr>
          <w:szCs w:val="24"/>
        </w:rPr>
      </w:pPr>
      <w:r>
        <w:rPr>
          <w:szCs w:val="24"/>
        </w:rPr>
        <w:t> </w:t>
      </w:r>
      <w:r w:rsidR="00C85549">
        <w:rPr>
          <w:szCs w:val="24"/>
        </w:rPr>
        <w:t>Depresivní onemocnění má velké spektrum příznaků. Základní symptom, který bývá přítomen u všech nemocných, je smutná (depresivní) nálada. Ta je udávána buď subjektivně, nebo může být objektivně pozorována. Podmínkou pro správné určení diagnózy je trvání pokl</w:t>
      </w:r>
      <w:r w:rsidR="00403144">
        <w:rPr>
          <w:szCs w:val="24"/>
        </w:rPr>
        <w:t>eslé nálady minimálně dva týdny</w:t>
      </w:r>
      <w:r w:rsidR="00C85549">
        <w:rPr>
          <w:szCs w:val="24"/>
        </w:rPr>
        <w:t xml:space="preserve"> (Raboch, Zvolsk</w:t>
      </w:r>
      <w:r w:rsidR="00C35EE7">
        <w:rPr>
          <w:szCs w:val="24"/>
        </w:rPr>
        <w:t xml:space="preserve">ý, 2001).                          </w:t>
      </w:r>
      <w:r w:rsidR="00C85549">
        <w:rPr>
          <w:szCs w:val="24"/>
        </w:rPr>
        <w:t xml:space="preserve">Depresivní nálada nebývá vázána na konkrétní události a svou intenzitou a trváním není ve vztahu k případným zátěžím adekvátní. Jsou přítomny </w:t>
      </w:r>
      <w:r w:rsidR="00C35EE7">
        <w:rPr>
          <w:szCs w:val="24"/>
        </w:rPr>
        <w:t xml:space="preserve">i další </w:t>
      </w:r>
      <w:r w:rsidR="00C85549" w:rsidRPr="00CD40C5">
        <w:rPr>
          <w:b/>
          <w:szCs w:val="24"/>
        </w:rPr>
        <w:t>poruchy emotivity</w:t>
      </w:r>
      <w:r w:rsidR="00C85549">
        <w:rPr>
          <w:szCs w:val="24"/>
        </w:rPr>
        <w:t xml:space="preserve">, jakými je neschopnost radovat se, zvýšený sklon k pocitům viny, pocity beznaděje, zoufalství a bezmocnosti. Depresivní ladění velmi silně </w:t>
      </w:r>
      <w:r w:rsidR="00403144">
        <w:rPr>
          <w:szCs w:val="24"/>
        </w:rPr>
        <w:t>ovlivňuje veškeré prožívání</w:t>
      </w:r>
      <w:r w:rsidR="00C35EE7">
        <w:rPr>
          <w:szCs w:val="24"/>
        </w:rPr>
        <w:t xml:space="preserve"> (Vá</w:t>
      </w:r>
      <w:r w:rsidR="00C85549">
        <w:rPr>
          <w:szCs w:val="24"/>
        </w:rPr>
        <w:t xml:space="preserve">gnerová, 2004). </w:t>
      </w:r>
    </w:p>
    <w:p w:rsidR="00C35EE7" w:rsidRDefault="00F525E2" w:rsidP="00C85549">
      <w:pPr>
        <w:ind w:firstLine="284"/>
        <w:rPr>
          <w:szCs w:val="24"/>
        </w:rPr>
      </w:pPr>
      <w:r>
        <w:rPr>
          <w:szCs w:val="24"/>
        </w:rPr>
        <w:t xml:space="preserve">V klinickém obrazu </w:t>
      </w:r>
      <w:r w:rsidR="00C85549">
        <w:rPr>
          <w:szCs w:val="24"/>
        </w:rPr>
        <w:t xml:space="preserve">jsou dále přítomny </w:t>
      </w:r>
      <w:r w:rsidR="00C85549" w:rsidRPr="001243C4">
        <w:rPr>
          <w:b/>
          <w:szCs w:val="24"/>
        </w:rPr>
        <w:t xml:space="preserve">poruchy kognitivních funkcí. </w:t>
      </w:r>
      <w:r w:rsidR="00C85549">
        <w:rPr>
          <w:szCs w:val="24"/>
        </w:rPr>
        <w:t>Mezi ty patří negativní automatické myšlení, zahrnující tendenci k dichotomickému, černobílému vidění. Časté jsou ruminace</w:t>
      </w:r>
      <w:r w:rsidR="00B069FA">
        <w:rPr>
          <w:rStyle w:val="Znakapoznpodarou"/>
          <w:szCs w:val="24"/>
        </w:rPr>
        <w:footnoteReference w:id="6"/>
      </w:r>
      <w:r w:rsidR="00C85549">
        <w:rPr>
          <w:szCs w:val="24"/>
        </w:rPr>
        <w:t xml:space="preserve">, hypochondrické nebo suicidální myšlenky. U 2/3 depresivních nemocných byly </w:t>
      </w:r>
      <w:r w:rsidR="00F16E4C">
        <w:rPr>
          <w:szCs w:val="24"/>
        </w:rPr>
        <w:t xml:space="preserve">zjištěny myšlenky na sebevraždu </w:t>
      </w:r>
      <w:r w:rsidR="00C85549">
        <w:rPr>
          <w:szCs w:val="24"/>
        </w:rPr>
        <w:t>(Raboch, Zvolský, 2001).</w:t>
      </w:r>
      <w:r w:rsidR="00D74A6A">
        <w:rPr>
          <w:szCs w:val="24"/>
        </w:rPr>
        <w:t xml:space="preserve"> </w:t>
      </w:r>
      <w:r w:rsidR="00C85549">
        <w:rPr>
          <w:szCs w:val="24"/>
        </w:rPr>
        <w:t xml:space="preserve">Nemocný </w:t>
      </w:r>
      <w:r w:rsidR="00D74A6A">
        <w:rPr>
          <w:szCs w:val="24"/>
        </w:rPr>
        <w:t xml:space="preserve">s depresí </w:t>
      </w:r>
      <w:r w:rsidR="00C85549">
        <w:rPr>
          <w:szCs w:val="24"/>
        </w:rPr>
        <w:t xml:space="preserve">subjektivně hodnotí každou situaci špatně a je přesvědčen, že ho již nic dobrého nepotká. Depresivní pacienti mají sníženou schopnost soustředění, často nejsou schopni se rozhodovat nebo si </w:t>
      </w:r>
      <w:r w:rsidR="00F16E4C">
        <w:rPr>
          <w:szCs w:val="24"/>
        </w:rPr>
        <w:t>vybavit v paměti potřebné údaje</w:t>
      </w:r>
      <w:r w:rsidR="00C85549">
        <w:rPr>
          <w:szCs w:val="24"/>
        </w:rPr>
        <w:t xml:space="preserve"> (Juklová, Skorunková, 2009). </w:t>
      </w:r>
      <w:r w:rsidR="004E2B2B">
        <w:rPr>
          <w:szCs w:val="24"/>
        </w:rPr>
        <w:t>Vágnerová (2004) udává, že u</w:t>
      </w:r>
      <w:r w:rsidR="00C85549">
        <w:rPr>
          <w:szCs w:val="24"/>
        </w:rPr>
        <w:t xml:space="preserve"> 8 až 15 % nemocných s depres</w:t>
      </w:r>
      <w:r w:rsidR="004E2B2B">
        <w:rPr>
          <w:szCs w:val="24"/>
        </w:rPr>
        <w:t>í se vyskytují bludné symptomy.</w:t>
      </w:r>
      <w:r w:rsidR="00C85549">
        <w:rPr>
          <w:szCs w:val="24"/>
        </w:rPr>
        <w:t xml:space="preserve"> Nejčastěji je to autokuzační blud (nemocný je lhář, hříšník, vše zkazil, žene se do záhuby apod.) </w:t>
      </w:r>
    </w:p>
    <w:p w:rsidR="00C35EE7" w:rsidRDefault="00C35EE7" w:rsidP="00C85549">
      <w:pPr>
        <w:ind w:firstLine="284"/>
        <w:rPr>
          <w:szCs w:val="24"/>
        </w:rPr>
      </w:pPr>
      <w:r>
        <w:rPr>
          <w:szCs w:val="24"/>
        </w:rPr>
        <w:t>U d</w:t>
      </w:r>
      <w:r w:rsidR="00C85549">
        <w:rPr>
          <w:szCs w:val="24"/>
        </w:rPr>
        <w:t xml:space="preserve">eprese </w:t>
      </w:r>
      <w:r>
        <w:rPr>
          <w:szCs w:val="24"/>
        </w:rPr>
        <w:t>dochází ke změně</w:t>
      </w:r>
      <w:r w:rsidR="00C85549">
        <w:rPr>
          <w:szCs w:val="24"/>
        </w:rPr>
        <w:t xml:space="preserve"> </w:t>
      </w:r>
      <w:r w:rsidR="00C85549" w:rsidRPr="00253629">
        <w:rPr>
          <w:b/>
          <w:szCs w:val="24"/>
        </w:rPr>
        <w:t>psychomotorického tempa</w:t>
      </w:r>
      <w:r w:rsidR="00C85549">
        <w:rPr>
          <w:b/>
          <w:szCs w:val="24"/>
        </w:rPr>
        <w:t>.</w:t>
      </w:r>
      <w:r w:rsidR="00C85549">
        <w:rPr>
          <w:szCs w:val="24"/>
        </w:rPr>
        <w:t xml:space="preserve"> Ta je viditelná zejména v mimice a celkových motorických projevech (ochablé držení těla, pomalá chůze). Řeč bývá tichá a mo</w:t>
      </w:r>
      <w:r w:rsidR="004E2B2B">
        <w:rPr>
          <w:szCs w:val="24"/>
        </w:rPr>
        <w:t>notónní. (Juklová, Skorunková, 2009</w:t>
      </w:r>
      <w:r w:rsidR="00C85549">
        <w:rPr>
          <w:szCs w:val="24"/>
        </w:rPr>
        <w:t>)</w:t>
      </w:r>
      <w:r w:rsidR="0057512C">
        <w:rPr>
          <w:szCs w:val="24"/>
        </w:rPr>
        <w:t xml:space="preserve">. </w:t>
      </w:r>
      <w:r w:rsidR="00C85549">
        <w:rPr>
          <w:szCs w:val="24"/>
        </w:rPr>
        <w:t>V krajním případě může být přítomen depresivní stupor. Projevuje se nehybností, mutismem</w:t>
      </w:r>
      <w:r w:rsidR="009C3DD3">
        <w:rPr>
          <w:rStyle w:val="Znakapoznpodarou"/>
          <w:szCs w:val="24"/>
        </w:rPr>
        <w:footnoteReference w:id="7"/>
      </w:r>
      <w:r w:rsidR="00C85549">
        <w:rPr>
          <w:szCs w:val="24"/>
        </w:rPr>
        <w:t>, vědomí může být zastřené. V opačném případě může být zjevný pohybový neklid, který vede až</w:t>
      </w:r>
      <w:r w:rsidR="00050945">
        <w:rPr>
          <w:szCs w:val="24"/>
        </w:rPr>
        <w:t xml:space="preserve"> k psychomotorické agitovanosti</w:t>
      </w:r>
      <w:r w:rsidR="00C85549">
        <w:rPr>
          <w:szCs w:val="24"/>
        </w:rPr>
        <w:t xml:space="preserve">. </w:t>
      </w:r>
    </w:p>
    <w:p w:rsidR="00C85549" w:rsidRDefault="00C85549" w:rsidP="00C85549">
      <w:pPr>
        <w:ind w:firstLine="284"/>
        <w:rPr>
          <w:szCs w:val="24"/>
        </w:rPr>
      </w:pPr>
      <w:r>
        <w:rPr>
          <w:szCs w:val="24"/>
        </w:rPr>
        <w:lastRenderedPageBreak/>
        <w:t xml:space="preserve">Při onemocnění se vyskytují také </w:t>
      </w:r>
      <w:r w:rsidRPr="00D77DBF">
        <w:rPr>
          <w:b/>
          <w:szCs w:val="24"/>
        </w:rPr>
        <w:t>změny osobnosti.</w:t>
      </w:r>
      <w:r>
        <w:rPr>
          <w:szCs w:val="24"/>
        </w:rPr>
        <w:t xml:space="preserve"> </w:t>
      </w:r>
      <w:r w:rsidR="00D77DBF">
        <w:rPr>
          <w:szCs w:val="24"/>
        </w:rPr>
        <w:t>Deprese ovlivňuje nejen jednání, ale i celou osobnost člověka. Nemocný je přesvědčen, že vše je pro něj příliš složité, není schopen nic zvládnout, a nic nedokáže</w:t>
      </w:r>
      <w:r w:rsidR="00050945">
        <w:rPr>
          <w:szCs w:val="24"/>
        </w:rPr>
        <w:t xml:space="preserve"> (Vágnerová, 2004)</w:t>
      </w:r>
      <w:r w:rsidR="00D77DBF">
        <w:rPr>
          <w:szCs w:val="24"/>
        </w:rPr>
        <w:t xml:space="preserve">. </w:t>
      </w:r>
    </w:p>
    <w:p w:rsidR="0057512C" w:rsidRDefault="0057512C" w:rsidP="00C85549">
      <w:pPr>
        <w:ind w:firstLine="284"/>
        <w:rPr>
          <w:szCs w:val="24"/>
        </w:rPr>
      </w:pPr>
      <w:r>
        <w:rPr>
          <w:szCs w:val="24"/>
        </w:rPr>
        <w:t xml:space="preserve">Deprese bývá často spojována s pojmem naučená bezmocnost. </w:t>
      </w:r>
      <w:r w:rsidR="00C66726">
        <w:rPr>
          <w:szCs w:val="24"/>
        </w:rPr>
        <w:t>Je to přesvědčení, že jakákoliv naše snaha (a</w:t>
      </w:r>
      <w:r w:rsidR="00403144">
        <w:rPr>
          <w:szCs w:val="24"/>
        </w:rPr>
        <w:t xml:space="preserve">ktivita, práce, úsilí) je marná </w:t>
      </w:r>
      <w:r w:rsidR="006B7D6C">
        <w:rPr>
          <w:szCs w:val="24"/>
        </w:rPr>
        <w:t>(Saligman, 2002</w:t>
      </w:r>
      <w:r w:rsidR="00C66726">
        <w:rPr>
          <w:szCs w:val="24"/>
        </w:rPr>
        <w:t>)</w:t>
      </w:r>
      <w:r w:rsidR="00403144">
        <w:rPr>
          <w:szCs w:val="24"/>
        </w:rPr>
        <w:t>.</w:t>
      </w:r>
    </w:p>
    <w:p w:rsidR="00C85549" w:rsidRDefault="00C85549" w:rsidP="00C85549">
      <w:pPr>
        <w:ind w:firstLine="284"/>
        <w:rPr>
          <w:szCs w:val="24"/>
        </w:rPr>
      </w:pPr>
      <w:r>
        <w:rPr>
          <w:szCs w:val="24"/>
        </w:rPr>
        <w:t xml:space="preserve">Další klinicky významné jsou </w:t>
      </w:r>
      <w:r w:rsidRPr="00052AE8">
        <w:rPr>
          <w:b/>
          <w:szCs w:val="24"/>
        </w:rPr>
        <w:t>somatické příznaky</w:t>
      </w:r>
      <w:r>
        <w:rPr>
          <w:szCs w:val="24"/>
        </w:rPr>
        <w:t>. Mezi ně patří ztráta chuti k jídlu, úbytek na váze, dyspeptické obtíže, poruchy spánku. Typické je časné buzení, v</w:t>
      </w:r>
      <w:r w:rsidR="00347102">
        <w:rPr>
          <w:szCs w:val="24"/>
        </w:rPr>
        <w:t> 80 % se jedná o buzení kolem 2- 3</w:t>
      </w:r>
      <w:r>
        <w:rPr>
          <w:szCs w:val="24"/>
        </w:rPr>
        <w:t xml:space="preserve"> hodin</w:t>
      </w:r>
      <w:r w:rsidR="004E2B2B">
        <w:rPr>
          <w:szCs w:val="24"/>
        </w:rPr>
        <w:t>y ranní</w:t>
      </w:r>
      <w:r w:rsidR="00F16E4C">
        <w:rPr>
          <w:szCs w:val="24"/>
        </w:rPr>
        <w:t>.</w:t>
      </w:r>
      <w:r>
        <w:rPr>
          <w:szCs w:val="24"/>
        </w:rPr>
        <w:t xml:space="preserve"> To je doprovázeno tzv. ranními pesimy</w:t>
      </w:r>
      <w:r w:rsidR="004E2B2B">
        <w:rPr>
          <w:szCs w:val="24"/>
        </w:rPr>
        <w:t xml:space="preserve"> </w:t>
      </w:r>
      <w:r>
        <w:rPr>
          <w:sz w:val="26"/>
          <w:szCs w:val="24"/>
        </w:rPr>
        <w:t>(</w:t>
      </w:r>
      <w:r>
        <w:rPr>
          <w:szCs w:val="24"/>
        </w:rPr>
        <w:t xml:space="preserve">v tuto dobu je deprese subjektivně popisována nejhůře). </w:t>
      </w:r>
      <w:r w:rsidR="004840E7">
        <w:rPr>
          <w:szCs w:val="24"/>
        </w:rPr>
        <w:t>U některých depresivních pacientů se naopak může vyskytovat nadměrná spavost, ta ovšem nebývá tak častá. Člověk má pocit, že musí zaspa</w:t>
      </w:r>
      <w:r w:rsidR="00F16E4C">
        <w:rPr>
          <w:szCs w:val="24"/>
        </w:rPr>
        <w:t xml:space="preserve">t všechno své trápení a výčitky </w:t>
      </w:r>
      <w:r w:rsidR="004840E7">
        <w:rPr>
          <w:szCs w:val="24"/>
        </w:rPr>
        <w:t>(Raboch, Buliková, Sikmundová, 2009)</w:t>
      </w:r>
      <w:r w:rsidR="00F16E4C">
        <w:rPr>
          <w:szCs w:val="24"/>
        </w:rPr>
        <w:t xml:space="preserve">. </w:t>
      </w:r>
      <w:r w:rsidR="004840E7">
        <w:rPr>
          <w:szCs w:val="24"/>
        </w:rPr>
        <w:t xml:space="preserve">K dalším somatickým příznakům patří </w:t>
      </w:r>
      <w:r>
        <w:rPr>
          <w:szCs w:val="24"/>
        </w:rPr>
        <w:t>snížené libido až</w:t>
      </w:r>
      <w:r w:rsidR="004840E7">
        <w:rPr>
          <w:szCs w:val="24"/>
        </w:rPr>
        <w:t xml:space="preserve"> vyhasínající sexuální potřeba, pocity </w:t>
      </w:r>
      <w:r>
        <w:rPr>
          <w:szCs w:val="24"/>
        </w:rPr>
        <w:t>svírání na hrudi, bušení srdce, bolesti hlavy a břicha, za</w:t>
      </w:r>
      <w:r w:rsidR="00F16E4C">
        <w:rPr>
          <w:szCs w:val="24"/>
        </w:rPr>
        <w:t>žívací potíže nebo také závratě</w:t>
      </w:r>
      <w:r>
        <w:rPr>
          <w:szCs w:val="24"/>
        </w:rPr>
        <w:t xml:space="preserve"> (Vágnerová,</w:t>
      </w:r>
      <w:r w:rsidR="004E2B2B">
        <w:rPr>
          <w:szCs w:val="24"/>
        </w:rPr>
        <w:t xml:space="preserve"> 2004</w:t>
      </w:r>
      <w:r>
        <w:rPr>
          <w:szCs w:val="24"/>
        </w:rPr>
        <w:t>). Somatické obtíže jsou nejčastěji udávány pacienty trpícími larvovanou depresí, která je typická právě převládající somat</w:t>
      </w:r>
      <w:r w:rsidR="00F16E4C">
        <w:rPr>
          <w:szCs w:val="24"/>
        </w:rPr>
        <w:t xml:space="preserve">ickou symptomatologií </w:t>
      </w:r>
      <w:r w:rsidR="00347102">
        <w:rPr>
          <w:szCs w:val="24"/>
        </w:rPr>
        <w:t>(Švestka, 2000)</w:t>
      </w:r>
      <w:r w:rsidR="00F16E4C">
        <w:rPr>
          <w:szCs w:val="24"/>
        </w:rPr>
        <w:t>.</w:t>
      </w:r>
    </w:p>
    <w:p w:rsidR="00113ACD" w:rsidRDefault="0057512C" w:rsidP="000E2F42">
      <w:pPr>
        <w:ind w:firstLine="284"/>
        <w:rPr>
          <w:szCs w:val="24"/>
        </w:rPr>
      </w:pPr>
      <w:r>
        <w:rPr>
          <w:szCs w:val="24"/>
        </w:rPr>
        <w:t>Zajímavostí je</w:t>
      </w:r>
      <w:r w:rsidR="00510E20">
        <w:rPr>
          <w:szCs w:val="24"/>
        </w:rPr>
        <w:t>, že ženy uvádějí v</w:t>
      </w:r>
      <w:r w:rsidR="00F16E4C">
        <w:rPr>
          <w:szCs w:val="24"/>
        </w:rPr>
        <w:t xml:space="preserve">ětší závažnost deprese než muži </w:t>
      </w:r>
      <w:r>
        <w:rPr>
          <w:szCs w:val="24"/>
        </w:rPr>
        <w:t>(Čéšková, 2012)</w:t>
      </w:r>
      <w:r w:rsidR="00F16E4C">
        <w:rPr>
          <w:szCs w:val="24"/>
        </w:rPr>
        <w:t>.</w:t>
      </w:r>
      <w:r>
        <w:rPr>
          <w:szCs w:val="24"/>
        </w:rPr>
        <w:t xml:space="preserve"> </w:t>
      </w:r>
      <w:r w:rsidR="0068196D">
        <w:rPr>
          <w:szCs w:val="24"/>
        </w:rPr>
        <w:t>Ze studie, kde byly sledovány rozdíly v depresivním prožívání, byly nalezeny zajímavé odlišnosti. Muži si stěžovali nejvíce na smutnou a špatnou náladu, pesimismus a neschopnost činnosti. Naopak ženy u lékaře uváděly, že cítí lítost a přecitlivělost, mají neustál</w:t>
      </w:r>
      <w:r w:rsidR="00F16E4C">
        <w:rPr>
          <w:szCs w:val="24"/>
        </w:rPr>
        <w:t>ý pocit napětí a smutnou náladu</w:t>
      </w:r>
      <w:r w:rsidR="0068196D">
        <w:rPr>
          <w:szCs w:val="24"/>
        </w:rPr>
        <w:t xml:space="preserve"> (Turbová, Cagaš, 2004)</w:t>
      </w:r>
      <w:r w:rsidR="00F16E4C">
        <w:rPr>
          <w:szCs w:val="24"/>
        </w:rPr>
        <w:t>.</w:t>
      </w:r>
      <w:r w:rsidR="0068196D">
        <w:rPr>
          <w:szCs w:val="24"/>
        </w:rPr>
        <w:t xml:space="preserve"> V ambulanci psychiatra se můžeme setkat s nejrůznějším popisem depresivní nálady, tabulka 2 popisuje výroky pacientů s depresí.  </w:t>
      </w:r>
    </w:p>
    <w:p w:rsidR="000E2F42" w:rsidRDefault="000E2F42" w:rsidP="000E2F42">
      <w:pPr>
        <w:ind w:firstLine="284"/>
        <w:rPr>
          <w:szCs w:val="24"/>
        </w:rPr>
      </w:pPr>
    </w:p>
    <w:p w:rsidR="000E2F42" w:rsidRDefault="000E2F42" w:rsidP="000E2F42">
      <w:pPr>
        <w:ind w:firstLine="284"/>
        <w:rPr>
          <w:szCs w:val="24"/>
        </w:rPr>
      </w:pPr>
    </w:p>
    <w:p w:rsidR="000E2F42" w:rsidRDefault="000E2F42" w:rsidP="000E2F42">
      <w:pPr>
        <w:ind w:firstLine="284"/>
        <w:rPr>
          <w:szCs w:val="24"/>
        </w:rPr>
      </w:pPr>
    </w:p>
    <w:p w:rsidR="000E2F42" w:rsidRDefault="000E2F42" w:rsidP="000E2F42">
      <w:pPr>
        <w:ind w:firstLine="284"/>
        <w:rPr>
          <w:szCs w:val="24"/>
        </w:rPr>
      </w:pPr>
    </w:p>
    <w:p w:rsidR="000E2F42" w:rsidRDefault="000E2F42" w:rsidP="000E2F42">
      <w:pPr>
        <w:ind w:firstLine="284"/>
        <w:rPr>
          <w:szCs w:val="24"/>
        </w:rPr>
      </w:pPr>
    </w:p>
    <w:p w:rsidR="000E2F42" w:rsidRDefault="000E2F42" w:rsidP="000E2F42">
      <w:pPr>
        <w:ind w:firstLine="284"/>
        <w:rPr>
          <w:szCs w:val="24"/>
        </w:rPr>
      </w:pPr>
    </w:p>
    <w:p w:rsidR="000E2F42" w:rsidRDefault="000E2F42" w:rsidP="000E2F42">
      <w:pPr>
        <w:ind w:firstLine="284"/>
        <w:rPr>
          <w:szCs w:val="24"/>
        </w:rPr>
      </w:pPr>
    </w:p>
    <w:p w:rsidR="000E2F42" w:rsidRDefault="000E2F42" w:rsidP="000E2F42">
      <w:pPr>
        <w:ind w:firstLine="284"/>
        <w:rPr>
          <w:szCs w:val="24"/>
        </w:rPr>
      </w:pPr>
    </w:p>
    <w:p w:rsidR="000E2F42" w:rsidRDefault="000E2F42" w:rsidP="000E2F42">
      <w:pPr>
        <w:ind w:firstLine="284"/>
        <w:rPr>
          <w:szCs w:val="24"/>
        </w:rPr>
      </w:pPr>
    </w:p>
    <w:p w:rsidR="000E2F42" w:rsidRDefault="000E2F42" w:rsidP="000E2F42">
      <w:pPr>
        <w:ind w:firstLine="284"/>
        <w:rPr>
          <w:szCs w:val="24"/>
        </w:rPr>
      </w:pPr>
    </w:p>
    <w:p w:rsidR="000E2F42" w:rsidRDefault="000E2F42" w:rsidP="000E2F42">
      <w:pPr>
        <w:ind w:firstLine="284"/>
        <w:rPr>
          <w:szCs w:val="24"/>
        </w:rPr>
      </w:pPr>
    </w:p>
    <w:p w:rsidR="00C85549" w:rsidRDefault="00C85549" w:rsidP="00C85549">
      <w:pPr>
        <w:rPr>
          <w:rFonts w:cs="Times New Roman"/>
          <w:szCs w:val="24"/>
        </w:rPr>
      </w:pPr>
      <w:r w:rsidRPr="00347102">
        <w:rPr>
          <w:rFonts w:cs="Times New Roman"/>
          <w:b/>
          <w:szCs w:val="24"/>
        </w:rPr>
        <w:lastRenderedPageBreak/>
        <w:t>Tab</w:t>
      </w:r>
      <w:r w:rsidR="00347102" w:rsidRPr="00347102">
        <w:rPr>
          <w:rFonts w:cs="Times New Roman"/>
          <w:b/>
          <w:szCs w:val="24"/>
        </w:rPr>
        <w:t>ulka</w:t>
      </w:r>
      <w:r w:rsidRPr="00347102">
        <w:rPr>
          <w:rFonts w:cs="Times New Roman"/>
          <w:b/>
          <w:szCs w:val="24"/>
        </w:rPr>
        <w:t xml:space="preserve"> 2</w:t>
      </w:r>
      <w:r>
        <w:rPr>
          <w:rFonts w:cs="Times New Roman"/>
          <w:szCs w:val="24"/>
        </w:rPr>
        <w:t xml:space="preserve">. </w:t>
      </w:r>
      <w:r w:rsidRPr="0089711D">
        <w:rPr>
          <w:rFonts w:cs="Times New Roman"/>
          <w:szCs w:val="24"/>
        </w:rPr>
        <w:t>Jak se cítím</w:t>
      </w:r>
      <w:r w:rsidR="00D21869">
        <w:rPr>
          <w:rFonts w:cs="Times New Roman"/>
          <w:szCs w:val="24"/>
        </w:rPr>
        <w:t xml:space="preserve"> (Křivohlavý, 2003</w:t>
      </w:r>
      <w:r>
        <w:rPr>
          <w:rFonts w:cs="Times New Roman"/>
          <w:szCs w:val="24"/>
        </w:rPr>
        <w:t>)</w:t>
      </w:r>
    </w:p>
    <w:tbl>
      <w:tblPr>
        <w:tblStyle w:val="Mkatabulky"/>
        <w:tblW w:w="0" w:type="auto"/>
        <w:tblLook w:val="04A0" w:firstRow="1" w:lastRow="0" w:firstColumn="1" w:lastColumn="0" w:noHBand="0" w:noVBand="1"/>
      </w:tblPr>
      <w:tblGrid>
        <w:gridCol w:w="4224"/>
        <w:gridCol w:w="4505"/>
      </w:tblGrid>
      <w:tr w:rsidR="009E72C1" w:rsidRPr="00CF0A7C" w:rsidTr="00FD10B6">
        <w:trPr>
          <w:trHeight w:val="634"/>
        </w:trPr>
        <w:tc>
          <w:tcPr>
            <w:tcW w:w="8729" w:type="dxa"/>
            <w:gridSpan w:val="2"/>
            <w:shd w:val="clear" w:color="auto" w:fill="EEECE1" w:themeFill="background2"/>
          </w:tcPr>
          <w:p w:rsidR="009E72C1" w:rsidRPr="00AA0567" w:rsidRDefault="009E72C1" w:rsidP="00AA0567">
            <w:pPr>
              <w:spacing w:before="240"/>
              <w:jc w:val="center"/>
              <w:rPr>
                <w:rFonts w:cs="Times New Roman"/>
                <w:b/>
                <w:sz w:val="32"/>
                <w:szCs w:val="32"/>
              </w:rPr>
            </w:pPr>
            <w:r w:rsidRPr="00AA0567">
              <w:rPr>
                <w:rFonts w:cs="Times New Roman"/>
                <w:b/>
                <w:sz w:val="32"/>
                <w:szCs w:val="32"/>
              </w:rPr>
              <w:t>Jak se cítím?</w:t>
            </w:r>
          </w:p>
        </w:tc>
      </w:tr>
      <w:tr w:rsidR="009E72C1" w:rsidTr="00AA0567">
        <w:trPr>
          <w:trHeight w:val="433"/>
        </w:trPr>
        <w:tc>
          <w:tcPr>
            <w:tcW w:w="4224" w:type="dxa"/>
            <w:shd w:val="clear" w:color="auto" w:fill="FFFFFF" w:themeFill="background1"/>
          </w:tcPr>
          <w:p w:rsidR="009E72C1" w:rsidRPr="00CF0A7C" w:rsidRDefault="009E72C1" w:rsidP="0078723A">
            <w:pPr>
              <w:jc w:val="center"/>
              <w:rPr>
                <w:rFonts w:cs="Times New Roman"/>
                <w:b/>
                <w:szCs w:val="24"/>
              </w:rPr>
            </w:pPr>
            <w:r>
              <w:rPr>
                <w:rFonts w:cs="Times New Roman"/>
                <w:szCs w:val="24"/>
              </w:rPr>
              <w:t>„</w:t>
            </w:r>
            <w:r w:rsidRPr="00CF0A7C">
              <w:rPr>
                <w:rFonts w:cs="Times New Roman"/>
                <w:szCs w:val="24"/>
              </w:rPr>
              <w:t>Zklamaně</w:t>
            </w:r>
            <w:r>
              <w:rPr>
                <w:rFonts w:cs="Times New Roman"/>
                <w:szCs w:val="24"/>
              </w:rPr>
              <w:t>“</w:t>
            </w:r>
          </w:p>
        </w:tc>
        <w:tc>
          <w:tcPr>
            <w:tcW w:w="4505" w:type="dxa"/>
            <w:shd w:val="clear" w:color="auto" w:fill="FFFFFF" w:themeFill="background1"/>
          </w:tcPr>
          <w:p w:rsidR="009E72C1" w:rsidRDefault="009E72C1" w:rsidP="0078723A">
            <w:pPr>
              <w:jc w:val="center"/>
              <w:rPr>
                <w:szCs w:val="24"/>
              </w:rPr>
            </w:pPr>
            <w:r>
              <w:rPr>
                <w:szCs w:val="24"/>
              </w:rPr>
              <w:t>„Je mi, jako by nastal konec světa“.</w:t>
            </w:r>
          </w:p>
        </w:tc>
      </w:tr>
      <w:tr w:rsidR="009E72C1" w:rsidTr="00AA0567">
        <w:trPr>
          <w:trHeight w:val="457"/>
        </w:trPr>
        <w:tc>
          <w:tcPr>
            <w:tcW w:w="4224" w:type="dxa"/>
            <w:shd w:val="clear" w:color="auto" w:fill="FFFFFF" w:themeFill="background1"/>
          </w:tcPr>
          <w:p w:rsidR="009E72C1" w:rsidRPr="00CF0A7C" w:rsidRDefault="009E72C1" w:rsidP="0078723A">
            <w:pPr>
              <w:jc w:val="center"/>
              <w:rPr>
                <w:rFonts w:cs="Times New Roman"/>
                <w:b/>
                <w:szCs w:val="24"/>
              </w:rPr>
            </w:pPr>
            <w:r>
              <w:rPr>
                <w:rFonts w:cs="Times New Roman"/>
                <w:szCs w:val="24"/>
              </w:rPr>
              <w:t>„</w:t>
            </w:r>
            <w:r w:rsidRPr="00CF0A7C">
              <w:rPr>
                <w:rFonts w:cs="Times New Roman"/>
                <w:szCs w:val="24"/>
              </w:rPr>
              <w:t>Bez duše</w:t>
            </w:r>
            <w:r>
              <w:rPr>
                <w:rFonts w:cs="Times New Roman"/>
                <w:szCs w:val="24"/>
              </w:rPr>
              <w:t>“</w:t>
            </w:r>
          </w:p>
        </w:tc>
        <w:tc>
          <w:tcPr>
            <w:tcW w:w="4505" w:type="dxa"/>
            <w:shd w:val="clear" w:color="auto" w:fill="FFFFFF" w:themeFill="background1"/>
          </w:tcPr>
          <w:p w:rsidR="009E72C1" w:rsidRDefault="009E72C1" w:rsidP="0078723A">
            <w:pPr>
              <w:jc w:val="center"/>
              <w:rPr>
                <w:szCs w:val="24"/>
              </w:rPr>
            </w:pPr>
            <w:r>
              <w:rPr>
                <w:szCs w:val="24"/>
              </w:rPr>
              <w:t>„Chtěla bych raději nebýt“.</w:t>
            </w:r>
          </w:p>
        </w:tc>
      </w:tr>
      <w:tr w:rsidR="009E72C1" w:rsidTr="00AA0567">
        <w:trPr>
          <w:trHeight w:val="433"/>
        </w:trPr>
        <w:tc>
          <w:tcPr>
            <w:tcW w:w="4224" w:type="dxa"/>
            <w:shd w:val="clear" w:color="auto" w:fill="FFFFFF" w:themeFill="background1"/>
          </w:tcPr>
          <w:p w:rsidR="009E72C1" w:rsidRPr="00CF0A7C" w:rsidRDefault="009E72C1" w:rsidP="0078723A">
            <w:pPr>
              <w:jc w:val="center"/>
              <w:rPr>
                <w:rFonts w:cs="Times New Roman"/>
                <w:b/>
                <w:szCs w:val="24"/>
              </w:rPr>
            </w:pPr>
            <w:r>
              <w:rPr>
                <w:rFonts w:cs="Times New Roman"/>
                <w:szCs w:val="24"/>
              </w:rPr>
              <w:t>„</w:t>
            </w:r>
            <w:r w:rsidRPr="00CF0A7C">
              <w:rPr>
                <w:rFonts w:cs="Times New Roman"/>
                <w:szCs w:val="24"/>
              </w:rPr>
              <w:t>Bez radosti</w:t>
            </w:r>
            <w:r>
              <w:rPr>
                <w:rFonts w:cs="Times New Roman"/>
                <w:szCs w:val="24"/>
              </w:rPr>
              <w:t>“</w:t>
            </w:r>
          </w:p>
        </w:tc>
        <w:tc>
          <w:tcPr>
            <w:tcW w:w="4505" w:type="dxa"/>
            <w:shd w:val="clear" w:color="auto" w:fill="FFFFFF" w:themeFill="background1"/>
          </w:tcPr>
          <w:p w:rsidR="009E72C1" w:rsidRDefault="009E72C1" w:rsidP="0078723A">
            <w:pPr>
              <w:jc w:val="center"/>
              <w:rPr>
                <w:szCs w:val="24"/>
              </w:rPr>
            </w:pPr>
            <w:r>
              <w:rPr>
                <w:szCs w:val="24"/>
              </w:rPr>
              <w:t>„Nejraději bych se zabila“.</w:t>
            </w:r>
          </w:p>
        </w:tc>
      </w:tr>
      <w:tr w:rsidR="009E72C1" w:rsidTr="00AA0567">
        <w:trPr>
          <w:trHeight w:val="457"/>
        </w:trPr>
        <w:tc>
          <w:tcPr>
            <w:tcW w:w="4224" w:type="dxa"/>
            <w:shd w:val="clear" w:color="auto" w:fill="FFFFFF" w:themeFill="background1"/>
          </w:tcPr>
          <w:p w:rsidR="009E72C1" w:rsidRPr="00CF0A7C" w:rsidRDefault="009E72C1" w:rsidP="0078723A">
            <w:pPr>
              <w:jc w:val="center"/>
              <w:rPr>
                <w:rFonts w:cs="Times New Roman"/>
                <w:b/>
                <w:szCs w:val="24"/>
              </w:rPr>
            </w:pPr>
            <w:r>
              <w:rPr>
                <w:rFonts w:cs="Times New Roman"/>
                <w:szCs w:val="24"/>
              </w:rPr>
              <w:t>„</w:t>
            </w:r>
            <w:r w:rsidRPr="00CF0A7C">
              <w:rPr>
                <w:rFonts w:cs="Times New Roman"/>
                <w:szCs w:val="24"/>
              </w:rPr>
              <w:t>Beznadějně</w:t>
            </w:r>
            <w:r>
              <w:rPr>
                <w:rFonts w:cs="Times New Roman"/>
                <w:szCs w:val="24"/>
              </w:rPr>
              <w:t>“</w:t>
            </w:r>
          </w:p>
        </w:tc>
        <w:tc>
          <w:tcPr>
            <w:tcW w:w="4505" w:type="dxa"/>
            <w:shd w:val="clear" w:color="auto" w:fill="FFFFFF" w:themeFill="background1"/>
          </w:tcPr>
          <w:p w:rsidR="009E72C1" w:rsidRDefault="009E72C1" w:rsidP="0078723A">
            <w:pPr>
              <w:jc w:val="center"/>
              <w:rPr>
                <w:szCs w:val="24"/>
              </w:rPr>
            </w:pPr>
            <w:r>
              <w:rPr>
                <w:szCs w:val="24"/>
              </w:rPr>
              <w:t>„Žlučovitá“</w:t>
            </w:r>
          </w:p>
        </w:tc>
      </w:tr>
      <w:tr w:rsidR="009E72C1" w:rsidTr="00AA0567">
        <w:trPr>
          <w:trHeight w:val="433"/>
        </w:trPr>
        <w:tc>
          <w:tcPr>
            <w:tcW w:w="4224" w:type="dxa"/>
            <w:shd w:val="clear" w:color="auto" w:fill="FFFFFF" w:themeFill="background1"/>
          </w:tcPr>
          <w:p w:rsidR="009E72C1" w:rsidRPr="00CF0A7C" w:rsidRDefault="009E72C1" w:rsidP="0078723A">
            <w:pPr>
              <w:jc w:val="center"/>
              <w:rPr>
                <w:rFonts w:cs="Times New Roman"/>
                <w:b/>
                <w:szCs w:val="24"/>
              </w:rPr>
            </w:pPr>
            <w:r>
              <w:rPr>
                <w:rFonts w:cs="Times New Roman"/>
                <w:szCs w:val="24"/>
              </w:rPr>
              <w:t>„</w:t>
            </w:r>
            <w:r w:rsidRPr="00CF0A7C">
              <w:rPr>
                <w:rFonts w:cs="Times New Roman"/>
                <w:szCs w:val="24"/>
              </w:rPr>
              <w:t>V rozpacích</w:t>
            </w:r>
            <w:r>
              <w:rPr>
                <w:rFonts w:cs="Times New Roman"/>
                <w:szCs w:val="24"/>
              </w:rPr>
              <w:t>“</w:t>
            </w:r>
          </w:p>
        </w:tc>
        <w:tc>
          <w:tcPr>
            <w:tcW w:w="4505" w:type="dxa"/>
            <w:shd w:val="clear" w:color="auto" w:fill="FFFFFF" w:themeFill="background1"/>
          </w:tcPr>
          <w:p w:rsidR="009E72C1" w:rsidRDefault="009E72C1" w:rsidP="0078723A">
            <w:pPr>
              <w:jc w:val="center"/>
              <w:rPr>
                <w:szCs w:val="24"/>
              </w:rPr>
            </w:pPr>
            <w:r>
              <w:rPr>
                <w:szCs w:val="24"/>
              </w:rPr>
              <w:t>„Zlá“</w:t>
            </w:r>
          </w:p>
        </w:tc>
      </w:tr>
      <w:tr w:rsidR="009E72C1" w:rsidTr="00AA0567">
        <w:trPr>
          <w:trHeight w:val="457"/>
        </w:trPr>
        <w:tc>
          <w:tcPr>
            <w:tcW w:w="4224" w:type="dxa"/>
            <w:shd w:val="clear" w:color="auto" w:fill="FFFFFF" w:themeFill="background1"/>
          </w:tcPr>
          <w:p w:rsidR="009E72C1" w:rsidRPr="00CF0A7C" w:rsidRDefault="009E72C1" w:rsidP="0078723A">
            <w:pPr>
              <w:jc w:val="center"/>
              <w:rPr>
                <w:rFonts w:cs="Times New Roman"/>
                <w:b/>
                <w:szCs w:val="24"/>
              </w:rPr>
            </w:pPr>
            <w:r>
              <w:rPr>
                <w:rFonts w:cs="Times New Roman"/>
                <w:szCs w:val="24"/>
              </w:rPr>
              <w:t>„</w:t>
            </w:r>
            <w:r w:rsidRPr="00CF0A7C">
              <w:rPr>
                <w:rFonts w:cs="Times New Roman"/>
                <w:szCs w:val="24"/>
              </w:rPr>
              <w:t>Plná hořkosti</w:t>
            </w:r>
            <w:r>
              <w:rPr>
                <w:rFonts w:cs="Times New Roman"/>
                <w:szCs w:val="24"/>
              </w:rPr>
              <w:t>“</w:t>
            </w:r>
          </w:p>
        </w:tc>
        <w:tc>
          <w:tcPr>
            <w:tcW w:w="4505" w:type="dxa"/>
            <w:shd w:val="clear" w:color="auto" w:fill="FFFFFF" w:themeFill="background1"/>
          </w:tcPr>
          <w:p w:rsidR="009E72C1" w:rsidRDefault="009E72C1" w:rsidP="0078723A">
            <w:pPr>
              <w:jc w:val="center"/>
              <w:rPr>
                <w:szCs w:val="24"/>
              </w:rPr>
            </w:pPr>
            <w:r>
              <w:rPr>
                <w:szCs w:val="24"/>
              </w:rPr>
              <w:t>„Poškozená“</w:t>
            </w:r>
          </w:p>
        </w:tc>
      </w:tr>
      <w:tr w:rsidR="009E72C1" w:rsidTr="00AA0567">
        <w:trPr>
          <w:trHeight w:val="457"/>
        </w:trPr>
        <w:tc>
          <w:tcPr>
            <w:tcW w:w="4224" w:type="dxa"/>
            <w:shd w:val="clear" w:color="auto" w:fill="FFFFFF" w:themeFill="background1"/>
          </w:tcPr>
          <w:p w:rsidR="009E72C1" w:rsidRPr="00CF0A7C" w:rsidRDefault="009E72C1" w:rsidP="0078723A">
            <w:pPr>
              <w:jc w:val="center"/>
              <w:rPr>
                <w:rFonts w:cs="Times New Roman"/>
                <w:b/>
                <w:szCs w:val="24"/>
              </w:rPr>
            </w:pPr>
            <w:r>
              <w:rPr>
                <w:rFonts w:cs="Times New Roman"/>
                <w:szCs w:val="24"/>
              </w:rPr>
              <w:t>„</w:t>
            </w:r>
            <w:r w:rsidRPr="00CF0A7C">
              <w:rPr>
                <w:rFonts w:cs="Times New Roman"/>
                <w:szCs w:val="24"/>
              </w:rPr>
              <w:t>Vystrašená</w:t>
            </w:r>
            <w:r>
              <w:rPr>
                <w:rFonts w:cs="Times New Roman"/>
                <w:szCs w:val="24"/>
              </w:rPr>
              <w:t>“</w:t>
            </w:r>
          </w:p>
        </w:tc>
        <w:tc>
          <w:tcPr>
            <w:tcW w:w="4505" w:type="dxa"/>
            <w:shd w:val="clear" w:color="auto" w:fill="FFFFFF" w:themeFill="background1"/>
          </w:tcPr>
          <w:p w:rsidR="009E72C1" w:rsidRDefault="009E72C1" w:rsidP="0078723A">
            <w:pPr>
              <w:jc w:val="center"/>
              <w:rPr>
                <w:szCs w:val="24"/>
              </w:rPr>
            </w:pPr>
            <w:r>
              <w:rPr>
                <w:szCs w:val="24"/>
              </w:rPr>
              <w:t>„Nejsem schopna hledat východisko z jeskyně, v níž jsem uvězněna“.</w:t>
            </w:r>
          </w:p>
        </w:tc>
      </w:tr>
    </w:tbl>
    <w:p w:rsidR="005341E5" w:rsidRDefault="00C85549" w:rsidP="00D74A6A">
      <w:pPr>
        <w:rPr>
          <w:rFonts w:cs="Times New Roman"/>
          <w:szCs w:val="24"/>
        </w:rPr>
      </w:pPr>
      <w:r>
        <w:rPr>
          <w:rFonts w:cs="Times New Roman"/>
          <w:szCs w:val="24"/>
        </w:rPr>
        <w:t>Tabulka uvádí, jak se cítí pacienti s</w:t>
      </w:r>
      <w:r w:rsidR="001636C1">
        <w:rPr>
          <w:rFonts w:cs="Times New Roman"/>
          <w:szCs w:val="24"/>
        </w:rPr>
        <w:t> </w:t>
      </w:r>
      <w:r>
        <w:rPr>
          <w:rFonts w:cs="Times New Roman"/>
          <w:szCs w:val="24"/>
        </w:rPr>
        <w:t>depres</w:t>
      </w:r>
      <w:r w:rsidR="0062539C">
        <w:rPr>
          <w:rFonts w:cs="Times New Roman"/>
          <w:szCs w:val="24"/>
        </w:rPr>
        <w:t>í</w:t>
      </w:r>
    </w:p>
    <w:p w:rsidR="001636C1" w:rsidRPr="007060A1" w:rsidRDefault="001636C1" w:rsidP="00D74A6A">
      <w:pPr>
        <w:rPr>
          <w:rFonts w:cs="Times New Roman"/>
          <w:szCs w:val="24"/>
        </w:rPr>
      </w:pPr>
    </w:p>
    <w:p w:rsidR="001F7129" w:rsidRDefault="00C66726" w:rsidP="001636C1">
      <w:pPr>
        <w:pStyle w:val="Nadpis3"/>
      </w:pPr>
      <w:bookmarkStart w:id="18" w:name="_Toc343360811"/>
      <w:bookmarkStart w:id="19" w:name="_Toc343782737"/>
      <w:r>
        <w:t> </w:t>
      </w:r>
      <w:bookmarkStart w:id="20" w:name="_Toc353433175"/>
      <w:r w:rsidR="008727CC">
        <w:t>1</w:t>
      </w:r>
      <w:r w:rsidR="001636C1">
        <w:t>.5</w:t>
      </w:r>
      <w:r w:rsidR="005576C1">
        <w:t xml:space="preserve"> </w:t>
      </w:r>
      <w:r w:rsidR="001F7129" w:rsidRPr="00CF0A7C">
        <w:t>Diagnostika</w:t>
      </w:r>
      <w:bookmarkEnd w:id="18"/>
      <w:bookmarkEnd w:id="19"/>
      <w:bookmarkEnd w:id="20"/>
    </w:p>
    <w:p w:rsidR="00050945" w:rsidRDefault="00521D09" w:rsidP="00050945">
      <w:pPr>
        <w:ind w:firstLine="284"/>
      </w:pPr>
      <w:r>
        <w:t>V současné době je možné depresi hodnotit dle Svět</w:t>
      </w:r>
      <w:r w:rsidR="00C327C3">
        <w:t>ové zdravotnické organizace (MKN</w:t>
      </w:r>
      <w:r>
        <w:t xml:space="preserve">-10), nebo </w:t>
      </w:r>
      <w:r w:rsidR="00050945">
        <w:t xml:space="preserve">podle </w:t>
      </w:r>
      <w:r>
        <w:t xml:space="preserve">klasifikace Americké </w:t>
      </w:r>
      <w:r w:rsidR="00C327C3">
        <w:t>psychiat</w:t>
      </w:r>
      <w:r w:rsidR="00282DFA">
        <w:t>rické asociace (DSM IV);</w:t>
      </w:r>
      <w:r>
        <w:t xml:space="preserve"> (Forgášová, Koníková, Zacharová, 2005).</w:t>
      </w:r>
      <w:r w:rsidR="00282DFA">
        <w:t xml:space="preserve"> Oba tyto operační diagnostické systémy klasifikují psychické poruchy v závislosti na počtu kritérií příznaků (Saito, 2010).</w:t>
      </w:r>
      <w:r>
        <w:t xml:space="preserve"> </w:t>
      </w:r>
      <w:r w:rsidR="002B0622">
        <w:t>Pro diagnózu deprese stačí jediná zřeteln</w:t>
      </w:r>
      <w:r w:rsidR="00F16E4C">
        <w:t>ě ohraničená depresivní epizoda</w:t>
      </w:r>
      <w:r w:rsidR="002B0622">
        <w:t xml:space="preserve"> </w:t>
      </w:r>
      <w:r w:rsidR="003712E7">
        <w:t>(Smolík, 2002)</w:t>
      </w:r>
      <w:r w:rsidR="00F16E4C">
        <w:t>.</w:t>
      </w:r>
      <w:r w:rsidR="006F25D8">
        <w:t xml:space="preserve"> </w:t>
      </w:r>
    </w:p>
    <w:p w:rsidR="00050945" w:rsidRDefault="008727CC" w:rsidP="00050945">
      <w:pPr>
        <w:pStyle w:val="Nadpis4"/>
      </w:pPr>
      <w:bookmarkStart w:id="21" w:name="_Toc343360813"/>
      <w:bookmarkStart w:id="22" w:name="_Toc343782739"/>
      <w:bookmarkStart w:id="23" w:name="_Toc353433176"/>
      <w:r>
        <w:t>1</w:t>
      </w:r>
      <w:r w:rsidR="00050945">
        <w:t xml:space="preserve">.5.1  </w:t>
      </w:r>
      <w:r w:rsidR="00050945" w:rsidRPr="00CE2F1E">
        <w:t>MKN 10- diagnostická kategorie (Mezinárodní klasifikace nemocí)</w:t>
      </w:r>
      <w:bookmarkEnd w:id="21"/>
      <w:bookmarkEnd w:id="22"/>
      <w:bookmarkEnd w:id="23"/>
    </w:p>
    <w:p w:rsidR="00050945" w:rsidRDefault="00050945" w:rsidP="00050945">
      <w:pPr>
        <w:ind w:firstLine="284"/>
      </w:pPr>
      <w:r>
        <w:t>Afektivní poruchy jsou v MKN označeny kódem F</w:t>
      </w:r>
      <w:r w:rsidR="001F2F64">
        <w:t xml:space="preserve"> </w:t>
      </w:r>
      <w:r>
        <w:t>30-</w:t>
      </w:r>
      <w:r w:rsidR="001F2F64">
        <w:t xml:space="preserve"> </w:t>
      </w:r>
      <w:r>
        <w:t xml:space="preserve">F39. U těchto poruch je základní vlastností porucha efektivity nebo nálady směrem k depresi nebo euforii. Depresivní fáze má označení F 32. Tato fáze může probíhat v lehké, střední nebo těžké formě. </w:t>
      </w:r>
    </w:p>
    <w:p w:rsidR="00050945" w:rsidRDefault="00050945" w:rsidP="00050945">
      <w:pPr>
        <w:ind w:firstLine="284"/>
      </w:pPr>
      <w:r>
        <w:t>F 32.0 Lehká depresivní fáze</w:t>
      </w:r>
      <w:r w:rsidR="00B37DCA">
        <w:t>.</w:t>
      </w:r>
      <w:r>
        <w:t xml:space="preserve"> </w:t>
      </w:r>
    </w:p>
    <w:p w:rsidR="00050945" w:rsidRDefault="00050945" w:rsidP="00050945">
      <w:pPr>
        <w:ind w:firstLine="284"/>
      </w:pPr>
      <w:r>
        <w:t>F 32.1 Středně těžká depresivní fáze</w:t>
      </w:r>
      <w:r w:rsidR="00B37DCA">
        <w:t>.</w:t>
      </w:r>
    </w:p>
    <w:p w:rsidR="00050945" w:rsidRDefault="00050945" w:rsidP="00050945">
      <w:pPr>
        <w:ind w:firstLine="284"/>
      </w:pPr>
      <w:r>
        <w:t>F 32.2 Těžká depresivní fáze bez psychotických příznaků</w:t>
      </w:r>
      <w:r w:rsidR="00B37DCA">
        <w:t>.</w:t>
      </w:r>
    </w:p>
    <w:p w:rsidR="00050945" w:rsidRDefault="00050945" w:rsidP="00050945">
      <w:pPr>
        <w:ind w:firstLine="284"/>
      </w:pPr>
      <w:r>
        <w:t>F 32.3 Těžká depresivní fáze s psychotickými příznaky</w:t>
      </w:r>
      <w:r w:rsidR="00B37DCA">
        <w:t>.</w:t>
      </w:r>
    </w:p>
    <w:p w:rsidR="00050945" w:rsidRDefault="00050945" w:rsidP="00050945">
      <w:pPr>
        <w:ind w:firstLine="284"/>
      </w:pPr>
      <w:r>
        <w:t>F 32.8 Jiné depresivní fáze</w:t>
      </w:r>
      <w:r w:rsidR="00B37DCA">
        <w:t>.</w:t>
      </w:r>
    </w:p>
    <w:p w:rsidR="00050945" w:rsidRDefault="00050945" w:rsidP="00050945">
      <w:pPr>
        <w:ind w:firstLine="284"/>
      </w:pPr>
      <w:r>
        <w:t>F 32.9 Depresivní fáze nespecifikovaná (ÚZIS, 2013)</w:t>
      </w:r>
      <w:r w:rsidR="00B37DCA">
        <w:t>.</w:t>
      </w:r>
    </w:p>
    <w:p w:rsidR="00050945" w:rsidRDefault="00050945" w:rsidP="00050945">
      <w:pPr>
        <w:ind w:firstLine="284"/>
      </w:pPr>
    </w:p>
    <w:p w:rsidR="00050945" w:rsidRDefault="00050945" w:rsidP="00050945">
      <w:pPr>
        <w:ind w:firstLine="284"/>
      </w:pPr>
      <w:r>
        <w:lastRenderedPageBreak/>
        <w:t>Pro lehkou depresivní epizodu (F 32.0) musí být přítomny dva hlavní symptomy a dva doprovodné. Pro střední depresivní epizodu (F 32.1) musí být přítomny 2 až 3 hlavní symptomy a 3 až 4 doprovodné. Při těžké depresivní epizodě (F 32.2) musí být přítomny 3 hlavní a 4 doprovodné symptomy. Pro diagnostiku depresivní epizody MKN 10 rozlišujeme hlavní sy</w:t>
      </w:r>
      <w:r w:rsidR="001A2DCC">
        <w:t>mptomy a ostatní časté symptomy, které jsou uvedeny v tabulce 3.</w:t>
      </w:r>
      <w:r w:rsidR="00B37DCA">
        <w:t xml:space="preserve"> Kritéria udávají</w:t>
      </w:r>
      <w:r>
        <w:t>, že epizoda musí trvat nejméně dva týdny (Rahn, Mahnkopf, 2000).</w:t>
      </w:r>
    </w:p>
    <w:p w:rsidR="00050945" w:rsidRPr="00925484" w:rsidRDefault="00050945" w:rsidP="00050945"/>
    <w:p w:rsidR="00050945" w:rsidRDefault="00050945" w:rsidP="00050945">
      <w:pPr>
        <w:spacing w:after="200"/>
        <w:jc w:val="left"/>
        <w:rPr>
          <w:rFonts w:cs="Times New Roman"/>
          <w:szCs w:val="24"/>
        </w:rPr>
      </w:pPr>
      <w:r w:rsidRPr="00AA7956">
        <w:rPr>
          <w:rFonts w:cs="Times New Roman"/>
          <w:b/>
          <w:szCs w:val="24"/>
        </w:rPr>
        <w:t>Tabulka 3</w:t>
      </w:r>
      <w:r>
        <w:rPr>
          <w:rFonts w:cs="Times New Roman"/>
          <w:szCs w:val="24"/>
        </w:rPr>
        <w:t>: Skupina symptomů depresivních poruch (Rahn, Mahnkopf, 2000, s.</w:t>
      </w:r>
      <w:r w:rsidR="000373C5">
        <w:rPr>
          <w:rFonts w:cs="Times New Roman"/>
          <w:szCs w:val="24"/>
        </w:rPr>
        <w:t xml:space="preserve"> </w:t>
      </w:r>
      <w:r>
        <w:rPr>
          <w:rFonts w:cs="Times New Roman"/>
          <w:szCs w:val="24"/>
        </w:rPr>
        <w:t>230)</w:t>
      </w:r>
    </w:p>
    <w:tbl>
      <w:tblPr>
        <w:tblStyle w:val="Mkatabulky"/>
        <w:tblW w:w="8679" w:type="dxa"/>
        <w:tblBorders>
          <w:top w:val="double" w:sz="4" w:space="0" w:color="auto"/>
          <w:left w:val="double" w:sz="4" w:space="0" w:color="auto"/>
          <w:bottom w:val="double" w:sz="4" w:space="0" w:color="auto"/>
          <w:right w:val="double" w:sz="4" w:space="0" w:color="auto"/>
          <w:insideH w:val="none" w:sz="0" w:space="0" w:color="auto"/>
          <w:insideV w:val="double" w:sz="4" w:space="0" w:color="auto"/>
        </w:tblBorders>
        <w:tblLayout w:type="fixed"/>
        <w:tblLook w:val="04A0" w:firstRow="1" w:lastRow="0" w:firstColumn="1" w:lastColumn="0" w:noHBand="0" w:noVBand="1"/>
      </w:tblPr>
      <w:tblGrid>
        <w:gridCol w:w="4406"/>
        <w:gridCol w:w="4273"/>
      </w:tblGrid>
      <w:tr w:rsidR="00050945" w:rsidTr="00FD10B6">
        <w:trPr>
          <w:trHeight w:val="455"/>
        </w:trPr>
        <w:tc>
          <w:tcPr>
            <w:tcW w:w="4406" w:type="dxa"/>
            <w:tcBorders>
              <w:top w:val="single" w:sz="4" w:space="0" w:color="auto"/>
              <w:left w:val="single" w:sz="4" w:space="0" w:color="auto"/>
              <w:bottom w:val="double" w:sz="4" w:space="0" w:color="auto"/>
            </w:tcBorders>
            <w:shd w:val="clear" w:color="auto" w:fill="EEECE1" w:themeFill="background2"/>
          </w:tcPr>
          <w:p w:rsidR="00050945" w:rsidRPr="00AA0567" w:rsidRDefault="00050945" w:rsidP="00AA0567">
            <w:pPr>
              <w:spacing w:before="240" w:after="200"/>
              <w:jc w:val="center"/>
              <w:rPr>
                <w:rFonts w:cs="Times New Roman"/>
                <w:b/>
                <w:sz w:val="28"/>
                <w:szCs w:val="28"/>
              </w:rPr>
            </w:pPr>
            <w:r w:rsidRPr="00AA0567">
              <w:rPr>
                <w:rFonts w:cs="Times New Roman"/>
                <w:b/>
                <w:sz w:val="28"/>
                <w:szCs w:val="28"/>
              </w:rPr>
              <w:t>Hlavní symptomy</w:t>
            </w:r>
          </w:p>
        </w:tc>
        <w:tc>
          <w:tcPr>
            <w:tcW w:w="4273" w:type="dxa"/>
            <w:tcBorders>
              <w:top w:val="single" w:sz="4" w:space="0" w:color="auto"/>
              <w:bottom w:val="double" w:sz="4" w:space="0" w:color="auto"/>
              <w:right w:val="single" w:sz="4" w:space="0" w:color="auto"/>
            </w:tcBorders>
            <w:shd w:val="clear" w:color="auto" w:fill="EEECE1" w:themeFill="background2"/>
          </w:tcPr>
          <w:p w:rsidR="00050945" w:rsidRPr="00AA0567" w:rsidRDefault="00050945" w:rsidP="00AA0567">
            <w:pPr>
              <w:spacing w:before="240" w:after="200"/>
              <w:jc w:val="center"/>
              <w:rPr>
                <w:rFonts w:cs="Times New Roman"/>
                <w:b/>
                <w:sz w:val="28"/>
                <w:szCs w:val="28"/>
              </w:rPr>
            </w:pPr>
            <w:r w:rsidRPr="00AA0567">
              <w:rPr>
                <w:rFonts w:cs="Times New Roman"/>
                <w:b/>
                <w:sz w:val="28"/>
                <w:szCs w:val="28"/>
              </w:rPr>
              <w:t>Ostatní časté symptomy</w:t>
            </w:r>
          </w:p>
        </w:tc>
      </w:tr>
      <w:tr w:rsidR="00050945" w:rsidTr="00050945">
        <w:trPr>
          <w:trHeight w:val="105"/>
        </w:trPr>
        <w:tc>
          <w:tcPr>
            <w:tcW w:w="4406" w:type="dxa"/>
            <w:tcBorders>
              <w:top w:val="double" w:sz="4" w:space="0" w:color="auto"/>
              <w:left w:val="single" w:sz="4" w:space="0" w:color="auto"/>
            </w:tcBorders>
          </w:tcPr>
          <w:p w:rsidR="00050945" w:rsidRDefault="00050945" w:rsidP="00AA0567">
            <w:pPr>
              <w:spacing w:before="240" w:after="200" w:line="240" w:lineRule="auto"/>
              <w:jc w:val="center"/>
              <w:rPr>
                <w:rFonts w:cs="Times New Roman"/>
                <w:szCs w:val="24"/>
              </w:rPr>
            </w:pPr>
            <w:r>
              <w:rPr>
                <w:rFonts w:cs="Times New Roman"/>
                <w:szCs w:val="24"/>
              </w:rPr>
              <w:t>Stísněná, skleslá nálada</w:t>
            </w:r>
          </w:p>
        </w:tc>
        <w:tc>
          <w:tcPr>
            <w:tcW w:w="4273" w:type="dxa"/>
            <w:tcBorders>
              <w:top w:val="double" w:sz="4" w:space="0" w:color="auto"/>
              <w:right w:val="single" w:sz="4" w:space="0" w:color="auto"/>
            </w:tcBorders>
          </w:tcPr>
          <w:p w:rsidR="00050945" w:rsidRDefault="00050945" w:rsidP="00AA0567">
            <w:pPr>
              <w:spacing w:before="240" w:after="200" w:line="240" w:lineRule="auto"/>
              <w:jc w:val="center"/>
              <w:rPr>
                <w:rFonts w:cs="Times New Roman"/>
                <w:szCs w:val="24"/>
              </w:rPr>
            </w:pPr>
            <w:r>
              <w:rPr>
                <w:rFonts w:cs="Times New Roman"/>
                <w:szCs w:val="24"/>
              </w:rPr>
              <w:t>Snížená koncentrace a pozornost</w:t>
            </w:r>
          </w:p>
        </w:tc>
      </w:tr>
      <w:tr w:rsidR="00050945" w:rsidTr="00050945">
        <w:trPr>
          <w:trHeight w:val="101"/>
        </w:trPr>
        <w:tc>
          <w:tcPr>
            <w:tcW w:w="4406" w:type="dxa"/>
            <w:tcBorders>
              <w:left w:val="single" w:sz="4" w:space="0" w:color="auto"/>
            </w:tcBorders>
          </w:tcPr>
          <w:p w:rsidR="00050945" w:rsidRDefault="00050945" w:rsidP="00AA0567">
            <w:pPr>
              <w:spacing w:after="200" w:line="240" w:lineRule="auto"/>
              <w:jc w:val="center"/>
              <w:rPr>
                <w:rFonts w:cs="Times New Roman"/>
                <w:szCs w:val="24"/>
              </w:rPr>
            </w:pPr>
            <w:r>
              <w:rPr>
                <w:rFonts w:cs="Times New Roman"/>
                <w:szCs w:val="24"/>
              </w:rPr>
              <w:t>Pokles či ztráta zájmů</w:t>
            </w:r>
          </w:p>
        </w:tc>
        <w:tc>
          <w:tcPr>
            <w:tcW w:w="4273" w:type="dxa"/>
            <w:tcBorders>
              <w:right w:val="single" w:sz="4" w:space="0" w:color="auto"/>
            </w:tcBorders>
          </w:tcPr>
          <w:p w:rsidR="00050945" w:rsidRDefault="00050945" w:rsidP="00AA0567">
            <w:pPr>
              <w:spacing w:after="200" w:line="240" w:lineRule="auto"/>
              <w:jc w:val="center"/>
              <w:rPr>
                <w:rFonts w:cs="Times New Roman"/>
                <w:szCs w:val="24"/>
              </w:rPr>
            </w:pPr>
            <w:r>
              <w:rPr>
                <w:rFonts w:cs="Times New Roman"/>
                <w:szCs w:val="24"/>
              </w:rPr>
              <w:t>Snížené sebevědomí</w:t>
            </w:r>
          </w:p>
        </w:tc>
      </w:tr>
      <w:tr w:rsidR="00050945" w:rsidTr="00050945">
        <w:trPr>
          <w:trHeight w:val="172"/>
        </w:trPr>
        <w:tc>
          <w:tcPr>
            <w:tcW w:w="4406" w:type="dxa"/>
            <w:tcBorders>
              <w:left w:val="single" w:sz="4" w:space="0" w:color="auto"/>
            </w:tcBorders>
          </w:tcPr>
          <w:p w:rsidR="00050945" w:rsidRDefault="00050945" w:rsidP="00AA0567">
            <w:pPr>
              <w:spacing w:after="200" w:line="240" w:lineRule="auto"/>
              <w:jc w:val="center"/>
              <w:rPr>
                <w:rFonts w:cs="Times New Roman"/>
                <w:szCs w:val="24"/>
              </w:rPr>
            </w:pPr>
            <w:r>
              <w:rPr>
                <w:rFonts w:cs="Times New Roman"/>
                <w:szCs w:val="24"/>
              </w:rPr>
              <w:t>Ztráta schopnosti radovat se</w:t>
            </w:r>
          </w:p>
        </w:tc>
        <w:tc>
          <w:tcPr>
            <w:tcW w:w="4273" w:type="dxa"/>
            <w:tcBorders>
              <w:right w:val="single" w:sz="4" w:space="0" w:color="auto"/>
            </w:tcBorders>
          </w:tcPr>
          <w:p w:rsidR="00050945" w:rsidRDefault="00050945" w:rsidP="00AA0567">
            <w:pPr>
              <w:spacing w:after="200" w:line="240" w:lineRule="auto"/>
              <w:jc w:val="center"/>
              <w:rPr>
                <w:rFonts w:cs="Times New Roman"/>
                <w:szCs w:val="24"/>
              </w:rPr>
            </w:pPr>
            <w:r>
              <w:rPr>
                <w:rFonts w:cs="Times New Roman"/>
                <w:szCs w:val="24"/>
              </w:rPr>
              <w:t>Negativní a pesimistické pohledy do budoucna</w:t>
            </w:r>
          </w:p>
        </w:tc>
      </w:tr>
      <w:tr w:rsidR="00050945" w:rsidTr="00050945">
        <w:trPr>
          <w:trHeight w:val="534"/>
        </w:trPr>
        <w:tc>
          <w:tcPr>
            <w:tcW w:w="4406" w:type="dxa"/>
            <w:tcBorders>
              <w:left w:val="single" w:sz="4" w:space="0" w:color="auto"/>
            </w:tcBorders>
          </w:tcPr>
          <w:p w:rsidR="00050945" w:rsidRDefault="00050945" w:rsidP="00AA0567">
            <w:pPr>
              <w:spacing w:after="200" w:line="240" w:lineRule="auto"/>
              <w:jc w:val="center"/>
              <w:rPr>
                <w:rFonts w:cs="Times New Roman"/>
                <w:szCs w:val="24"/>
              </w:rPr>
            </w:pPr>
            <w:r>
              <w:rPr>
                <w:rFonts w:cs="Times New Roman"/>
                <w:szCs w:val="24"/>
              </w:rPr>
              <w:t>Snížená dynamogenie se zvýšenou unavitelností</w:t>
            </w:r>
          </w:p>
        </w:tc>
        <w:tc>
          <w:tcPr>
            <w:tcW w:w="4273" w:type="dxa"/>
            <w:tcBorders>
              <w:right w:val="single" w:sz="4" w:space="0" w:color="auto"/>
            </w:tcBorders>
          </w:tcPr>
          <w:p w:rsidR="00050945" w:rsidRDefault="00050945" w:rsidP="00AA0567">
            <w:pPr>
              <w:spacing w:after="200" w:line="240" w:lineRule="auto"/>
              <w:jc w:val="center"/>
              <w:rPr>
                <w:rFonts w:cs="Times New Roman"/>
                <w:szCs w:val="24"/>
              </w:rPr>
            </w:pPr>
            <w:r>
              <w:rPr>
                <w:rFonts w:cs="Times New Roman"/>
                <w:szCs w:val="24"/>
              </w:rPr>
              <w:t>Suicidální myšlenky a jednání</w:t>
            </w:r>
          </w:p>
        </w:tc>
      </w:tr>
      <w:tr w:rsidR="00050945" w:rsidTr="00050945">
        <w:trPr>
          <w:trHeight w:val="101"/>
        </w:trPr>
        <w:tc>
          <w:tcPr>
            <w:tcW w:w="4406" w:type="dxa"/>
            <w:tcBorders>
              <w:left w:val="single" w:sz="4" w:space="0" w:color="auto"/>
            </w:tcBorders>
          </w:tcPr>
          <w:p w:rsidR="00050945" w:rsidRDefault="00050945" w:rsidP="00AA0567">
            <w:pPr>
              <w:spacing w:after="200" w:line="240" w:lineRule="auto"/>
              <w:jc w:val="center"/>
              <w:rPr>
                <w:rFonts w:cs="Times New Roman"/>
                <w:szCs w:val="24"/>
              </w:rPr>
            </w:pPr>
            <w:r>
              <w:rPr>
                <w:rFonts w:cs="Times New Roman"/>
                <w:szCs w:val="24"/>
              </w:rPr>
              <w:t>Omezení aktivity</w:t>
            </w:r>
          </w:p>
        </w:tc>
        <w:tc>
          <w:tcPr>
            <w:tcW w:w="4273" w:type="dxa"/>
            <w:tcBorders>
              <w:right w:val="single" w:sz="4" w:space="0" w:color="auto"/>
            </w:tcBorders>
          </w:tcPr>
          <w:p w:rsidR="00050945" w:rsidRDefault="00050945" w:rsidP="00AA0567">
            <w:pPr>
              <w:spacing w:after="200" w:line="240" w:lineRule="auto"/>
              <w:jc w:val="center"/>
              <w:rPr>
                <w:rFonts w:cs="Times New Roman"/>
                <w:szCs w:val="24"/>
              </w:rPr>
            </w:pPr>
            <w:r>
              <w:rPr>
                <w:rFonts w:cs="Times New Roman"/>
                <w:szCs w:val="24"/>
              </w:rPr>
              <w:t>Poruchy spánku</w:t>
            </w:r>
          </w:p>
        </w:tc>
      </w:tr>
      <w:tr w:rsidR="00050945" w:rsidTr="00050945">
        <w:trPr>
          <w:trHeight w:val="184"/>
        </w:trPr>
        <w:tc>
          <w:tcPr>
            <w:tcW w:w="4406" w:type="dxa"/>
            <w:tcBorders>
              <w:left w:val="single" w:sz="4" w:space="0" w:color="auto"/>
              <w:bottom w:val="single" w:sz="4" w:space="0" w:color="auto"/>
            </w:tcBorders>
          </w:tcPr>
          <w:p w:rsidR="00050945" w:rsidRDefault="00050945" w:rsidP="00AA0567">
            <w:pPr>
              <w:spacing w:after="200"/>
              <w:jc w:val="center"/>
              <w:rPr>
                <w:rFonts w:cs="Times New Roman"/>
                <w:szCs w:val="24"/>
              </w:rPr>
            </w:pPr>
          </w:p>
        </w:tc>
        <w:tc>
          <w:tcPr>
            <w:tcW w:w="4273" w:type="dxa"/>
            <w:tcBorders>
              <w:bottom w:val="single" w:sz="4" w:space="0" w:color="auto"/>
              <w:right w:val="single" w:sz="4" w:space="0" w:color="auto"/>
            </w:tcBorders>
          </w:tcPr>
          <w:p w:rsidR="00050945" w:rsidRDefault="00050945" w:rsidP="00AA0567">
            <w:pPr>
              <w:spacing w:after="200" w:line="240" w:lineRule="auto"/>
              <w:jc w:val="center"/>
              <w:rPr>
                <w:rFonts w:cs="Times New Roman"/>
                <w:szCs w:val="24"/>
              </w:rPr>
            </w:pPr>
            <w:r>
              <w:rPr>
                <w:rFonts w:cs="Times New Roman"/>
                <w:szCs w:val="24"/>
              </w:rPr>
              <w:t>Snížená chuť k</w:t>
            </w:r>
            <w:r w:rsidR="00F16E4C">
              <w:rPr>
                <w:rFonts w:cs="Times New Roman"/>
                <w:szCs w:val="24"/>
              </w:rPr>
              <w:t> </w:t>
            </w:r>
            <w:r>
              <w:rPr>
                <w:rFonts w:cs="Times New Roman"/>
                <w:szCs w:val="24"/>
              </w:rPr>
              <w:t>jídlu</w:t>
            </w:r>
          </w:p>
        </w:tc>
      </w:tr>
    </w:tbl>
    <w:p w:rsidR="00050945" w:rsidRDefault="00050945" w:rsidP="00050945">
      <w:pPr>
        <w:spacing w:after="200"/>
        <w:jc w:val="left"/>
        <w:rPr>
          <w:rFonts w:cs="Times New Roman"/>
          <w:szCs w:val="24"/>
        </w:rPr>
      </w:pPr>
      <w:r>
        <w:rPr>
          <w:rFonts w:cs="Times New Roman"/>
          <w:szCs w:val="24"/>
        </w:rPr>
        <w:t> Tabulka uvádí hlavní a ostatní časté symptomy dle klasifikace MKN 10.</w:t>
      </w:r>
    </w:p>
    <w:p w:rsidR="00050945" w:rsidRPr="00AA7956" w:rsidRDefault="00050945" w:rsidP="00050945">
      <w:pPr>
        <w:spacing w:after="200"/>
        <w:jc w:val="left"/>
        <w:rPr>
          <w:rFonts w:cs="Times New Roman"/>
          <w:szCs w:val="24"/>
          <w:u w:val="single"/>
        </w:rPr>
      </w:pPr>
      <w:r w:rsidRPr="00AA7956">
        <w:rPr>
          <w:rFonts w:cs="Times New Roman"/>
          <w:szCs w:val="24"/>
          <w:u w:val="single"/>
        </w:rPr>
        <w:t>Obecná diagnostická kritéria pro depresivní epizodu (F 32)</w:t>
      </w:r>
    </w:p>
    <w:p w:rsidR="00050945" w:rsidRDefault="00050945" w:rsidP="00050945">
      <w:pPr>
        <w:pStyle w:val="Odstavecseseznamem"/>
        <w:numPr>
          <w:ilvl w:val="0"/>
          <w:numId w:val="4"/>
        </w:numPr>
        <w:spacing w:after="200"/>
        <w:rPr>
          <w:rFonts w:cs="Times New Roman"/>
          <w:szCs w:val="24"/>
        </w:rPr>
      </w:pPr>
      <w:r>
        <w:rPr>
          <w:rFonts w:cs="Times New Roman"/>
          <w:szCs w:val="24"/>
        </w:rPr>
        <w:t>Depresivní epizoda by měla trvat nejméně dva týdny.</w:t>
      </w:r>
    </w:p>
    <w:p w:rsidR="00050945" w:rsidRDefault="00050945" w:rsidP="00050945">
      <w:pPr>
        <w:pStyle w:val="Odstavecseseznamem"/>
        <w:numPr>
          <w:ilvl w:val="0"/>
          <w:numId w:val="4"/>
        </w:numPr>
        <w:spacing w:after="200"/>
        <w:rPr>
          <w:rFonts w:cs="Times New Roman"/>
          <w:szCs w:val="24"/>
        </w:rPr>
      </w:pPr>
      <w:r>
        <w:rPr>
          <w:rFonts w:cs="Times New Roman"/>
          <w:szCs w:val="24"/>
        </w:rPr>
        <w:t>V průběhu života jedince se nikdy nevyskytly příznaky, které by stačily k naplnění kritérií pro hypomanickou nebo manickou epizodu (F 30).</w:t>
      </w:r>
    </w:p>
    <w:p w:rsidR="00050945" w:rsidRPr="00F81AD4" w:rsidRDefault="00050945" w:rsidP="00050945">
      <w:pPr>
        <w:pStyle w:val="Odstavecseseznamem"/>
        <w:numPr>
          <w:ilvl w:val="0"/>
          <w:numId w:val="4"/>
        </w:numPr>
        <w:spacing w:after="200"/>
        <w:rPr>
          <w:rFonts w:cs="Times New Roman"/>
          <w:szCs w:val="24"/>
        </w:rPr>
      </w:pPr>
      <w:r>
        <w:rPr>
          <w:rFonts w:cs="Times New Roman"/>
          <w:szCs w:val="24"/>
        </w:rPr>
        <w:t>Epizoda není způsobena užíváním psychoaktivních látek (F10-F19) nebo organickou duš</w:t>
      </w:r>
      <w:r w:rsidR="00F16E4C">
        <w:rPr>
          <w:rFonts w:cs="Times New Roman"/>
          <w:szCs w:val="24"/>
        </w:rPr>
        <w:t>evní poruchou ve smyslu F00-F09</w:t>
      </w:r>
      <w:r>
        <w:rPr>
          <w:rFonts w:cs="Times New Roman"/>
          <w:szCs w:val="24"/>
        </w:rPr>
        <w:t xml:space="preserve"> (Smolík, 2002)</w:t>
      </w:r>
      <w:r w:rsidR="00F16E4C">
        <w:rPr>
          <w:rFonts w:cs="Times New Roman"/>
          <w:szCs w:val="24"/>
        </w:rPr>
        <w:t>.</w:t>
      </w:r>
    </w:p>
    <w:p w:rsidR="00050945" w:rsidRPr="00377026" w:rsidRDefault="00050945" w:rsidP="00B37DCA">
      <w:pPr>
        <w:spacing w:after="200"/>
        <w:ind w:firstLine="284"/>
        <w:rPr>
          <w:rFonts w:cs="Times New Roman"/>
          <w:szCs w:val="24"/>
        </w:rPr>
      </w:pPr>
      <w:r>
        <w:rPr>
          <w:rFonts w:cs="Times New Roman"/>
          <w:szCs w:val="24"/>
        </w:rPr>
        <w:t>Mezinárodní klasifikace nemocí umožňuje charakterizovat u deprese závažnost (lehká, středně těžká, těžká). Přítomnost nebo nepřítomnost somatického syndromu a přítomnost nebo nepřítomnost psychotických</w:t>
      </w:r>
      <w:r w:rsidR="00F16E4C">
        <w:rPr>
          <w:rFonts w:cs="Times New Roman"/>
          <w:szCs w:val="24"/>
        </w:rPr>
        <w:t xml:space="preserve"> příznaků</w:t>
      </w:r>
      <w:r>
        <w:rPr>
          <w:rFonts w:cs="Times New Roman"/>
          <w:szCs w:val="24"/>
        </w:rPr>
        <w:t xml:space="preserve"> (Smolík, 2002)</w:t>
      </w:r>
      <w:r w:rsidR="00F16E4C">
        <w:rPr>
          <w:rFonts w:cs="Times New Roman"/>
          <w:szCs w:val="24"/>
        </w:rPr>
        <w:t>.</w:t>
      </w:r>
    </w:p>
    <w:p w:rsidR="00D33775" w:rsidRPr="002047BB" w:rsidRDefault="00D33775" w:rsidP="00521D09">
      <w:pPr>
        <w:ind w:firstLine="284"/>
      </w:pPr>
      <w:r w:rsidRPr="002047BB">
        <w:rPr>
          <w:rFonts w:cs="Times New Roman"/>
          <w:szCs w:val="24"/>
        </w:rPr>
        <w:tab/>
      </w:r>
    </w:p>
    <w:p w:rsidR="00767270" w:rsidRPr="00A935D3" w:rsidRDefault="008727CC" w:rsidP="001636C1">
      <w:pPr>
        <w:pStyle w:val="Nadpis4"/>
      </w:pPr>
      <w:bookmarkStart w:id="24" w:name="_Toc353433177"/>
      <w:r>
        <w:lastRenderedPageBreak/>
        <w:t>1</w:t>
      </w:r>
      <w:r w:rsidR="00050945" w:rsidRPr="00A935D3">
        <w:t>.5.2</w:t>
      </w:r>
      <w:r w:rsidR="00767270" w:rsidRPr="00A935D3">
        <w:t xml:space="preserve"> </w:t>
      </w:r>
      <w:r w:rsidR="00D33775" w:rsidRPr="00A935D3">
        <w:t>DSM</w:t>
      </w:r>
      <w:r w:rsidR="004B775B">
        <w:t>-IV</w:t>
      </w:r>
      <w:bookmarkEnd w:id="24"/>
    </w:p>
    <w:p w:rsidR="000373C5" w:rsidRDefault="000373C5" w:rsidP="00B37DCA">
      <w:pPr>
        <w:ind w:firstLine="284"/>
        <w:rPr>
          <w:rFonts w:cs="Times New Roman"/>
          <w:szCs w:val="24"/>
        </w:rPr>
      </w:pPr>
      <w:r>
        <w:rPr>
          <w:rFonts w:cs="Times New Roman"/>
          <w:szCs w:val="24"/>
        </w:rPr>
        <w:t>Depresivní epizody jsou vymezeny určitým příznakovým okruhem. Ty mohou být specifikovány několika definovanými charakteristikami, přičemž DSM-IV vykazuje těchto</w:t>
      </w:r>
      <w:r w:rsidR="00F16E4C">
        <w:rPr>
          <w:rFonts w:cs="Times New Roman"/>
          <w:szCs w:val="24"/>
        </w:rPr>
        <w:t xml:space="preserve"> charakteristik více než MNK-10</w:t>
      </w:r>
      <w:r>
        <w:rPr>
          <w:rFonts w:cs="Times New Roman"/>
          <w:szCs w:val="24"/>
        </w:rPr>
        <w:t xml:space="preserve"> (Smolík, 2002)</w:t>
      </w:r>
      <w:r w:rsidR="00F16E4C">
        <w:rPr>
          <w:rFonts w:cs="Times New Roman"/>
          <w:szCs w:val="24"/>
        </w:rPr>
        <w:t>.</w:t>
      </w:r>
    </w:p>
    <w:p w:rsidR="00A935D3" w:rsidRDefault="00A935D3" w:rsidP="00D33775">
      <w:pPr>
        <w:rPr>
          <w:rFonts w:cs="Times New Roman"/>
          <w:szCs w:val="24"/>
        </w:rPr>
      </w:pPr>
    </w:p>
    <w:p w:rsidR="00D33775" w:rsidRDefault="00D33775" w:rsidP="00D33775">
      <w:pPr>
        <w:rPr>
          <w:rFonts w:cs="Times New Roman"/>
          <w:b/>
          <w:szCs w:val="24"/>
        </w:rPr>
      </w:pPr>
      <w:r w:rsidRPr="00A935D3">
        <w:rPr>
          <w:rFonts w:cs="Times New Roman"/>
          <w:b/>
          <w:szCs w:val="24"/>
        </w:rPr>
        <w:t>Diagnostická kritéria DSM- IV pro velkou depresivní epizodu</w:t>
      </w:r>
    </w:p>
    <w:p w:rsidR="00F55DF1" w:rsidRDefault="000373C5" w:rsidP="00B37DCA">
      <w:pPr>
        <w:ind w:firstLine="284"/>
        <w:rPr>
          <w:rFonts w:cs="Times New Roman"/>
          <w:szCs w:val="24"/>
        </w:rPr>
      </w:pPr>
      <w:r>
        <w:rPr>
          <w:rFonts w:cs="Times New Roman"/>
          <w:szCs w:val="24"/>
        </w:rPr>
        <w:t xml:space="preserve">Pro </w:t>
      </w:r>
      <w:r w:rsidR="001F2F64">
        <w:rPr>
          <w:rFonts w:cs="Times New Roman"/>
          <w:szCs w:val="24"/>
        </w:rPr>
        <w:t>určení velké depresivní poruchy</w:t>
      </w:r>
      <w:r>
        <w:rPr>
          <w:rFonts w:cs="Times New Roman"/>
          <w:szCs w:val="24"/>
        </w:rPr>
        <w:t xml:space="preserve"> musí být v bodě</w:t>
      </w:r>
      <w:r w:rsidR="00F55DF1">
        <w:rPr>
          <w:rFonts w:cs="Times New Roman"/>
          <w:szCs w:val="24"/>
        </w:rPr>
        <w:t xml:space="preserve"> A</w:t>
      </w:r>
      <w:r>
        <w:rPr>
          <w:rFonts w:cs="Times New Roman"/>
          <w:szCs w:val="24"/>
        </w:rPr>
        <w:t xml:space="preserve"> vyjádřeno nejméně pět příznaků</w:t>
      </w:r>
      <w:r w:rsidR="00A935D3">
        <w:rPr>
          <w:rFonts w:cs="Times New Roman"/>
          <w:szCs w:val="24"/>
        </w:rPr>
        <w:t xml:space="preserve"> deprese</w:t>
      </w:r>
      <w:r>
        <w:rPr>
          <w:rFonts w:cs="Times New Roman"/>
          <w:szCs w:val="24"/>
        </w:rPr>
        <w:t>. A dále musí být splněny body B,</w:t>
      </w:r>
      <w:r w:rsidR="00A935D3">
        <w:rPr>
          <w:rFonts w:cs="Times New Roman"/>
          <w:szCs w:val="24"/>
        </w:rPr>
        <w:t xml:space="preserve"> C, D a E.</w:t>
      </w:r>
    </w:p>
    <w:p w:rsidR="00D33775" w:rsidRPr="00F55DF1" w:rsidRDefault="00F55DF1" w:rsidP="00D33775">
      <w:pPr>
        <w:pStyle w:val="Odstavecseseznamem"/>
        <w:numPr>
          <w:ilvl w:val="0"/>
          <w:numId w:val="7"/>
        </w:numPr>
        <w:rPr>
          <w:rFonts w:cs="Times New Roman"/>
          <w:szCs w:val="24"/>
        </w:rPr>
      </w:pPr>
      <w:r>
        <w:rPr>
          <w:rFonts w:cs="Times New Roman"/>
          <w:szCs w:val="24"/>
        </w:rPr>
        <w:t>Nejméně 5 následujících příznaků v období trvání minimálně dva týdny, které nelze přičíst obecně medicínskému stavu, náladě nepřiléhavým bludům nebo halucinacím</w:t>
      </w:r>
    </w:p>
    <w:p w:rsidR="00D33775" w:rsidRDefault="00D33775" w:rsidP="00F55DF1">
      <w:pPr>
        <w:pStyle w:val="Odstavecseseznamem"/>
        <w:numPr>
          <w:ilvl w:val="0"/>
          <w:numId w:val="6"/>
        </w:numPr>
        <w:ind w:left="1134" w:hanging="283"/>
        <w:rPr>
          <w:rFonts w:cs="Times New Roman"/>
          <w:szCs w:val="24"/>
        </w:rPr>
      </w:pPr>
      <w:r>
        <w:rPr>
          <w:rFonts w:cs="Times New Roman"/>
          <w:szCs w:val="24"/>
        </w:rPr>
        <w:t>Depresivní nálada po většinu dne, tém</w:t>
      </w:r>
      <w:r w:rsidR="001F2F64">
        <w:rPr>
          <w:rFonts w:cs="Times New Roman"/>
          <w:szCs w:val="24"/>
        </w:rPr>
        <w:t>ěř každý den, jak vyplývá buď ze</w:t>
      </w:r>
      <w:r>
        <w:rPr>
          <w:rFonts w:cs="Times New Roman"/>
          <w:szCs w:val="24"/>
        </w:rPr>
        <w:t xml:space="preserve"> subjektivního </w:t>
      </w:r>
      <w:r w:rsidR="001F2F64">
        <w:rPr>
          <w:rFonts w:cs="Times New Roman"/>
          <w:szCs w:val="24"/>
        </w:rPr>
        <w:t>sdělení,</w:t>
      </w:r>
      <w:r>
        <w:rPr>
          <w:rFonts w:cs="Times New Roman"/>
          <w:szCs w:val="24"/>
        </w:rPr>
        <w:t xml:space="preserve"> nebo</w:t>
      </w:r>
      <w:r w:rsidR="001F2F64">
        <w:rPr>
          <w:rFonts w:cs="Times New Roman"/>
          <w:szCs w:val="24"/>
        </w:rPr>
        <w:t xml:space="preserve"> z</w:t>
      </w:r>
      <w:r>
        <w:rPr>
          <w:rFonts w:cs="Times New Roman"/>
          <w:szCs w:val="24"/>
        </w:rPr>
        <w:t xml:space="preserve"> pozorování.</w:t>
      </w:r>
    </w:p>
    <w:p w:rsidR="00D33775" w:rsidRDefault="00D33775" w:rsidP="00F55DF1">
      <w:pPr>
        <w:pStyle w:val="Odstavecseseznamem"/>
        <w:numPr>
          <w:ilvl w:val="0"/>
          <w:numId w:val="6"/>
        </w:numPr>
        <w:ind w:left="1134" w:hanging="283"/>
        <w:rPr>
          <w:rFonts w:cs="Times New Roman"/>
          <w:szCs w:val="24"/>
        </w:rPr>
      </w:pPr>
      <w:r>
        <w:rPr>
          <w:rFonts w:cs="Times New Roman"/>
          <w:szCs w:val="24"/>
        </w:rPr>
        <w:t>Zřetelné snížení zájmů nebo pohody při všech, nebo téměř při všech činnostech v průběhu dne, téměř každý den, vyplývající ze subjektivního hodnocení nebo pozorování jiných osob.</w:t>
      </w:r>
    </w:p>
    <w:p w:rsidR="00D33775" w:rsidRDefault="00D33775" w:rsidP="00F55DF1">
      <w:pPr>
        <w:pStyle w:val="Odstavecseseznamem"/>
        <w:numPr>
          <w:ilvl w:val="0"/>
          <w:numId w:val="6"/>
        </w:numPr>
        <w:ind w:left="1134" w:hanging="283"/>
        <w:rPr>
          <w:rFonts w:cs="Times New Roman"/>
          <w:szCs w:val="24"/>
        </w:rPr>
      </w:pPr>
      <w:r>
        <w:rPr>
          <w:rFonts w:cs="Times New Roman"/>
          <w:szCs w:val="24"/>
        </w:rPr>
        <w:t>Signifikantní ztráta</w:t>
      </w:r>
      <w:r w:rsidR="001F2F64">
        <w:rPr>
          <w:rFonts w:cs="Times New Roman"/>
          <w:szCs w:val="24"/>
        </w:rPr>
        <w:t xml:space="preserve"> hmotnosti i bez redukční diety</w:t>
      </w:r>
      <w:r>
        <w:rPr>
          <w:rFonts w:cs="Times New Roman"/>
          <w:szCs w:val="24"/>
        </w:rPr>
        <w:t xml:space="preserve"> nebo přírůstek hmotnosti, snížená nebo snížená chuť k jídlu každý den.</w:t>
      </w:r>
    </w:p>
    <w:p w:rsidR="00D33775" w:rsidRDefault="00D33775" w:rsidP="00F55DF1">
      <w:pPr>
        <w:pStyle w:val="Odstavecseseznamem"/>
        <w:numPr>
          <w:ilvl w:val="0"/>
          <w:numId w:val="6"/>
        </w:numPr>
        <w:ind w:left="1134" w:hanging="283"/>
        <w:rPr>
          <w:rFonts w:cs="Times New Roman"/>
          <w:szCs w:val="24"/>
        </w:rPr>
      </w:pPr>
      <w:r>
        <w:rPr>
          <w:rFonts w:cs="Times New Roman"/>
          <w:szCs w:val="24"/>
        </w:rPr>
        <w:t>Insomnie nebo hypersomnie téměř každý den.</w:t>
      </w:r>
    </w:p>
    <w:p w:rsidR="00D33775" w:rsidRDefault="00D33775" w:rsidP="00F55DF1">
      <w:pPr>
        <w:pStyle w:val="Odstavecseseznamem"/>
        <w:numPr>
          <w:ilvl w:val="0"/>
          <w:numId w:val="6"/>
        </w:numPr>
        <w:ind w:left="1134" w:hanging="283"/>
        <w:rPr>
          <w:rFonts w:cs="Times New Roman"/>
          <w:szCs w:val="24"/>
        </w:rPr>
      </w:pPr>
      <w:r>
        <w:rPr>
          <w:rFonts w:cs="Times New Roman"/>
          <w:szCs w:val="24"/>
        </w:rPr>
        <w:t>Psychomotorická agitovanost nebo retardace téměř každý den (pozorované jinými osobami, ne pouze subjektivní pocity neklidu anebo zpomalení).</w:t>
      </w:r>
    </w:p>
    <w:p w:rsidR="00D33775" w:rsidRDefault="00D33775" w:rsidP="00F55DF1">
      <w:pPr>
        <w:pStyle w:val="Odstavecseseznamem"/>
        <w:numPr>
          <w:ilvl w:val="0"/>
          <w:numId w:val="6"/>
        </w:numPr>
        <w:ind w:left="1134" w:hanging="283"/>
        <w:rPr>
          <w:rFonts w:cs="Times New Roman"/>
          <w:szCs w:val="24"/>
        </w:rPr>
      </w:pPr>
      <w:r>
        <w:rPr>
          <w:rFonts w:cs="Times New Roman"/>
          <w:szCs w:val="24"/>
        </w:rPr>
        <w:t>Únava nebo ztráta energie téměř každý den.</w:t>
      </w:r>
    </w:p>
    <w:p w:rsidR="00D33775" w:rsidRDefault="00D33775" w:rsidP="00F55DF1">
      <w:pPr>
        <w:pStyle w:val="Odstavecseseznamem"/>
        <w:numPr>
          <w:ilvl w:val="0"/>
          <w:numId w:val="6"/>
        </w:numPr>
        <w:ind w:left="1134" w:hanging="283"/>
        <w:rPr>
          <w:rFonts w:cs="Times New Roman"/>
          <w:szCs w:val="24"/>
        </w:rPr>
      </w:pPr>
      <w:r>
        <w:rPr>
          <w:rFonts w:cs="Times New Roman"/>
          <w:szCs w:val="24"/>
        </w:rPr>
        <w:t>Pocity vlastní bezcennosti nebo nadměrné či neodpovídající viny, které mohou být bludné, téměř každý den (nejedná se pouze o vyčítání si nebo pocit viny ze zhoršení stavu).</w:t>
      </w:r>
    </w:p>
    <w:p w:rsidR="00D33775" w:rsidRDefault="00B37DCA" w:rsidP="00F55DF1">
      <w:pPr>
        <w:pStyle w:val="Odstavecseseznamem"/>
        <w:numPr>
          <w:ilvl w:val="0"/>
          <w:numId w:val="6"/>
        </w:numPr>
        <w:ind w:left="1134" w:hanging="283"/>
        <w:rPr>
          <w:rFonts w:cs="Times New Roman"/>
          <w:szCs w:val="24"/>
        </w:rPr>
      </w:pPr>
      <w:r>
        <w:rPr>
          <w:rFonts w:cs="Times New Roman"/>
          <w:szCs w:val="24"/>
        </w:rPr>
        <w:t>Snížená schopnost myslet,</w:t>
      </w:r>
      <w:r w:rsidR="00D33775">
        <w:rPr>
          <w:rFonts w:cs="Times New Roman"/>
          <w:szCs w:val="24"/>
        </w:rPr>
        <w:t xml:space="preserve"> koncentrovat</w:t>
      </w:r>
      <w:r>
        <w:rPr>
          <w:rFonts w:cs="Times New Roman"/>
          <w:szCs w:val="24"/>
        </w:rPr>
        <w:t xml:space="preserve"> se</w:t>
      </w:r>
      <w:r w:rsidR="00D33775">
        <w:rPr>
          <w:rFonts w:cs="Times New Roman"/>
          <w:szCs w:val="24"/>
        </w:rPr>
        <w:t xml:space="preserve"> nebo nerozhodnost téměř každý den (subjektivní hodnocení nebo pozorování jiných osob).</w:t>
      </w:r>
    </w:p>
    <w:p w:rsidR="00D33775" w:rsidRDefault="00D33775" w:rsidP="00F55DF1">
      <w:pPr>
        <w:pStyle w:val="Odstavecseseznamem"/>
        <w:numPr>
          <w:ilvl w:val="0"/>
          <w:numId w:val="6"/>
        </w:numPr>
        <w:ind w:left="1134" w:hanging="283"/>
        <w:rPr>
          <w:rFonts w:cs="Times New Roman"/>
          <w:szCs w:val="24"/>
        </w:rPr>
      </w:pPr>
      <w:r>
        <w:rPr>
          <w:rFonts w:cs="Times New Roman"/>
          <w:szCs w:val="24"/>
        </w:rPr>
        <w:t xml:space="preserve">Opakované myšlenky na smrt (ne pouze strach ze smrti), opakované suicidální představy bez konkrétního plánu nebo suicidální pokus, případně konkrétní plán provedení sebevraždy. </w:t>
      </w:r>
    </w:p>
    <w:p w:rsidR="00F55DF1" w:rsidRDefault="00F55DF1" w:rsidP="00F55DF1">
      <w:pPr>
        <w:pStyle w:val="Odstavecseseznamem"/>
        <w:numPr>
          <w:ilvl w:val="0"/>
          <w:numId w:val="7"/>
        </w:numPr>
        <w:rPr>
          <w:rFonts w:cs="Times New Roman"/>
          <w:szCs w:val="24"/>
        </w:rPr>
      </w:pPr>
      <w:r>
        <w:rPr>
          <w:rFonts w:cs="Times New Roman"/>
          <w:szCs w:val="24"/>
        </w:rPr>
        <w:t>Příznaky nesplňují kritéria pro smíšenou epizodu.</w:t>
      </w:r>
    </w:p>
    <w:p w:rsidR="00F55DF1" w:rsidRDefault="00F55DF1" w:rsidP="00F55DF1">
      <w:pPr>
        <w:pStyle w:val="Odstavecseseznamem"/>
        <w:numPr>
          <w:ilvl w:val="0"/>
          <w:numId w:val="7"/>
        </w:numPr>
        <w:rPr>
          <w:rFonts w:cs="Times New Roman"/>
          <w:szCs w:val="24"/>
        </w:rPr>
      </w:pPr>
      <w:r>
        <w:rPr>
          <w:rFonts w:cs="Times New Roman"/>
          <w:szCs w:val="24"/>
        </w:rPr>
        <w:t>Příznaky působí distres a narušení v</w:t>
      </w:r>
      <w:r w:rsidR="00767270">
        <w:rPr>
          <w:rFonts w:cs="Times New Roman"/>
          <w:szCs w:val="24"/>
        </w:rPr>
        <w:t> sociálních, pracovních a jiných činnostech.</w:t>
      </w:r>
    </w:p>
    <w:p w:rsidR="00767270" w:rsidRDefault="00767270" w:rsidP="00F55DF1">
      <w:pPr>
        <w:pStyle w:val="Odstavecseseznamem"/>
        <w:numPr>
          <w:ilvl w:val="0"/>
          <w:numId w:val="7"/>
        </w:numPr>
        <w:rPr>
          <w:rFonts w:cs="Times New Roman"/>
          <w:szCs w:val="24"/>
        </w:rPr>
      </w:pPr>
      <w:r>
        <w:rPr>
          <w:rFonts w:cs="Times New Roman"/>
          <w:szCs w:val="24"/>
        </w:rPr>
        <w:lastRenderedPageBreak/>
        <w:t xml:space="preserve">Příznaky nejsou důsledkem působení jiných látek (drog) nebo obecně medicínského stavu. </w:t>
      </w:r>
    </w:p>
    <w:p w:rsidR="00A935D3" w:rsidRDefault="00A935D3" w:rsidP="00F55DF1">
      <w:pPr>
        <w:pStyle w:val="Odstavecseseznamem"/>
        <w:numPr>
          <w:ilvl w:val="0"/>
          <w:numId w:val="7"/>
        </w:numPr>
        <w:rPr>
          <w:rFonts w:cs="Times New Roman"/>
          <w:szCs w:val="24"/>
        </w:rPr>
      </w:pPr>
      <w:r>
        <w:rPr>
          <w:rFonts w:cs="Times New Roman"/>
          <w:szCs w:val="24"/>
        </w:rPr>
        <w:t>Příznaky nelze vysvětlit patologickým zármutkem.</w:t>
      </w:r>
    </w:p>
    <w:p w:rsidR="00AF29E3" w:rsidRDefault="00AF29E3" w:rsidP="00AF29E3">
      <w:pPr>
        <w:pStyle w:val="Odstavecseseznamem"/>
        <w:rPr>
          <w:rFonts w:cs="Times New Roman"/>
          <w:szCs w:val="24"/>
        </w:rPr>
      </w:pPr>
    </w:p>
    <w:p w:rsidR="00D33775" w:rsidRDefault="00D33775" w:rsidP="00AF29E3">
      <w:pPr>
        <w:ind w:firstLine="284"/>
        <w:rPr>
          <w:rFonts w:cs="Times New Roman"/>
          <w:szCs w:val="24"/>
        </w:rPr>
      </w:pPr>
      <w:r w:rsidRPr="00A935D3">
        <w:rPr>
          <w:rFonts w:cs="Times New Roman"/>
          <w:szCs w:val="24"/>
        </w:rPr>
        <w:t>U diagnostických kritérií DSM-IV se dělí depresivní epizody dle závažnosti (lehké, středně těžké nebo těžké), přítomnost</w:t>
      </w:r>
      <w:r w:rsidR="00A935D3">
        <w:rPr>
          <w:rFonts w:cs="Times New Roman"/>
          <w:szCs w:val="24"/>
        </w:rPr>
        <w:t>i</w:t>
      </w:r>
      <w:r w:rsidRPr="00A935D3">
        <w:rPr>
          <w:rFonts w:cs="Times New Roman"/>
          <w:szCs w:val="24"/>
        </w:rPr>
        <w:t xml:space="preserve"> melancholických rysů, přítomnost</w:t>
      </w:r>
      <w:r w:rsidR="00A935D3">
        <w:rPr>
          <w:rFonts w:cs="Times New Roman"/>
          <w:szCs w:val="24"/>
        </w:rPr>
        <w:t>i</w:t>
      </w:r>
      <w:r w:rsidRPr="00A935D3">
        <w:rPr>
          <w:rFonts w:cs="Times New Roman"/>
          <w:szCs w:val="24"/>
        </w:rPr>
        <w:t xml:space="preserve"> psychotických příznaků. Dále charakteristiky chronicity, katatonií</w:t>
      </w:r>
      <w:r w:rsidR="00A935D3">
        <w:rPr>
          <w:rStyle w:val="Znakapoznpodarou"/>
          <w:rFonts w:cs="Times New Roman"/>
          <w:szCs w:val="24"/>
        </w:rPr>
        <w:footnoteReference w:id="8"/>
      </w:r>
      <w:r w:rsidRPr="00A935D3">
        <w:rPr>
          <w:rFonts w:cs="Times New Roman"/>
          <w:szCs w:val="24"/>
        </w:rPr>
        <w:t>, atypické rysy a deprese na začátku porodu. U rekurentní depresivní epizody se uvádí také charakteristika dlouhodobého průběhu, sezónní rysy a reku</w:t>
      </w:r>
      <w:r w:rsidR="00F16E4C">
        <w:rPr>
          <w:rFonts w:cs="Times New Roman"/>
          <w:szCs w:val="24"/>
        </w:rPr>
        <w:t>rentní epizoda s rychlými cykly</w:t>
      </w:r>
      <w:r w:rsidRPr="00A935D3">
        <w:rPr>
          <w:rFonts w:cs="Times New Roman"/>
          <w:szCs w:val="24"/>
        </w:rPr>
        <w:t xml:space="preserve"> (Smolík, 2002)</w:t>
      </w:r>
      <w:r w:rsidR="00F16E4C">
        <w:rPr>
          <w:rFonts w:cs="Times New Roman"/>
          <w:szCs w:val="24"/>
        </w:rPr>
        <w:t>.</w:t>
      </w:r>
    </w:p>
    <w:p w:rsidR="00AF29E3" w:rsidRPr="00D33775" w:rsidRDefault="00AF29E3" w:rsidP="00AF29E3">
      <w:pPr>
        <w:ind w:firstLine="284"/>
        <w:rPr>
          <w:rFonts w:cs="Times New Roman"/>
          <w:szCs w:val="24"/>
        </w:rPr>
      </w:pPr>
      <w:r>
        <w:rPr>
          <w:rFonts w:cs="Times New Roman"/>
          <w:szCs w:val="24"/>
        </w:rPr>
        <w:t xml:space="preserve">Vytvoření optimální a všeobecně celosvětově přijímané kombinace evropského a amerického výzkumného myšlení není v současné době možné. I přes tyto problémy </w:t>
      </w:r>
      <w:r w:rsidR="00B37DCA">
        <w:rPr>
          <w:rFonts w:cs="Times New Roman"/>
          <w:szCs w:val="24"/>
        </w:rPr>
        <w:t>je ovšem</w:t>
      </w:r>
      <w:r>
        <w:rPr>
          <w:rFonts w:cs="Times New Roman"/>
          <w:szCs w:val="24"/>
        </w:rPr>
        <w:t xml:space="preserve"> třeba pokračovat dále ve sbližování pohledů a hledání optimálních variant (Kebza, Paclt, 2002). </w:t>
      </w:r>
    </w:p>
    <w:p w:rsidR="002047BB" w:rsidRDefault="00377026" w:rsidP="001636C1">
      <w:pPr>
        <w:pStyle w:val="Nadpis4"/>
      </w:pPr>
      <w:bookmarkStart w:id="25" w:name="_Toc343360814"/>
      <w:bookmarkStart w:id="26" w:name="_Toc343782740"/>
      <w:r>
        <w:t> </w:t>
      </w:r>
      <w:bookmarkStart w:id="27" w:name="_Toc353433178"/>
      <w:r w:rsidR="008727CC">
        <w:t>1</w:t>
      </w:r>
      <w:r w:rsidR="001636C1">
        <w:t>.5.3</w:t>
      </w:r>
      <w:r w:rsidR="003712E7" w:rsidRPr="00D33775">
        <w:t xml:space="preserve"> </w:t>
      </w:r>
      <w:r w:rsidR="00D33775">
        <w:t>Anamnéza</w:t>
      </w:r>
      <w:bookmarkEnd w:id="25"/>
      <w:bookmarkEnd w:id="26"/>
      <w:bookmarkEnd w:id="27"/>
    </w:p>
    <w:p w:rsidR="00AB607E" w:rsidRDefault="005A32B2" w:rsidP="00A935D3">
      <w:pPr>
        <w:ind w:firstLine="284"/>
      </w:pPr>
      <w:r>
        <w:t>A</w:t>
      </w:r>
      <w:r w:rsidR="0078130F">
        <w:t xml:space="preserve">namnéza je v diagnostice deprese klíčová. </w:t>
      </w:r>
      <w:r w:rsidR="002F66BC">
        <w:t>Schopnost podrobně, ta</w:t>
      </w:r>
      <w:r w:rsidR="001F2F64">
        <w:t>ktně a citlivě odebrat anamnézu</w:t>
      </w:r>
      <w:r w:rsidR="002F66BC">
        <w:t xml:space="preserve"> je základem dobrého vzt</w:t>
      </w:r>
      <w:r w:rsidR="00F16E4C">
        <w:t xml:space="preserve">ahu mezi lékařem a pacientem </w:t>
      </w:r>
      <w:r w:rsidR="008B0719">
        <w:t>(Hoschl, Libiger, Švestka, 2002)</w:t>
      </w:r>
      <w:r w:rsidR="00F16E4C">
        <w:t>.</w:t>
      </w:r>
      <w:r w:rsidR="008B0719" w:rsidRPr="008B0719">
        <w:t xml:space="preserve"> </w:t>
      </w:r>
      <w:r w:rsidR="00CD689E">
        <w:t>Cílem anamnézy je získání a kategorizace relevantních údajů z minulosti, které p</w:t>
      </w:r>
      <w:r w:rsidR="00F16E4C">
        <w:t>omáhají vysvětlit současný stav</w:t>
      </w:r>
      <w:r w:rsidR="00CD689E">
        <w:t xml:space="preserve"> (Svoboda, 1999)</w:t>
      </w:r>
      <w:r w:rsidR="00F16E4C">
        <w:t>.</w:t>
      </w:r>
      <w:r w:rsidR="00CD689E">
        <w:t xml:space="preserve"> </w:t>
      </w:r>
      <w:r w:rsidR="008B0719">
        <w:t>Lékař během rozhovoru hodnotí slovní projev, dynamiku, náladu a přítomnost psychopatologických příznaků.  Z rozhovoru se zaměřuje</w:t>
      </w:r>
      <w:r w:rsidR="002F66BC">
        <w:t xml:space="preserve"> na zjištění rodinné</w:t>
      </w:r>
      <w:r w:rsidR="00F16E4C">
        <w:t xml:space="preserve">, osobní a objektivní anamnézy </w:t>
      </w:r>
      <w:r w:rsidR="00CD689E">
        <w:t>(Malá, Pavlovský, 2002)</w:t>
      </w:r>
      <w:r w:rsidR="00F16E4C">
        <w:t>.</w:t>
      </w:r>
      <w:r w:rsidR="00CD689E">
        <w:t xml:space="preserve"> V rodinné anamnéze se zaměřuje na údaje, které by mohly zachytit případné hereditární faktory. Osobní anamnéza se vztahuje bezprostředně na vyšetřovaného jedince. Dle zdroje informací se dělí na subjektivní a objektivní.  Subjektivní anamnéza (autoanamnéza) je taková, kdy je zdrojem informací subjekt sám. V případě, že je zdrojem informace jiný člověk, nejčastěji příbuzní, spolupracovníci nebo známí, jedná se o anamn</w:t>
      </w:r>
      <w:r w:rsidR="00F16E4C">
        <w:t>ézu objektivní (heteroanamnézu);</w:t>
      </w:r>
      <w:r w:rsidR="003C48A2">
        <w:t xml:space="preserve"> (Svoboda, 1999)</w:t>
      </w:r>
      <w:r w:rsidR="00F16E4C">
        <w:t>.</w:t>
      </w:r>
      <w:r w:rsidR="00377026">
        <w:t xml:space="preserve"> </w:t>
      </w:r>
      <w:r w:rsidR="002F66BC">
        <w:t>Zvláštní důraz musí být kladen na pop</w:t>
      </w:r>
      <w:r w:rsidR="00F16E4C">
        <w:t>is přítomného</w:t>
      </w:r>
      <w:r w:rsidR="00B37DCA">
        <w:t xml:space="preserve"> psychického stavu</w:t>
      </w:r>
      <w:r w:rsidR="00C6023D">
        <w:t xml:space="preserve"> </w:t>
      </w:r>
      <w:r w:rsidR="00F16E4C">
        <w:t>(Malá, Pavlovský, 2002).</w:t>
      </w:r>
    </w:p>
    <w:p w:rsidR="001F2F64" w:rsidRDefault="001F2F64" w:rsidP="001F2F64">
      <w:pPr>
        <w:pStyle w:val="Nadpis4"/>
        <w:spacing w:before="0" w:after="0"/>
      </w:pPr>
      <w:bookmarkStart w:id="28" w:name="_Toc343360816"/>
      <w:bookmarkStart w:id="29" w:name="_Toc343782742"/>
    </w:p>
    <w:p w:rsidR="001F2F64" w:rsidRPr="001F2F64" w:rsidRDefault="001F2F64" w:rsidP="001F2F64"/>
    <w:p w:rsidR="006E2277" w:rsidRDefault="008727CC" w:rsidP="001F2F64">
      <w:pPr>
        <w:pStyle w:val="Nadpis4"/>
        <w:spacing w:before="0" w:after="0"/>
      </w:pPr>
      <w:bookmarkStart w:id="30" w:name="_Toc353433179"/>
      <w:r>
        <w:lastRenderedPageBreak/>
        <w:t>1</w:t>
      </w:r>
      <w:r w:rsidR="001636C1">
        <w:t>.5</w:t>
      </w:r>
      <w:r w:rsidR="00D62F3D">
        <w:t>.4</w:t>
      </w:r>
      <w:r w:rsidR="006E2277">
        <w:t xml:space="preserve"> Psychometrická vyšetření-škály</w:t>
      </w:r>
      <w:bookmarkEnd w:id="28"/>
      <w:bookmarkEnd w:id="29"/>
      <w:bookmarkEnd w:id="30"/>
    </w:p>
    <w:p w:rsidR="001F2F64" w:rsidRPr="001F2F64" w:rsidRDefault="001F2F64" w:rsidP="001F2F64"/>
    <w:p w:rsidR="006E2277" w:rsidRDefault="006E2277" w:rsidP="006E2277">
      <w:pPr>
        <w:spacing w:after="200"/>
        <w:jc w:val="left"/>
        <w:rPr>
          <w:rFonts w:cs="Times New Roman"/>
          <w:szCs w:val="24"/>
          <w:u w:val="single"/>
        </w:rPr>
      </w:pPr>
      <w:r w:rsidRPr="001A709F">
        <w:rPr>
          <w:rFonts w:cs="Times New Roman"/>
          <w:szCs w:val="24"/>
          <w:u w:val="single"/>
        </w:rPr>
        <w:t>Beckova stupnice pro posuzování závažnosti deprese</w:t>
      </w:r>
      <w:r w:rsidR="005B2DA3">
        <w:rPr>
          <w:rFonts w:cs="Times New Roman"/>
          <w:szCs w:val="24"/>
          <w:u w:val="single"/>
        </w:rPr>
        <w:t xml:space="preserve"> BDI</w:t>
      </w:r>
    </w:p>
    <w:p w:rsidR="006E2277" w:rsidRDefault="006E2277" w:rsidP="006E2277">
      <w:pPr>
        <w:ind w:firstLine="284"/>
      </w:pPr>
      <w:r>
        <w:t>Tato posuzovací škála je dotazník, který je schopen ukázat celkovou míru deprese. Vyhodnocuje se jednou týdně a sami pacienti mohou sledovat, jakým způsobem se mění intenzita deprese v závislosti na čase.</w:t>
      </w:r>
      <w:r w:rsidRPr="007060A1">
        <w:t xml:space="preserve"> </w:t>
      </w:r>
      <w:r>
        <w:t>(Příloha</w:t>
      </w:r>
      <w:r w:rsidR="002F50C7">
        <w:t xml:space="preserve"> 1</w:t>
      </w:r>
      <w:r>
        <w:t xml:space="preserve">) Dotazník obsahuje 21 položek </w:t>
      </w:r>
      <w:r w:rsidR="00377026">
        <w:t xml:space="preserve">                        </w:t>
      </w:r>
      <w:r>
        <w:t>a odpovědi na položky jsou hodnocené body. Součet všech bodů položek</w:t>
      </w:r>
      <w:r w:rsidR="00B37DCA">
        <w:t xml:space="preserve"> udává celkové</w:t>
      </w:r>
      <w:r>
        <w:t xml:space="preserve"> skór</w:t>
      </w:r>
      <w:r w:rsidR="00B37DCA">
        <w:t>e</w:t>
      </w:r>
      <w:r>
        <w:t xml:space="preserve"> deprese</w:t>
      </w:r>
      <w:r w:rsidR="00F16E4C">
        <w:t xml:space="preserve"> </w:t>
      </w:r>
      <w:r w:rsidRPr="00C13CCC">
        <w:t>(Praško, Buliková, Sigmundová, 2009)</w:t>
      </w:r>
      <w:r w:rsidR="00F16E4C">
        <w:t>.</w:t>
      </w:r>
      <w:r w:rsidR="005153E5">
        <w:t xml:space="preserve"> </w:t>
      </w:r>
      <w:r w:rsidR="007206C2">
        <w:t>Položky jsou zaměřeny na afektivní, kognitivní, motivační a fyziologické symptomy deprese. U Beckovy sebeposuzovací škály deprese je podstatné, že:</w:t>
      </w:r>
    </w:p>
    <w:p w:rsidR="007206C2" w:rsidRDefault="007206C2" w:rsidP="007206C2">
      <w:pPr>
        <w:pStyle w:val="Odstavecseseznamem"/>
        <w:numPr>
          <w:ilvl w:val="0"/>
          <w:numId w:val="8"/>
        </w:numPr>
      </w:pPr>
      <w:r>
        <w:t xml:space="preserve">Dotazník je primárně určen k měření hloubky deprese, ne k přítomnosti deprese. </w:t>
      </w:r>
    </w:p>
    <w:p w:rsidR="007206C2" w:rsidRDefault="007206C2" w:rsidP="007206C2">
      <w:pPr>
        <w:pStyle w:val="Odstavecseseznamem"/>
        <w:numPr>
          <w:ilvl w:val="0"/>
          <w:numId w:val="8"/>
        </w:numPr>
      </w:pPr>
      <w:r>
        <w:t>Dotazník nedokáže odlišit „endogenní“ a „exogenní“ depresi.</w:t>
      </w:r>
    </w:p>
    <w:p w:rsidR="007206C2" w:rsidRPr="001A709F" w:rsidRDefault="007206C2" w:rsidP="007206C2">
      <w:pPr>
        <w:pStyle w:val="Odstavecseseznamem"/>
        <w:numPr>
          <w:ilvl w:val="0"/>
          <w:numId w:val="8"/>
        </w:numPr>
      </w:pPr>
      <w:r>
        <w:t>Dotazník měří depresi jako stav, ne jako rys oso</w:t>
      </w:r>
      <w:r w:rsidR="00F16E4C">
        <w:t xml:space="preserve">bnosti </w:t>
      </w:r>
      <w:r>
        <w:t>(Preiss, Vraná, Kuchařová, 2010)</w:t>
      </w:r>
      <w:r w:rsidR="00F16E4C">
        <w:t>.</w:t>
      </w:r>
    </w:p>
    <w:p w:rsidR="006E2277" w:rsidRDefault="006E2277" w:rsidP="006E2277">
      <w:pPr>
        <w:rPr>
          <w:rFonts w:cs="Times New Roman"/>
          <w:szCs w:val="24"/>
        </w:rPr>
      </w:pPr>
    </w:p>
    <w:p w:rsidR="006E2277" w:rsidRDefault="006E2277" w:rsidP="006E2277">
      <w:pPr>
        <w:rPr>
          <w:rFonts w:cs="Times New Roman"/>
          <w:szCs w:val="24"/>
          <w:u w:val="single"/>
        </w:rPr>
      </w:pPr>
      <w:r w:rsidRPr="00A972C4">
        <w:rPr>
          <w:rFonts w:cs="Times New Roman"/>
          <w:szCs w:val="24"/>
          <w:u w:val="single"/>
        </w:rPr>
        <w:t>Posuzovací stupnice tíže deprese PHQ-9</w:t>
      </w:r>
    </w:p>
    <w:p w:rsidR="00377026" w:rsidRDefault="006E2277" w:rsidP="001F2F64">
      <w:pPr>
        <w:ind w:firstLine="284"/>
        <w:rPr>
          <w:rFonts w:cs="Times New Roman"/>
          <w:szCs w:val="24"/>
        </w:rPr>
      </w:pPr>
      <w:r>
        <w:rPr>
          <w:rFonts w:cs="Times New Roman"/>
          <w:szCs w:val="24"/>
        </w:rPr>
        <w:t>Tento typ posuzovací stupnice byl modifikovaný z PRIME-MD. Tyto typy diagnostických nástrojů jsou využívány v primární péči. Dotazník obsahuje 9 položek, na které pacienti odpovídají.</w:t>
      </w:r>
      <w:r w:rsidRPr="000821FE">
        <w:rPr>
          <w:rFonts w:cs="Times New Roman"/>
          <w:szCs w:val="24"/>
        </w:rPr>
        <w:t xml:space="preserve"> </w:t>
      </w:r>
      <w:r>
        <w:rPr>
          <w:rFonts w:cs="Times New Roman"/>
          <w:szCs w:val="24"/>
        </w:rPr>
        <w:t>(Příloha</w:t>
      </w:r>
      <w:r w:rsidR="002F50C7">
        <w:rPr>
          <w:rFonts w:cs="Times New Roman"/>
          <w:szCs w:val="24"/>
        </w:rPr>
        <w:t xml:space="preserve"> 2</w:t>
      </w:r>
      <w:r>
        <w:rPr>
          <w:rFonts w:cs="Times New Roman"/>
          <w:szCs w:val="24"/>
        </w:rPr>
        <w:t>)</w:t>
      </w:r>
      <w:r w:rsidR="001F2F64">
        <w:rPr>
          <w:rFonts w:cs="Times New Roman"/>
          <w:szCs w:val="24"/>
        </w:rPr>
        <w:t>.</w:t>
      </w:r>
      <w:r>
        <w:rPr>
          <w:rFonts w:cs="Times New Roman"/>
          <w:szCs w:val="24"/>
        </w:rPr>
        <w:t xml:space="preserve"> Ke každé odpovědi je uvedeno bodové hodnocení. Výsledné bodové skóre informuje, zda se jedná o depresi leh</w:t>
      </w:r>
      <w:r w:rsidR="00F16E4C">
        <w:rPr>
          <w:rFonts w:cs="Times New Roman"/>
          <w:szCs w:val="24"/>
        </w:rPr>
        <w:t>kou, středně těžkou nebo těžkou</w:t>
      </w:r>
      <w:r>
        <w:rPr>
          <w:rFonts w:cs="Times New Roman"/>
          <w:szCs w:val="24"/>
        </w:rPr>
        <w:t xml:space="preserve"> (Raboch, Laňková, 2008)</w:t>
      </w:r>
      <w:r w:rsidR="00F16E4C">
        <w:rPr>
          <w:rFonts w:cs="Times New Roman"/>
          <w:szCs w:val="24"/>
        </w:rPr>
        <w:t>.</w:t>
      </w:r>
    </w:p>
    <w:p w:rsidR="00D62F3D" w:rsidRDefault="00886A60" w:rsidP="00377026">
      <w:pPr>
        <w:ind w:firstLine="284"/>
        <w:rPr>
          <w:rFonts w:cs="Times New Roman"/>
          <w:szCs w:val="24"/>
        </w:rPr>
      </w:pPr>
      <w:r>
        <w:rPr>
          <w:rFonts w:cs="Times New Roman"/>
          <w:szCs w:val="24"/>
        </w:rPr>
        <w:t>Další posuzovací škály, které lze k diagnostice deprese využít je</w:t>
      </w:r>
      <w:r w:rsidR="00D62F3D">
        <w:rPr>
          <w:rFonts w:cs="Times New Roman"/>
          <w:szCs w:val="24"/>
        </w:rPr>
        <w:t xml:space="preserve"> Hamiltonova posuzovací škála, </w:t>
      </w:r>
      <w:r>
        <w:rPr>
          <w:rFonts w:cs="Times New Roman"/>
          <w:szCs w:val="24"/>
        </w:rPr>
        <w:t>stupnice Montgomeryho a Asbergové MADRS, Z</w:t>
      </w:r>
      <w:r w:rsidR="00F16E4C">
        <w:rPr>
          <w:rFonts w:cs="Times New Roman"/>
          <w:szCs w:val="24"/>
        </w:rPr>
        <w:t>ungova posuzovací škála a CES-D.</w:t>
      </w:r>
      <w:r>
        <w:rPr>
          <w:rFonts w:cs="Times New Roman"/>
          <w:szCs w:val="24"/>
        </w:rPr>
        <w:t xml:space="preserve"> </w:t>
      </w:r>
    </w:p>
    <w:p w:rsidR="00D62F3D" w:rsidRDefault="00D62F3D" w:rsidP="00D62F3D">
      <w:pPr>
        <w:ind w:firstLine="284"/>
        <w:rPr>
          <w:rFonts w:cs="Times New Roman"/>
          <w:szCs w:val="24"/>
        </w:rPr>
      </w:pPr>
      <w:r>
        <w:rPr>
          <w:rFonts w:cs="Times New Roman"/>
          <w:szCs w:val="24"/>
        </w:rPr>
        <w:t>Diagnózu deprese lze ještě rozpoznat z některých zobrazovacích metod, jako je EEG, EMG, CT, MR, PET. Za standardních okolno</w:t>
      </w:r>
      <w:r w:rsidR="00F16E4C">
        <w:rPr>
          <w:rFonts w:cs="Times New Roman"/>
          <w:szCs w:val="24"/>
        </w:rPr>
        <w:t>stí se těchto metod nevyužívá (Preiss, Vrána, Kuchařová, 2010).</w:t>
      </w:r>
    </w:p>
    <w:p w:rsidR="00CC6358" w:rsidRDefault="00CC6358" w:rsidP="000821FE">
      <w:pPr>
        <w:ind w:firstLine="284"/>
        <w:rPr>
          <w:rFonts w:cs="Times New Roman"/>
          <w:szCs w:val="24"/>
        </w:rPr>
      </w:pPr>
    </w:p>
    <w:p w:rsidR="00037445" w:rsidRPr="00AB607E" w:rsidRDefault="008727CC" w:rsidP="001636C1">
      <w:pPr>
        <w:pStyle w:val="Nadpis3"/>
      </w:pPr>
      <w:bookmarkStart w:id="31" w:name="_Toc343360818"/>
      <w:bookmarkStart w:id="32" w:name="_Toc343782744"/>
      <w:bookmarkStart w:id="33" w:name="_Toc353433180"/>
      <w:r>
        <w:t>1</w:t>
      </w:r>
      <w:r w:rsidR="001636C1">
        <w:t>.6</w:t>
      </w:r>
      <w:r w:rsidR="00AB607E">
        <w:t xml:space="preserve"> </w:t>
      </w:r>
      <w:r w:rsidR="008B0719" w:rsidRPr="00AB607E">
        <w:t>Diferenciální diagnóza</w:t>
      </w:r>
      <w:bookmarkEnd w:id="31"/>
      <w:bookmarkEnd w:id="32"/>
      <w:bookmarkEnd w:id="33"/>
    </w:p>
    <w:p w:rsidR="005B2DA3" w:rsidRDefault="00686255" w:rsidP="00404545">
      <w:pPr>
        <w:ind w:firstLine="284"/>
      </w:pPr>
      <w:r>
        <w:t xml:space="preserve">Deprese je onemocnění afektů a také často úzce souvisí s jinými emočními stavy. Rahn a Mahnkopf (2000) </w:t>
      </w:r>
      <w:r w:rsidR="00BE59DB">
        <w:t xml:space="preserve">poukazují na záměnu deprese s jinými pocitovými kvalitami, jako je například smutek, agrese, úzkost nebo vina. Zvláštnost depresivního afektu spočívá </w:t>
      </w:r>
      <w:r w:rsidR="00BE59DB">
        <w:lastRenderedPageBreak/>
        <w:t>v tom, že jsou poškozeny především kontrolní mechanismy postiženého,</w:t>
      </w:r>
      <w:r w:rsidR="00F16E4C">
        <w:t xml:space="preserve"> což vede k pocitům bezmocnosti.</w:t>
      </w:r>
      <w:r w:rsidR="00BE59DB">
        <w:t xml:space="preserve"> Depresivní symptomy se také mohou vyskytovat u jiných duševních onemocnění. Mezi ty patří schizofrenie, syndrom závislosti, úzkostné a nutkavé poruchy</w:t>
      </w:r>
      <w:r w:rsidR="003864E0">
        <w:t>, bipolární deprese</w:t>
      </w:r>
      <w:r w:rsidR="00BE59DB">
        <w:t xml:space="preserve"> a mnoho dalších. Depresivní syndromy mohou být příto</w:t>
      </w:r>
      <w:r w:rsidR="00190474">
        <w:t xml:space="preserve">mny také u tělesných onemocnění (sekundární deprese). Často jsou to nádorová onemocnění, endokrinní poruchy, hypoxie, roztroušená skleróza, traumata, mozková mrtvice, endokrinní poruchy, infekční onemocnění aj. (Praško, Možný, Šlepecký, </w:t>
      </w:r>
      <w:r w:rsidR="00665D86">
        <w:t>2007)</w:t>
      </w:r>
      <w:r w:rsidR="00F16E4C">
        <w:t>.</w:t>
      </w:r>
    </w:p>
    <w:p w:rsidR="00404545" w:rsidRDefault="00665D86" w:rsidP="0008727D">
      <w:pPr>
        <w:ind w:firstLine="284"/>
      </w:pPr>
      <w:r>
        <w:t>V diagnostice je také nutné zvažovat, zda nejde o depresivní syndrom navozený psychoaktivními látkami nebo jinými léky. Z psychoaktivních látek to může být například metamfetamin</w:t>
      </w:r>
      <w:r w:rsidR="00E54DA8">
        <w:rPr>
          <w:rStyle w:val="Znakapoznpodarou"/>
        </w:rPr>
        <w:footnoteReference w:id="9"/>
      </w:r>
      <w:r>
        <w:t>, alkohol nebo barbituráty</w:t>
      </w:r>
      <w:r w:rsidR="00E54DA8">
        <w:rPr>
          <w:rStyle w:val="Znakapoznpodarou"/>
        </w:rPr>
        <w:footnoteReference w:id="10"/>
      </w:r>
      <w:r>
        <w:t>. Mohou to být i léky, které se využívají v somatické medicíně-</w:t>
      </w:r>
      <w:r w:rsidR="001F2F64">
        <w:t xml:space="preserve"> </w:t>
      </w:r>
      <w:r>
        <w:t>antikonvulziva</w:t>
      </w:r>
      <w:r w:rsidR="00E54DA8">
        <w:rPr>
          <w:rStyle w:val="Znakapoznpodarou"/>
        </w:rPr>
        <w:footnoteReference w:id="11"/>
      </w:r>
      <w:r w:rsidR="00F16E4C">
        <w:t>, cytostatika, antihypertenziva</w:t>
      </w:r>
      <w:r>
        <w:t xml:space="preserve"> (Praško, Možný, Šlepecký, 2010)</w:t>
      </w:r>
      <w:r w:rsidR="00F16E4C">
        <w:t>.</w:t>
      </w:r>
      <w:r>
        <w:t xml:space="preserve"> </w:t>
      </w:r>
      <w:r w:rsidR="001636C1">
        <w:t> </w:t>
      </w:r>
      <w:bookmarkStart w:id="34" w:name="_Toc343360819"/>
      <w:bookmarkStart w:id="35" w:name="_Toc343782745"/>
    </w:p>
    <w:p w:rsidR="0008727D" w:rsidRDefault="0008727D" w:rsidP="0008727D">
      <w:pPr>
        <w:ind w:firstLine="284"/>
      </w:pPr>
    </w:p>
    <w:p w:rsidR="008B0719" w:rsidRPr="00AB607E" w:rsidRDefault="00404545" w:rsidP="00404545">
      <w:pPr>
        <w:pStyle w:val="Nadpis3"/>
        <w:numPr>
          <w:ilvl w:val="0"/>
          <w:numId w:val="0"/>
        </w:numPr>
      </w:pPr>
      <w:r>
        <w:t xml:space="preserve">  </w:t>
      </w:r>
      <w:bookmarkStart w:id="36" w:name="_Toc353433181"/>
      <w:r w:rsidR="008727CC">
        <w:t>1</w:t>
      </w:r>
      <w:r w:rsidR="001636C1">
        <w:t>.7</w:t>
      </w:r>
      <w:r w:rsidR="008B0719" w:rsidRPr="00AB607E">
        <w:t xml:space="preserve"> Léčba deprese</w:t>
      </w:r>
      <w:bookmarkEnd w:id="34"/>
      <w:bookmarkEnd w:id="35"/>
      <w:bookmarkEnd w:id="36"/>
    </w:p>
    <w:p w:rsidR="005341E5" w:rsidRPr="00B56A5C" w:rsidRDefault="00AC47AA" w:rsidP="00B56A5C">
      <w:r>
        <w:t>Hlavním úkolem léčby</w:t>
      </w:r>
      <w:r w:rsidR="00404545">
        <w:t xml:space="preserve"> deprese</w:t>
      </w:r>
      <w:r>
        <w:t xml:space="preserve"> je odstranit příznaky onemocnění, obnovit původní pracovní a společenské uplatnění a odvrátit nebezpečí relapsu choroby. Poruchy nálady mají převážně periodický průběh a jejich léčba probíhá ve třech stupních</w:t>
      </w:r>
      <w:r w:rsidRPr="0008727D">
        <w:t>: jako akutní udržovací a profylaktická</w:t>
      </w:r>
      <w:r>
        <w:t xml:space="preserve"> (Hoschl, Libinger, Švestka, 2002)</w:t>
      </w:r>
      <w:r w:rsidR="00F16E4C">
        <w:t>.</w:t>
      </w:r>
      <w:r>
        <w:t xml:space="preserve"> </w:t>
      </w:r>
      <w:r w:rsidR="00C35561">
        <w:t>Akutní léčba trvá od zahájení terapie antidepresivy do kompletního odeznění symptomů. Náznaky zlepšení stavu se dostavují již během prvního a druhého týdne. Částečná remise</w:t>
      </w:r>
      <w:r w:rsidR="00C35561">
        <w:rPr>
          <w:rStyle w:val="Znakapoznpodarou"/>
        </w:rPr>
        <w:footnoteReference w:id="12"/>
      </w:r>
      <w:r w:rsidR="00C35561">
        <w:t xml:space="preserve"> deprese bývá kolem 4</w:t>
      </w:r>
      <w:r w:rsidR="001F2F64">
        <w:t>.</w:t>
      </w:r>
      <w:r w:rsidR="00C35561">
        <w:t xml:space="preserve"> a 6</w:t>
      </w:r>
      <w:r w:rsidR="001F2F64">
        <w:t>. týdne</w:t>
      </w:r>
      <w:r w:rsidR="00C35561">
        <w:t xml:space="preserve"> a udává se při ní redukce příznaků o 40-60 %. Profylaktická terapie má za cíl zabránit recidivě</w:t>
      </w:r>
      <w:r w:rsidR="00E54DA8">
        <w:t xml:space="preserve"> </w:t>
      </w:r>
      <w:r w:rsidR="00C35561">
        <w:rPr>
          <w:rStyle w:val="Znakapoznpodarou"/>
        </w:rPr>
        <w:footnoteReference w:id="13"/>
      </w:r>
      <w:r w:rsidR="00C35561">
        <w:t xml:space="preserve"> nemoci</w:t>
      </w:r>
      <w:r w:rsidR="00D03E9B">
        <w:t xml:space="preserve"> a výskytu nové epizody u sledovaného pacienta (Raboch, 2000)</w:t>
      </w:r>
      <w:r w:rsidR="00C35561">
        <w:t xml:space="preserve">. </w:t>
      </w:r>
      <w:r>
        <w:t xml:space="preserve">Tyto etapy jsou znázorněny na </w:t>
      </w:r>
      <w:r w:rsidRPr="00CC0F6C">
        <w:t>obrázku č. 1.</w:t>
      </w:r>
    </w:p>
    <w:p w:rsidR="005341E5" w:rsidRDefault="00041803" w:rsidP="005341E5">
      <w:pPr>
        <w:ind w:firstLine="284"/>
        <w:rPr>
          <w:szCs w:val="24"/>
        </w:rPr>
      </w:pPr>
      <w:r w:rsidRPr="00FD10B6">
        <w:rPr>
          <w:noProof/>
          <w:szCs w:val="24"/>
          <w:bdr w:val="double" w:sz="4" w:space="0" w:color="auto"/>
          <w:shd w:val="clear" w:color="auto" w:fill="EEECE1" w:themeFill="background2"/>
          <w:lang w:eastAsia="cs-CZ"/>
        </w:rPr>
        <w:lastRenderedPageBreak/>
        <w:drawing>
          <wp:inline distT="0" distB="0" distL="0" distR="0" wp14:anchorId="76197087" wp14:editId="48FED478">
            <wp:extent cx="4210050" cy="2581275"/>
            <wp:effectExtent l="19050" t="0" r="0" b="0"/>
            <wp:docPr id="2" name="obrázek 2" descr="C:\Documents and Settings\Adélka\Plocha\psy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élka\Plocha\psych.jpg"/>
                    <pic:cNvPicPr>
                      <a:picLocks noChangeAspect="1" noChangeArrowheads="1"/>
                    </pic:cNvPicPr>
                  </pic:nvPicPr>
                  <pic:blipFill>
                    <a:blip r:embed="rId9" cstate="print"/>
                    <a:srcRect/>
                    <a:stretch>
                      <a:fillRect/>
                    </a:stretch>
                  </pic:blipFill>
                  <pic:spPr bwMode="auto">
                    <a:xfrm>
                      <a:off x="0" y="0"/>
                      <a:ext cx="4210050" cy="2581275"/>
                    </a:xfrm>
                    <a:prstGeom prst="rect">
                      <a:avLst/>
                    </a:prstGeom>
                    <a:noFill/>
                    <a:ln w="9525">
                      <a:noFill/>
                      <a:miter lim="800000"/>
                      <a:headEnd/>
                      <a:tailEnd/>
                    </a:ln>
                  </pic:spPr>
                </pic:pic>
              </a:graphicData>
            </a:graphic>
          </wp:inline>
        </w:drawing>
      </w:r>
    </w:p>
    <w:p w:rsidR="00B56A5C" w:rsidRDefault="00041803" w:rsidP="005341E5">
      <w:pPr>
        <w:ind w:firstLine="284"/>
        <w:rPr>
          <w:szCs w:val="24"/>
        </w:rPr>
      </w:pPr>
      <w:r>
        <w:rPr>
          <w:b/>
          <w:szCs w:val="24"/>
        </w:rPr>
        <w:t> </w:t>
      </w:r>
      <w:r w:rsidR="00427EB0">
        <w:rPr>
          <w:b/>
          <w:szCs w:val="24"/>
        </w:rPr>
        <w:t>Obrázek 1</w:t>
      </w:r>
      <w:r w:rsidR="00B56A5C" w:rsidRPr="00AC47AA">
        <w:rPr>
          <w:b/>
          <w:szCs w:val="24"/>
        </w:rPr>
        <w:t xml:space="preserve"> </w:t>
      </w:r>
      <w:r w:rsidR="00B56A5C" w:rsidRPr="00041803">
        <w:rPr>
          <w:szCs w:val="24"/>
        </w:rPr>
        <w:t>Etapy léčby deprese (</w:t>
      </w:r>
      <w:r w:rsidR="00427EB0">
        <w:rPr>
          <w:szCs w:val="24"/>
        </w:rPr>
        <w:t xml:space="preserve">Raboch, s. 7, </w:t>
      </w:r>
      <w:r w:rsidR="00BF0B3D">
        <w:rPr>
          <w:szCs w:val="24"/>
        </w:rPr>
        <w:t>2000</w:t>
      </w:r>
      <w:r w:rsidRPr="00041803">
        <w:rPr>
          <w:szCs w:val="24"/>
        </w:rPr>
        <w:t>)</w:t>
      </w:r>
    </w:p>
    <w:p w:rsidR="00912F28" w:rsidRPr="00041803" w:rsidRDefault="00912F28" w:rsidP="005341E5">
      <w:pPr>
        <w:ind w:firstLine="284"/>
        <w:rPr>
          <w:szCs w:val="24"/>
        </w:rPr>
      </w:pPr>
    </w:p>
    <w:p w:rsidR="00421277" w:rsidRDefault="00B56A5C" w:rsidP="00B37DCA">
      <w:pPr>
        <w:ind w:firstLine="284"/>
        <w:rPr>
          <w:rFonts w:cs="Times New Roman"/>
          <w:szCs w:val="24"/>
        </w:rPr>
      </w:pPr>
      <w:r>
        <w:rPr>
          <w:szCs w:val="24"/>
        </w:rPr>
        <w:t> </w:t>
      </w:r>
      <w:r w:rsidR="00421277">
        <w:rPr>
          <w:rFonts w:cs="Times New Roman"/>
          <w:szCs w:val="24"/>
        </w:rPr>
        <w:t>V 90 % případů se léčba depresí odehrává v ambulancích praktických lékařů. Jedná se zejména o lehké a střední unipolární deprese. Těžké formy deprese jsou doménou ambulantních psychiatrů. Ve zvláštních případech, kdy například hrozí riziko suicida</w:t>
      </w:r>
      <w:r w:rsidR="006B1567">
        <w:rPr>
          <w:rFonts w:cs="Times New Roman"/>
          <w:szCs w:val="24"/>
        </w:rPr>
        <w:t>,</w:t>
      </w:r>
      <w:r w:rsidR="00421277">
        <w:rPr>
          <w:rFonts w:cs="Times New Roman"/>
          <w:szCs w:val="24"/>
        </w:rPr>
        <w:t xml:space="preserve"> </w:t>
      </w:r>
      <w:r w:rsidR="00F16E4C">
        <w:rPr>
          <w:rFonts w:cs="Times New Roman"/>
          <w:szCs w:val="24"/>
        </w:rPr>
        <w:t>může být pacient hospitalizován (Hosák, 2000</w:t>
      </w:r>
      <w:r w:rsidR="00421277">
        <w:rPr>
          <w:rFonts w:cs="Times New Roman"/>
          <w:szCs w:val="24"/>
        </w:rPr>
        <w:t>)</w:t>
      </w:r>
      <w:r w:rsidR="00F16E4C">
        <w:rPr>
          <w:rFonts w:cs="Times New Roman"/>
          <w:szCs w:val="24"/>
        </w:rPr>
        <w:t>.</w:t>
      </w:r>
    </w:p>
    <w:p w:rsidR="00404545" w:rsidRPr="00D03E9B" w:rsidRDefault="00421277" w:rsidP="00D03E9B">
      <w:pPr>
        <w:rPr>
          <w:rFonts w:cs="Times New Roman"/>
          <w:szCs w:val="24"/>
        </w:rPr>
      </w:pPr>
      <w:r>
        <w:rPr>
          <w:rFonts w:cs="Times New Roman"/>
          <w:szCs w:val="24"/>
        </w:rPr>
        <w:t xml:space="preserve"> </w:t>
      </w:r>
      <w:r w:rsidR="00AC47AA">
        <w:rPr>
          <w:rFonts w:cs="Times New Roman"/>
          <w:szCs w:val="24"/>
        </w:rPr>
        <w:t>Metody léčby deprese se dělí na biologické a psychoterapeutické.</w:t>
      </w:r>
      <w:bookmarkStart w:id="37" w:name="_Toc343360820"/>
      <w:bookmarkStart w:id="38" w:name="_Toc343782746"/>
    </w:p>
    <w:p w:rsidR="00421277" w:rsidRDefault="00404545" w:rsidP="00404545">
      <w:pPr>
        <w:pStyle w:val="Nadpis4"/>
        <w:numPr>
          <w:ilvl w:val="0"/>
          <w:numId w:val="0"/>
        </w:numPr>
      </w:pPr>
      <w:r>
        <w:rPr>
          <w:rFonts w:eastAsiaTheme="minorHAnsi" w:cs="Times New Roman"/>
          <w:b w:val="0"/>
          <w:bCs w:val="0"/>
          <w:iCs w:val="0"/>
          <w:sz w:val="24"/>
          <w:szCs w:val="24"/>
        </w:rPr>
        <w:t xml:space="preserve">  </w:t>
      </w:r>
      <w:bookmarkStart w:id="39" w:name="_Toc353433182"/>
      <w:r w:rsidR="001636C1">
        <w:t>2.7.1</w:t>
      </w:r>
      <w:r w:rsidR="00421277">
        <w:t>. Biologická léčba</w:t>
      </w:r>
      <w:bookmarkEnd w:id="37"/>
      <w:bookmarkEnd w:id="38"/>
      <w:bookmarkEnd w:id="39"/>
    </w:p>
    <w:p w:rsidR="00421277" w:rsidRDefault="00421277" w:rsidP="00404545">
      <w:pPr>
        <w:ind w:firstLine="284"/>
        <w:rPr>
          <w:rFonts w:cs="Times New Roman"/>
          <w:szCs w:val="24"/>
        </w:rPr>
      </w:pPr>
      <w:r>
        <w:rPr>
          <w:rFonts w:cs="Times New Roman"/>
          <w:szCs w:val="24"/>
        </w:rPr>
        <w:t>Nejčastěji využívanou metodou je bezpochyby farmakologická léčba. Její před</w:t>
      </w:r>
      <w:r w:rsidR="00404545">
        <w:rPr>
          <w:rFonts w:cs="Times New Roman"/>
          <w:szCs w:val="24"/>
        </w:rPr>
        <w:t>n</w:t>
      </w:r>
      <w:r>
        <w:rPr>
          <w:rFonts w:cs="Times New Roman"/>
          <w:szCs w:val="24"/>
        </w:rPr>
        <w:t>ostí je zejména snadné podávání a malé nároky na pacientův i lékařův čas.</w:t>
      </w:r>
      <w:r w:rsidR="009D7D1A">
        <w:rPr>
          <w:rFonts w:cs="Times New Roman"/>
          <w:szCs w:val="24"/>
        </w:rPr>
        <w:t xml:space="preserve"> Léčba psychofarmaky je </w:t>
      </w:r>
      <w:r w:rsidR="00404545">
        <w:rPr>
          <w:rFonts w:cs="Times New Roman"/>
          <w:szCs w:val="24"/>
        </w:rPr>
        <w:t>doménou ambulantní péče</w:t>
      </w:r>
      <w:r w:rsidR="00803F22">
        <w:rPr>
          <w:rFonts w:cs="Times New Roman"/>
          <w:szCs w:val="24"/>
        </w:rPr>
        <w:t xml:space="preserve"> (Hö</w:t>
      </w:r>
      <w:r>
        <w:rPr>
          <w:rFonts w:cs="Times New Roman"/>
          <w:szCs w:val="24"/>
        </w:rPr>
        <w:t>schl, Libinger, Švestka, 2002)</w:t>
      </w:r>
      <w:r w:rsidR="00803F22">
        <w:rPr>
          <w:rFonts w:cs="Times New Roman"/>
          <w:szCs w:val="24"/>
        </w:rPr>
        <w:t>.</w:t>
      </w:r>
      <w:r w:rsidR="009D7D1A">
        <w:rPr>
          <w:rFonts w:cs="Times New Roman"/>
          <w:szCs w:val="24"/>
        </w:rPr>
        <w:t xml:space="preserve"> Pro přehlednost zde uvádím i ostatní možnosti biologické léčby, kte</w:t>
      </w:r>
      <w:r w:rsidR="00404545">
        <w:rPr>
          <w:rFonts w:cs="Times New Roman"/>
          <w:szCs w:val="24"/>
        </w:rPr>
        <w:t>ré jsou využívány</w:t>
      </w:r>
      <w:r w:rsidR="009D7D1A">
        <w:rPr>
          <w:rFonts w:cs="Times New Roman"/>
          <w:szCs w:val="24"/>
        </w:rPr>
        <w:t xml:space="preserve">. </w:t>
      </w:r>
    </w:p>
    <w:p w:rsidR="00D03E9B" w:rsidRDefault="00421277" w:rsidP="00B37DCA">
      <w:pPr>
        <w:ind w:firstLine="284"/>
        <w:rPr>
          <w:rFonts w:cs="Times New Roman"/>
          <w:szCs w:val="24"/>
        </w:rPr>
      </w:pPr>
      <w:r w:rsidRPr="00421277">
        <w:rPr>
          <w:rFonts w:cs="Times New Roman"/>
          <w:b/>
          <w:szCs w:val="24"/>
        </w:rPr>
        <w:t>Antidepresiva</w:t>
      </w:r>
      <w:r w:rsidR="00CB07B3">
        <w:rPr>
          <w:rFonts w:cs="Times New Roman"/>
          <w:b/>
          <w:szCs w:val="24"/>
        </w:rPr>
        <w:t xml:space="preserve"> </w:t>
      </w:r>
      <w:r w:rsidR="00CB07B3">
        <w:rPr>
          <w:rFonts w:cs="Times New Roman"/>
          <w:szCs w:val="24"/>
        </w:rPr>
        <w:t>mají v léčbě deprese své</w:t>
      </w:r>
      <w:r w:rsidR="00404545">
        <w:rPr>
          <w:rFonts w:cs="Times New Roman"/>
          <w:szCs w:val="24"/>
        </w:rPr>
        <w:t xml:space="preserve"> pevné</w:t>
      </w:r>
      <w:r w:rsidR="00CB07B3">
        <w:rPr>
          <w:rFonts w:cs="Times New Roman"/>
          <w:szCs w:val="24"/>
        </w:rPr>
        <w:t xml:space="preserve"> místo. Je ovšem nutné dodržovat všeobecné postupy</w:t>
      </w:r>
      <w:r w:rsidR="00831489">
        <w:rPr>
          <w:rFonts w:cs="Times New Roman"/>
          <w:szCs w:val="24"/>
        </w:rPr>
        <w:t xml:space="preserve"> v terapii</w:t>
      </w:r>
      <w:r w:rsidR="00CB07B3">
        <w:rPr>
          <w:rFonts w:cs="Times New Roman"/>
          <w:szCs w:val="24"/>
        </w:rPr>
        <w:t xml:space="preserve"> deprese. </w:t>
      </w:r>
      <w:r w:rsidR="00831489">
        <w:rPr>
          <w:rFonts w:cs="Times New Roman"/>
          <w:szCs w:val="24"/>
        </w:rPr>
        <w:t>Pokud se jedná o lehkou depresi, doporučuje se pacientům psychoterapeutická léčba za pomoci KBT</w:t>
      </w:r>
      <w:r w:rsidR="00D03E9B">
        <w:rPr>
          <w:rFonts w:cs="Times New Roman"/>
          <w:szCs w:val="24"/>
        </w:rPr>
        <w:t xml:space="preserve"> (</w:t>
      </w:r>
      <w:r w:rsidR="00D03E9B" w:rsidRPr="00D03E9B">
        <w:rPr>
          <w:rFonts w:cs="Times New Roman"/>
          <w:szCs w:val="24"/>
        </w:rPr>
        <w:t>kognitivně behaviorální terapie</w:t>
      </w:r>
      <w:r w:rsidR="00D03E9B">
        <w:rPr>
          <w:rFonts w:cs="Times New Roman"/>
          <w:szCs w:val="24"/>
        </w:rPr>
        <w:t>)</w:t>
      </w:r>
      <w:r w:rsidR="00831489">
        <w:rPr>
          <w:rFonts w:cs="Times New Roman"/>
          <w:szCs w:val="24"/>
        </w:rPr>
        <w:t>. V případě středně těžké nebo těžké deprese, je nutná medikamentózní terapie spolu s KBT a IPT</w:t>
      </w:r>
      <w:r w:rsidR="005851B6">
        <w:rPr>
          <w:rFonts w:cs="Times New Roman"/>
          <w:szCs w:val="24"/>
        </w:rPr>
        <w:t xml:space="preserve"> (individuální podpůrná terapie); </w:t>
      </w:r>
      <w:r w:rsidR="00831489">
        <w:rPr>
          <w:rFonts w:cs="Times New Roman"/>
          <w:szCs w:val="24"/>
        </w:rPr>
        <w:t>(</w:t>
      </w:r>
      <w:r w:rsidR="00831489">
        <w:t>National institute for health and clinical excellence, 2009)</w:t>
      </w:r>
      <w:r w:rsidR="00803F22">
        <w:t>.</w:t>
      </w:r>
      <w:r w:rsidR="00633BC8">
        <w:rPr>
          <w:rFonts w:cs="Times New Roman"/>
          <w:b/>
          <w:szCs w:val="24"/>
        </w:rPr>
        <w:t xml:space="preserve"> </w:t>
      </w:r>
      <w:r w:rsidR="00633BC8">
        <w:rPr>
          <w:rFonts w:cs="Times New Roman"/>
          <w:szCs w:val="24"/>
        </w:rPr>
        <w:t>Vzhledem k</w:t>
      </w:r>
      <w:r w:rsidR="00D03E9B">
        <w:rPr>
          <w:rFonts w:cs="Times New Roman"/>
          <w:szCs w:val="24"/>
        </w:rPr>
        <w:t xml:space="preserve"> tomu, že se tato práce zabývá pohledem pacientů na antidepresiva, bude o antidepresivech a jejich jednotlivých kategoriích pojednáno v samostatné kapitole. </w:t>
      </w:r>
    </w:p>
    <w:p w:rsidR="00B31725" w:rsidRDefault="00633BC8" w:rsidP="00B37DCA">
      <w:pPr>
        <w:ind w:firstLine="284"/>
        <w:rPr>
          <w:rFonts w:cs="Times New Roman"/>
          <w:szCs w:val="24"/>
        </w:rPr>
      </w:pPr>
      <w:r w:rsidRPr="00633BC8">
        <w:rPr>
          <w:rFonts w:cs="Times New Roman"/>
          <w:b/>
          <w:szCs w:val="24"/>
        </w:rPr>
        <w:t>Fototerapie</w:t>
      </w:r>
      <w:r>
        <w:rPr>
          <w:rFonts w:cs="Times New Roman"/>
          <w:szCs w:val="24"/>
        </w:rPr>
        <w:t xml:space="preserve"> je metoda biologické léčby, která se využívá k překlenutí doby účinku antidepresiva anebo v terapii sezónní deprese. </w:t>
      </w:r>
      <w:r w:rsidR="00B138E2">
        <w:rPr>
          <w:rFonts w:cs="Times New Roman"/>
          <w:szCs w:val="24"/>
        </w:rPr>
        <w:t xml:space="preserve">Jedná se o ranní aplikaci jasného bílého </w:t>
      </w:r>
      <w:r w:rsidR="00B138E2">
        <w:rPr>
          <w:rFonts w:cs="Times New Roman"/>
          <w:szCs w:val="24"/>
        </w:rPr>
        <w:lastRenderedPageBreak/>
        <w:t>světla o intenzitě alespoň 5000 Luxů. Fotot</w:t>
      </w:r>
      <w:r w:rsidR="00803F22">
        <w:rPr>
          <w:rFonts w:cs="Times New Roman"/>
          <w:szCs w:val="24"/>
        </w:rPr>
        <w:t xml:space="preserve">erapie trvá přibližně 2-3 týdny </w:t>
      </w:r>
      <w:r w:rsidR="00B138E2">
        <w:rPr>
          <w:rFonts w:cs="Times New Roman"/>
          <w:szCs w:val="24"/>
        </w:rPr>
        <w:t>(Praško, Sikmundová, Buliková,</w:t>
      </w:r>
      <w:r w:rsidR="001755D8">
        <w:rPr>
          <w:rFonts w:cs="Times New Roman"/>
          <w:szCs w:val="24"/>
        </w:rPr>
        <w:t xml:space="preserve"> </w:t>
      </w:r>
      <w:r w:rsidR="00B138E2">
        <w:rPr>
          <w:rFonts w:cs="Times New Roman"/>
          <w:szCs w:val="24"/>
        </w:rPr>
        <w:t>2009)</w:t>
      </w:r>
      <w:r w:rsidR="00803F22">
        <w:rPr>
          <w:rFonts w:cs="Times New Roman"/>
          <w:szCs w:val="24"/>
        </w:rPr>
        <w:t>.</w:t>
      </w:r>
      <w:r w:rsidR="00B138E2">
        <w:rPr>
          <w:rFonts w:cs="Times New Roman"/>
          <w:szCs w:val="24"/>
        </w:rPr>
        <w:t xml:space="preserve"> Výhodou této metody je především to, že způsobuje minimum komplikací. Na druhou</w:t>
      </w:r>
      <w:r w:rsidR="00803F22">
        <w:rPr>
          <w:rFonts w:cs="Times New Roman"/>
          <w:szCs w:val="24"/>
        </w:rPr>
        <w:t xml:space="preserve"> stranu má pouze dočasný účinek (Hö</w:t>
      </w:r>
      <w:r w:rsidR="00B138E2">
        <w:rPr>
          <w:rFonts w:cs="Times New Roman"/>
          <w:szCs w:val="24"/>
        </w:rPr>
        <w:t>schl, Švestka, Libinger, 2002)</w:t>
      </w:r>
      <w:r w:rsidR="00803F22">
        <w:rPr>
          <w:rFonts w:cs="Times New Roman"/>
          <w:szCs w:val="24"/>
        </w:rPr>
        <w:t>.</w:t>
      </w:r>
    </w:p>
    <w:p w:rsidR="00B138E2" w:rsidRDefault="00B138E2" w:rsidP="00B37DCA">
      <w:pPr>
        <w:ind w:firstLine="284"/>
        <w:rPr>
          <w:rFonts w:cs="Times New Roman"/>
          <w:szCs w:val="24"/>
        </w:rPr>
      </w:pPr>
      <w:r w:rsidRPr="00B138E2">
        <w:rPr>
          <w:rFonts w:cs="Times New Roman"/>
          <w:b/>
          <w:szCs w:val="24"/>
        </w:rPr>
        <w:t>EK</w:t>
      </w:r>
      <w:r w:rsidR="00D03E9B">
        <w:rPr>
          <w:rFonts w:cs="Times New Roman"/>
          <w:b/>
          <w:szCs w:val="24"/>
        </w:rPr>
        <w:t>T,</w:t>
      </w:r>
      <w:r w:rsidR="00D03E9B" w:rsidRPr="00D03E9B">
        <w:rPr>
          <w:rFonts w:cs="Times New Roman"/>
          <w:szCs w:val="24"/>
        </w:rPr>
        <w:t xml:space="preserve"> elektrokonvulzivní terapie </w:t>
      </w:r>
      <w:r>
        <w:rPr>
          <w:rFonts w:cs="Times New Roman"/>
          <w:szCs w:val="24"/>
        </w:rPr>
        <w:t xml:space="preserve">je </w:t>
      </w:r>
      <w:r w:rsidR="001755D8">
        <w:rPr>
          <w:rFonts w:cs="Times New Roman"/>
          <w:szCs w:val="24"/>
        </w:rPr>
        <w:t xml:space="preserve">v dnešní době tou nejúčinnější metodou v léčbě depresí a dosud nebyla překonána. </w:t>
      </w:r>
      <w:r w:rsidR="00A64FD5">
        <w:rPr>
          <w:rFonts w:cs="Times New Roman"/>
          <w:szCs w:val="24"/>
        </w:rPr>
        <w:t xml:space="preserve">EKT se provádí pod narkózou a při svalové relaxaci a jejím úkolem je vyvolat </w:t>
      </w:r>
      <w:r w:rsidR="00803F22">
        <w:rPr>
          <w:rFonts w:cs="Times New Roman"/>
          <w:szCs w:val="24"/>
        </w:rPr>
        <w:t>epileptický záchvat „grand mal“</w:t>
      </w:r>
      <w:r w:rsidR="001F2F64">
        <w:rPr>
          <w:rFonts w:cs="Times New Roman"/>
          <w:szCs w:val="24"/>
        </w:rPr>
        <w:t xml:space="preserve"> </w:t>
      </w:r>
      <w:r w:rsidR="00803F22">
        <w:rPr>
          <w:rFonts w:cs="Times New Roman"/>
          <w:szCs w:val="24"/>
        </w:rPr>
        <w:t>(Hö</w:t>
      </w:r>
      <w:r w:rsidR="00A64FD5">
        <w:rPr>
          <w:rFonts w:cs="Times New Roman"/>
          <w:szCs w:val="24"/>
        </w:rPr>
        <w:t>schl, Libiger, Švestka, 2002)</w:t>
      </w:r>
      <w:r w:rsidR="00803F22">
        <w:rPr>
          <w:rFonts w:cs="Times New Roman"/>
          <w:szCs w:val="24"/>
        </w:rPr>
        <w:t>.</w:t>
      </w:r>
      <w:r w:rsidR="00A64FD5">
        <w:rPr>
          <w:rFonts w:cs="Times New Roman"/>
          <w:szCs w:val="24"/>
        </w:rPr>
        <w:t xml:space="preserve"> </w:t>
      </w:r>
      <w:r w:rsidR="001755D8">
        <w:rPr>
          <w:rFonts w:cs="Times New Roman"/>
          <w:szCs w:val="24"/>
        </w:rPr>
        <w:t>Vhodná je zejména u pacient</w:t>
      </w:r>
      <w:r w:rsidR="00803F22">
        <w:rPr>
          <w:rFonts w:cs="Times New Roman"/>
          <w:szCs w:val="24"/>
        </w:rPr>
        <w:t>ů s hlubokou depresí</w:t>
      </w:r>
      <w:r w:rsidR="001755D8">
        <w:rPr>
          <w:rFonts w:cs="Times New Roman"/>
          <w:szCs w:val="24"/>
        </w:rPr>
        <w:t xml:space="preserve"> (Praško, Buliková, Sikmundová, 2009)</w:t>
      </w:r>
      <w:r w:rsidR="00803F22">
        <w:rPr>
          <w:rFonts w:cs="Times New Roman"/>
          <w:szCs w:val="24"/>
        </w:rPr>
        <w:t>.</w:t>
      </w:r>
      <w:r w:rsidR="001755D8">
        <w:rPr>
          <w:rFonts w:cs="Times New Roman"/>
          <w:szCs w:val="24"/>
        </w:rPr>
        <w:t xml:space="preserve"> Indikace EKT je závislá na komplexním zhodnocení diagnózy a zvážení možných rizik oproti terapeutickému zisku. Primárně </w:t>
      </w:r>
      <w:r w:rsidR="00A64FD5">
        <w:rPr>
          <w:rFonts w:cs="Times New Roman"/>
          <w:szCs w:val="24"/>
        </w:rPr>
        <w:t>jde o závažnou depresivní symptomatiku (katatonie, riziko suicida, odmítání p</w:t>
      </w:r>
      <w:r w:rsidR="00803F22">
        <w:rPr>
          <w:rFonts w:cs="Times New Roman"/>
          <w:szCs w:val="24"/>
        </w:rPr>
        <w:t>otravy);</w:t>
      </w:r>
      <w:r w:rsidR="00A64FD5">
        <w:rPr>
          <w:rFonts w:cs="Times New Roman"/>
          <w:szCs w:val="24"/>
        </w:rPr>
        <w:t xml:space="preserve"> (Rahn, Mahnkopf, 2000)</w:t>
      </w:r>
      <w:r w:rsidR="00803F22">
        <w:rPr>
          <w:rFonts w:cs="Times New Roman"/>
          <w:szCs w:val="24"/>
        </w:rPr>
        <w:t>.</w:t>
      </w:r>
      <w:r w:rsidR="00A64FD5">
        <w:rPr>
          <w:rFonts w:cs="Times New Roman"/>
          <w:szCs w:val="24"/>
        </w:rPr>
        <w:t xml:space="preserve"> U pacientů, kteří nereagují na farmakologickou léčbu. Bylo prokázáno, že u pacientů s psychotickými příznaky deprese je léčba EKT účinnější než uží</w:t>
      </w:r>
      <w:r w:rsidR="00803F22">
        <w:rPr>
          <w:rFonts w:cs="Times New Roman"/>
          <w:szCs w:val="24"/>
        </w:rPr>
        <w:t>vání tricyklických antidepresiv</w:t>
      </w:r>
      <w:r w:rsidR="00A64FD5">
        <w:rPr>
          <w:rFonts w:cs="Times New Roman"/>
          <w:szCs w:val="24"/>
        </w:rPr>
        <w:t xml:space="preserve"> (Gelder, Harrison, Cowen, 2006)</w:t>
      </w:r>
      <w:r w:rsidR="00803F22">
        <w:rPr>
          <w:rFonts w:cs="Times New Roman"/>
          <w:szCs w:val="24"/>
        </w:rPr>
        <w:t>.</w:t>
      </w:r>
      <w:r w:rsidR="00A64FD5">
        <w:rPr>
          <w:rFonts w:cs="Times New Roman"/>
          <w:szCs w:val="24"/>
        </w:rPr>
        <w:t xml:space="preserve"> </w:t>
      </w:r>
    </w:p>
    <w:p w:rsidR="000765F4" w:rsidRDefault="00464919" w:rsidP="00B37DCA">
      <w:pPr>
        <w:ind w:firstLine="284"/>
        <w:rPr>
          <w:rFonts w:cs="Times New Roman"/>
          <w:szCs w:val="24"/>
        </w:rPr>
      </w:pPr>
      <w:r w:rsidRPr="00464919">
        <w:rPr>
          <w:rFonts w:cs="Times New Roman"/>
          <w:b/>
          <w:szCs w:val="24"/>
        </w:rPr>
        <w:t>TMS</w:t>
      </w:r>
      <w:r>
        <w:rPr>
          <w:rFonts w:cs="Times New Roman"/>
          <w:szCs w:val="24"/>
        </w:rPr>
        <w:t xml:space="preserve"> neboli transkraniální magnetická stimulace je založena na aplikaci magnetického pole na specifickou oblast mozkové kůry. Jedná se o neinvazivní a bezbolestnou terapeutickou metodu. Celý proces trvá zhruba 20 minut</w:t>
      </w:r>
      <w:r w:rsidR="00E910EE">
        <w:rPr>
          <w:rFonts w:cs="Times New Roman"/>
          <w:szCs w:val="24"/>
        </w:rPr>
        <w:t xml:space="preserve">, a </w:t>
      </w:r>
      <w:r>
        <w:rPr>
          <w:rFonts w:cs="Times New Roman"/>
          <w:szCs w:val="24"/>
        </w:rPr>
        <w:t>provádí se jedenkrát denně po dobu 10-15 dní. U 10-20 % pacientů s</w:t>
      </w:r>
      <w:r w:rsidR="00803F22">
        <w:rPr>
          <w:rFonts w:cs="Times New Roman"/>
          <w:szCs w:val="24"/>
        </w:rPr>
        <w:t>e po TMS objevují bolesti hlavy</w:t>
      </w:r>
      <w:r>
        <w:rPr>
          <w:rFonts w:cs="Times New Roman"/>
          <w:szCs w:val="24"/>
        </w:rPr>
        <w:t xml:space="preserve"> (Praško, Sikmundová, Buliková, 2009)</w:t>
      </w:r>
      <w:r w:rsidR="00803F22">
        <w:rPr>
          <w:rFonts w:cs="Times New Roman"/>
          <w:szCs w:val="24"/>
        </w:rPr>
        <w:t>.</w:t>
      </w:r>
    </w:p>
    <w:p w:rsidR="00E910EE" w:rsidRDefault="00E910EE" w:rsidP="00F45B80">
      <w:pPr>
        <w:rPr>
          <w:rFonts w:cs="Times New Roman"/>
          <w:szCs w:val="24"/>
        </w:rPr>
      </w:pPr>
    </w:p>
    <w:p w:rsidR="00464919" w:rsidRDefault="000765F4" w:rsidP="001636C1">
      <w:pPr>
        <w:pStyle w:val="Nadpis4"/>
      </w:pPr>
      <w:bookmarkStart w:id="40" w:name="_Toc343360821"/>
      <w:bookmarkStart w:id="41" w:name="_Toc343782747"/>
      <w:r>
        <w:t> </w:t>
      </w:r>
      <w:bookmarkStart w:id="42" w:name="_Toc353433183"/>
      <w:r w:rsidR="008727CC">
        <w:t>1</w:t>
      </w:r>
      <w:r w:rsidR="00AB607E">
        <w:t>.</w:t>
      </w:r>
      <w:r w:rsidR="001636C1">
        <w:t>7.2</w:t>
      </w:r>
      <w:r w:rsidR="00464919" w:rsidRPr="00464919">
        <w:t xml:space="preserve"> Psychoterapeutické metody</w:t>
      </w:r>
      <w:bookmarkEnd w:id="40"/>
      <w:bookmarkEnd w:id="41"/>
      <w:bookmarkEnd w:id="42"/>
    </w:p>
    <w:p w:rsidR="00960F90" w:rsidRDefault="00CC6358" w:rsidP="00C56437">
      <w:pPr>
        <w:rPr>
          <w:rFonts w:cs="Times New Roman"/>
          <w:szCs w:val="24"/>
        </w:rPr>
      </w:pPr>
      <w:r w:rsidRPr="00831489">
        <w:rPr>
          <w:rFonts w:cs="Times New Roman"/>
          <w:i/>
          <w:szCs w:val="24"/>
        </w:rPr>
        <w:t>„Psychoterapie je především léčbou (sekundární prevencí), ale i profylaxí (primární prevencí) a rehabilitací (terciární prevencí) poruch zdraví, která se uskutečňuje výhradně psychologickými prostředky, tedy prostředky komunikační a vztahové povahy</w:t>
      </w:r>
      <w:r>
        <w:rPr>
          <w:rFonts w:cs="Times New Roman"/>
          <w:szCs w:val="24"/>
        </w:rPr>
        <w:t>“ (Vy</w:t>
      </w:r>
      <w:r w:rsidR="00B37DCA">
        <w:rPr>
          <w:rFonts w:cs="Times New Roman"/>
          <w:szCs w:val="24"/>
        </w:rPr>
        <w:t>mětal a kol.,</w:t>
      </w:r>
      <w:r>
        <w:rPr>
          <w:rFonts w:cs="Times New Roman"/>
          <w:szCs w:val="24"/>
        </w:rPr>
        <w:t xml:space="preserve"> 2004</w:t>
      </w:r>
      <w:r w:rsidR="00B37DCA">
        <w:rPr>
          <w:rFonts w:cs="Times New Roman"/>
          <w:szCs w:val="24"/>
        </w:rPr>
        <w:t>, s.20</w:t>
      </w:r>
      <w:r>
        <w:rPr>
          <w:rFonts w:cs="Times New Roman"/>
          <w:szCs w:val="24"/>
        </w:rPr>
        <w:t>)</w:t>
      </w:r>
      <w:r w:rsidR="00803F22">
        <w:rPr>
          <w:rFonts w:cs="Times New Roman"/>
          <w:szCs w:val="24"/>
        </w:rPr>
        <w:t>.</w:t>
      </w:r>
    </w:p>
    <w:p w:rsidR="00CC6358" w:rsidRDefault="00E910EE" w:rsidP="00B37DCA">
      <w:pPr>
        <w:ind w:firstLine="284"/>
        <w:rPr>
          <w:rFonts w:cs="Times New Roman"/>
          <w:szCs w:val="24"/>
        </w:rPr>
      </w:pPr>
      <w:r>
        <w:rPr>
          <w:rFonts w:cs="Times New Roman"/>
          <w:b/>
          <w:szCs w:val="24"/>
        </w:rPr>
        <w:t xml:space="preserve">  </w:t>
      </w:r>
      <w:r w:rsidR="00E6773F" w:rsidRPr="00E6773F">
        <w:rPr>
          <w:rFonts w:cs="Times New Roman"/>
          <w:b/>
          <w:szCs w:val="24"/>
        </w:rPr>
        <w:t>K</w:t>
      </w:r>
      <w:r w:rsidR="006B61B7">
        <w:rPr>
          <w:rFonts w:cs="Times New Roman"/>
          <w:b/>
          <w:szCs w:val="24"/>
        </w:rPr>
        <w:t>ognitivně</w:t>
      </w:r>
      <w:r w:rsidR="00E6773F" w:rsidRPr="00E6773F">
        <w:rPr>
          <w:rFonts w:cs="Times New Roman"/>
          <w:b/>
          <w:szCs w:val="24"/>
        </w:rPr>
        <w:t xml:space="preserve"> </w:t>
      </w:r>
      <w:r w:rsidR="00E6773F">
        <w:rPr>
          <w:rFonts w:cs="Times New Roman"/>
          <w:b/>
          <w:szCs w:val="24"/>
        </w:rPr>
        <w:t xml:space="preserve">behaviorální </w:t>
      </w:r>
      <w:r w:rsidR="00E6773F" w:rsidRPr="00E6773F">
        <w:rPr>
          <w:rFonts w:cs="Times New Roman"/>
          <w:b/>
          <w:szCs w:val="24"/>
        </w:rPr>
        <w:t>terapie</w:t>
      </w:r>
      <w:r w:rsidR="00E6773F">
        <w:rPr>
          <w:rFonts w:cs="Times New Roman"/>
          <w:b/>
          <w:szCs w:val="24"/>
        </w:rPr>
        <w:t xml:space="preserve"> </w:t>
      </w:r>
      <w:r w:rsidR="00771175">
        <w:rPr>
          <w:rFonts w:cs="Times New Roman"/>
          <w:b/>
          <w:szCs w:val="24"/>
        </w:rPr>
        <w:t>(KBT)</w:t>
      </w:r>
      <w:r w:rsidR="00C56437">
        <w:rPr>
          <w:rFonts w:cs="Times New Roman"/>
          <w:szCs w:val="24"/>
        </w:rPr>
        <w:t xml:space="preserve"> je aktivní, direktivní a časově ohraničující přístup</w:t>
      </w:r>
      <w:r w:rsidR="00E6773F">
        <w:rPr>
          <w:rFonts w:cs="Times New Roman"/>
          <w:szCs w:val="24"/>
        </w:rPr>
        <w:t>.</w:t>
      </w:r>
      <w:r w:rsidR="00C56437">
        <w:rPr>
          <w:rFonts w:cs="Times New Roman"/>
          <w:szCs w:val="24"/>
        </w:rPr>
        <w:t xml:space="preserve"> Vychází z předpokladu, že efektivita a chování jedince jsou do značné míry určovány tím, jak strukturuje svět kolem sebe.</w:t>
      </w:r>
      <w:r w:rsidR="00E6773F">
        <w:rPr>
          <w:rFonts w:cs="Times New Roman"/>
          <w:szCs w:val="24"/>
        </w:rPr>
        <w:t xml:space="preserve"> </w:t>
      </w:r>
      <w:r w:rsidR="00C56437">
        <w:rPr>
          <w:rFonts w:cs="Times New Roman"/>
          <w:szCs w:val="24"/>
        </w:rPr>
        <w:t>Bezprostředním cílem je zmírnění příznaků deprese a dlouhodobým cílem je, aby se pacient naučil využívat v běžném životě postupy, které by zmírnily riz</w:t>
      </w:r>
      <w:r w:rsidR="00803F22">
        <w:rPr>
          <w:rFonts w:cs="Times New Roman"/>
          <w:szCs w:val="24"/>
        </w:rPr>
        <w:t>iko dalších depresivních epizod</w:t>
      </w:r>
      <w:r w:rsidR="00C56437">
        <w:rPr>
          <w:rFonts w:cs="Times New Roman"/>
          <w:szCs w:val="24"/>
        </w:rPr>
        <w:t xml:space="preserve"> </w:t>
      </w:r>
      <w:r w:rsidR="00FF0B2D">
        <w:rPr>
          <w:rFonts w:cs="Times New Roman"/>
          <w:szCs w:val="24"/>
        </w:rPr>
        <w:t>(Praško, Šlepecký, Možný, 2007).</w:t>
      </w:r>
    </w:p>
    <w:p w:rsidR="00FF0B2D" w:rsidRDefault="00960F90" w:rsidP="00831489">
      <w:pPr>
        <w:ind w:firstLine="284"/>
        <w:rPr>
          <w:rFonts w:cs="Times New Roman"/>
          <w:szCs w:val="24"/>
        </w:rPr>
      </w:pPr>
      <w:r>
        <w:rPr>
          <w:rFonts w:cs="Times New Roman"/>
          <w:szCs w:val="24"/>
        </w:rPr>
        <w:t xml:space="preserve">Základními kroky </w:t>
      </w:r>
      <w:r w:rsidR="000765F4">
        <w:rPr>
          <w:rFonts w:cs="Times New Roman"/>
          <w:szCs w:val="24"/>
        </w:rPr>
        <w:t xml:space="preserve">KBT </w:t>
      </w:r>
      <w:r>
        <w:rPr>
          <w:rFonts w:cs="Times New Roman"/>
          <w:szCs w:val="24"/>
        </w:rPr>
        <w:t xml:space="preserve">jsou psychoedukace, kognitivní restrukturalizace s behaviorálními experimenty a plánování činností. V průběhu léčby je důležité </w:t>
      </w:r>
      <w:r>
        <w:rPr>
          <w:rFonts w:cs="Times New Roman"/>
          <w:szCs w:val="24"/>
        </w:rPr>
        <w:lastRenderedPageBreak/>
        <w:t>dosáhnout změny kognitivních schémat, nacvičit řešení problémů a zlepšit psychosociální dovednosti klienta.  U těžkých depresivních epizod se doporučuje KBT ko</w:t>
      </w:r>
      <w:r w:rsidR="00803F22">
        <w:rPr>
          <w:rFonts w:cs="Times New Roman"/>
          <w:szCs w:val="24"/>
        </w:rPr>
        <w:t>mbinovat s léčbou antidepresivy</w:t>
      </w:r>
      <w:r>
        <w:rPr>
          <w:rFonts w:cs="Times New Roman"/>
          <w:szCs w:val="24"/>
        </w:rPr>
        <w:t xml:space="preserve"> (Praško, Šlepecký, Možný, 2007).</w:t>
      </w:r>
    </w:p>
    <w:p w:rsidR="00824789" w:rsidRDefault="00824789" w:rsidP="00831489">
      <w:pPr>
        <w:ind w:firstLine="284"/>
        <w:rPr>
          <w:rFonts w:cs="Times New Roman"/>
          <w:szCs w:val="24"/>
        </w:rPr>
      </w:pPr>
      <w:r w:rsidRPr="00824789">
        <w:rPr>
          <w:rFonts w:cs="Times New Roman"/>
          <w:b/>
          <w:szCs w:val="24"/>
        </w:rPr>
        <w:t>Psychodynamická terapie</w:t>
      </w:r>
      <w:r>
        <w:rPr>
          <w:rFonts w:cs="Times New Roman"/>
          <w:b/>
          <w:szCs w:val="24"/>
        </w:rPr>
        <w:t xml:space="preserve"> </w:t>
      </w:r>
      <w:r>
        <w:rPr>
          <w:rFonts w:cs="Times New Roman"/>
          <w:szCs w:val="24"/>
        </w:rPr>
        <w:t>je pojem, který v sobě nese vícero terapií, dohromady tvořící základ psychoanalytické teorie. Ta hovoří o tom, že deprese vzniká na podkladě deficitu osobnostní struktury jedince</w:t>
      </w:r>
      <w:r w:rsidR="001F2F64">
        <w:rPr>
          <w:rFonts w:cs="Times New Roman"/>
          <w:szCs w:val="24"/>
        </w:rPr>
        <w:t>,</w:t>
      </w:r>
      <w:r>
        <w:rPr>
          <w:rFonts w:cs="Times New Roman"/>
          <w:szCs w:val="24"/>
        </w:rPr>
        <w:t xml:space="preserve"> a také na problémových vztazích s blízkými osobami. Nejvíce pak zá</w:t>
      </w:r>
      <w:r w:rsidR="001B56F8">
        <w:rPr>
          <w:rFonts w:cs="Times New Roman"/>
          <w:szCs w:val="24"/>
        </w:rPr>
        <w:t>visí na vztahu s matkou</w:t>
      </w:r>
      <w:r w:rsidR="00321250">
        <w:rPr>
          <w:rFonts w:cs="Times New Roman"/>
          <w:szCs w:val="24"/>
        </w:rPr>
        <w:t xml:space="preserve"> (Vymětal</w:t>
      </w:r>
      <w:r>
        <w:rPr>
          <w:rFonts w:cs="Times New Roman"/>
          <w:szCs w:val="24"/>
        </w:rPr>
        <w:t>, 2004)</w:t>
      </w:r>
      <w:r w:rsidR="001B56F8">
        <w:rPr>
          <w:rFonts w:cs="Times New Roman"/>
          <w:szCs w:val="24"/>
        </w:rPr>
        <w:t>.</w:t>
      </w:r>
      <w:r>
        <w:rPr>
          <w:rFonts w:cs="Times New Roman"/>
          <w:szCs w:val="24"/>
        </w:rPr>
        <w:t xml:space="preserve"> Při terapii je důležité zaměřit se na mechanismy pacienta, které v něm fungují a zjišťovat souvislosti se zážitky z minulosti. Prováděné studie ukazují, že KBT je v léčbě deprese účinnější než psychodynamické terapie. Přičemž nejvhodnější metodou psychodynamické terapie je krátká psychodynamická terapie, která zahrnuje až</w:t>
      </w:r>
      <w:r w:rsidR="008354F8">
        <w:rPr>
          <w:rFonts w:cs="Times New Roman"/>
          <w:szCs w:val="24"/>
        </w:rPr>
        <w:t xml:space="preserve"> 24 sezení terapeuta s klientem</w:t>
      </w:r>
      <w:r>
        <w:rPr>
          <w:rFonts w:cs="Times New Roman"/>
          <w:szCs w:val="24"/>
        </w:rPr>
        <w:t xml:space="preserve"> (Fonagy, Roth, Higgit, 2005)</w:t>
      </w:r>
      <w:r w:rsidR="008354F8">
        <w:rPr>
          <w:rFonts w:cs="Times New Roman"/>
          <w:szCs w:val="24"/>
        </w:rPr>
        <w:t>.</w:t>
      </w:r>
    </w:p>
    <w:p w:rsidR="009579C7" w:rsidRPr="00E6773F" w:rsidRDefault="009579C7" w:rsidP="00831489">
      <w:pPr>
        <w:ind w:firstLine="284"/>
        <w:rPr>
          <w:rFonts w:cs="Times New Roman"/>
          <w:szCs w:val="24"/>
        </w:rPr>
      </w:pPr>
      <w:r w:rsidRPr="008354F8">
        <w:rPr>
          <w:rFonts w:cs="Times New Roman"/>
          <w:b/>
          <w:szCs w:val="24"/>
        </w:rPr>
        <w:t>Gestalt</w:t>
      </w:r>
      <w:r w:rsidR="008354F8" w:rsidRPr="008354F8">
        <w:rPr>
          <w:rFonts w:cs="Times New Roman"/>
          <w:b/>
          <w:szCs w:val="24"/>
        </w:rPr>
        <w:t xml:space="preserve"> terapie</w:t>
      </w:r>
      <w:r w:rsidR="008354F8">
        <w:rPr>
          <w:rFonts w:cs="Times New Roman"/>
          <w:szCs w:val="24"/>
        </w:rPr>
        <w:t xml:space="preserve"> je zaměřena především na přítomnost a na vyjadřování a prožívání emocí (Kratochvíl, 1998). Roubal (2005) </w:t>
      </w:r>
      <w:r w:rsidR="002D5B11">
        <w:rPr>
          <w:rFonts w:cs="Times New Roman"/>
          <w:szCs w:val="24"/>
        </w:rPr>
        <w:t>udává, že gestalt terapie deprese se zabývá dynamikou vztahu a popisuje, že vše probíhá v pohybu. S tím souvisí i pojem kontaktní cyklus</w:t>
      </w:r>
      <w:r w:rsidR="002D5B11">
        <w:rPr>
          <w:rStyle w:val="Znakapoznpodarou"/>
          <w:rFonts w:cs="Times New Roman"/>
          <w:szCs w:val="24"/>
        </w:rPr>
        <w:footnoteReference w:id="14"/>
      </w:r>
      <w:r w:rsidR="001B56F8">
        <w:rPr>
          <w:rFonts w:cs="Times New Roman"/>
          <w:szCs w:val="24"/>
        </w:rPr>
        <w:t>,</w:t>
      </w:r>
      <w:r w:rsidR="002D5B11">
        <w:rPr>
          <w:rFonts w:cs="Times New Roman"/>
          <w:szCs w:val="24"/>
        </w:rPr>
        <w:t xml:space="preserve"> který je vlivem deprese porušen. Nejčastěji je deformován retroflexí. Bez psychoterap</w:t>
      </w:r>
      <w:r w:rsidR="001F2F64">
        <w:rPr>
          <w:rFonts w:cs="Times New Roman"/>
          <w:szCs w:val="24"/>
        </w:rPr>
        <w:t>ie často pacient propásne šanci</w:t>
      </w:r>
      <w:r w:rsidR="001B56F8">
        <w:rPr>
          <w:rFonts w:cs="Times New Roman"/>
          <w:szCs w:val="24"/>
        </w:rPr>
        <w:t xml:space="preserve"> nalézt nové zdroje podpory sama</w:t>
      </w:r>
      <w:r w:rsidR="002D5B11">
        <w:rPr>
          <w:rFonts w:cs="Times New Roman"/>
          <w:szCs w:val="24"/>
        </w:rPr>
        <w:t xml:space="preserve"> sebe. Deprese by měla být zprávou: „</w:t>
      </w:r>
      <w:r w:rsidR="002D5B11" w:rsidRPr="00B37DCA">
        <w:rPr>
          <w:rFonts w:cs="Times New Roman"/>
          <w:i/>
          <w:szCs w:val="24"/>
        </w:rPr>
        <w:t>Zkus to i jinak</w:t>
      </w:r>
      <w:r w:rsidR="002D5B11">
        <w:rPr>
          <w:rFonts w:cs="Times New Roman"/>
          <w:szCs w:val="24"/>
        </w:rPr>
        <w:t>“. A psychoterapie napomáhá tuto zprávu slyšet (Roubal, 2005).</w:t>
      </w:r>
    </w:p>
    <w:p w:rsidR="00B31725" w:rsidRDefault="00B31725" w:rsidP="00F45B80">
      <w:pPr>
        <w:rPr>
          <w:rFonts w:cs="Times New Roman"/>
          <w:szCs w:val="24"/>
        </w:rPr>
      </w:pPr>
    </w:p>
    <w:p w:rsidR="00890D8F" w:rsidRPr="00890D8F" w:rsidRDefault="008727CC" w:rsidP="00F45B80">
      <w:pPr>
        <w:pStyle w:val="Nadpis3"/>
      </w:pPr>
      <w:bookmarkStart w:id="43" w:name="_Toc353433184"/>
      <w:r>
        <w:t>1</w:t>
      </w:r>
      <w:r w:rsidR="00890D8F">
        <w:t xml:space="preserve">.8 </w:t>
      </w:r>
      <w:r w:rsidR="007B5EE8">
        <w:t>Deprese a ambulantní psychiatrická léčba</w:t>
      </w:r>
      <w:bookmarkEnd w:id="43"/>
    </w:p>
    <w:p w:rsidR="00890D8F" w:rsidRDefault="00890D8F" w:rsidP="00890D8F">
      <w:pPr>
        <w:ind w:firstLine="284"/>
      </w:pPr>
      <w:r>
        <w:t xml:space="preserve">Počet pacientů, kteří navštíví psychiatra, neustále stoupá. V České republice je ročně nově diagnostikováno kolem pěti tisíc depresivních pacientů. Z toho je asi tisíc pacientů hospitalizováno a ostatní </w:t>
      </w:r>
      <w:r w:rsidR="00803F22">
        <w:t>pacienti jsou léčeni ambulantně</w:t>
      </w:r>
      <w:r>
        <w:t xml:space="preserve"> (Kardošová, 2010)</w:t>
      </w:r>
      <w:r w:rsidR="00803F22">
        <w:t>.</w:t>
      </w:r>
      <w:r>
        <w:t xml:space="preserve"> S tímto faktem také souvisí nárůst psychiatrických ambulancí. V roce 2010 bylo v ČR evidováno 981 psychiatrických ambulancí, přičemž nejčastěji zastoupenou diagnózou v ambulanci psychiatra byly neurotické poruchy</w:t>
      </w:r>
      <w:r>
        <w:rPr>
          <w:rStyle w:val="Znakapoznpodarou"/>
        </w:rPr>
        <w:footnoteReference w:id="15"/>
      </w:r>
      <w:r>
        <w:t xml:space="preserve"> (38 %).  Hned na druhém místě to byly poruchy afektivní</w:t>
      </w:r>
      <w:r>
        <w:rPr>
          <w:rStyle w:val="Znakapoznpodarou"/>
        </w:rPr>
        <w:footnoteReference w:id="16"/>
      </w:r>
      <w:r w:rsidR="00803F22">
        <w:t xml:space="preserve"> (19,1 %);</w:t>
      </w:r>
      <w:r>
        <w:t xml:space="preserve"> </w:t>
      </w:r>
      <w:r w:rsidRPr="0063608C">
        <w:t>(</w:t>
      </w:r>
      <w:r>
        <w:t>ÚZIS</w:t>
      </w:r>
      <w:r w:rsidR="009E72C1">
        <w:rPr>
          <w:rStyle w:val="Znakapoznpodarou"/>
        </w:rPr>
        <w:footnoteReference w:id="17"/>
      </w:r>
      <w:r>
        <w:t>, 2011</w:t>
      </w:r>
      <w:r w:rsidRPr="0063608C">
        <w:t>)</w:t>
      </w:r>
      <w:r w:rsidR="00803F22">
        <w:t>.</w:t>
      </w:r>
      <w:r>
        <w:t xml:space="preserve"> Ambulantních pacientů s  afektivními poruchami </w:t>
      </w:r>
      <w:r w:rsidR="001F2F64">
        <w:lastRenderedPageBreak/>
        <w:t>v závislosti na pohlaví</w:t>
      </w:r>
      <w:r>
        <w:t xml:space="preserve"> je evi</w:t>
      </w:r>
      <w:r w:rsidR="00803F22">
        <w:t>dováno 32 213 mužů a 70 458 žen</w:t>
      </w:r>
      <w:r>
        <w:t xml:space="preserve"> (Nechanská, 2012)</w:t>
      </w:r>
      <w:r w:rsidR="00803F22">
        <w:t>.</w:t>
      </w:r>
      <w:r>
        <w:t xml:space="preserve"> Statistiky také uvádějí, že zhruba 50 % pacientů </w:t>
      </w:r>
      <w:r w:rsidR="00803F22">
        <w:t>s depresí se nedostaví k lékaři</w:t>
      </w:r>
      <w:r>
        <w:t xml:space="preserve"> (Kardošová, 2010)</w:t>
      </w:r>
      <w:r w:rsidR="00803F22">
        <w:t>.</w:t>
      </w:r>
      <w:r>
        <w:t xml:space="preserve"> </w:t>
      </w:r>
    </w:p>
    <w:p w:rsidR="00890D8F" w:rsidRDefault="00890D8F" w:rsidP="00890D8F">
      <w:pPr>
        <w:ind w:firstLine="284"/>
      </w:pPr>
      <w:r>
        <w:t>Pacienti vyhledávají psychiatrickou pomoc z důvodu přetrvávajících klinických potíží. Lékař na základě diagnostických postupů určí, zda se jedná o depresi, a doporučí léčebný postup. Deprese je dnes poměrně dobře léčitelná antidepresivy, po nichž dochází ke zlepšení psychickéh</w:t>
      </w:r>
      <w:r w:rsidR="00803F22">
        <w:t>o stavu u 2/3 léčených pacientů</w:t>
      </w:r>
      <w:r>
        <w:t xml:space="preserve"> (Švestka, 2000)</w:t>
      </w:r>
      <w:r w:rsidR="00803F22">
        <w:t>.</w:t>
      </w:r>
      <w:r>
        <w:t xml:space="preserve"> V ambulanci psychiatra je velmi důležité zjistit intenzitu deprese a dle toho indikovat léčbu. U lehčích depresí je doporučována psychoterapie a u těžších forem léčba biologická. Nesmírně důležitý faktor pro léčbu deprese je vztah pacient-lékař, protože užívá</w:t>
      </w:r>
      <w:r w:rsidR="00803F22">
        <w:t>ní antidepresiv bývá dlouhodobé</w:t>
      </w:r>
      <w:r>
        <w:t xml:space="preserve"> (Žourková, 2008)</w:t>
      </w:r>
      <w:r w:rsidR="00803F22">
        <w:t>.</w:t>
      </w:r>
      <w:r>
        <w:t xml:space="preserve"> </w:t>
      </w:r>
    </w:p>
    <w:p w:rsidR="00E910EE" w:rsidRDefault="00890D8F" w:rsidP="004B775B">
      <w:pPr>
        <w:ind w:firstLine="284"/>
      </w:pPr>
      <w:r>
        <w:t>Velkým úskalím v ambulantní léčbě deprese je předčasné vysazení antidepresiv. Vliv na správné užívání má, jak už bylo uvedeno, vztah lékaře a pacienta a samozřejmě také typ medikace, kterou pacient užívá. Aby bylo dosaženo v terapii co nejlepších výsledků, je nutné, aby byly v </w:t>
      </w:r>
      <w:r w:rsidR="00803F22">
        <w:t xml:space="preserve">rovnováze všechny tyto aspekty </w:t>
      </w:r>
      <w:r>
        <w:t>(Kosová, 2004)</w:t>
      </w:r>
      <w:r w:rsidR="00803F22">
        <w:t>.</w:t>
      </w:r>
      <w:r>
        <w:t xml:space="preserve"> Předčasné vysazení antidepresiv u pacientů ovlivňuje přítomnost nežádoucích účinků</w:t>
      </w:r>
      <w:r w:rsidR="00EF2DD6">
        <w:t>,</w:t>
      </w:r>
      <w:r>
        <w:t xml:space="preserve"> a také výrazné zlepšení psychického stavu. Toto svévolné vysazení medikace </w:t>
      </w:r>
      <w:r w:rsidR="00803F22">
        <w:t>vede k</w:t>
      </w:r>
      <w:r w:rsidR="00B37DCA">
        <w:t>e</w:t>
      </w:r>
      <w:r w:rsidR="00803F22">
        <w:t> zvýšenému riziku relapsů</w:t>
      </w:r>
      <w:r>
        <w:t xml:space="preserve"> (Rahn, </w:t>
      </w:r>
      <w:r w:rsidR="00803F22">
        <w:t xml:space="preserve">Mahnkopf </w:t>
      </w:r>
      <w:r>
        <w:t>2000)</w:t>
      </w:r>
      <w:r w:rsidR="00803F22">
        <w:t>.</w:t>
      </w:r>
    </w:p>
    <w:p w:rsidR="007B5EE8" w:rsidRDefault="007B5EE8" w:rsidP="004B775B">
      <w:pPr>
        <w:ind w:firstLine="284"/>
      </w:pPr>
    </w:p>
    <w:p w:rsidR="007B5EE8" w:rsidRDefault="007B5EE8" w:rsidP="004B775B">
      <w:pPr>
        <w:ind w:firstLine="284"/>
      </w:pPr>
    </w:p>
    <w:p w:rsidR="007B5EE8" w:rsidRDefault="007B5EE8" w:rsidP="004B775B">
      <w:pPr>
        <w:ind w:firstLine="284"/>
      </w:pPr>
    </w:p>
    <w:p w:rsidR="007B5EE8" w:rsidRDefault="007B5EE8" w:rsidP="004B775B">
      <w:pPr>
        <w:ind w:firstLine="284"/>
      </w:pPr>
    </w:p>
    <w:p w:rsidR="007B5EE8" w:rsidRDefault="007B5EE8" w:rsidP="004B775B">
      <w:pPr>
        <w:ind w:firstLine="284"/>
      </w:pPr>
    </w:p>
    <w:p w:rsidR="007B5EE8" w:rsidRDefault="007B5EE8" w:rsidP="004B775B">
      <w:pPr>
        <w:ind w:firstLine="284"/>
      </w:pPr>
    </w:p>
    <w:p w:rsidR="007B5EE8" w:rsidRDefault="007B5EE8" w:rsidP="004B775B">
      <w:pPr>
        <w:ind w:firstLine="284"/>
      </w:pPr>
    </w:p>
    <w:p w:rsidR="001F2F64" w:rsidRDefault="001F2F64" w:rsidP="004B775B">
      <w:pPr>
        <w:ind w:firstLine="284"/>
      </w:pPr>
    </w:p>
    <w:p w:rsidR="001F2F64" w:rsidRDefault="001F2F64" w:rsidP="004B775B">
      <w:pPr>
        <w:ind w:firstLine="284"/>
      </w:pPr>
    </w:p>
    <w:p w:rsidR="001F2F64" w:rsidRDefault="001F2F64" w:rsidP="004B775B">
      <w:pPr>
        <w:ind w:firstLine="284"/>
      </w:pPr>
    </w:p>
    <w:p w:rsidR="001F2F64" w:rsidRDefault="001F2F64" w:rsidP="004B775B">
      <w:pPr>
        <w:ind w:firstLine="284"/>
      </w:pPr>
    </w:p>
    <w:p w:rsidR="001F2F64" w:rsidRDefault="001F2F64" w:rsidP="004B775B">
      <w:pPr>
        <w:ind w:firstLine="284"/>
      </w:pPr>
    </w:p>
    <w:p w:rsidR="00771F5B" w:rsidRPr="00A12EED" w:rsidRDefault="008727CC" w:rsidP="000765F4">
      <w:pPr>
        <w:pStyle w:val="Nadpis6"/>
        <w:numPr>
          <w:ilvl w:val="0"/>
          <w:numId w:val="0"/>
        </w:numPr>
      </w:pPr>
      <w:bookmarkStart w:id="44" w:name="_Toc343360453"/>
      <w:bookmarkStart w:id="45" w:name="_Toc343360487"/>
      <w:bookmarkStart w:id="46" w:name="_Toc343360709"/>
      <w:bookmarkStart w:id="47" w:name="_Toc343360822"/>
      <w:bookmarkStart w:id="48" w:name="_Toc353433185"/>
      <w:r>
        <w:lastRenderedPageBreak/>
        <w:t>2</w:t>
      </w:r>
      <w:r w:rsidR="00771F5B" w:rsidRPr="00A12EED">
        <w:t xml:space="preserve"> </w:t>
      </w:r>
      <w:r w:rsidR="00AB607E" w:rsidRPr="00A12EED">
        <w:t>Antidepresiva</w:t>
      </w:r>
      <w:bookmarkEnd w:id="44"/>
      <w:bookmarkEnd w:id="45"/>
      <w:bookmarkEnd w:id="46"/>
      <w:bookmarkEnd w:id="47"/>
      <w:bookmarkEnd w:id="48"/>
      <w:r w:rsidR="00AB1A72" w:rsidRPr="00A12EED">
        <w:t xml:space="preserve"> </w:t>
      </w:r>
    </w:p>
    <w:p w:rsidR="00B31725" w:rsidRDefault="00B31725" w:rsidP="00B31725">
      <w:pPr>
        <w:ind w:firstLine="284"/>
        <w:rPr>
          <w:rFonts w:cs="Times New Roman"/>
          <w:szCs w:val="24"/>
        </w:rPr>
      </w:pPr>
      <w:r>
        <w:rPr>
          <w:rFonts w:cs="Times New Roman"/>
          <w:szCs w:val="24"/>
        </w:rPr>
        <w:t>Antidepresiva jsou léky, které primárně odstraňují patologicky pokleslou ná</w:t>
      </w:r>
      <w:r w:rsidR="00803F22">
        <w:rPr>
          <w:rFonts w:cs="Times New Roman"/>
          <w:szCs w:val="24"/>
        </w:rPr>
        <w:t>ladu a úzkostné potíže</w:t>
      </w:r>
      <w:r>
        <w:rPr>
          <w:rFonts w:cs="Times New Roman"/>
          <w:szCs w:val="24"/>
        </w:rPr>
        <w:t xml:space="preserve"> (Praško,</w:t>
      </w:r>
      <w:r w:rsidR="00771F5B">
        <w:rPr>
          <w:rFonts w:cs="Times New Roman"/>
          <w:szCs w:val="24"/>
        </w:rPr>
        <w:t xml:space="preserve"> </w:t>
      </w:r>
      <w:r>
        <w:rPr>
          <w:rFonts w:cs="Times New Roman"/>
          <w:szCs w:val="24"/>
        </w:rPr>
        <w:t>2</w:t>
      </w:r>
      <w:r w:rsidR="00771F5B">
        <w:rPr>
          <w:rFonts w:cs="Times New Roman"/>
          <w:szCs w:val="24"/>
        </w:rPr>
        <w:t>011</w:t>
      </w:r>
      <w:r>
        <w:rPr>
          <w:rFonts w:cs="Times New Roman"/>
          <w:szCs w:val="24"/>
        </w:rPr>
        <w:t>). Mohou se ovšem využívat i u řady jiných nemocí, jako je například kompulzivně-obsedantní porucha, panické poruchy, poruchy přijmu pot</w:t>
      </w:r>
      <w:r w:rsidR="00803F22">
        <w:rPr>
          <w:rFonts w:cs="Times New Roman"/>
          <w:szCs w:val="24"/>
        </w:rPr>
        <w:t>ravy, abstinenční syndrom, apod.</w:t>
      </w:r>
      <w:r>
        <w:rPr>
          <w:rFonts w:cs="Times New Roman"/>
          <w:szCs w:val="24"/>
        </w:rPr>
        <w:t xml:space="preserve"> (</w:t>
      </w:r>
      <w:r w:rsidR="00771F5B">
        <w:rPr>
          <w:rFonts w:cs="Times New Roman"/>
          <w:szCs w:val="24"/>
        </w:rPr>
        <w:t xml:space="preserve">Fišar a kol., 2009). </w:t>
      </w:r>
      <w:r w:rsidR="00C34093">
        <w:rPr>
          <w:rFonts w:cs="Times New Roman"/>
          <w:szCs w:val="24"/>
        </w:rPr>
        <w:t>Dle SÚKL</w:t>
      </w:r>
      <w:r w:rsidR="00AA0567">
        <w:rPr>
          <w:rStyle w:val="Znakapoznpodarou"/>
          <w:rFonts w:cs="Times New Roman"/>
          <w:szCs w:val="24"/>
        </w:rPr>
        <w:footnoteReference w:id="18"/>
      </w:r>
      <w:r w:rsidR="00C34093">
        <w:rPr>
          <w:rFonts w:cs="Times New Roman"/>
          <w:szCs w:val="24"/>
        </w:rPr>
        <w:t xml:space="preserve"> jejich spotřeba výrazně roste. Ve srovnání s rokem 1998 a 2007 došlo k nárůstu dodávek antid</w:t>
      </w:r>
      <w:r w:rsidR="00803F22">
        <w:rPr>
          <w:rFonts w:cs="Times New Roman"/>
          <w:szCs w:val="24"/>
        </w:rPr>
        <w:t xml:space="preserve">epresiv v počtu balení o 140 % </w:t>
      </w:r>
      <w:r w:rsidR="00C34093">
        <w:rPr>
          <w:rFonts w:cs="Times New Roman"/>
          <w:szCs w:val="24"/>
        </w:rPr>
        <w:t>(SÚKL, 2008)</w:t>
      </w:r>
      <w:r w:rsidR="00803F22">
        <w:rPr>
          <w:rFonts w:cs="Times New Roman"/>
          <w:szCs w:val="24"/>
        </w:rPr>
        <w:t>.</w:t>
      </w:r>
    </w:p>
    <w:p w:rsidR="00B31725" w:rsidRDefault="00B31725" w:rsidP="00B31725">
      <w:pPr>
        <w:rPr>
          <w:rFonts w:cs="Times New Roman"/>
          <w:szCs w:val="24"/>
        </w:rPr>
      </w:pPr>
      <w:r>
        <w:rPr>
          <w:rFonts w:cs="Times New Roman"/>
          <w:szCs w:val="24"/>
        </w:rPr>
        <w:t xml:space="preserve">   Úspěšná léčba deprese musí být postavena na </w:t>
      </w:r>
      <w:r w:rsidR="00C34093">
        <w:rPr>
          <w:rFonts w:cs="Times New Roman"/>
          <w:szCs w:val="24"/>
        </w:rPr>
        <w:t xml:space="preserve">dobrém </w:t>
      </w:r>
      <w:r>
        <w:rPr>
          <w:rFonts w:cs="Times New Roman"/>
          <w:szCs w:val="24"/>
        </w:rPr>
        <w:t>vý</w:t>
      </w:r>
      <w:r w:rsidR="00E15F91">
        <w:rPr>
          <w:rFonts w:cs="Times New Roman"/>
          <w:szCs w:val="24"/>
        </w:rPr>
        <w:t>běru antidepresiva. Volba musí být učiněna</w:t>
      </w:r>
      <w:r>
        <w:rPr>
          <w:rFonts w:cs="Times New Roman"/>
          <w:szCs w:val="24"/>
        </w:rPr>
        <w:t xml:space="preserve"> dle několika důležitých parametrů. V souvislosti s antidepresivy musí lékař znát účinnost, snášenliv</w:t>
      </w:r>
      <w:r w:rsidR="007C7A35">
        <w:rPr>
          <w:rFonts w:cs="Times New Roman"/>
          <w:szCs w:val="24"/>
        </w:rPr>
        <w:t>ost a především bezpečnost léku</w:t>
      </w:r>
      <w:r w:rsidR="002F50C7">
        <w:rPr>
          <w:rFonts w:cs="Times New Roman"/>
          <w:szCs w:val="24"/>
        </w:rPr>
        <w:t xml:space="preserve"> (Příloha č. 3</w:t>
      </w:r>
      <w:r w:rsidR="00380A34">
        <w:rPr>
          <w:rFonts w:cs="Times New Roman"/>
          <w:szCs w:val="24"/>
        </w:rPr>
        <w:t>)</w:t>
      </w:r>
      <w:r w:rsidR="007C7A35">
        <w:rPr>
          <w:rFonts w:cs="Times New Roman"/>
          <w:szCs w:val="24"/>
        </w:rPr>
        <w:t>.</w:t>
      </w:r>
      <w:r>
        <w:rPr>
          <w:rFonts w:cs="Times New Roman"/>
          <w:szCs w:val="24"/>
        </w:rPr>
        <w:t xml:space="preserve"> Z hlediska pacienta přihlíží na jeho věk, pohlaví, typ deprese, somatickou komorbiditu, stav enzymového systému odpovídajícího za metabolismus léč</w:t>
      </w:r>
      <w:r w:rsidR="00803F22">
        <w:rPr>
          <w:rFonts w:cs="Times New Roman"/>
          <w:szCs w:val="24"/>
        </w:rPr>
        <w:t>iv</w:t>
      </w:r>
      <w:r w:rsidR="00943B2A">
        <w:rPr>
          <w:rFonts w:cs="Times New Roman"/>
          <w:szCs w:val="24"/>
        </w:rPr>
        <w:t xml:space="preserve"> </w:t>
      </w:r>
      <w:r w:rsidR="00A72637">
        <w:rPr>
          <w:rFonts w:cs="Times New Roman"/>
          <w:szCs w:val="24"/>
        </w:rPr>
        <w:t>(Fišar a kol., 2009)</w:t>
      </w:r>
      <w:r w:rsidR="00803F22">
        <w:rPr>
          <w:rFonts w:cs="Times New Roman"/>
          <w:szCs w:val="24"/>
        </w:rPr>
        <w:t>.</w:t>
      </w:r>
      <w:r w:rsidR="00A72637">
        <w:rPr>
          <w:rFonts w:cs="Times New Roman"/>
          <w:szCs w:val="24"/>
        </w:rPr>
        <w:t xml:space="preserve"> Martínková (2007) uvádí</w:t>
      </w:r>
      <w:r w:rsidR="007C7A35">
        <w:rPr>
          <w:rFonts w:cs="Times New Roman"/>
          <w:szCs w:val="24"/>
        </w:rPr>
        <w:t>, že adekvátně léčena</w:t>
      </w:r>
      <w:r>
        <w:rPr>
          <w:rFonts w:cs="Times New Roman"/>
          <w:szCs w:val="24"/>
        </w:rPr>
        <w:t xml:space="preserve"> je p</w:t>
      </w:r>
      <w:r w:rsidR="00A72637">
        <w:rPr>
          <w:rFonts w:cs="Times New Roman"/>
          <w:szCs w:val="24"/>
        </w:rPr>
        <w:t>ouze 1/3 nemocných s depresí. Kumar a Clark (2002) zastávají stanovisko, že pokud je předepsána</w:t>
      </w:r>
      <w:r w:rsidR="002F50C7">
        <w:rPr>
          <w:rFonts w:cs="Times New Roman"/>
          <w:szCs w:val="24"/>
        </w:rPr>
        <w:t xml:space="preserve"> odpovídající léčba, je u                60-70 </w:t>
      </w:r>
      <w:r w:rsidR="00E15F91">
        <w:rPr>
          <w:rFonts w:cs="Times New Roman"/>
          <w:szCs w:val="24"/>
        </w:rPr>
        <w:t>% pacientů úspěšná a dochází</w:t>
      </w:r>
      <w:r w:rsidR="00A72637">
        <w:rPr>
          <w:rFonts w:cs="Times New Roman"/>
          <w:szCs w:val="24"/>
        </w:rPr>
        <w:t xml:space="preserve"> k ústupu deprese. </w:t>
      </w:r>
    </w:p>
    <w:p w:rsidR="00E42363" w:rsidRDefault="00E42363" w:rsidP="00A72637">
      <w:pPr>
        <w:ind w:firstLine="284"/>
        <w:rPr>
          <w:rFonts w:cs="Times New Roman"/>
          <w:szCs w:val="24"/>
        </w:rPr>
      </w:pPr>
      <w:r>
        <w:rPr>
          <w:rFonts w:cs="Times New Roman"/>
          <w:szCs w:val="24"/>
        </w:rPr>
        <w:t>Působení a</w:t>
      </w:r>
      <w:r w:rsidR="00A72637">
        <w:rPr>
          <w:rFonts w:cs="Times New Roman"/>
          <w:szCs w:val="24"/>
        </w:rPr>
        <w:t>ntidepresiv je sympatomimetické</w:t>
      </w:r>
      <w:r w:rsidR="00AA0567">
        <w:rPr>
          <w:rStyle w:val="Znakapoznpodarou"/>
          <w:rFonts w:cs="Times New Roman"/>
          <w:szCs w:val="24"/>
        </w:rPr>
        <w:footnoteReference w:id="19"/>
      </w:r>
      <w:r w:rsidR="00A72637">
        <w:rPr>
          <w:rFonts w:cs="Times New Roman"/>
          <w:szCs w:val="24"/>
        </w:rPr>
        <w:t xml:space="preserve"> a</w:t>
      </w:r>
      <w:r>
        <w:rPr>
          <w:rFonts w:cs="Times New Roman"/>
          <w:szCs w:val="24"/>
        </w:rPr>
        <w:t xml:space="preserve"> účinky nastupují s několikatýdenní latencí. Účinky dostupných antidepresiv lze vysvětlit zlepšením </w:t>
      </w:r>
      <w:r w:rsidR="00027E78">
        <w:rPr>
          <w:rFonts w:cs="Times New Roman"/>
          <w:szCs w:val="24"/>
        </w:rPr>
        <w:t>neurotransmise</w:t>
      </w:r>
      <w:r w:rsidR="00EA3BD2">
        <w:rPr>
          <w:rStyle w:val="Znakapoznpodarou"/>
          <w:rFonts w:cs="Times New Roman"/>
          <w:szCs w:val="24"/>
        </w:rPr>
        <w:footnoteReference w:id="20"/>
      </w:r>
      <w:r w:rsidR="00027E78">
        <w:rPr>
          <w:rFonts w:cs="Times New Roman"/>
          <w:szCs w:val="24"/>
        </w:rPr>
        <w:t xml:space="preserve"> monoaminů </w:t>
      </w:r>
      <w:r>
        <w:rPr>
          <w:rFonts w:cs="Times New Roman"/>
          <w:szCs w:val="24"/>
        </w:rPr>
        <w:t>(noradrenalin, ser</w:t>
      </w:r>
      <w:r w:rsidR="00803F22">
        <w:rPr>
          <w:rFonts w:cs="Times New Roman"/>
          <w:szCs w:val="24"/>
        </w:rPr>
        <w:t>otonin, a menší míře i dopamin);</w:t>
      </w:r>
      <w:r w:rsidR="00A72637">
        <w:rPr>
          <w:rFonts w:cs="Times New Roman"/>
          <w:szCs w:val="24"/>
        </w:rPr>
        <w:t xml:space="preserve"> (Hynie, 2000)</w:t>
      </w:r>
      <w:r w:rsidR="00803F22">
        <w:rPr>
          <w:rFonts w:cs="Times New Roman"/>
          <w:szCs w:val="24"/>
        </w:rPr>
        <w:t>.</w:t>
      </w:r>
    </w:p>
    <w:p w:rsidR="00A72637" w:rsidRDefault="00F26CB3" w:rsidP="00A72637">
      <w:pPr>
        <w:ind w:firstLine="284"/>
        <w:rPr>
          <w:rFonts w:cs="Times New Roman"/>
          <w:szCs w:val="24"/>
        </w:rPr>
      </w:pPr>
      <w:r>
        <w:rPr>
          <w:rFonts w:cs="Times New Roman"/>
          <w:szCs w:val="24"/>
        </w:rPr>
        <w:t xml:space="preserve">K dispozici je více než čtyřicet antidepresiv, které lze </w:t>
      </w:r>
      <w:r w:rsidR="00B074F8">
        <w:rPr>
          <w:rFonts w:cs="Times New Roman"/>
          <w:szCs w:val="24"/>
        </w:rPr>
        <w:t>rozdělit do jednotlivých skupin</w:t>
      </w:r>
      <w:r w:rsidR="00430704">
        <w:rPr>
          <w:rFonts w:cs="Times New Roman"/>
          <w:szCs w:val="24"/>
        </w:rPr>
        <w:t xml:space="preserve"> (Fišar a kol., 2009)</w:t>
      </w:r>
      <w:r w:rsidR="007C7A35">
        <w:rPr>
          <w:rFonts w:cs="Times New Roman"/>
          <w:szCs w:val="24"/>
        </w:rPr>
        <w:t>;</w:t>
      </w:r>
      <w:r w:rsidR="009B1277">
        <w:rPr>
          <w:rFonts w:cs="Times New Roman"/>
          <w:szCs w:val="24"/>
        </w:rPr>
        <w:t xml:space="preserve"> (Příloha č.4)</w:t>
      </w:r>
      <w:r w:rsidR="007C7A35">
        <w:rPr>
          <w:rFonts w:cs="Times New Roman"/>
          <w:szCs w:val="24"/>
        </w:rPr>
        <w:t>.</w:t>
      </w:r>
      <w:r w:rsidR="009B1277">
        <w:rPr>
          <w:rFonts w:cs="Times New Roman"/>
          <w:szCs w:val="24"/>
        </w:rPr>
        <w:t xml:space="preserve"> </w:t>
      </w:r>
      <w:r w:rsidR="00430704">
        <w:rPr>
          <w:rFonts w:cs="Times New Roman"/>
          <w:szCs w:val="24"/>
        </w:rPr>
        <w:t xml:space="preserve"> Bouček a Pidrman (2005) uvádějí dělení antidepresiv dle rozličných hledisek:</w:t>
      </w:r>
    </w:p>
    <w:p w:rsidR="00430704" w:rsidRDefault="00EF2DD6" w:rsidP="00430704">
      <w:pPr>
        <w:pStyle w:val="Odstavecseseznamem"/>
        <w:numPr>
          <w:ilvl w:val="0"/>
          <w:numId w:val="9"/>
        </w:numPr>
        <w:rPr>
          <w:rFonts w:cs="Times New Roman"/>
          <w:szCs w:val="24"/>
        </w:rPr>
      </w:pPr>
      <w:r>
        <w:rPr>
          <w:rFonts w:cs="Times New Roman"/>
          <w:szCs w:val="24"/>
        </w:rPr>
        <w:t>p</w:t>
      </w:r>
      <w:r w:rsidR="00430704">
        <w:rPr>
          <w:rFonts w:cs="Times New Roman"/>
          <w:szCs w:val="24"/>
        </w:rPr>
        <w:t>odle chemického složení,</w:t>
      </w:r>
    </w:p>
    <w:p w:rsidR="00430704" w:rsidRDefault="00430704" w:rsidP="00430704">
      <w:pPr>
        <w:pStyle w:val="Odstavecseseznamem"/>
        <w:numPr>
          <w:ilvl w:val="0"/>
          <w:numId w:val="9"/>
        </w:numPr>
        <w:rPr>
          <w:rFonts w:cs="Times New Roman"/>
          <w:szCs w:val="24"/>
        </w:rPr>
      </w:pPr>
      <w:r>
        <w:rPr>
          <w:rFonts w:cs="Times New Roman"/>
          <w:szCs w:val="24"/>
        </w:rPr>
        <w:t>podle farmakologického profilu,</w:t>
      </w:r>
    </w:p>
    <w:p w:rsidR="00430704" w:rsidRDefault="00430704" w:rsidP="00430704">
      <w:pPr>
        <w:pStyle w:val="Odstavecseseznamem"/>
        <w:numPr>
          <w:ilvl w:val="0"/>
          <w:numId w:val="9"/>
        </w:numPr>
        <w:rPr>
          <w:rFonts w:cs="Times New Roman"/>
          <w:szCs w:val="24"/>
        </w:rPr>
      </w:pPr>
      <w:r>
        <w:rPr>
          <w:rFonts w:cs="Times New Roman"/>
          <w:szCs w:val="24"/>
        </w:rPr>
        <w:t>podle ovlivnění neurotransmiterů a receptorů v CNS</w:t>
      </w:r>
      <w:r w:rsidR="00EA3BD2">
        <w:rPr>
          <w:rStyle w:val="Znakapoznpodarou"/>
          <w:rFonts w:cs="Times New Roman"/>
          <w:szCs w:val="24"/>
        </w:rPr>
        <w:footnoteReference w:id="21"/>
      </w:r>
      <w:r>
        <w:rPr>
          <w:rFonts w:cs="Times New Roman"/>
          <w:szCs w:val="24"/>
        </w:rPr>
        <w:t>,</w:t>
      </w:r>
    </w:p>
    <w:p w:rsidR="00430704" w:rsidRDefault="00430704" w:rsidP="00430704">
      <w:pPr>
        <w:pStyle w:val="Odstavecseseznamem"/>
        <w:numPr>
          <w:ilvl w:val="0"/>
          <w:numId w:val="9"/>
        </w:numPr>
        <w:rPr>
          <w:rFonts w:cs="Times New Roman"/>
          <w:szCs w:val="24"/>
        </w:rPr>
      </w:pPr>
      <w:r>
        <w:rPr>
          <w:rFonts w:cs="Times New Roman"/>
          <w:szCs w:val="24"/>
        </w:rPr>
        <w:t>podle klinického působení.</w:t>
      </w:r>
    </w:p>
    <w:p w:rsidR="003A0C89" w:rsidRDefault="003A0C89" w:rsidP="00C34093">
      <w:pPr>
        <w:rPr>
          <w:rFonts w:cs="Times New Roman"/>
          <w:szCs w:val="24"/>
        </w:rPr>
      </w:pPr>
    </w:p>
    <w:p w:rsidR="00C71C52" w:rsidRDefault="003A0C89" w:rsidP="007C7A35">
      <w:pPr>
        <w:ind w:firstLine="284"/>
        <w:rPr>
          <w:rFonts w:cs="Times New Roman"/>
          <w:szCs w:val="24"/>
        </w:rPr>
      </w:pPr>
      <w:r>
        <w:rPr>
          <w:rFonts w:cs="Times New Roman"/>
          <w:szCs w:val="24"/>
        </w:rPr>
        <w:t>Antidepresivům je věnována pozornost zejména z důvodu nárůstu pacientů s depresí. Tato kapitola popisuje jednotlivé typy antidepresiv</w:t>
      </w:r>
      <w:r w:rsidR="00C670A2">
        <w:rPr>
          <w:rFonts w:cs="Times New Roman"/>
          <w:szCs w:val="24"/>
        </w:rPr>
        <w:t xml:space="preserve">. Charakterizuje jejich vlastnosti </w:t>
      </w:r>
      <w:r w:rsidR="00C670A2">
        <w:rPr>
          <w:rFonts w:cs="Times New Roman"/>
          <w:szCs w:val="24"/>
        </w:rPr>
        <w:lastRenderedPageBreak/>
        <w:t xml:space="preserve">z hlediska indikace, nežádoucích účinků a kontraindikací v léčbě a na základě těchto poznatků objasňuje možné využití v ambulantní praxi. </w:t>
      </w:r>
    </w:p>
    <w:p w:rsidR="007E19D1" w:rsidRDefault="007E19D1" w:rsidP="007E19D1">
      <w:pPr>
        <w:rPr>
          <w:rFonts w:cs="Times New Roman"/>
          <w:szCs w:val="24"/>
        </w:rPr>
      </w:pPr>
    </w:p>
    <w:p w:rsidR="00AB607E" w:rsidRDefault="00AB607E" w:rsidP="00EA3BD2">
      <w:pPr>
        <w:spacing w:line="240" w:lineRule="auto"/>
        <w:rPr>
          <w:rFonts w:cs="Times New Roman"/>
          <w:szCs w:val="24"/>
        </w:rPr>
      </w:pPr>
    </w:p>
    <w:p w:rsidR="007E19D1" w:rsidRPr="00AB607E" w:rsidRDefault="008727CC" w:rsidP="00137BC4">
      <w:pPr>
        <w:pStyle w:val="Nadpis3"/>
      </w:pPr>
      <w:bookmarkStart w:id="49" w:name="_Toc343360823"/>
      <w:bookmarkStart w:id="50" w:name="_Toc343782748"/>
      <w:bookmarkStart w:id="51" w:name="_Toc353433186"/>
      <w:r>
        <w:t>2</w:t>
      </w:r>
      <w:r w:rsidR="00137BC4">
        <w:t>.</w:t>
      </w:r>
      <w:r w:rsidR="00AB607E" w:rsidRPr="00AB607E">
        <w:t xml:space="preserve">1 </w:t>
      </w:r>
      <w:r w:rsidR="00840FAF" w:rsidRPr="00AB607E">
        <w:t>Antidepresiva I. generace</w:t>
      </w:r>
      <w:bookmarkEnd w:id="49"/>
      <w:bookmarkEnd w:id="50"/>
      <w:bookmarkEnd w:id="51"/>
    </w:p>
    <w:p w:rsidR="007A2BA1" w:rsidRDefault="007A2BA1" w:rsidP="005A0C4D">
      <w:pPr>
        <w:ind w:firstLine="284"/>
      </w:pPr>
      <w:r>
        <w:t>První generaci antidepresiv představují tricyklická a tetracyklická antidepresiva. Jsou to historicky nejstarší antidepresiva a jejich mechanismus účinku spočívá v inhibici zpětného vychytá</w:t>
      </w:r>
      <w:r w:rsidR="001A2DCC">
        <w:t>vání noradrenalinu a serotoninu</w:t>
      </w:r>
      <w:r>
        <w:t xml:space="preserve"> (B</w:t>
      </w:r>
      <w:r w:rsidR="00A9187D">
        <w:t>ouček, Pidrman, 2005)</w:t>
      </w:r>
      <w:r w:rsidR="009B1277">
        <w:t>; (Příloha č. 5</w:t>
      </w:r>
      <w:r w:rsidR="001A2DCC">
        <w:t>).</w:t>
      </w:r>
      <w:r w:rsidR="00A9187D">
        <w:t xml:space="preserve"> Vývo</w:t>
      </w:r>
      <w:r w:rsidR="00EF2DD6">
        <w:t>j antidepresiv se velmi posunul</w:t>
      </w:r>
      <w:r w:rsidR="00A9187D">
        <w:t xml:space="preserve"> a je nesporné, že v dnešní době dochází k jejich masivnějšímu podávání</w:t>
      </w:r>
      <w:r w:rsidR="001A2DCC">
        <w:t xml:space="preserve"> (Čéšková, 2008). </w:t>
      </w:r>
      <w:r w:rsidR="00EA053B">
        <w:t>Indikací</w:t>
      </w:r>
      <w:r>
        <w:t xml:space="preserve"> k zahájení léčby jsou depresivní poruchy, panické a fobické poruchy, úzkostné poruchy, posttraumatická stresová porucha, mentální bulimie a enuréza. Antidepresiva I. generace také působí analgeticky, a lze </w:t>
      </w:r>
      <w:r w:rsidR="00803F22">
        <w:t>jich využít k profylaxi migrény</w:t>
      </w:r>
      <w:r>
        <w:t xml:space="preserve"> (Dušek, Večeřová-Procházková, 2010)</w:t>
      </w:r>
      <w:r w:rsidR="00803F22">
        <w:t>.</w:t>
      </w:r>
      <w:r>
        <w:t xml:space="preserve"> Tyto látky jsou vy</w:t>
      </w:r>
      <w:r w:rsidR="005A0C4D">
        <w:t>užívány jako léky druhé volby</w:t>
      </w:r>
      <w:r>
        <w:t xml:space="preserve"> (Raboch, Zvolský, 2001)</w:t>
      </w:r>
      <w:r w:rsidR="00803F22">
        <w:t>.</w:t>
      </w:r>
      <w:r w:rsidR="00E221F8">
        <w:t xml:space="preserve"> Přehled léků registrovaných v ČR je uveden v tabulce 5. </w:t>
      </w:r>
      <w:r w:rsidR="005A0C4D">
        <w:t xml:space="preserve"> A</w:t>
      </w:r>
      <w:r>
        <w:t>ntidepresiva</w:t>
      </w:r>
      <w:r w:rsidR="005A0C4D">
        <w:t xml:space="preserve"> I. generace</w:t>
      </w:r>
      <w:r>
        <w:t xml:space="preserve"> mají nejvíce vyjádřeny nežádoucí úči</w:t>
      </w:r>
      <w:r w:rsidR="005A0C4D">
        <w:t xml:space="preserve">nky ze všech skupin. </w:t>
      </w:r>
      <w:r w:rsidR="00573575">
        <w:t xml:space="preserve">Jsou to zejména </w:t>
      </w:r>
      <w:r>
        <w:t>anticho</w:t>
      </w:r>
      <w:r w:rsidR="002F6B17">
        <w:t>linergní nežádoucí účinky</w:t>
      </w:r>
      <w:r w:rsidR="005A0C4D">
        <w:t>. Mezi ně</w:t>
      </w:r>
      <w:r w:rsidR="002F6B17">
        <w:t xml:space="preserve"> patří </w:t>
      </w:r>
      <w:r>
        <w:t>sucho v ústech, zácpa, tremor neb</w:t>
      </w:r>
      <w:r w:rsidR="00573575">
        <w:t>o retence moči. Léky působí i</w:t>
      </w:r>
      <w:r>
        <w:t xml:space="preserve"> na kardiovaskulární </w:t>
      </w:r>
      <w:r w:rsidR="002F6B17">
        <w:t xml:space="preserve">systém, kde způsobují </w:t>
      </w:r>
      <w:r>
        <w:t>pro</w:t>
      </w:r>
      <w:r w:rsidR="002F6B17">
        <w:t>tahování Q a T intervalu</w:t>
      </w:r>
      <w:r w:rsidR="007C7A35">
        <w:t xml:space="preserve"> srdečního rytmu</w:t>
      </w:r>
      <w:r w:rsidR="002F6B17">
        <w:t>, arytmie a ortostatickou</w:t>
      </w:r>
      <w:r w:rsidR="00803F22">
        <w:t xml:space="preserve"> hypotenzi</w:t>
      </w:r>
      <w:r>
        <w:t xml:space="preserve"> (</w:t>
      </w:r>
      <w:r w:rsidR="002F6B17">
        <w:t>Ku</w:t>
      </w:r>
      <w:r w:rsidR="00573575">
        <w:t>mar, Clark, 2002)</w:t>
      </w:r>
      <w:r w:rsidR="00803F22">
        <w:t>.</w:t>
      </w:r>
      <w:r w:rsidR="00573575">
        <w:t xml:space="preserve"> Dochází po nich</w:t>
      </w:r>
      <w:r w:rsidR="002F6B17">
        <w:t xml:space="preserve"> k přírůstku na váze, zrychlenému dýchání a sexuálním poruchám. Zmíněné účinky snižují snášenli</w:t>
      </w:r>
      <w:r w:rsidR="00803F22">
        <w:t>vost léku a complianci pacientů</w:t>
      </w:r>
      <w:r w:rsidR="002F6B17">
        <w:t xml:space="preserve"> (Dušek, Večeřová-Procházková, 2010)</w:t>
      </w:r>
      <w:r w:rsidR="00803F22">
        <w:t>.</w:t>
      </w:r>
      <w:r w:rsidR="002F6B17">
        <w:t xml:space="preserve"> </w:t>
      </w:r>
      <w:r w:rsidR="00D01CF8">
        <w:t xml:space="preserve">Kontraindikace k užívání antidepresiv I. generace jsou </w:t>
      </w:r>
      <w:r w:rsidR="005A0C4D">
        <w:t>srdeční onemocnění</w:t>
      </w:r>
      <w:r w:rsidR="00D01CF8">
        <w:t>, hypertro</w:t>
      </w:r>
      <w:r w:rsidR="005A0C4D">
        <w:t>fie prostaty, glaukom</w:t>
      </w:r>
      <w:r w:rsidR="00D01CF8">
        <w:t xml:space="preserve">, </w:t>
      </w:r>
      <w:r w:rsidR="00803F22">
        <w:t>epilepsie, těhotenství a kojení</w:t>
      </w:r>
      <w:r w:rsidR="00D01CF8">
        <w:t xml:space="preserve"> (Gelder, 2001)</w:t>
      </w:r>
      <w:r w:rsidR="00803F22">
        <w:t>.</w:t>
      </w:r>
      <w:r w:rsidR="00D01CF8">
        <w:t xml:space="preserve"> </w:t>
      </w:r>
    </w:p>
    <w:p w:rsidR="00D01CF8" w:rsidRDefault="00EF2DD6" w:rsidP="00D01CF8">
      <w:pPr>
        <w:ind w:firstLine="284"/>
      </w:pPr>
      <w:r>
        <w:t>Léky nesmí být náhle vysazeny</w:t>
      </w:r>
      <w:r w:rsidR="00573575">
        <w:t xml:space="preserve"> z důvodu vzniku syndromu z od</w:t>
      </w:r>
      <w:r w:rsidR="00D01CF8">
        <w:t>nětí.  Ten se projevuje nauzeou, průjmem, insomnií, anxietou, únavou, závratěmi a tremorem. Naopak předávkování antidepresi</w:t>
      </w:r>
      <w:r w:rsidR="001A2DCC">
        <w:t>vy I. generace může být letální</w:t>
      </w:r>
      <w:r w:rsidR="00F1114E">
        <w:t xml:space="preserve"> (Raboch, Zvolský, 2001)</w:t>
      </w:r>
      <w:r w:rsidR="001A2DCC">
        <w:t>.</w:t>
      </w:r>
    </w:p>
    <w:p w:rsidR="00137BC4" w:rsidRDefault="00137BC4" w:rsidP="00D01CF8">
      <w:pPr>
        <w:ind w:firstLine="284"/>
      </w:pPr>
    </w:p>
    <w:p w:rsidR="00137BC4" w:rsidRDefault="00137BC4" w:rsidP="00D01CF8">
      <w:pPr>
        <w:ind w:firstLine="284"/>
      </w:pPr>
    </w:p>
    <w:p w:rsidR="00137BC4" w:rsidRDefault="00137BC4" w:rsidP="00D01CF8">
      <w:pPr>
        <w:ind w:firstLine="284"/>
      </w:pPr>
    </w:p>
    <w:p w:rsidR="001A2DCC" w:rsidRDefault="001A2DCC" w:rsidP="00D01CF8">
      <w:pPr>
        <w:ind w:firstLine="284"/>
      </w:pPr>
    </w:p>
    <w:p w:rsidR="001A2DCC" w:rsidRDefault="001A2DCC" w:rsidP="00D01CF8">
      <w:pPr>
        <w:ind w:firstLine="284"/>
      </w:pPr>
    </w:p>
    <w:p w:rsidR="00573575" w:rsidRDefault="00573575" w:rsidP="00D01CF8">
      <w:pPr>
        <w:ind w:firstLine="284"/>
      </w:pPr>
    </w:p>
    <w:p w:rsidR="00573575" w:rsidRDefault="00573575" w:rsidP="00F1114E"/>
    <w:p w:rsidR="00F1114E" w:rsidRDefault="00573575" w:rsidP="00F1114E">
      <w:r>
        <w:lastRenderedPageBreak/>
        <w:t xml:space="preserve">  </w:t>
      </w:r>
      <w:r w:rsidR="008400AC">
        <w:rPr>
          <w:b/>
        </w:rPr>
        <w:t>Tabulka 4</w:t>
      </w:r>
      <w:r w:rsidR="00F1114E">
        <w:t xml:space="preserve">: Přehled tricyklických </w:t>
      </w:r>
      <w:r w:rsidR="00686E95">
        <w:t xml:space="preserve">a </w:t>
      </w:r>
      <w:r w:rsidR="00F1114E">
        <w:t>tetracyklických léků registrovaných v ČR (Bouček, Pidrman, 2005)</w:t>
      </w:r>
    </w:p>
    <w:tbl>
      <w:tblPr>
        <w:tblStyle w:val="Mkatabulky"/>
        <w:tblW w:w="0" w:type="auto"/>
        <w:tblLook w:val="04A0" w:firstRow="1" w:lastRow="0" w:firstColumn="1" w:lastColumn="0" w:noHBand="0" w:noVBand="1"/>
      </w:tblPr>
      <w:tblGrid>
        <w:gridCol w:w="3943"/>
        <w:gridCol w:w="4544"/>
      </w:tblGrid>
      <w:tr w:rsidR="00F1114E" w:rsidTr="00FD10B6">
        <w:trPr>
          <w:trHeight w:val="483"/>
        </w:trPr>
        <w:tc>
          <w:tcPr>
            <w:tcW w:w="3943" w:type="dxa"/>
            <w:shd w:val="clear" w:color="auto" w:fill="EEECE1" w:themeFill="background2"/>
          </w:tcPr>
          <w:p w:rsidR="00F1114E" w:rsidRPr="00C13421" w:rsidRDefault="00F1114E" w:rsidP="00C13421">
            <w:pPr>
              <w:spacing w:before="240"/>
              <w:jc w:val="center"/>
              <w:rPr>
                <w:b/>
              </w:rPr>
            </w:pPr>
            <w:r w:rsidRPr="00C13421">
              <w:rPr>
                <w:b/>
              </w:rPr>
              <w:t>GENERICKÝ NÁZEV</w:t>
            </w:r>
          </w:p>
        </w:tc>
        <w:tc>
          <w:tcPr>
            <w:tcW w:w="4544" w:type="dxa"/>
            <w:shd w:val="clear" w:color="auto" w:fill="EEECE1" w:themeFill="background2"/>
          </w:tcPr>
          <w:p w:rsidR="00F1114E" w:rsidRPr="00C13421" w:rsidRDefault="00F1114E" w:rsidP="00C13421">
            <w:pPr>
              <w:spacing w:before="240"/>
              <w:jc w:val="center"/>
              <w:rPr>
                <w:b/>
              </w:rPr>
            </w:pPr>
            <w:r w:rsidRPr="00C13421">
              <w:rPr>
                <w:b/>
              </w:rPr>
              <w:t>FIREMNÍ NÁZEV</w:t>
            </w:r>
          </w:p>
        </w:tc>
      </w:tr>
      <w:tr w:rsidR="00F1114E" w:rsidTr="00AF4806">
        <w:trPr>
          <w:trHeight w:val="483"/>
        </w:trPr>
        <w:tc>
          <w:tcPr>
            <w:tcW w:w="3943" w:type="dxa"/>
            <w:shd w:val="clear" w:color="auto" w:fill="FFFFFF" w:themeFill="background1"/>
          </w:tcPr>
          <w:p w:rsidR="00F1114E" w:rsidRDefault="008C2C5E" w:rsidP="00C13421">
            <w:pPr>
              <w:jc w:val="center"/>
            </w:pPr>
            <w:r>
              <w:t>a</w:t>
            </w:r>
            <w:r w:rsidR="00F1114E">
              <w:t>mitriptylin</w:t>
            </w:r>
          </w:p>
        </w:tc>
        <w:tc>
          <w:tcPr>
            <w:tcW w:w="4544" w:type="dxa"/>
            <w:shd w:val="clear" w:color="auto" w:fill="FFFFFF" w:themeFill="background1"/>
          </w:tcPr>
          <w:p w:rsidR="00F1114E" w:rsidRDefault="00F448B6" w:rsidP="00C13421">
            <w:pPr>
              <w:jc w:val="center"/>
            </w:pPr>
            <w:r>
              <w:t>AMITRIPTLIN, TRYPRIZOL</w:t>
            </w:r>
          </w:p>
        </w:tc>
      </w:tr>
      <w:tr w:rsidR="00F1114E" w:rsidTr="00AF4806">
        <w:trPr>
          <w:trHeight w:val="501"/>
        </w:trPr>
        <w:tc>
          <w:tcPr>
            <w:tcW w:w="3943" w:type="dxa"/>
            <w:shd w:val="clear" w:color="auto" w:fill="FFFFFF" w:themeFill="background1"/>
          </w:tcPr>
          <w:p w:rsidR="00F1114E" w:rsidRDefault="008C2C5E" w:rsidP="00C13421">
            <w:pPr>
              <w:jc w:val="center"/>
            </w:pPr>
            <w:r>
              <w:t>i</w:t>
            </w:r>
            <w:r w:rsidR="00F1114E">
              <w:t>mipramin</w:t>
            </w:r>
          </w:p>
        </w:tc>
        <w:tc>
          <w:tcPr>
            <w:tcW w:w="4544" w:type="dxa"/>
            <w:shd w:val="clear" w:color="auto" w:fill="FFFFFF" w:themeFill="background1"/>
          </w:tcPr>
          <w:p w:rsidR="00F1114E" w:rsidRDefault="00F448B6" w:rsidP="00C13421">
            <w:pPr>
              <w:jc w:val="center"/>
            </w:pPr>
            <w:r>
              <w:t>MELIPRAMIN</w:t>
            </w:r>
          </w:p>
        </w:tc>
      </w:tr>
      <w:tr w:rsidR="00F1114E" w:rsidTr="00AF4806">
        <w:trPr>
          <w:trHeight w:val="483"/>
        </w:trPr>
        <w:tc>
          <w:tcPr>
            <w:tcW w:w="3943" w:type="dxa"/>
            <w:shd w:val="clear" w:color="auto" w:fill="FFFFFF" w:themeFill="background1"/>
          </w:tcPr>
          <w:p w:rsidR="00F1114E" w:rsidRDefault="008C2C5E" w:rsidP="00C13421">
            <w:pPr>
              <w:jc w:val="center"/>
            </w:pPr>
            <w:r>
              <w:t>d</w:t>
            </w:r>
            <w:r w:rsidR="00F1114E">
              <w:t>osulepin</w:t>
            </w:r>
          </w:p>
        </w:tc>
        <w:tc>
          <w:tcPr>
            <w:tcW w:w="4544" w:type="dxa"/>
            <w:shd w:val="clear" w:color="auto" w:fill="FFFFFF" w:themeFill="background1"/>
          </w:tcPr>
          <w:p w:rsidR="00F1114E" w:rsidRDefault="00F448B6" w:rsidP="00C13421">
            <w:pPr>
              <w:jc w:val="center"/>
            </w:pPr>
            <w:r>
              <w:t>PROTHIADEN</w:t>
            </w:r>
          </w:p>
        </w:tc>
      </w:tr>
      <w:tr w:rsidR="00F1114E" w:rsidTr="00AF4806">
        <w:trPr>
          <w:trHeight w:val="483"/>
        </w:trPr>
        <w:tc>
          <w:tcPr>
            <w:tcW w:w="3943" w:type="dxa"/>
            <w:shd w:val="clear" w:color="auto" w:fill="FFFFFF" w:themeFill="background1"/>
          </w:tcPr>
          <w:p w:rsidR="00F1114E" w:rsidRDefault="00F1114E" w:rsidP="00C13421">
            <w:pPr>
              <w:jc w:val="center"/>
            </w:pPr>
            <w:r>
              <w:t>nortriptylin</w:t>
            </w:r>
          </w:p>
        </w:tc>
        <w:tc>
          <w:tcPr>
            <w:tcW w:w="4544" w:type="dxa"/>
            <w:shd w:val="clear" w:color="auto" w:fill="FFFFFF" w:themeFill="background1"/>
          </w:tcPr>
          <w:p w:rsidR="00F1114E" w:rsidRDefault="00F448B6" w:rsidP="00C13421">
            <w:pPr>
              <w:jc w:val="center"/>
            </w:pPr>
            <w:r>
              <w:t>NORTRILEN</w:t>
            </w:r>
          </w:p>
        </w:tc>
      </w:tr>
      <w:tr w:rsidR="00F1114E" w:rsidTr="00AF4806">
        <w:trPr>
          <w:trHeight w:val="483"/>
        </w:trPr>
        <w:tc>
          <w:tcPr>
            <w:tcW w:w="3943" w:type="dxa"/>
            <w:shd w:val="clear" w:color="auto" w:fill="FFFFFF" w:themeFill="background1"/>
          </w:tcPr>
          <w:p w:rsidR="00F1114E" w:rsidRDefault="008C2C5E" w:rsidP="00C13421">
            <w:pPr>
              <w:jc w:val="center"/>
            </w:pPr>
            <w:r>
              <w:t>k</w:t>
            </w:r>
            <w:r w:rsidR="00F1114E">
              <w:t>lomipramin</w:t>
            </w:r>
          </w:p>
        </w:tc>
        <w:tc>
          <w:tcPr>
            <w:tcW w:w="4544" w:type="dxa"/>
            <w:shd w:val="clear" w:color="auto" w:fill="FFFFFF" w:themeFill="background1"/>
          </w:tcPr>
          <w:p w:rsidR="00F1114E" w:rsidRDefault="00F448B6" w:rsidP="00C13421">
            <w:pPr>
              <w:jc w:val="center"/>
            </w:pPr>
            <w:r>
              <w:t>ANAFRANIL, HYDIPHEN</w:t>
            </w:r>
          </w:p>
        </w:tc>
      </w:tr>
    </w:tbl>
    <w:p w:rsidR="00F1114E" w:rsidRDefault="00F1114E" w:rsidP="00C13421">
      <w:pPr>
        <w:ind w:firstLine="284"/>
      </w:pPr>
    </w:p>
    <w:p w:rsidR="00AB1A72" w:rsidRPr="00AB1A72" w:rsidRDefault="008727CC" w:rsidP="00AB1A72">
      <w:pPr>
        <w:pStyle w:val="Nadpis4"/>
      </w:pPr>
      <w:bookmarkStart w:id="52" w:name="_Toc343360824"/>
      <w:bookmarkStart w:id="53" w:name="_Toc343782749"/>
      <w:bookmarkStart w:id="54" w:name="_Toc353433187"/>
      <w:r>
        <w:t>2</w:t>
      </w:r>
      <w:r w:rsidR="00137BC4">
        <w:t>.1.1</w:t>
      </w:r>
      <w:r w:rsidR="00AB607E">
        <w:t xml:space="preserve"> </w:t>
      </w:r>
      <w:r w:rsidR="003051C1">
        <w:t>Vy</w:t>
      </w:r>
      <w:r w:rsidR="00686E95">
        <w:t>užití antidepresiv I. generace v ambulantní</w:t>
      </w:r>
      <w:r w:rsidR="003051C1">
        <w:t> léčbě deprese</w:t>
      </w:r>
      <w:bookmarkEnd w:id="52"/>
      <w:bookmarkEnd w:id="53"/>
      <w:bookmarkEnd w:id="54"/>
    </w:p>
    <w:p w:rsidR="009137FA" w:rsidRDefault="003051C1" w:rsidP="009137FA">
      <w:pPr>
        <w:ind w:firstLine="284"/>
      </w:pPr>
      <w:r>
        <w:t>Antidepresiva I. generace se v dnešní době</w:t>
      </w:r>
      <w:r w:rsidR="00EF2DD6">
        <w:t xml:space="preserve"> často neužívají</w:t>
      </w:r>
      <w:r w:rsidR="00BE1578">
        <w:t xml:space="preserve"> z</w:t>
      </w:r>
      <w:r>
        <w:t xml:space="preserve"> důvodu </w:t>
      </w:r>
      <w:r w:rsidR="00BE1578">
        <w:t xml:space="preserve">výskytu </w:t>
      </w:r>
      <w:r>
        <w:t>nežádoucích účinků.</w:t>
      </w:r>
      <w:r w:rsidR="00BE1578">
        <w:t xml:space="preserve"> </w:t>
      </w:r>
      <w:r w:rsidR="00722E0B">
        <w:t>Studie ukazují, že při užívání antidepresiv I. generace dochází ke zhoršení kognitivních funkcí a b</w:t>
      </w:r>
      <w:r w:rsidR="00803F22">
        <w:t>dělosti u zdravých dobrovolníků</w:t>
      </w:r>
      <w:r w:rsidR="00722E0B">
        <w:t xml:space="preserve"> (Preiss, Kučerová a kol., 2006)</w:t>
      </w:r>
      <w:r w:rsidR="00803F22">
        <w:t>.</w:t>
      </w:r>
      <w:r w:rsidR="00722E0B">
        <w:t xml:space="preserve"> </w:t>
      </w:r>
      <w:r w:rsidR="00E4679F">
        <w:t>Tyto léky jsou lépe snášeny muži</w:t>
      </w:r>
      <w:r w:rsidR="00EF2DD6">
        <w:t>,</w:t>
      </w:r>
      <w:r w:rsidR="00E4679F">
        <w:t xml:space="preserve"> a také u nich bývá lepší odpověď na léčbu.</w:t>
      </w:r>
      <w:r w:rsidR="00982B96">
        <w:t xml:space="preserve"> </w:t>
      </w:r>
      <w:r w:rsidR="009137FA">
        <w:t>Výhodou je, že v hodnocení účinnosti samotnými pacienty, jsou</w:t>
      </w:r>
      <w:r w:rsidR="00C5058D">
        <w:t xml:space="preserve"> tricyklická antidepresiva</w:t>
      </w:r>
      <w:r w:rsidR="00803F22">
        <w:t xml:space="preserve"> hodnocena stejně jako SSRI</w:t>
      </w:r>
      <w:r w:rsidR="009137FA">
        <w:t xml:space="preserve"> </w:t>
      </w:r>
      <w:r w:rsidR="00C5058D">
        <w:t>(Kopeček, 2007)</w:t>
      </w:r>
      <w:r w:rsidR="00803F22">
        <w:t>.</w:t>
      </w:r>
      <w:r w:rsidR="00C5058D">
        <w:t xml:space="preserve"> </w:t>
      </w:r>
      <w:r w:rsidR="009137FA">
        <w:t>Dalším pozitivem může být jejich nízká cena, ale dá se říci, že v dnešní době jsou cenově dostupná všec</w:t>
      </w:r>
      <w:r w:rsidR="00803F22">
        <w:t>hna antidepresiva</w:t>
      </w:r>
      <w:r w:rsidR="009137FA">
        <w:t xml:space="preserve"> </w:t>
      </w:r>
      <w:r w:rsidR="007D46C9">
        <w:t>(Janů, Racková, 2007)</w:t>
      </w:r>
      <w:r w:rsidR="00AB1A72">
        <w:t>.</w:t>
      </w:r>
      <w:r w:rsidR="009137FA" w:rsidRPr="009137FA">
        <w:t xml:space="preserve"> </w:t>
      </w:r>
      <w:r w:rsidR="009137FA">
        <w:t xml:space="preserve"> Nevýhodou jsou nežádoucí účinky a špatná spolupráce pacientů při užívání léků. V různých studiích se ukázalo, že při užívání antidepresiv I. generace nespolupr</w:t>
      </w:r>
      <w:r w:rsidR="00803F22">
        <w:t>acuje v rozmezí 7-44 % pacientů</w:t>
      </w:r>
      <w:r w:rsidR="009137FA">
        <w:t xml:space="preserve"> (Praško, Prašková, 2006)</w:t>
      </w:r>
      <w:r w:rsidR="00803F22">
        <w:t>.</w:t>
      </w:r>
      <w:r w:rsidR="009137FA">
        <w:t xml:space="preserve"> Zvýšená pozornost musí být věnována možným suicidálním tendencím, protože předávkování antidepresivy I. generace může být letální. </w:t>
      </w:r>
    </w:p>
    <w:p w:rsidR="003051C1" w:rsidRDefault="009137FA" w:rsidP="009137FA">
      <w:pPr>
        <w:ind w:firstLine="284"/>
      </w:pPr>
      <w:r>
        <w:t>Dle Kantorové (2011) byla spotřeba tricyklických antidepresiv v letech 2003-2008 celkem 3,8 miliónu balení. Antidepresiva I. generace v těchto letech tvořila 24 % z celkového počtu předepsaných léků na depresi</w:t>
      </w:r>
    </w:p>
    <w:p w:rsidR="007E19D1" w:rsidRPr="007E19D1" w:rsidRDefault="006139F0" w:rsidP="00AB607E">
      <w:pPr>
        <w:ind w:firstLine="284"/>
      </w:pPr>
      <w:r>
        <w:t xml:space="preserve">Dá se říci, že léky patřící do této skupiny antidepresiv nejsou pro ambulantní pacienty s depresí </w:t>
      </w:r>
      <w:r w:rsidR="008D680B">
        <w:t>příliš vhodné</w:t>
      </w:r>
      <w:r>
        <w:t xml:space="preserve">. Nejvíce pacientů s depresí jsou senioři a vzhledem ke kontraindikacím léčby </w:t>
      </w:r>
      <w:r w:rsidR="008D680B">
        <w:t>se u nich tyto léky často nemohou předepsat.</w:t>
      </w:r>
      <w:r w:rsidR="007D46C9">
        <w:t xml:space="preserve"> </w:t>
      </w:r>
      <w:r w:rsidR="008D680B">
        <w:t xml:space="preserve"> </w:t>
      </w:r>
      <w:r w:rsidR="009E3F17">
        <w:t xml:space="preserve">Tricyklická antidepresiva by také neměla být předepisována </w:t>
      </w:r>
      <w:r w:rsidR="00A435EB">
        <w:t xml:space="preserve">dětem a dospívajícím do 18 let </w:t>
      </w:r>
      <w:r w:rsidR="009E3F17">
        <w:t>(NHS, 2007)</w:t>
      </w:r>
      <w:r w:rsidR="00A435EB">
        <w:t>.</w:t>
      </w:r>
    </w:p>
    <w:p w:rsidR="00FB69BE" w:rsidRPr="00FB69BE" w:rsidRDefault="00C13421" w:rsidP="00137BC4">
      <w:pPr>
        <w:pStyle w:val="Nadpis3"/>
      </w:pPr>
      <w:r>
        <w:lastRenderedPageBreak/>
        <w:t> </w:t>
      </w:r>
      <w:r w:rsidR="007E19D1">
        <w:t> </w:t>
      </w:r>
      <w:bookmarkStart w:id="55" w:name="_Toc343360825"/>
      <w:bookmarkStart w:id="56" w:name="_Toc343782750"/>
      <w:bookmarkStart w:id="57" w:name="_Toc353433188"/>
      <w:r w:rsidR="008727CC">
        <w:t>2</w:t>
      </w:r>
      <w:r w:rsidR="00137BC4">
        <w:t>.2</w:t>
      </w:r>
      <w:r w:rsidR="008D680B">
        <w:t xml:space="preserve"> Antidepresiva II. generace</w:t>
      </w:r>
      <w:bookmarkEnd w:id="55"/>
      <w:bookmarkEnd w:id="56"/>
      <w:bookmarkEnd w:id="57"/>
      <w:r w:rsidR="008D680B">
        <w:t xml:space="preserve"> </w:t>
      </w:r>
    </w:p>
    <w:p w:rsidR="00EB06B8" w:rsidRDefault="001B7593" w:rsidP="009137FA">
      <w:pPr>
        <w:ind w:firstLine="284"/>
      </w:pPr>
      <w:r>
        <w:t>Antidepresiva II. generace bývají n</w:t>
      </w:r>
      <w:r w:rsidR="00FB69BE">
        <w:t>azývána jako heterocyklická. Mechanismem jejich účinku</w:t>
      </w:r>
      <w:r>
        <w:t xml:space="preserve"> je zpětné vychytávání noradrenalinu, serotoninu a částečně dopaminu. </w:t>
      </w:r>
      <w:r w:rsidR="00EC011F">
        <w:t>Tato antidepresiva se indikují u primární i somatogenní deprese, a také dep</w:t>
      </w:r>
      <w:r w:rsidR="007E19D1">
        <w:t xml:space="preserve">rese farmakogenní. </w:t>
      </w:r>
      <w:r w:rsidR="00573575">
        <w:t>Ze zástupců je dnes dostupný jen maprotilin (Ludiomi</w:t>
      </w:r>
      <w:r w:rsidR="00A435EB">
        <w:t>l);</w:t>
      </w:r>
      <w:r w:rsidR="00573575">
        <w:t xml:space="preserve"> (Divácká, 2008)</w:t>
      </w:r>
      <w:r w:rsidR="00A435EB">
        <w:t>.</w:t>
      </w:r>
      <w:r w:rsidR="00573575">
        <w:t xml:space="preserve"> </w:t>
      </w:r>
      <w:r w:rsidR="009137FA">
        <w:t xml:space="preserve">Heterocyklika </w:t>
      </w:r>
      <w:r>
        <w:t>ovlivňují menší počet receptorů než tricyklická antidepresiva. Ve výsledku to znamená nižší výskyt nežádoucích úči</w:t>
      </w:r>
      <w:r w:rsidR="00A435EB">
        <w:t>nků a cílenější klinický účinek</w:t>
      </w:r>
      <w:r>
        <w:t xml:space="preserve"> (Raboch, Pavlovský a kol., 2012)</w:t>
      </w:r>
      <w:r w:rsidR="00A435EB">
        <w:t>.</w:t>
      </w:r>
      <w:r w:rsidR="00FB69BE">
        <w:t xml:space="preserve"> Působí nejen méně anticholinergně, antihistaminově ale i antiadrenergně. Proto je lze podávat i pacientům s glaukom</w:t>
      </w:r>
      <w:r w:rsidR="00A435EB">
        <w:t>em, hypertrofií prostaty a ICHS</w:t>
      </w:r>
      <w:r w:rsidR="00FB69BE">
        <w:t xml:space="preserve"> (Hynie, 2001)</w:t>
      </w:r>
      <w:r w:rsidR="00A435EB">
        <w:t>.</w:t>
      </w:r>
      <w:r w:rsidR="00EB06B8">
        <w:t xml:space="preserve"> </w:t>
      </w:r>
      <w:r w:rsidR="00C15AF8">
        <w:t xml:space="preserve">Mezi nežádoucí účinky patří zejména ospalost, závratě, bolesti hlavy, třes, sucho v ústech a únava. </w:t>
      </w:r>
      <w:r w:rsidR="009137FA">
        <w:t>Užívání maprotilinu se musí velmi dobře zvážit u pacientů s epilepsií, z důvodu častého výskytu abnormálních svalových stahů. Dále se nedoporučuje pacientům</w:t>
      </w:r>
      <w:r w:rsidR="00C15AF8">
        <w:t xml:space="preserve"> se srdečním onemoc</w:t>
      </w:r>
      <w:r w:rsidR="009137FA">
        <w:t xml:space="preserve">něním a před zahájením léčby by se měla provést </w:t>
      </w:r>
      <w:r w:rsidR="00C15AF8">
        <w:t>kontrola funkce jater a ledvin. Dětem by tento lék neměl být předepis</w:t>
      </w:r>
      <w:r w:rsidR="00A435EB">
        <w:t>ován</w:t>
      </w:r>
      <w:r w:rsidR="00FD1F96">
        <w:t xml:space="preserve"> </w:t>
      </w:r>
      <w:r w:rsidR="00D64EC1">
        <w:t>(Mental Health</w:t>
      </w:r>
      <w:r w:rsidR="00FD1F96">
        <w:t>,</w:t>
      </w:r>
      <w:r w:rsidR="00CC7DFE">
        <w:t xml:space="preserve"> </w:t>
      </w:r>
      <w:r w:rsidR="00D64EC1">
        <w:t>2011)</w:t>
      </w:r>
      <w:r w:rsidR="00A435EB">
        <w:t>.</w:t>
      </w:r>
      <w:r w:rsidR="00C15AF8">
        <w:t xml:space="preserve"> </w:t>
      </w:r>
    </w:p>
    <w:p w:rsidR="00810368" w:rsidRDefault="00810368" w:rsidP="00C15AF8">
      <w:pPr>
        <w:ind w:firstLine="284"/>
      </w:pPr>
    </w:p>
    <w:p w:rsidR="00810368" w:rsidRPr="00810368" w:rsidRDefault="008727CC" w:rsidP="00137BC4">
      <w:pPr>
        <w:pStyle w:val="Nadpis4"/>
      </w:pPr>
      <w:bookmarkStart w:id="58" w:name="_Toc343360826"/>
      <w:bookmarkStart w:id="59" w:name="_Toc343782751"/>
      <w:bookmarkStart w:id="60" w:name="_Toc353433189"/>
      <w:r>
        <w:t>2</w:t>
      </w:r>
      <w:r w:rsidR="00137BC4">
        <w:t>.2.1</w:t>
      </w:r>
      <w:r w:rsidR="00810368" w:rsidRPr="00810368">
        <w:t xml:space="preserve"> Využití antidepresiv II. generace v ambulantní léčbě deprese</w:t>
      </w:r>
      <w:bookmarkEnd w:id="58"/>
      <w:bookmarkEnd w:id="59"/>
      <w:bookmarkEnd w:id="60"/>
    </w:p>
    <w:p w:rsidR="00556F02" w:rsidRDefault="00F40824" w:rsidP="00AC78A3">
      <w:pPr>
        <w:ind w:firstLine="284"/>
      </w:pPr>
      <w:r>
        <w:t>Antidepresiva II. generace se v dnešní době příliš často nepředepisují</w:t>
      </w:r>
      <w:r w:rsidR="009137FA">
        <w:t xml:space="preserve">. </w:t>
      </w:r>
      <w:r w:rsidR="009137FA" w:rsidRPr="009137FA">
        <w:t xml:space="preserve"> </w:t>
      </w:r>
      <w:r w:rsidR="009137FA">
        <w:t>Výhodou je, že se terapeutický účinek dostavuje již v 1. týdnu podávání a nemají to</w:t>
      </w:r>
      <w:r w:rsidR="00A435EB">
        <w:t>lik nežádoucích účinků jako TCA</w:t>
      </w:r>
      <w:r w:rsidR="009137FA" w:rsidRPr="009137FA">
        <w:t xml:space="preserve"> </w:t>
      </w:r>
      <w:r w:rsidR="00556F02">
        <w:t>(Hynie, 2001)</w:t>
      </w:r>
      <w:r w:rsidR="00A435EB">
        <w:t>.</w:t>
      </w:r>
      <w:r w:rsidR="00556F02">
        <w:t xml:space="preserve"> Nevýhody v podávání jsou</w:t>
      </w:r>
      <w:r w:rsidR="00EF2DD6">
        <w:t>,</w:t>
      </w:r>
      <w:r w:rsidR="009137FA">
        <w:t xml:space="preserve"> </w:t>
      </w:r>
      <w:r w:rsidR="00556F02">
        <w:t>nemožnost předepsání</w:t>
      </w:r>
      <w:r w:rsidR="009137FA">
        <w:t xml:space="preserve"> starším pacientům</w:t>
      </w:r>
      <w:r w:rsidR="00556F02">
        <w:t xml:space="preserve">, </w:t>
      </w:r>
      <w:r w:rsidR="009137FA">
        <w:t>z</w:t>
      </w:r>
      <w:r w:rsidR="00556F02">
        <w:t>výšené riziko infarktu myokar</w:t>
      </w:r>
      <w:r w:rsidR="00A435EB">
        <w:t>du a slabší anxiolytický účinek</w:t>
      </w:r>
      <w:r w:rsidR="00556F02">
        <w:t xml:space="preserve"> </w:t>
      </w:r>
      <w:r w:rsidR="003822C8">
        <w:t>(Švestka, 2001)</w:t>
      </w:r>
      <w:r w:rsidR="00A435EB">
        <w:t>.</w:t>
      </w:r>
      <w:r w:rsidR="003822C8">
        <w:t xml:space="preserve"> </w:t>
      </w:r>
      <w:r w:rsidR="00AC78A3">
        <w:t xml:space="preserve">Dalším úskalím je bezpochyby riziko předávkování, proto by léky neměly být voleny </w:t>
      </w:r>
      <w:r w:rsidR="00A435EB">
        <w:t>u pacientů s rizikem sebevraždy</w:t>
      </w:r>
      <w:r w:rsidR="00AC78A3">
        <w:t xml:space="preserve"> (Tůma, 2004)</w:t>
      </w:r>
      <w:r w:rsidR="00A435EB">
        <w:t>.</w:t>
      </w:r>
      <w:r w:rsidR="00AC78A3">
        <w:t xml:space="preserve"> </w:t>
      </w:r>
    </w:p>
    <w:p w:rsidR="007660D8" w:rsidRDefault="00F40824" w:rsidP="00AC78A3">
      <w:pPr>
        <w:ind w:firstLine="284"/>
      </w:pPr>
      <w:r>
        <w:t>Od té doby, co se na trh dostala antidepresiva III. generace, mají antidepresiva I. a II. generace v léč</w:t>
      </w:r>
      <w:r w:rsidR="00A435EB">
        <w:t>bě deprese poněkud menší význam (Anders, Roth, 2000).</w:t>
      </w:r>
    </w:p>
    <w:p w:rsidR="00810368" w:rsidRDefault="007660D8" w:rsidP="007660D8">
      <w:r>
        <w:t>V letech 2003-2008 byla spotřeba léků 186 662 balen</w:t>
      </w:r>
      <w:r w:rsidR="00A435EB">
        <w:t xml:space="preserve">í za necelých 21 miliónu korun </w:t>
      </w:r>
      <w:r>
        <w:t>(Kantorová, 2011)</w:t>
      </w:r>
      <w:r w:rsidR="00A435EB">
        <w:t>.</w:t>
      </w:r>
      <w:r>
        <w:t xml:space="preserve"> </w:t>
      </w:r>
      <w:r w:rsidR="007D46C9">
        <w:t xml:space="preserve"> </w:t>
      </w:r>
    </w:p>
    <w:p w:rsidR="009E6304" w:rsidRDefault="009E6304" w:rsidP="007660D8"/>
    <w:p w:rsidR="00556F02" w:rsidRDefault="00556F02" w:rsidP="007660D8"/>
    <w:p w:rsidR="00556F02" w:rsidRDefault="00556F02" w:rsidP="007660D8"/>
    <w:p w:rsidR="009E6304" w:rsidRDefault="00556F02" w:rsidP="00137BC4">
      <w:pPr>
        <w:pStyle w:val="Nadpis3"/>
      </w:pPr>
      <w:bookmarkStart w:id="61" w:name="_Toc343360827"/>
      <w:bookmarkStart w:id="62" w:name="_Toc343782752"/>
      <w:r>
        <w:lastRenderedPageBreak/>
        <w:t> </w:t>
      </w:r>
      <w:bookmarkStart w:id="63" w:name="_Toc353433190"/>
      <w:r w:rsidR="008727CC">
        <w:t>2</w:t>
      </w:r>
      <w:r w:rsidR="009E6304">
        <w:t>.3 Antidepresiva III. generace</w:t>
      </w:r>
      <w:bookmarkEnd w:id="61"/>
      <w:bookmarkEnd w:id="62"/>
      <w:bookmarkEnd w:id="63"/>
    </w:p>
    <w:p w:rsidR="009E6304" w:rsidRDefault="009E6304" w:rsidP="009E6304">
      <w:r>
        <w:t xml:space="preserve">Do této skupiny řadíme antidepresiva typu SSRI, SARI a NARI. </w:t>
      </w:r>
    </w:p>
    <w:p w:rsidR="00426203" w:rsidRDefault="00426203" w:rsidP="009E6304"/>
    <w:p w:rsidR="00426203" w:rsidRDefault="00426203" w:rsidP="009E6304">
      <w:pPr>
        <w:rPr>
          <w:b/>
        </w:rPr>
      </w:pPr>
      <w:r w:rsidRPr="00426203">
        <w:rPr>
          <w:b/>
        </w:rPr>
        <w:t>SSRI</w:t>
      </w:r>
      <w:r w:rsidR="00471550">
        <w:rPr>
          <w:b/>
        </w:rPr>
        <w:t xml:space="preserve"> (selektivní inhibitory zpětného vychytávání serotoninu)</w:t>
      </w:r>
    </w:p>
    <w:p w:rsidR="000E3797" w:rsidRDefault="00D243F0" w:rsidP="00EC011F">
      <w:pPr>
        <w:ind w:firstLine="284"/>
      </w:pPr>
      <w:r>
        <w:t xml:space="preserve">Jsou to </w:t>
      </w:r>
      <w:r w:rsidR="00426203">
        <w:t>látky,</w:t>
      </w:r>
      <w:r w:rsidR="00EF2DD6">
        <w:t xml:space="preserve"> které mají společnou vlastnost.</w:t>
      </w:r>
      <w:r w:rsidR="00426203">
        <w:t xml:space="preserve"> </w:t>
      </w:r>
      <w:r w:rsidR="00EF2DD6">
        <w:t>T</w:t>
      </w:r>
      <w:r>
        <w:t>ou je selektivní inhibice</w:t>
      </w:r>
      <w:r w:rsidR="00426203">
        <w:t xml:space="preserve"> zpětného vychytávání se</w:t>
      </w:r>
      <w:r w:rsidR="00A435EB">
        <w:t>rotoninu z neuronálních synapsí</w:t>
      </w:r>
      <w:r w:rsidR="00426203">
        <w:t xml:space="preserve"> </w:t>
      </w:r>
      <w:r w:rsidR="004275B0">
        <w:t>(Hynie, 2001)</w:t>
      </w:r>
      <w:r w:rsidR="009B1277">
        <w:t>; (Příloha č. 6</w:t>
      </w:r>
      <w:r w:rsidR="00F448B6">
        <w:t>)</w:t>
      </w:r>
      <w:r w:rsidR="00A435EB">
        <w:t>.</w:t>
      </w:r>
      <w:r w:rsidR="004275B0">
        <w:t xml:space="preserve"> </w:t>
      </w:r>
      <w:r w:rsidR="00E221F8">
        <w:t xml:space="preserve">V tabulce </w:t>
      </w:r>
      <w:r w:rsidR="004D58BF">
        <w:t xml:space="preserve">6 je uveden přehled antidepresiv dle generického a firemního názvu. </w:t>
      </w:r>
      <w:r w:rsidR="000E3797">
        <w:t>Indikací k zahájení léčby jsou deprese, a</w:t>
      </w:r>
      <w:r w:rsidR="00A435EB">
        <w:t xml:space="preserve"> také většina úzkostných poruch</w:t>
      </w:r>
      <w:r w:rsidR="000E3797" w:rsidRPr="000E3797">
        <w:t xml:space="preserve"> </w:t>
      </w:r>
      <w:r w:rsidR="000E3797">
        <w:t>(Raboch, Jirák, Paclt, 2005)</w:t>
      </w:r>
      <w:r w:rsidR="00A435EB">
        <w:t>.</w:t>
      </w:r>
      <w:r w:rsidR="000E3797">
        <w:t xml:space="preserve"> </w:t>
      </w:r>
      <w:r w:rsidR="004275B0">
        <w:t>Ze začátku podávání se doporučuje zvolit nižší dávku a později je možno ji zvýšit. U většiny těchto léků je jednoduché schéma dá</w:t>
      </w:r>
      <w:r w:rsidR="00A435EB">
        <w:t>vkování, zpravidla jednou denně</w:t>
      </w:r>
      <w:r w:rsidR="004275B0">
        <w:t xml:space="preserve"> (Raboch, Pavlov</w:t>
      </w:r>
      <w:r w:rsidR="00506DF7">
        <w:t>ský a kol. 2012)</w:t>
      </w:r>
      <w:r w:rsidR="00A435EB">
        <w:t>.</w:t>
      </w:r>
      <w:r w:rsidR="00506DF7">
        <w:t xml:space="preserve"> </w:t>
      </w:r>
    </w:p>
    <w:p w:rsidR="007C7A35" w:rsidRDefault="00506DF7" w:rsidP="00EC011F">
      <w:pPr>
        <w:ind w:firstLine="284"/>
      </w:pPr>
      <w:r>
        <w:t xml:space="preserve">Oproti antidepresivům I. a II. generace nemají SRRI takové riziko nežádoucích účinků. Častými mírnými vedlejšími účinky bývá nauzea, průjem, bolesti hlavy, nespavost </w:t>
      </w:r>
      <w:r w:rsidR="008400AC">
        <w:t xml:space="preserve">                   </w:t>
      </w:r>
      <w:r>
        <w:t xml:space="preserve">a úzkostnost. Tyto příznaky se objevují nejčastěji na začátku léčby a v průběhu většinou </w:t>
      </w:r>
      <w:r w:rsidR="00A435EB">
        <w:t>spontánně mizí</w:t>
      </w:r>
      <w:r>
        <w:t xml:space="preserve"> (Raboch, Jirák, Paclt, 2005)</w:t>
      </w:r>
      <w:r w:rsidR="00A435EB">
        <w:t>.</w:t>
      </w:r>
      <w:r>
        <w:t xml:space="preserve"> </w:t>
      </w:r>
      <w:r w:rsidR="00EC011F">
        <w:t>Často diskutovaný je vliv léků na sexuální život pacientů. V dotazníkovém šetře</w:t>
      </w:r>
      <w:r w:rsidR="00EF2DD6">
        <w:t>ní na sexuální dysfunkci</w:t>
      </w:r>
      <w:r w:rsidR="00EC011F">
        <w:t xml:space="preserve"> výskyt potvrd</w:t>
      </w:r>
      <w:r w:rsidR="00A435EB">
        <w:t>ilo 55 % pacientů léčených SSRI</w:t>
      </w:r>
      <w:r w:rsidR="00EC011F">
        <w:t xml:space="preserve"> </w:t>
      </w:r>
      <w:r w:rsidR="00110E56">
        <w:t>(Ferguson, 2001)</w:t>
      </w:r>
      <w:r w:rsidR="00A435EB">
        <w:t>.</w:t>
      </w:r>
      <w:r w:rsidR="00110E56">
        <w:t xml:space="preserve"> </w:t>
      </w:r>
      <w:r w:rsidR="00EC011F">
        <w:t xml:space="preserve">Při dlouhodobém užívání se také </w:t>
      </w:r>
      <w:r w:rsidR="00D243F0">
        <w:t xml:space="preserve">objevují </w:t>
      </w:r>
      <w:r w:rsidR="00EC011F">
        <w:t>poruc</w:t>
      </w:r>
      <w:r w:rsidR="00110E56">
        <w:t>hy spánku a přibývání na váze.</w:t>
      </w:r>
      <w:r w:rsidR="00110E56" w:rsidRPr="00110E56">
        <w:t xml:space="preserve"> </w:t>
      </w:r>
      <w:r w:rsidR="00110E56">
        <w:t xml:space="preserve">Známy jsou rovněž komplikace </w:t>
      </w:r>
      <w:r w:rsidR="00A435EB">
        <w:t>spojené se zvýšenou krvácivostí</w:t>
      </w:r>
      <w:r w:rsidR="00110E56">
        <w:t xml:space="preserve"> (Čéšková, 2007)</w:t>
      </w:r>
      <w:r w:rsidR="00A435EB">
        <w:t>.</w:t>
      </w:r>
      <w:r w:rsidR="00EC011F">
        <w:t xml:space="preserve"> V případě užívání SSRI je nutné myslet na tzv. serotoninový syndrom. Je to život ohrožující stav, který</w:t>
      </w:r>
      <w:r w:rsidR="00D243F0">
        <w:t xml:space="preserve"> může být vyvolán nevhodným podá</w:t>
      </w:r>
      <w:r w:rsidR="00EC011F">
        <w:t>váním více preparátů se serotoninergní aktivitou. Projevuje se nauzeou, břišními křečemi, horečkou, neklidem, pocením, zmateností a myoklonickými záškuby. V pokročilejších stádiích docház</w:t>
      </w:r>
      <w:r w:rsidR="00D243F0">
        <w:t>í k rabdomyolýze, renálnímu selh</w:t>
      </w:r>
      <w:r w:rsidR="00A435EB">
        <w:t>ání a dokonce ke smrti</w:t>
      </w:r>
      <w:r w:rsidR="00EC011F">
        <w:t xml:space="preserve"> (Raboch, Jirák, Paclt, 2005)</w:t>
      </w:r>
      <w:r w:rsidR="00A435EB">
        <w:t>.</w:t>
      </w:r>
      <w:r w:rsidR="00EC011F">
        <w:t xml:space="preserve"> </w:t>
      </w:r>
    </w:p>
    <w:p w:rsidR="00EC011F" w:rsidRDefault="0086167F" w:rsidP="00EC011F">
      <w:pPr>
        <w:ind w:firstLine="284"/>
      </w:pPr>
      <w:r>
        <w:t>Zvýšenou</w:t>
      </w:r>
      <w:r w:rsidR="006B55BC">
        <w:t xml:space="preserve"> pozornost je nutné věnovat</w:t>
      </w:r>
      <w:r>
        <w:t xml:space="preserve"> interakci s jinými léky, například antikoagulanc</w:t>
      </w:r>
      <w:r w:rsidR="00A435EB">
        <w:t>ii nebo antidepresivy typu IMAO</w:t>
      </w:r>
      <w:r>
        <w:t xml:space="preserve"> (Raboch, 2000)</w:t>
      </w:r>
      <w:r w:rsidR="00A435EB">
        <w:t>.</w:t>
      </w:r>
      <w:r>
        <w:t xml:space="preserve"> </w:t>
      </w:r>
      <w:r w:rsidR="000D0BAA">
        <w:t>Při náhlém vysazení těchto antidepresiv dochází</w:t>
      </w:r>
      <w:r w:rsidR="00110E56">
        <w:t xml:space="preserve"> k typickým symptomům. Bývají to</w:t>
      </w:r>
      <w:r w:rsidR="000D0BAA">
        <w:t xml:space="preserve"> bolesti hlavy, závratě ze světla, ataxie, parestezie, znecitlivění, insomnie, nauzea, zvracení, průjem, úzkostnost a pokles nálady. Syndrom z vysazení bývá symptomaticky více vyjádřen u SSRI n</w:t>
      </w:r>
      <w:r w:rsidR="00A435EB">
        <w:t>ež u tricyklických antidepresiv</w:t>
      </w:r>
      <w:r w:rsidR="000D0BAA">
        <w:t xml:space="preserve"> (Kosová, 2004)</w:t>
      </w:r>
      <w:r w:rsidR="00A435EB">
        <w:t>.</w:t>
      </w:r>
    </w:p>
    <w:p w:rsidR="007E19D1" w:rsidRDefault="007E19D1" w:rsidP="006E59CD">
      <w:pPr>
        <w:rPr>
          <w:b/>
        </w:rPr>
      </w:pPr>
    </w:p>
    <w:p w:rsidR="007E19D1" w:rsidRDefault="007E19D1" w:rsidP="006E59CD">
      <w:pPr>
        <w:rPr>
          <w:b/>
        </w:rPr>
      </w:pPr>
    </w:p>
    <w:p w:rsidR="004D58BF" w:rsidRDefault="004D58BF" w:rsidP="006E59CD">
      <w:pPr>
        <w:rPr>
          <w:b/>
        </w:rPr>
      </w:pPr>
    </w:p>
    <w:p w:rsidR="001B7593" w:rsidRDefault="00137BC4" w:rsidP="006E59CD">
      <w:r>
        <w:rPr>
          <w:b/>
        </w:rPr>
        <w:lastRenderedPageBreak/>
        <w:t> </w:t>
      </w:r>
      <w:r w:rsidR="008400AC">
        <w:rPr>
          <w:b/>
        </w:rPr>
        <w:t>Tabulka 5</w:t>
      </w:r>
      <w:r w:rsidR="007E19D1" w:rsidRPr="007E19D1">
        <w:rPr>
          <w:b/>
        </w:rPr>
        <w:t>:</w:t>
      </w:r>
      <w:r w:rsidR="007E19D1">
        <w:t xml:space="preserve"> Přehled antidepresiv skupiny SSRI</w:t>
      </w:r>
    </w:p>
    <w:tbl>
      <w:tblPr>
        <w:tblStyle w:val="Mkatabulky"/>
        <w:tblW w:w="0" w:type="auto"/>
        <w:tblLook w:val="04A0" w:firstRow="1" w:lastRow="0" w:firstColumn="1" w:lastColumn="0" w:noHBand="0" w:noVBand="1"/>
      </w:tblPr>
      <w:tblGrid>
        <w:gridCol w:w="4015"/>
        <w:gridCol w:w="4015"/>
      </w:tblGrid>
      <w:tr w:rsidR="007E19D1" w:rsidTr="00FD10B6">
        <w:trPr>
          <w:trHeight w:val="355"/>
        </w:trPr>
        <w:tc>
          <w:tcPr>
            <w:tcW w:w="4015" w:type="dxa"/>
            <w:shd w:val="clear" w:color="auto" w:fill="EEECE1" w:themeFill="background2"/>
          </w:tcPr>
          <w:p w:rsidR="007E19D1" w:rsidRPr="00C13421" w:rsidRDefault="008C2C5E" w:rsidP="00C13421">
            <w:pPr>
              <w:spacing w:before="240"/>
              <w:jc w:val="center"/>
              <w:rPr>
                <w:b/>
              </w:rPr>
            </w:pPr>
            <w:r w:rsidRPr="00C13421">
              <w:rPr>
                <w:b/>
              </w:rPr>
              <w:t>GENERICKÝ NÁZEV</w:t>
            </w:r>
          </w:p>
        </w:tc>
        <w:tc>
          <w:tcPr>
            <w:tcW w:w="4015" w:type="dxa"/>
            <w:shd w:val="clear" w:color="auto" w:fill="EEECE1" w:themeFill="background2"/>
          </w:tcPr>
          <w:p w:rsidR="007E19D1" w:rsidRPr="00C13421" w:rsidRDefault="008C2C5E" w:rsidP="00C13421">
            <w:pPr>
              <w:spacing w:before="240"/>
              <w:jc w:val="center"/>
              <w:rPr>
                <w:b/>
              </w:rPr>
            </w:pPr>
            <w:r w:rsidRPr="00C13421">
              <w:rPr>
                <w:b/>
              </w:rPr>
              <w:t>FIREMNÍ NÁZEV</w:t>
            </w:r>
          </w:p>
        </w:tc>
      </w:tr>
      <w:tr w:rsidR="007E19D1" w:rsidTr="004D58BF">
        <w:trPr>
          <w:trHeight w:val="355"/>
        </w:trPr>
        <w:tc>
          <w:tcPr>
            <w:tcW w:w="4015" w:type="dxa"/>
          </w:tcPr>
          <w:p w:rsidR="007E19D1" w:rsidRDefault="00F448B6" w:rsidP="00C13421">
            <w:pPr>
              <w:spacing w:before="240"/>
              <w:jc w:val="center"/>
            </w:pPr>
            <w:r>
              <w:t>citalopram</w:t>
            </w:r>
          </w:p>
        </w:tc>
        <w:tc>
          <w:tcPr>
            <w:tcW w:w="4015" w:type="dxa"/>
          </w:tcPr>
          <w:p w:rsidR="007E19D1" w:rsidRDefault="00F448B6" w:rsidP="00F448B6">
            <w:pPr>
              <w:jc w:val="center"/>
            </w:pPr>
            <w:r>
              <w:t>SEROPRAM, CITALEC, CEROTOR, CIPRAM</w:t>
            </w:r>
          </w:p>
        </w:tc>
      </w:tr>
      <w:tr w:rsidR="007E19D1" w:rsidTr="004D58BF">
        <w:trPr>
          <w:trHeight w:val="367"/>
        </w:trPr>
        <w:tc>
          <w:tcPr>
            <w:tcW w:w="4015" w:type="dxa"/>
          </w:tcPr>
          <w:p w:rsidR="007E19D1" w:rsidRDefault="00F448B6" w:rsidP="00F448B6">
            <w:pPr>
              <w:jc w:val="center"/>
            </w:pPr>
            <w:r>
              <w:t>escitalopram</w:t>
            </w:r>
          </w:p>
        </w:tc>
        <w:tc>
          <w:tcPr>
            <w:tcW w:w="4015" w:type="dxa"/>
          </w:tcPr>
          <w:p w:rsidR="007E19D1" w:rsidRDefault="00F448B6" w:rsidP="00F448B6">
            <w:pPr>
              <w:jc w:val="center"/>
            </w:pPr>
            <w:r>
              <w:t>CIPRALEX</w:t>
            </w:r>
          </w:p>
        </w:tc>
      </w:tr>
      <w:tr w:rsidR="007E19D1" w:rsidTr="004D58BF">
        <w:trPr>
          <w:trHeight w:val="367"/>
        </w:trPr>
        <w:tc>
          <w:tcPr>
            <w:tcW w:w="4015" w:type="dxa"/>
          </w:tcPr>
          <w:p w:rsidR="007E19D1" w:rsidRDefault="00F448B6" w:rsidP="00F448B6">
            <w:pPr>
              <w:jc w:val="center"/>
            </w:pPr>
            <w:r>
              <w:t>fluoxetin</w:t>
            </w:r>
          </w:p>
        </w:tc>
        <w:tc>
          <w:tcPr>
            <w:tcW w:w="4015" w:type="dxa"/>
          </w:tcPr>
          <w:p w:rsidR="007E19D1" w:rsidRDefault="00F448B6" w:rsidP="00F448B6">
            <w:pPr>
              <w:jc w:val="center"/>
            </w:pPr>
            <w:r>
              <w:t>PROZAC, DEPREX, APO-FLUOXETINE, MAGRILAN, DEPRENON, FLOXET</w:t>
            </w:r>
          </w:p>
        </w:tc>
      </w:tr>
      <w:tr w:rsidR="007E19D1" w:rsidTr="004D58BF">
        <w:trPr>
          <w:trHeight w:val="355"/>
        </w:trPr>
        <w:tc>
          <w:tcPr>
            <w:tcW w:w="4015" w:type="dxa"/>
          </w:tcPr>
          <w:p w:rsidR="007E19D1" w:rsidRDefault="00F448B6" w:rsidP="00F448B6">
            <w:pPr>
              <w:jc w:val="center"/>
            </w:pPr>
            <w:r>
              <w:t>paroxetin</w:t>
            </w:r>
          </w:p>
        </w:tc>
        <w:tc>
          <w:tcPr>
            <w:tcW w:w="4015" w:type="dxa"/>
          </w:tcPr>
          <w:p w:rsidR="007E19D1" w:rsidRDefault="00F448B6" w:rsidP="00F448B6">
            <w:pPr>
              <w:jc w:val="center"/>
            </w:pPr>
            <w:r>
              <w:t>SEROXAT, PAROLEX</w:t>
            </w:r>
          </w:p>
        </w:tc>
      </w:tr>
      <w:tr w:rsidR="007E19D1" w:rsidTr="004D58BF">
        <w:trPr>
          <w:trHeight w:val="355"/>
        </w:trPr>
        <w:tc>
          <w:tcPr>
            <w:tcW w:w="4015" w:type="dxa"/>
          </w:tcPr>
          <w:p w:rsidR="007E19D1" w:rsidRDefault="00F448B6" w:rsidP="00F448B6">
            <w:pPr>
              <w:jc w:val="center"/>
            </w:pPr>
            <w:r>
              <w:t>fluvoxamin</w:t>
            </w:r>
          </w:p>
        </w:tc>
        <w:tc>
          <w:tcPr>
            <w:tcW w:w="4015" w:type="dxa"/>
          </w:tcPr>
          <w:p w:rsidR="007E19D1" w:rsidRDefault="00F448B6" w:rsidP="00F448B6">
            <w:pPr>
              <w:jc w:val="center"/>
            </w:pPr>
            <w:r>
              <w:t>FEVARIN</w:t>
            </w:r>
          </w:p>
        </w:tc>
      </w:tr>
      <w:tr w:rsidR="007E19D1" w:rsidTr="004D58BF">
        <w:trPr>
          <w:trHeight w:val="367"/>
        </w:trPr>
        <w:tc>
          <w:tcPr>
            <w:tcW w:w="4015" w:type="dxa"/>
          </w:tcPr>
          <w:p w:rsidR="007E19D1" w:rsidRDefault="00F448B6" w:rsidP="00F448B6">
            <w:pPr>
              <w:jc w:val="center"/>
            </w:pPr>
            <w:r>
              <w:t>setralin</w:t>
            </w:r>
          </w:p>
        </w:tc>
        <w:tc>
          <w:tcPr>
            <w:tcW w:w="4015" w:type="dxa"/>
          </w:tcPr>
          <w:p w:rsidR="007E19D1" w:rsidRDefault="00F448B6" w:rsidP="00F448B6">
            <w:pPr>
              <w:jc w:val="center"/>
            </w:pPr>
            <w:r>
              <w:t>ZOLOFT, ASENTRA, SETRALIN, IREX, SERLIFT</w:t>
            </w:r>
          </w:p>
        </w:tc>
      </w:tr>
    </w:tbl>
    <w:p w:rsidR="007E19D1" w:rsidRPr="006E59CD" w:rsidRDefault="007E19D1" w:rsidP="006E59CD"/>
    <w:p w:rsidR="008D680B" w:rsidRPr="008D680B" w:rsidRDefault="008D680B" w:rsidP="008D680B"/>
    <w:p w:rsidR="00943B2A" w:rsidRDefault="006139F0" w:rsidP="00B31725">
      <w:pPr>
        <w:rPr>
          <w:rFonts w:cs="Times New Roman"/>
          <w:b/>
          <w:szCs w:val="24"/>
        </w:rPr>
      </w:pPr>
      <w:r w:rsidRPr="000D0BAA">
        <w:rPr>
          <w:rFonts w:cs="Times New Roman"/>
          <w:b/>
          <w:szCs w:val="24"/>
        </w:rPr>
        <w:t xml:space="preserve"> </w:t>
      </w:r>
      <w:r w:rsidR="000D0BAA" w:rsidRPr="000D0BAA">
        <w:rPr>
          <w:rFonts w:cs="Times New Roman"/>
          <w:b/>
          <w:szCs w:val="24"/>
        </w:rPr>
        <w:t>SARI</w:t>
      </w:r>
      <w:r w:rsidR="00471550">
        <w:rPr>
          <w:rFonts w:cs="Times New Roman"/>
          <w:b/>
          <w:szCs w:val="24"/>
        </w:rPr>
        <w:t xml:space="preserve"> (serotoninový antagonisté 5-HT</w:t>
      </w:r>
      <w:r w:rsidR="00471550" w:rsidRPr="00471550">
        <w:rPr>
          <w:rFonts w:cs="Times New Roman"/>
          <w:b/>
          <w:szCs w:val="24"/>
          <w:vertAlign w:val="subscript"/>
        </w:rPr>
        <w:t>2</w:t>
      </w:r>
      <w:r w:rsidR="00471550">
        <w:rPr>
          <w:rFonts w:cs="Times New Roman"/>
          <w:b/>
          <w:szCs w:val="24"/>
        </w:rPr>
        <w:t xml:space="preserve"> a inhibitory reuptake serotoninu)</w:t>
      </w:r>
    </w:p>
    <w:p w:rsidR="00CF5B31" w:rsidRPr="00471550" w:rsidRDefault="00471550" w:rsidP="00471550">
      <w:pPr>
        <w:ind w:firstLine="284"/>
        <w:rPr>
          <w:rFonts w:cs="Times New Roman"/>
          <w:szCs w:val="24"/>
        </w:rPr>
      </w:pPr>
      <w:r>
        <w:rPr>
          <w:rFonts w:cs="Times New Roman"/>
          <w:szCs w:val="24"/>
        </w:rPr>
        <w:t xml:space="preserve">Tyto látky blokují postsynaptické receptory 5-HT </w:t>
      </w:r>
      <w:r>
        <w:rPr>
          <w:rFonts w:cs="Times New Roman"/>
          <w:szCs w:val="24"/>
          <w:vertAlign w:val="subscript"/>
        </w:rPr>
        <w:t xml:space="preserve">2 </w:t>
      </w:r>
      <w:r w:rsidR="00C23DB2">
        <w:rPr>
          <w:rFonts w:cs="Times New Roman"/>
          <w:szCs w:val="24"/>
        </w:rPr>
        <w:t>a jsou slabými i</w:t>
      </w:r>
      <w:r>
        <w:rPr>
          <w:rFonts w:cs="Times New Roman"/>
          <w:szCs w:val="24"/>
        </w:rPr>
        <w:t>n</w:t>
      </w:r>
      <w:r w:rsidR="00C23DB2">
        <w:rPr>
          <w:rFonts w:cs="Times New Roman"/>
          <w:szCs w:val="24"/>
        </w:rPr>
        <w:t>h</w:t>
      </w:r>
      <w:r>
        <w:rPr>
          <w:rFonts w:cs="Times New Roman"/>
          <w:szCs w:val="24"/>
        </w:rPr>
        <w:t>ibitory z</w:t>
      </w:r>
      <w:r w:rsidR="00A435EB">
        <w:rPr>
          <w:rFonts w:cs="Times New Roman"/>
          <w:szCs w:val="24"/>
        </w:rPr>
        <w:t xml:space="preserve">pětného vychytávání serotoninu </w:t>
      </w:r>
      <w:r>
        <w:rPr>
          <w:rFonts w:cs="Times New Roman"/>
          <w:szCs w:val="24"/>
        </w:rPr>
        <w:t>(Raboch, Pavlovský, 2012)</w:t>
      </w:r>
      <w:r w:rsidR="00A435EB">
        <w:rPr>
          <w:rFonts w:cs="Times New Roman"/>
          <w:szCs w:val="24"/>
        </w:rPr>
        <w:t>.</w:t>
      </w:r>
      <w:r>
        <w:rPr>
          <w:rFonts w:cs="Times New Roman"/>
          <w:szCs w:val="24"/>
        </w:rPr>
        <w:t xml:space="preserve"> </w:t>
      </w:r>
      <w:r w:rsidR="00C23DB2">
        <w:rPr>
          <w:rFonts w:cs="Times New Roman"/>
          <w:szCs w:val="24"/>
        </w:rPr>
        <w:t xml:space="preserve">Dostupnou látkou, která se využívá k léčbě depresí je </w:t>
      </w:r>
      <w:r w:rsidR="007C7A35">
        <w:rPr>
          <w:rFonts w:cs="Times New Roman"/>
          <w:szCs w:val="24"/>
        </w:rPr>
        <w:t>trazadon (Trittico). Je možno jej</w:t>
      </w:r>
      <w:r w:rsidR="00C23DB2">
        <w:rPr>
          <w:rFonts w:cs="Times New Roman"/>
          <w:szCs w:val="24"/>
        </w:rPr>
        <w:t xml:space="preserve"> využívat v poměrně širokém terapeutickém rozmezí. Jedná se zejména o rekurentní depresivní poruchy s insomnií, u depresivních pacientů, kteří jsou sexuálně aktivní</w:t>
      </w:r>
      <w:r w:rsidR="00EF2DD6">
        <w:rPr>
          <w:rFonts w:cs="Times New Roman"/>
          <w:szCs w:val="24"/>
        </w:rPr>
        <w:t>,</w:t>
      </w:r>
      <w:r w:rsidR="00C23DB2">
        <w:rPr>
          <w:rFonts w:cs="Times New Roman"/>
          <w:szCs w:val="24"/>
        </w:rPr>
        <w:t xml:space="preserve"> a také v léčbě úzkostí. Nežádoucí účinky, které se mohou při užívání objevit, jsou hypotenze, závratě, sedace, bolesti hlavy, nauzea a synkopa u starších pacientů.  Lék Trittico se může podávat i v kombinaci s jinými antidepresivy. Užívání je bezpečné </w:t>
      </w:r>
      <w:r w:rsidR="00E3661D">
        <w:rPr>
          <w:rFonts w:cs="Times New Roman"/>
          <w:szCs w:val="24"/>
        </w:rPr>
        <w:t>a při předávkování je pouze nízké riziko fat</w:t>
      </w:r>
      <w:r w:rsidR="00A435EB">
        <w:rPr>
          <w:rFonts w:cs="Times New Roman"/>
          <w:szCs w:val="24"/>
        </w:rPr>
        <w:t xml:space="preserve">álních následků </w:t>
      </w:r>
      <w:r w:rsidR="00E3661D">
        <w:rPr>
          <w:rFonts w:cs="Times New Roman"/>
          <w:szCs w:val="24"/>
        </w:rPr>
        <w:t>(Čéšková, 2006)</w:t>
      </w:r>
      <w:r w:rsidR="00A435EB">
        <w:rPr>
          <w:rFonts w:cs="Times New Roman"/>
          <w:szCs w:val="24"/>
        </w:rPr>
        <w:t>.</w:t>
      </w:r>
    </w:p>
    <w:p w:rsidR="00943B2A" w:rsidRPr="008C2C5E" w:rsidRDefault="00943B2A" w:rsidP="00B31725">
      <w:pPr>
        <w:rPr>
          <w:rFonts w:cs="Times New Roman"/>
          <w:b/>
          <w:szCs w:val="24"/>
        </w:rPr>
      </w:pPr>
    </w:p>
    <w:p w:rsidR="00943B2A" w:rsidRDefault="000F27D2" w:rsidP="00B31725">
      <w:pPr>
        <w:rPr>
          <w:rFonts w:cs="Times New Roman"/>
          <w:b/>
          <w:szCs w:val="24"/>
        </w:rPr>
      </w:pPr>
      <w:r>
        <w:rPr>
          <w:rFonts w:cs="Times New Roman"/>
          <w:b/>
          <w:szCs w:val="24"/>
        </w:rPr>
        <w:t>N</w:t>
      </w:r>
      <w:r w:rsidR="007308D2">
        <w:rPr>
          <w:rFonts w:cs="Times New Roman"/>
          <w:b/>
          <w:szCs w:val="24"/>
        </w:rPr>
        <w:t>A</w:t>
      </w:r>
      <w:r w:rsidR="008C2C5E" w:rsidRPr="008C2C5E">
        <w:rPr>
          <w:rFonts w:cs="Times New Roman"/>
          <w:b/>
          <w:szCs w:val="24"/>
        </w:rPr>
        <w:t>RI</w:t>
      </w:r>
      <w:r>
        <w:rPr>
          <w:rFonts w:cs="Times New Roman"/>
          <w:b/>
          <w:szCs w:val="24"/>
        </w:rPr>
        <w:t xml:space="preserve"> (inhibitor </w:t>
      </w:r>
      <w:r w:rsidR="007308D2">
        <w:rPr>
          <w:rFonts w:cs="Times New Roman"/>
          <w:b/>
          <w:szCs w:val="24"/>
        </w:rPr>
        <w:t xml:space="preserve">zpětného vychytávání </w:t>
      </w:r>
      <w:r>
        <w:rPr>
          <w:rFonts w:cs="Times New Roman"/>
          <w:b/>
          <w:szCs w:val="24"/>
        </w:rPr>
        <w:t>noradrenalinu)</w:t>
      </w:r>
    </w:p>
    <w:p w:rsidR="007308D2" w:rsidRDefault="007308D2" w:rsidP="007308D2">
      <w:pPr>
        <w:ind w:firstLine="284"/>
        <w:rPr>
          <w:rFonts w:cs="Times New Roman"/>
          <w:szCs w:val="24"/>
        </w:rPr>
      </w:pPr>
      <w:r>
        <w:rPr>
          <w:rFonts w:cs="Times New Roman"/>
          <w:szCs w:val="24"/>
        </w:rPr>
        <w:t>K antidepresivnímu účinku látek ze skupiny NARI dochází inhibicí zpětného vychytávání noradrenalinu a má také vliv na reuptake serotoninu. Preparát, který se řadí do této skupiny antidepresiv</w:t>
      </w:r>
      <w:r w:rsidR="00EF2DD6">
        <w:rPr>
          <w:rFonts w:cs="Times New Roman"/>
          <w:szCs w:val="24"/>
        </w:rPr>
        <w:t>,</w:t>
      </w:r>
      <w:r>
        <w:rPr>
          <w:rFonts w:cs="Times New Roman"/>
          <w:szCs w:val="24"/>
        </w:rPr>
        <w:t xml:space="preserve"> je reboxetin. V ČR je lék registrován jako Edronax. Hodí se především pro léčbu inhibovaných depresí. </w:t>
      </w:r>
      <w:r w:rsidR="006B55BC">
        <w:rPr>
          <w:rFonts w:cs="Times New Roman"/>
          <w:szCs w:val="24"/>
        </w:rPr>
        <w:t>Jako n</w:t>
      </w:r>
      <w:r>
        <w:rPr>
          <w:rFonts w:cs="Times New Roman"/>
          <w:szCs w:val="24"/>
        </w:rPr>
        <w:t xml:space="preserve">ežádoucí účinky bývají popisovány </w:t>
      </w:r>
      <w:r w:rsidR="006C7321">
        <w:rPr>
          <w:rFonts w:cs="Times New Roman"/>
          <w:szCs w:val="24"/>
        </w:rPr>
        <w:t xml:space="preserve">bolesti hlavy, </w:t>
      </w:r>
      <w:r w:rsidR="006B55BC">
        <w:rPr>
          <w:rFonts w:cs="Times New Roman"/>
          <w:szCs w:val="24"/>
        </w:rPr>
        <w:t xml:space="preserve">sucho v ústech, zácpa, </w:t>
      </w:r>
      <w:r w:rsidR="006C7321">
        <w:rPr>
          <w:rFonts w:cs="Times New Roman"/>
          <w:szCs w:val="24"/>
        </w:rPr>
        <w:t xml:space="preserve">pocení, nevolnost, potíže se spánkem, porucha sexuální funkce a hyponatrémie. Reboxetin by se neměl předepisovat u pacientů užívající antiarytmika, antipsychotika, TCA a některá antibiotika. Kontraindikací k užívání je </w:t>
      </w:r>
      <w:r w:rsidR="006C7321">
        <w:rPr>
          <w:rFonts w:cs="Times New Roman"/>
          <w:szCs w:val="24"/>
        </w:rPr>
        <w:lastRenderedPageBreak/>
        <w:t xml:space="preserve">gravidita a laktace. V klinických studiích byly popsány dva případy předávkování reboxatinem bez </w:t>
      </w:r>
      <w:r w:rsidR="00A435EB">
        <w:rPr>
          <w:rFonts w:cs="Times New Roman"/>
          <w:szCs w:val="24"/>
        </w:rPr>
        <w:t>závažnějších nežádoucích účinků</w:t>
      </w:r>
      <w:r w:rsidR="006C7321">
        <w:rPr>
          <w:rFonts w:cs="Times New Roman"/>
          <w:szCs w:val="24"/>
        </w:rPr>
        <w:t xml:space="preserve"> (Paclt, 2002)</w:t>
      </w:r>
      <w:r w:rsidR="00A435EB">
        <w:rPr>
          <w:rFonts w:cs="Times New Roman"/>
          <w:szCs w:val="24"/>
        </w:rPr>
        <w:t>.</w:t>
      </w:r>
      <w:r w:rsidR="006C7321">
        <w:rPr>
          <w:rFonts w:cs="Times New Roman"/>
          <w:szCs w:val="24"/>
        </w:rPr>
        <w:t xml:space="preserve"> </w:t>
      </w:r>
    </w:p>
    <w:p w:rsidR="00137BC4" w:rsidRPr="007308D2" w:rsidRDefault="00137BC4" w:rsidP="007308D2">
      <w:pPr>
        <w:ind w:firstLine="284"/>
        <w:rPr>
          <w:rFonts w:cs="Times New Roman"/>
          <w:szCs w:val="24"/>
        </w:rPr>
      </w:pPr>
    </w:p>
    <w:p w:rsidR="008C2C5E" w:rsidRDefault="008727CC" w:rsidP="008C2C5E">
      <w:pPr>
        <w:pStyle w:val="Nadpis4"/>
      </w:pPr>
      <w:bookmarkStart w:id="64" w:name="_Toc343360828"/>
      <w:bookmarkStart w:id="65" w:name="_Toc343782753"/>
      <w:bookmarkStart w:id="66" w:name="_Toc353433191"/>
      <w:r>
        <w:t>2</w:t>
      </w:r>
      <w:r w:rsidR="00137BC4">
        <w:t>.3</w:t>
      </w:r>
      <w:r w:rsidR="008C2C5E">
        <w:t>.1 Využití antidepresiv III. generace v ambulantní léčbě deprese</w:t>
      </w:r>
      <w:bookmarkEnd w:id="64"/>
      <w:bookmarkEnd w:id="65"/>
      <w:bookmarkEnd w:id="66"/>
    </w:p>
    <w:p w:rsidR="008C2C5E" w:rsidRDefault="008C2C5E" w:rsidP="006B55BC">
      <w:pPr>
        <w:ind w:firstLine="284"/>
      </w:pPr>
      <w:r>
        <w:t xml:space="preserve">Tato skupina antidepresiv obsahuje mnoho léků, které se dají poměrně efektivně využít </w:t>
      </w:r>
      <w:r w:rsidR="00E14D0B">
        <w:t xml:space="preserve">v ambulantní léčbě. </w:t>
      </w:r>
    </w:p>
    <w:p w:rsidR="00E14D0B" w:rsidRDefault="00E14D0B" w:rsidP="008C2C5E">
      <w:r w:rsidRPr="00E14D0B">
        <w:rPr>
          <w:b/>
        </w:rPr>
        <w:t>SSRI</w:t>
      </w:r>
      <w:r>
        <w:t xml:space="preserve"> je v dnešní době nejvíce předepisovanou</w:t>
      </w:r>
      <w:r w:rsidR="00110E56">
        <w:t xml:space="preserve"> skupinou léků </w:t>
      </w:r>
      <w:r>
        <w:t>v ambulantní léčbě deprese</w:t>
      </w:r>
      <w:r w:rsidR="00110E56">
        <w:t>,</w:t>
      </w:r>
      <w:r>
        <w:t xml:space="preserve"> a to nejen psychiatry, ale i lékaři jin</w:t>
      </w:r>
      <w:r w:rsidR="003F3369">
        <w:t>é odbornosti (Žourková, 2008)</w:t>
      </w:r>
      <w:r w:rsidR="00A435EB">
        <w:t>.</w:t>
      </w:r>
      <w:r w:rsidR="003F3369">
        <w:t xml:space="preserve"> Otázkou je, zda je jejich předepisování vždy </w:t>
      </w:r>
      <w:r w:rsidR="006B55BC">
        <w:t xml:space="preserve">nutné. </w:t>
      </w:r>
    </w:p>
    <w:p w:rsidR="003F3369" w:rsidRDefault="003F3369" w:rsidP="00F40D80">
      <w:pPr>
        <w:ind w:firstLine="284"/>
      </w:pPr>
      <w:r>
        <w:t>Léky patřící do této skupiny jsou doporučovány jako léky první volby.</w:t>
      </w:r>
      <w:r w:rsidR="00275E4C">
        <w:t xml:space="preserve"> </w:t>
      </w:r>
      <w:r w:rsidR="000F27D2">
        <w:t xml:space="preserve">A to zejména z důvodu, že na léčbu </w:t>
      </w:r>
      <w:r w:rsidR="001A2E21">
        <w:t xml:space="preserve">odpovídá </w:t>
      </w:r>
      <w:r w:rsidR="00A435EB">
        <w:t>50-60 % pacientů</w:t>
      </w:r>
      <w:r w:rsidR="00F448B6">
        <w:t xml:space="preserve"> (Čéšková, 2008)</w:t>
      </w:r>
      <w:r w:rsidR="00A435EB">
        <w:t>.</w:t>
      </w:r>
      <w:r w:rsidR="00F448B6">
        <w:t xml:space="preserve"> </w:t>
      </w:r>
      <w:r w:rsidR="00E91326" w:rsidRPr="00F448B6">
        <w:t xml:space="preserve">Pro </w:t>
      </w:r>
      <w:r w:rsidR="008441F4" w:rsidRPr="00F448B6">
        <w:t>výběr</w:t>
      </w:r>
      <w:r w:rsidR="008441F4">
        <w:t xml:space="preserve"> </w:t>
      </w:r>
      <w:r w:rsidR="00E91326">
        <w:t xml:space="preserve">je nutné brát v úvahu několik faktorů. </w:t>
      </w:r>
      <w:r w:rsidR="006B55BC">
        <w:t>Výhodou pro pacienty je</w:t>
      </w:r>
      <w:r w:rsidR="00E91326">
        <w:t xml:space="preserve"> snadné dávkování, malé riziko nežádoucích účinků, cenová dostupnost a nízké riziko interakcí s jinými léky. </w:t>
      </w:r>
      <w:r w:rsidR="002008D7">
        <w:t xml:space="preserve">Oproti antidepresivům I. a II. generace je </w:t>
      </w:r>
      <w:r w:rsidR="00EE715A">
        <w:t>předností malé</w:t>
      </w:r>
      <w:r w:rsidR="002008D7">
        <w:t xml:space="preserve"> riziko předávkování. </w:t>
      </w:r>
      <w:r w:rsidR="00F65589">
        <w:t xml:space="preserve">Mezi nevýhody užívání SSRI je udáván </w:t>
      </w:r>
      <w:r w:rsidR="00A435EB">
        <w:t>častý výskyt sexuální dysfunkce</w:t>
      </w:r>
      <w:r w:rsidR="00F65589">
        <w:t xml:space="preserve"> (Janů, Racková, 2007)</w:t>
      </w:r>
      <w:r w:rsidR="00A435EB">
        <w:t>.</w:t>
      </w:r>
      <w:r w:rsidR="00F65589">
        <w:t xml:space="preserve"> Nezanedbatelné nejsou ani ostatní nežádoucí účinky, které mohou mít vliv na předčasné ukončení léčby. Nedostatečná spolupráce pacienta </w:t>
      </w:r>
      <w:r w:rsidR="00A435EB">
        <w:t>se u SSRI pohybuje okolo 7-23 %</w:t>
      </w:r>
      <w:r w:rsidR="00F65589">
        <w:t xml:space="preserve"> (Praško, Pra</w:t>
      </w:r>
      <w:r w:rsidR="00CF5B31">
        <w:t>šková, 200</w:t>
      </w:r>
      <w:r w:rsidR="001A43D9">
        <w:t>6)</w:t>
      </w:r>
      <w:r w:rsidR="00A435EB">
        <w:t>.</w:t>
      </w:r>
      <w:r w:rsidR="001A43D9">
        <w:t xml:space="preserve"> Zvláštní pozornost je věnován</w:t>
      </w:r>
      <w:r w:rsidR="00CF5B31">
        <w:t xml:space="preserve">a </w:t>
      </w:r>
      <w:r w:rsidR="00F65589" w:rsidRPr="00CF5B31">
        <w:t xml:space="preserve">možnosti </w:t>
      </w:r>
      <w:r w:rsidR="00110E56">
        <w:t>zvýšené</w:t>
      </w:r>
      <w:r w:rsidR="00F65589">
        <w:t>ho</w:t>
      </w:r>
      <w:r w:rsidR="00110E56">
        <w:t xml:space="preserve"> rizi</w:t>
      </w:r>
      <w:r w:rsidR="00F65589">
        <w:t>ka</w:t>
      </w:r>
      <w:r w:rsidR="008441F4">
        <w:t xml:space="preserve"> suicidality při začátku užívání SSRI, kdy je popisován počáteční stimulační efekt antidep</w:t>
      </w:r>
      <w:r w:rsidR="00A435EB">
        <w:t>resivní terapie</w:t>
      </w:r>
      <w:r w:rsidR="008441F4">
        <w:t xml:space="preserve"> (Anders, Roth 2000)</w:t>
      </w:r>
      <w:r w:rsidR="00A435EB">
        <w:t>.</w:t>
      </w:r>
      <w:r w:rsidR="008441F4">
        <w:t xml:space="preserve"> </w:t>
      </w:r>
      <w:r w:rsidR="00F65589">
        <w:t>Praško a Prašková</w:t>
      </w:r>
      <w:r w:rsidR="008441F4">
        <w:t xml:space="preserve"> (2006) naopak uvádějí, že výzkumy a studie, které se možností suicidality u léků SSRI zabývají, </w:t>
      </w:r>
      <w:r w:rsidR="00D46552">
        <w:t>ukazují,</w:t>
      </w:r>
      <w:r w:rsidR="008441F4">
        <w:t xml:space="preserve"> že pokud i nějaký prosuicidální potenciál existuje, je extrémně vzácný. Faktem zůstává, že suicidální riziko je mnoh</w:t>
      </w:r>
      <w:r w:rsidR="00F40D80">
        <w:t>em vyšší u neléčených pacientů.</w:t>
      </w:r>
      <w:r w:rsidR="0086167F">
        <w:t xml:space="preserve"> </w:t>
      </w:r>
    </w:p>
    <w:p w:rsidR="008C2C5E" w:rsidRPr="00875591" w:rsidRDefault="00F40D80" w:rsidP="00875591">
      <w:pPr>
        <w:ind w:firstLine="284"/>
      </w:pPr>
      <w:r>
        <w:t xml:space="preserve">Od roku 2003 do roku 2008 byla spotřeba </w:t>
      </w:r>
      <w:r w:rsidR="00875591">
        <w:t>v </w:t>
      </w:r>
      <w:r>
        <w:t>ČR 9 miliónů balení SSRI. Největší spotřeba byla zaznam</w:t>
      </w:r>
      <w:r w:rsidR="00A435EB">
        <w:t>enána u citalopramu a setralinu</w:t>
      </w:r>
      <w:r>
        <w:t xml:space="preserve"> </w:t>
      </w:r>
      <w:r w:rsidR="00875591">
        <w:t>(Kantorová, 2011)</w:t>
      </w:r>
      <w:r w:rsidR="00A435EB">
        <w:t>.</w:t>
      </w:r>
      <w:r w:rsidR="00875591">
        <w:t xml:space="preserve"> </w:t>
      </w:r>
      <w:r w:rsidR="008441F4">
        <w:t>Dle SÚKL patří mezi nejprodávanější antidepresiva právě Cipralex 10 mg a Citalec 20 mg. (SÚKL, 2008)</w:t>
      </w:r>
    </w:p>
    <w:p w:rsidR="008C2C5E" w:rsidRPr="00E3661D" w:rsidRDefault="00E3661D" w:rsidP="00B31725">
      <w:pPr>
        <w:rPr>
          <w:rFonts w:cs="Times New Roman"/>
          <w:szCs w:val="24"/>
        </w:rPr>
      </w:pPr>
      <w:r>
        <w:rPr>
          <w:rFonts w:cs="Times New Roman"/>
          <w:b/>
          <w:szCs w:val="24"/>
        </w:rPr>
        <w:t xml:space="preserve">SARI </w:t>
      </w:r>
      <w:r>
        <w:rPr>
          <w:rFonts w:cs="Times New Roman"/>
          <w:szCs w:val="24"/>
        </w:rPr>
        <w:t>je skupina, která neobsahuje takové množství látek s antidepresivním účinkem jako SSRI, ale v ambulantní praxi je velmi dobře využitelná. Výhodou pro pacienty je nízké ri</w:t>
      </w:r>
      <w:r w:rsidR="000F27D2">
        <w:rPr>
          <w:rFonts w:cs="Times New Roman"/>
          <w:szCs w:val="24"/>
        </w:rPr>
        <w:t xml:space="preserve">ziko vzniku nežádoucích účinků a </w:t>
      </w:r>
      <w:r>
        <w:rPr>
          <w:rFonts w:cs="Times New Roman"/>
          <w:szCs w:val="24"/>
        </w:rPr>
        <w:t>dobrá</w:t>
      </w:r>
      <w:r w:rsidR="000F27D2">
        <w:rPr>
          <w:rFonts w:cs="Times New Roman"/>
          <w:szCs w:val="24"/>
        </w:rPr>
        <w:t xml:space="preserve"> snášenlivost.</w:t>
      </w:r>
      <w:r>
        <w:rPr>
          <w:rFonts w:cs="Times New Roman"/>
          <w:szCs w:val="24"/>
        </w:rPr>
        <w:t xml:space="preserve"> </w:t>
      </w:r>
      <w:r w:rsidR="000F27D2">
        <w:rPr>
          <w:rFonts w:cs="Times New Roman"/>
          <w:szCs w:val="24"/>
        </w:rPr>
        <w:t>N</w:t>
      </w:r>
      <w:r w:rsidR="005D40F2">
        <w:rPr>
          <w:rFonts w:cs="Times New Roman"/>
          <w:szCs w:val="24"/>
        </w:rPr>
        <w:t xml:space="preserve">avíc </w:t>
      </w:r>
      <w:r>
        <w:rPr>
          <w:rFonts w:cs="Times New Roman"/>
          <w:szCs w:val="24"/>
        </w:rPr>
        <w:t>nepůsobí antic</w:t>
      </w:r>
      <w:r w:rsidR="00A435EB">
        <w:rPr>
          <w:rFonts w:cs="Times New Roman"/>
          <w:szCs w:val="24"/>
        </w:rPr>
        <w:t>holinergně ani antihistaminicky</w:t>
      </w:r>
      <w:r>
        <w:rPr>
          <w:rFonts w:cs="Times New Roman"/>
          <w:szCs w:val="24"/>
        </w:rPr>
        <w:t xml:space="preserve"> (Höschl, 2005)</w:t>
      </w:r>
      <w:r w:rsidR="00A435EB">
        <w:rPr>
          <w:rFonts w:cs="Times New Roman"/>
          <w:szCs w:val="24"/>
        </w:rPr>
        <w:t>.</w:t>
      </w:r>
      <w:r>
        <w:rPr>
          <w:rFonts w:cs="Times New Roman"/>
          <w:szCs w:val="24"/>
        </w:rPr>
        <w:t xml:space="preserve"> Ve studiích je skupina SARI hodnocena pacienty stejně účinně jako látky ze skupiny TCA nebo SSRI. Je možné </w:t>
      </w:r>
      <w:r w:rsidR="00EF7909">
        <w:rPr>
          <w:rFonts w:cs="Times New Roman"/>
          <w:szCs w:val="24"/>
        </w:rPr>
        <w:t xml:space="preserve">je </w:t>
      </w:r>
      <w:r>
        <w:rPr>
          <w:rFonts w:cs="Times New Roman"/>
          <w:szCs w:val="24"/>
        </w:rPr>
        <w:t xml:space="preserve">předepisovat starším a polymorbidním pacientům </w:t>
      </w:r>
      <w:r w:rsidR="005D40F2">
        <w:rPr>
          <w:rFonts w:cs="Times New Roman"/>
          <w:szCs w:val="24"/>
        </w:rPr>
        <w:t xml:space="preserve">s nízkým rizikem interakcí s jinými léky. Mimo jiné má </w:t>
      </w:r>
      <w:r w:rsidR="005D40F2">
        <w:rPr>
          <w:rFonts w:cs="Times New Roman"/>
          <w:szCs w:val="24"/>
        </w:rPr>
        <w:lastRenderedPageBreak/>
        <w:t xml:space="preserve">účinky, které upravují architekturu </w:t>
      </w:r>
      <w:r w:rsidR="00EF7909">
        <w:rPr>
          <w:rFonts w:cs="Times New Roman"/>
          <w:szCs w:val="24"/>
        </w:rPr>
        <w:t>spánku a oproti SSRI nezpůsobují</w:t>
      </w:r>
      <w:r w:rsidR="00A435EB">
        <w:rPr>
          <w:rFonts w:cs="Times New Roman"/>
          <w:szCs w:val="24"/>
        </w:rPr>
        <w:t xml:space="preserve"> sexuální dysfunkci</w:t>
      </w:r>
      <w:r w:rsidR="005D40F2">
        <w:rPr>
          <w:rFonts w:cs="Times New Roman"/>
          <w:szCs w:val="24"/>
        </w:rPr>
        <w:t xml:space="preserve"> (Čéšková, 2006)</w:t>
      </w:r>
      <w:r w:rsidR="00A435EB">
        <w:rPr>
          <w:rFonts w:cs="Times New Roman"/>
          <w:szCs w:val="24"/>
        </w:rPr>
        <w:t>.</w:t>
      </w:r>
      <w:r w:rsidR="000F27D2">
        <w:rPr>
          <w:rFonts w:cs="Times New Roman"/>
          <w:szCs w:val="24"/>
        </w:rPr>
        <w:t xml:space="preserve"> Spotřeba léků </w:t>
      </w:r>
      <w:r w:rsidR="006B55BC">
        <w:rPr>
          <w:rFonts w:cs="Times New Roman"/>
          <w:szCs w:val="24"/>
        </w:rPr>
        <w:t xml:space="preserve">skupiny </w:t>
      </w:r>
      <w:r w:rsidR="000F27D2">
        <w:rPr>
          <w:rFonts w:cs="Times New Roman"/>
          <w:szCs w:val="24"/>
        </w:rPr>
        <w:t>SARI byla v letech 2003-2008 necelých 460 tisíc balení (Kantorová, 2011)</w:t>
      </w:r>
      <w:r w:rsidR="00A435EB">
        <w:rPr>
          <w:rFonts w:cs="Times New Roman"/>
          <w:szCs w:val="24"/>
        </w:rPr>
        <w:t>.</w:t>
      </w:r>
      <w:r w:rsidR="000F27D2">
        <w:rPr>
          <w:rFonts w:cs="Times New Roman"/>
          <w:szCs w:val="24"/>
        </w:rPr>
        <w:t xml:space="preserve"> Což je mnohonásobně méně než spotřeba léků ze skupiny SSRI. </w:t>
      </w:r>
    </w:p>
    <w:p w:rsidR="004875DD" w:rsidRDefault="00C510AA" w:rsidP="007C7A35">
      <w:pPr>
        <w:ind w:firstLine="284"/>
        <w:rPr>
          <w:rFonts w:cs="Times New Roman"/>
          <w:szCs w:val="24"/>
        </w:rPr>
      </w:pPr>
      <w:r>
        <w:rPr>
          <w:rFonts w:cs="Times New Roman"/>
          <w:b/>
          <w:szCs w:val="24"/>
        </w:rPr>
        <w:t xml:space="preserve">NARI </w:t>
      </w:r>
      <w:r>
        <w:rPr>
          <w:rFonts w:cs="Times New Roman"/>
          <w:szCs w:val="24"/>
        </w:rPr>
        <w:t xml:space="preserve">se v ambulantní léčbě deprese spíše nevyužívá. Vzhledem k poměrně širokému spektru nežádoucích účinků a interakcí s jinými léky nebývá příliš oblíben. Dle British Medical Journal </w:t>
      </w:r>
      <w:r w:rsidR="006B55BC">
        <w:rPr>
          <w:rFonts w:cs="Times New Roman"/>
          <w:szCs w:val="24"/>
        </w:rPr>
        <w:t xml:space="preserve">(2010) </w:t>
      </w:r>
      <w:r>
        <w:rPr>
          <w:rFonts w:cs="Times New Roman"/>
          <w:szCs w:val="24"/>
        </w:rPr>
        <w:t>je preparát reboxetin v léčbě deprese neúčinný a dokonce potenciálně škodlivý. Navíc se řadí mez</w:t>
      </w:r>
      <w:r w:rsidR="00002352">
        <w:rPr>
          <w:rFonts w:cs="Times New Roman"/>
          <w:szCs w:val="24"/>
        </w:rPr>
        <w:t>i medikamenty</w:t>
      </w:r>
      <w:r>
        <w:rPr>
          <w:rFonts w:cs="Times New Roman"/>
          <w:szCs w:val="24"/>
        </w:rPr>
        <w:t xml:space="preserve"> s nejv</w:t>
      </w:r>
      <w:r w:rsidR="00A435EB">
        <w:rPr>
          <w:rFonts w:cs="Times New Roman"/>
          <w:szCs w:val="24"/>
        </w:rPr>
        <w:t>yšší mírou předčasného vysazení.</w:t>
      </w:r>
      <w:r>
        <w:rPr>
          <w:rFonts w:cs="Times New Roman"/>
          <w:szCs w:val="24"/>
        </w:rPr>
        <w:t xml:space="preserve"> </w:t>
      </w:r>
      <w:r w:rsidR="00002352">
        <w:rPr>
          <w:rFonts w:cs="Times New Roman"/>
          <w:szCs w:val="24"/>
        </w:rPr>
        <w:t>Paclt (2002) také uvádí, že př</w:t>
      </w:r>
      <w:r w:rsidR="00B57E80">
        <w:rPr>
          <w:rFonts w:cs="Times New Roman"/>
          <w:szCs w:val="24"/>
        </w:rPr>
        <w:t>i užívání reboxetinu by pacienti</w:t>
      </w:r>
      <w:r w:rsidR="00002352">
        <w:rPr>
          <w:rFonts w:cs="Times New Roman"/>
          <w:szCs w:val="24"/>
        </w:rPr>
        <w:t xml:space="preserve"> neměli řídit motorová vozidla nebo pracovat na stroji. </w:t>
      </w:r>
      <w:r w:rsidR="00EF7909">
        <w:rPr>
          <w:rFonts w:cs="Times New Roman"/>
          <w:szCs w:val="24"/>
        </w:rPr>
        <w:t xml:space="preserve">Pro řadu pacientů je tedy nevhodný k užívání. </w:t>
      </w:r>
    </w:p>
    <w:p w:rsidR="00137BC4" w:rsidRDefault="00137BC4" w:rsidP="004875DD">
      <w:pPr>
        <w:rPr>
          <w:rFonts w:cs="Times New Roman"/>
          <w:szCs w:val="24"/>
        </w:rPr>
      </w:pPr>
    </w:p>
    <w:p w:rsidR="00B57E80" w:rsidRDefault="008727CC" w:rsidP="00137BC4">
      <w:pPr>
        <w:pStyle w:val="Nadpis3"/>
      </w:pPr>
      <w:bookmarkStart w:id="67" w:name="_Toc343782754"/>
      <w:bookmarkStart w:id="68" w:name="_Toc353433192"/>
      <w:r>
        <w:t>2</w:t>
      </w:r>
      <w:r w:rsidR="00B57E80">
        <w:t>.4 Antidepresiva IV. generace</w:t>
      </w:r>
      <w:bookmarkEnd w:id="67"/>
      <w:bookmarkEnd w:id="68"/>
    </w:p>
    <w:p w:rsidR="00B57E80" w:rsidRDefault="00B57E80" w:rsidP="00B57E80">
      <w:r>
        <w:t>Skupiny léků řadících s</w:t>
      </w:r>
      <w:r w:rsidR="00681126">
        <w:t>e do této generace antidepresiv</w:t>
      </w:r>
      <w:r>
        <w:t xml:space="preserve"> jsou SNRI, NaSSa a NDRI.</w:t>
      </w:r>
    </w:p>
    <w:p w:rsidR="00C71C52" w:rsidRDefault="00C71C52" w:rsidP="00B57E80"/>
    <w:p w:rsidR="00B57E80" w:rsidRPr="00C71C52" w:rsidRDefault="00C71C52" w:rsidP="00B57E80">
      <w:pPr>
        <w:rPr>
          <w:b/>
        </w:rPr>
      </w:pPr>
      <w:r>
        <w:rPr>
          <w:b/>
        </w:rPr>
        <w:t>SNRI (Inhibitory zpětného vychytávání serotoninu a noradrenalinu)</w:t>
      </w:r>
    </w:p>
    <w:p w:rsidR="00B57E80" w:rsidRDefault="00EF3E25" w:rsidP="006C7321">
      <w:pPr>
        <w:ind w:firstLine="284"/>
        <w:rPr>
          <w:rFonts w:cs="Times New Roman"/>
          <w:szCs w:val="24"/>
        </w:rPr>
      </w:pPr>
      <w:r>
        <w:rPr>
          <w:rFonts w:cs="Times New Roman"/>
          <w:szCs w:val="24"/>
        </w:rPr>
        <w:t xml:space="preserve">Látky </w:t>
      </w:r>
      <w:r w:rsidR="008959A7">
        <w:rPr>
          <w:rFonts w:cs="Times New Roman"/>
          <w:szCs w:val="24"/>
        </w:rPr>
        <w:t>této skupiny jsou terapeuticky efektivní</w:t>
      </w:r>
      <w:r w:rsidR="00C71C52">
        <w:rPr>
          <w:rFonts w:cs="Times New Roman"/>
          <w:szCs w:val="24"/>
        </w:rPr>
        <w:t xml:space="preserve"> tím, že v menších dávkách blokují zpětné vychytávání serotoninu, ve vyšších dávkách též noradrenalinu a </w:t>
      </w:r>
      <w:r w:rsidR="00A435EB">
        <w:rPr>
          <w:rFonts w:cs="Times New Roman"/>
          <w:szCs w:val="24"/>
        </w:rPr>
        <w:t>v nejvyšších dávkách i dopaminu</w:t>
      </w:r>
      <w:r w:rsidR="00C71C52">
        <w:rPr>
          <w:rFonts w:cs="Times New Roman"/>
          <w:szCs w:val="24"/>
        </w:rPr>
        <w:t xml:space="preserve"> </w:t>
      </w:r>
      <w:r w:rsidR="008959A7">
        <w:rPr>
          <w:rFonts w:cs="Times New Roman"/>
          <w:szCs w:val="24"/>
        </w:rPr>
        <w:t>(Raboch, Pavlovský, 2012)</w:t>
      </w:r>
      <w:r w:rsidR="00A435EB">
        <w:rPr>
          <w:rFonts w:cs="Times New Roman"/>
          <w:szCs w:val="24"/>
        </w:rPr>
        <w:t>.</w:t>
      </w:r>
      <w:r w:rsidR="008959A7">
        <w:rPr>
          <w:rFonts w:cs="Times New Roman"/>
          <w:szCs w:val="24"/>
        </w:rPr>
        <w:t xml:space="preserve"> Indikace k léč</w:t>
      </w:r>
      <w:r>
        <w:rPr>
          <w:rFonts w:cs="Times New Roman"/>
          <w:szCs w:val="24"/>
        </w:rPr>
        <w:t>bě SNRI jsou závažnější deprese. V</w:t>
      </w:r>
      <w:r w:rsidR="008959A7">
        <w:rPr>
          <w:rFonts w:cs="Times New Roman"/>
          <w:szCs w:val="24"/>
        </w:rPr>
        <w:t xml:space="preserve">ětšinou léky z této skupiny psychiatr volí </w:t>
      </w:r>
      <w:r>
        <w:rPr>
          <w:rFonts w:cs="Times New Roman"/>
          <w:szCs w:val="24"/>
        </w:rPr>
        <w:t xml:space="preserve">až </w:t>
      </w:r>
      <w:r w:rsidR="008959A7">
        <w:rPr>
          <w:rFonts w:cs="Times New Roman"/>
          <w:szCs w:val="24"/>
        </w:rPr>
        <w:t>po neúspěšné léčbě SSRI. Nežádoucí účinky, které se mohou u pacientů objevit, jsou nauzea, bolesti hlavy, nespavost, sucho v ústech, sexuální dysfunkce, pocení, časté močení, nervozita a úzkost</w:t>
      </w:r>
      <w:r w:rsidR="00C2692E">
        <w:rPr>
          <w:rFonts w:cs="Times New Roman"/>
          <w:szCs w:val="24"/>
        </w:rPr>
        <w:t>nost. SNRI by neměly</w:t>
      </w:r>
      <w:r w:rsidR="008959A7">
        <w:rPr>
          <w:rFonts w:cs="Times New Roman"/>
          <w:szCs w:val="24"/>
        </w:rPr>
        <w:t xml:space="preserve"> být předepisovány gravidním a kojícím ženám a jedincům do 18 let. Další kontraindikací je </w:t>
      </w:r>
      <w:r w:rsidR="00C2692E">
        <w:rPr>
          <w:rFonts w:cs="Times New Roman"/>
          <w:szCs w:val="24"/>
        </w:rPr>
        <w:t>současné užívání IMAO, z důvodu rizika vzniku serotoninového syndromu. Zvláštní opatrnost by měla být dodržována u starších pacientů, u kterých mohou být přítomny závratě nebo ortostatická hypotenze</w:t>
      </w:r>
      <w:r>
        <w:rPr>
          <w:rFonts w:cs="Times New Roman"/>
          <w:szCs w:val="24"/>
        </w:rPr>
        <w:t>,</w:t>
      </w:r>
      <w:r w:rsidR="00C2692E">
        <w:rPr>
          <w:rFonts w:cs="Times New Roman"/>
          <w:szCs w:val="24"/>
        </w:rPr>
        <w:t xml:space="preserve"> a také u jedinců s renálním poškozením a epilepsií. Při náhlém vysazení léků může být přítomna bolest hlavy, nespavost, průjem, neklid, zma</w:t>
      </w:r>
      <w:r w:rsidR="00A435EB">
        <w:rPr>
          <w:rFonts w:cs="Times New Roman"/>
          <w:szCs w:val="24"/>
        </w:rPr>
        <w:t>tenost, vertigo nebo parestezie (Paclt, 2002).</w:t>
      </w:r>
    </w:p>
    <w:p w:rsidR="00C2692E" w:rsidRDefault="00C2692E" w:rsidP="00C2692E">
      <w:pPr>
        <w:ind w:firstLine="284"/>
        <w:rPr>
          <w:rFonts w:cs="Times New Roman"/>
          <w:szCs w:val="24"/>
        </w:rPr>
      </w:pPr>
      <w:r>
        <w:rPr>
          <w:rFonts w:cs="Times New Roman"/>
          <w:szCs w:val="24"/>
        </w:rPr>
        <w:t xml:space="preserve">Do této skupiny patří </w:t>
      </w:r>
      <w:r w:rsidR="00A435EB">
        <w:rPr>
          <w:rFonts w:cs="Times New Roman"/>
          <w:szCs w:val="24"/>
        </w:rPr>
        <w:t xml:space="preserve">látky venlaflaxin a milnacipram </w:t>
      </w:r>
      <w:r>
        <w:rPr>
          <w:rFonts w:cs="Times New Roman"/>
          <w:szCs w:val="24"/>
        </w:rPr>
        <w:t>(Čéšková, 20</w:t>
      </w:r>
      <w:r w:rsidR="00A435EB">
        <w:rPr>
          <w:rFonts w:cs="Times New Roman"/>
          <w:szCs w:val="24"/>
        </w:rPr>
        <w:t>08).</w:t>
      </w:r>
    </w:p>
    <w:p w:rsidR="00EE3EDF" w:rsidRDefault="00EE3EDF" w:rsidP="00C2692E">
      <w:pPr>
        <w:ind w:firstLine="284"/>
        <w:rPr>
          <w:rFonts w:cs="Times New Roman"/>
          <w:szCs w:val="24"/>
        </w:rPr>
      </w:pPr>
    </w:p>
    <w:p w:rsidR="00C13421" w:rsidRDefault="00C13421" w:rsidP="00C2692E">
      <w:pPr>
        <w:ind w:firstLine="284"/>
        <w:rPr>
          <w:rFonts w:cs="Times New Roman"/>
          <w:szCs w:val="24"/>
        </w:rPr>
      </w:pPr>
    </w:p>
    <w:p w:rsidR="004D58BF" w:rsidRDefault="004D58BF" w:rsidP="00C2692E">
      <w:pPr>
        <w:ind w:firstLine="284"/>
        <w:rPr>
          <w:rFonts w:cs="Times New Roman"/>
          <w:szCs w:val="24"/>
        </w:rPr>
      </w:pPr>
    </w:p>
    <w:p w:rsidR="00C13421" w:rsidRDefault="00C13421" w:rsidP="00C2692E">
      <w:pPr>
        <w:ind w:firstLine="284"/>
        <w:rPr>
          <w:rFonts w:cs="Times New Roman"/>
          <w:szCs w:val="24"/>
        </w:rPr>
      </w:pPr>
      <w:r>
        <w:rPr>
          <w:rFonts w:cs="Times New Roman"/>
          <w:szCs w:val="24"/>
        </w:rPr>
        <w:t> </w:t>
      </w:r>
    </w:p>
    <w:p w:rsidR="00EE3EDF" w:rsidRDefault="00EF2DD6" w:rsidP="00C2692E">
      <w:pPr>
        <w:ind w:firstLine="284"/>
        <w:rPr>
          <w:rFonts w:cs="Times New Roman"/>
          <w:b/>
          <w:szCs w:val="24"/>
        </w:rPr>
      </w:pPr>
      <w:r>
        <w:rPr>
          <w:rFonts w:cs="Times New Roman"/>
          <w:b/>
          <w:szCs w:val="24"/>
        </w:rPr>
        <w:lastRenderedPageBreak/>
        <w:t>NaSSa</w:t>
      </w:r>
      <w:r w:rsidR="00EE3EDF">
        <w:rPr>
          <w:rFonts w:cs="Times New Roman"/>
          <w:b/>
          <w:szCs w:val="24"/>
        </w:rPr>
        <w:t xml:space="preserve"> (</w:t>
      </w:r>
      <w:r w:rsidR="001508A3">
        <w:rPr>
          <w:rFonts w:cs="Times New Roman"/>
          <w:b/>
          <w:szCs w:val="24"/>
        </w:rPr>
        <w:t>noradrenergní a specifická serotoninergní antidepresiva)</w:t>
      </w:r>
    </w:p>
    <w:p w:rsidR="001508A3" w:rsidRDefault="001508A3" w:rsidP="00C2692E">
      <w:pPr>
        <w:ind w:firstLine="284"/>
        <w:rPr>
          <w:rFonts w:cs="Times New Roman"/>
          <w:szCs w:val="24"/>
        </w:rPr>
      </w:pPr>
      <w:r>
        <w:rPr>
          <w:rFonts w:cs="Times New Roman"/>
          <w:szCs w:val="24"/>
        </w:rPr>
        <w:t>Léky této skupiny blokují α</w:t>
      </w:r>
      <w:r>
        <w:rPr>
          <w:rFonts w:cs="Times New Roman"/>
          <w:szCs w:val="24"/>
          <w:vertAlign w:val="subscript"/>
        </w:rPr>
        <w:t>2</w:t>
      </w:r>
      <w:r>
        <w:rPr>
          <w:rFonts w:cs="Times New Roman"/>
          <w:szCs w:val="24"/>
        </w:rPr>
        <w:t>-autoreceptory, a tím dochází ke zvýšené syntéze a uvolňování příslušných neurotransmiterů. Rovněž ovlivňují 5-HT</w:t>
      </w:r>
      <w:r>
        <w:rPr>
          <w:rFonts w:cs="Times New Roman"/>
          <w:szCs w:val="24"/>
          <w:vertAlign w:val="subscript"/>
        </w:rPr>
        <w:t xml:space="preserve">2α </w:t>
      </w:r>
      <w:r w:rsidR="00EF3E25">
        <w:rPr>
          <w:rFonts w:cs="Times New Roman"/>
          <w:szCs w:val="24"/>
        </w:rPr>
        <w:t>receptory, to</w:t>
      </w:r>
      <w:r>
        <w:rPr>
          <w:rFonts w:cs="Times New Roman"/>
          <w:szCs w:val="24"/>
        </w:rPr>
        <w:t xml:space="preserve"> má příznivý vliv na sexuální funkce a dále působí na 5-HT</w:t>
      </w:r>
      <w:r>
        <w:rPr>
          <w:rFonts w:cs="Times New Roman"/>
          <w:szCs w:val="24"/>
          <w:vertAlign w:val="subscript"/>
        </w:rPr>
        <w:t xml:space="preserve">3 </w:t>
      </w:r>
      <w:r>
        <w:rPr>
          <w:rFonts w:cs="Times New Roman"/>
          <w:szCs w:val="24"/>
        </w:rPr>
        <w:t>recep</w:t>
      </w:r>
      <w:r w:rsidR="00A435EB">
        <w:rPr>
          <w:rFonts w:cs="Times New Roman"/>
          <w:szCs w:val="24"/>
        </w:rPr>
        <w:t>tory, které brání vzniku nauzey</w:t>
      </w:r>
      <w:r>
        <w:rPr>
          <w:rFonts w:cs="Times New Roman"/>
          <w:szCs w:val="24"/>
        </w:rPr>
        <w:t xml:space="preserve"> (Raboch, Pavlovský, 2012)</w:t>
      </w:r>
      <w:r w:rsidR="00A435EB">
        <w:rPr>
          <w:rFonts w:cs="Times New Roman"/>
          <w:szCs w:val="24"/>
        </w:rPr>
        <w:t>.</w:t>
      </w:r>
      <w:r>
        <w:rPr>
          <w:rFonts w:cs="Times New Roman"/>
          <w:szCs w:val="24"/>
        </w:rPr>
        <w:t xml:space="preserve"> </w:t>
      </w:r>
      <w:r w:rsidR="001F67AD">
        <w:rPr>
          <w:rFonts w:cs="Times New Roman"/>
          <w:szCs w:val="24"/>
        </w:rPr>
        <w:t>Antidepresivní látka, zastupující tuto skupinu se nazývá mirtaz</w:t>
      </w:r>
      <w:r w:rsidR="00EF2DD6">
        <w:rPr>
          <w:rFonts w:cs="Times New Roman"/>
          <w:szCs w:val="24"/>
        </w:rPr>
        <w:t>apin</w:t>
      </w:r>
      <w:r w:rsidR="001F67AD">
        <w:rPr>
          <w:rFonts w:cs="Times New Roman"/>
          <w:szCs w:val="24"/>
        </w:rPr>
        <w:t xml:space="preserve"> a </w:t>
      </w:r>
      <w:r w:rsidR="00EF3E25">
        <w:rPr>
          <w:rFonts w:cs="Times New Roman"/>
          <w:szCs w:val="24"/>
        </w:rPr>
        <w:t>je považována</w:t>
      </w:r>
      <w:r w:rsidR="00A435EB">
        <w:rPr>
          <w:rFonts w:cs="Times New Roman"/>
          <w:szCs w:val="24"/>
        </w:rPr>
        <w:t xml:space="preserve"> za zcela unikátní svými účinky </w:t>
      </w:r>
      <w:r w:rsidR="001F67AD">
        <w:rPr>
          <w:rFonts w:cs="Times New Roman"/>
          <w:szCs w:val="24"/>
        </w:rPr>
        <w:t>(Raboch, Jirák, Paclt, 2005). Indikací k léčbě jsou středně těžké a těžké epizody depresivní poruchy, spojené s insomnií, tenzí a anxietou eventuelně se sexuální dysfunkcí. Nežádoucí účinky, které se mohou vyskytnout, jsou signifikantně menší než například u TCA. Časté jsou somnolence, zvýšená únavnost, zvýšená chuť k jídlu spojená s přibíráním na v</w:t>
      </w:r>
      <w:r w:rsidR="00A435EB">
        <w:rPr>
          <w:rFonts w:cs="Times New Roman"/>
          <w:szCs w:val="24"/>
        </w:rPr>
        <w:t>áze, sucho v ústech a obstipace</w:t>
      </w:r>
      <w:r w:rsidR="001F67AD">
        <w:rPr>
          <w:rFonts w:cs="Times New Roman"/>
          <w:szCs w:val="24"/>
        </w:rPr>
        <w:t xml:space="preserve"> (Anders, Kitzlerová, 2004)</w:t>
      </w:r>
      <w:r w:rsidR="00A435EB">
        <w:rPr>
          <w:rFonts w:cs="Times New Roman"/>
          <w:szCs w:val="24"/>
        </w:rPr>
        <w:t>.</w:t>
      </w:r>
      <w:r w:rsidR="001F67AD">
        <w:rPr>
          <w:rFonts w:cs="Times New Roman"/>
          <w:szCs w:val="24"/>
        </w:rPr>
        <w:t xml:space="preserve"> Kontraindikací k léčbě je užívání IMAO, epilepsie, renální poškození, bipolární poruchy, diabetes me</w:t>
      </w:r>
      <w:r w:rsidR="00A435EB">
        <w:rPr>
          <w:rFonts w:cs="Times New Roman"/>
          <w:szCs w:val="24"/>
        </w:rPr>
        <w:t>llitus a psychotická onemocnění</w:t>
      </w:r>
      <w:r w:rsidR="001F67AD">
        <w:rPr>
          <w:rFonts w:cs="Times New Roman"/>
          <w:szCs w:val="24"/>
        </w:rPr>
        <w:t xml:space="preserve"> (Paclt, </w:t>
      </w:r>
      <w:r w:rsidR="000F2F10">
        <w:rPr>
          <w:rFonts w:cs="Times New Roman"/>
          <w:szCs w:val="24"/>
        </w:rPr>
        <w:t>2002)</w:t>
      </w:r>
      <w:r w:rsidR="00A435EB">
        <w:rPr>
          <w:rFonts w:cs="Times New Roman"/>
          <w:szCs w:val="24"/>
        </w:rPr>
        <w:t>.</w:t>
      </w:r>
      <w:r w:rsidR="001F67AD">
        <w:rPr>
          <w:rFonts w:cs="Times New Roman"/>
          <w:szCs w:val="24"/>
        </w:rPr>
        <w:t xml:space="preserve"> Nedoporučuje se užívat tuto látku gravidním a kojícím ženám, i když nebyly prováděny studie, které by mohly potvrdit negativní vliv na plod. </w:t>
      </w:r>
      <w:r w:rsidR="000F2F10">
        <w:rPr>
          <w:rFonts w:cs="Times New Roman"/>
          <w:szCs w:val="24"/>
        </w:rPr>
        <w:t>Při předčasném ukončení léčby dochází k syndromu z vysazení. Ten je doprovázen závratěmi, cefalgiemi, anxietou, p</w:t>
      </w:r>
      <w:r w:rsidR="00A435EB">
        <w:rPr>
          <w:rFonts w:cs="Times New Roman"/>
          <w:szCs w:val="24"/>
        </w:rPr>
        <w:t xml:space="preserve">aresteziemi, únavou a insomnií </w:t>
      </w:r>
      <w:r w:rsidR="000F2F10">
        <w:rPr>
          <w:rFonts w:cs="Times New Roman"/>
          <w:szCs w:val="24"/>
        </w:rPr>
        <w:t>(Anders, Kitzlerová, 2004)</w:t>
      </w:r>
      <w:r w:rsidR="00A435EB">
        <w:rPr>
          <w:rFonts w:cs="Times New Roman"/>
          <w:szCs w:val="24"/>
        </w:rPr>
        <w:t>.</w:t>
      </w:r>
    </w:p>
    <w:p w:rsidR="00B57E80" w:rsidRDefault="00B57E80" w:rsidP="004875DD">
      <w:pPr>
        <w:rPr>
          <w:rFonts w:cs="Times New Roman"/>
          <w:szCs w:val="24"/>
        </w:rPr>
      </w:pPr>
    </w:p>
    <w:p w:rsidR="004875DD" w:rsidRDefault="004875DD" w:rsidP="004875DD">
      <w:pPr>
        <w:rPr>
          <w:rFonts w:cs="Times New Roman"/>
          <w:b/>
          <w:szCs w:val="24"/>
        </w:rPr>
      </w:pPr>
      <w:r w:rsidRPr="004875DD">
        <w:rPr>
          <w:rFonts w:cs="Times New Roman"/>
          <w:b/>
          <w:szCs w:val="24"/>
        </w:rPr>
        <w:t>NDRI (Inhibitory zpětného vychytávání noradrenalinu a dopaminu</w:t>
      </w:r>
      <w:r>
        <w:rPr>
          <w:rFonts w:cs="Times New Roman"/>
          <w:b/>
          <w:szCs w:val="24"/>
        </w:rPr>
        <w:t>)</w:t>
      </w:r>
    </w:p>
    <w:p w:rsidR="004875DD" w:rsidRPr="004875DD" w:rsidRDefault="004875DD" w:rsidP="00BF4FDF">
      <w:pPr>
        <w:ind w:firstLine="284"/>
        <w:rPr>
          <w:rFonts w:cs="Times New Roman"/>
          <w:szCs w:val="24"/>
        </w:rPr>
      </w:pPr>
      <w:r>
        <w:rPr>
          <w:rFonts w:cs="Times New Roman"/>
          <w:szCs w:val="24"/>
        </w:rPr>
        <w:t xml:space="preserve">Tento mechanismus účinků má látka </w:t>
      </w:r>
      <w:r w:rsidR="008263B3">
        <w:rPr>
          <w:rFonts w:cs="Times New Roman"/>
          <w:szCs w:val="24"/>
        </w:rPr>
        <w:t>bupropion</w:t>
      </w:r>
      <w:r w:rsidR="00EF3E25">
        <w:rPr>
          <w:rFonts w:cs="Times New Roman"/>
          <w:szCs w:val="24"/>
        </w:rPr>
        <w:t>. Ta</w:t>
      </w:r>
      <w:r>
        <w:rPr>
          <w:rFonts w:cs="Times New Roman"/>
          <w:szCs w:val="24"/>
        </w:rPr>
        <w:t xml:space="preserve"> inhibuje zpětné vychy</w:t>
      </w:r>
      <w:r w:rsidR="00A435EB">
        <w:rPr>
          <w:rFonts w:cs="Times New Roman"/>
          <w:szCs w:val="24"/>
        </w:rPr>
        <w:t>távání noradrenalinu a dopaminu</w:t>
      </w:r>
      <w:r>
        <w:rPr>
          <w:rFonts w:cs="Times New Roman"/>
          <w:szCs w:val="24"/>
        </w:rPr>
        <w:t xml:space="preserve"> </w:t>
      </w:r>
      <w:r w:rsidR="008263B3">
        <w:rPr>
          <w:rFonts w:cs="Times New Roman"/>
          <w:szCs w:val="24"/>
        </w:rPr>
        <w:t>(Raboch, Jirák, Paclt, 2005)</w:t>
      </w:r>
      <w:r w:rsidR="00A435EB">
        <w:rPr>
          <w:rFonts w:cs="Times New Roman"/>
          <w:szCs w:val="24"/>
        </w:rPr>
        <w:t>.</w:t>
      </w:r>
      <w:r w:rsidR="008263B3">
        <w:rPr>
          <w:rFonts w:cs="Times New Roman"/>
          <w:szCs w:val="24"/>
        </w:rPr>
        <w:t xml:space="preserve"> </w:t>
      </w:r>
      <w:r w:rsidR="00BF4FDF">
        <w:rPr>
          <w:rFonts w:cs="Times New Roman"/>
          <w:szCs w:val="24"/>
        </w:rPr>
        <w:t>Indi</w:t>
      </w:r>
      <w:r w:rsidR="00EF3E25">
        <w:rPr>
          <w:rFonts w:cs="Times New Roman"/>
          <w:szCs w:val="24"/>
        </w:rPr>
        <w:t>kací k léčbě jsou deprese různé závažnosti</w:t>
      </w:r>
      <w:r w:rsidR="00BF4FDF">
        <w:rPr>
          <w:rFonts w:cs="Times New Roman"/>
          <w:szCs w:val="24"/>
        </w:rPr>
        <w:t xml:space="preserve"> </w:t>
      </w:r>
      <w:r w:rsidR="00EF3E25">
        <w:rPr>
          <w:rFonts w:cs="Times New Roman"/>
          <w:szCs w:val="24"/>
        </w:rPr>
        <w:t>a sezónní deprese. M</w:t>
      </w:r>
      <w:r w:rsidR="00BF4FDF">
        <w:rPr>
          <w:rFonts w:cs="Times New Roman"/>
          <w:szCs w:val="24"/>
        </w:rPr>
        <w:t>á také pozitivní účinek na snížení cravingu</w:t>
      </w:r>
      <w:r w:rsidR="00A435EB">
        <w:rPr>
          <w:rStyle w:val="Znakapoznpodarou"/>
          <w:rFonts w:cs="Times New Roman"/>
          <w:szCs w:val="24"/>
        </w:rPr>
        <w:footnoteReference w:id="22"/>
      </w:r>
      <w:r w:rsidR="00BF4FDF">
        <w:rPr>
          <w:rFonts w:cs="Times New Roman"/>
          <w:szCs w:val="24"/>
        </w:rPr>
        <w:t xml:space="preserve"> u kouření. Nežádoucí účinky, které se mohou objevit, jsou ospalost, sucho v ústech, závrať, bolesti hlavy, nevolnost, zvracení, hubnutí, zácpa nebo nadměrné pocení. (National Institute o</w:t>
      </w:r>
      <w:r w:rsidR="004B6FD8">
        <w:rPr>
          <w:rFonts w:cs="Times New Roman"/>
          <w:szCs w:val="24"/>
        </w:rPr>
        <w:t>f Health, 2009</w:t>
      </w:r>
      <w:r w:rsidR="00EF3E25">
        <w:rPr>
          <w:rFonts w:cs="Times New Roman"/>
          <w:szCs w:val="24"/>
        </w:rPr>
        <w:t>) Kontraindikací v</w:t>
      </w:r>
      <w:r w:rsidR="00BF4FDF">
        <w:rPr>
          <w:rFonts w:cs="Times New Roman"/>
          <w:szCs w:val="24"/>
        </w:rPr>
        <w:t xml:space="preserve"> léčbě bývá uváděna epilepsie, posttraumatické stavy a poruchy přijmu potravy. Z lékových interakcí se nesmí podávat u pacientů užívajících IMAO, stimulancia nebo anorektika, lihtium a clozapin. </w:t>
      </w:r>
      <w:r w:rsidR="00EF2DD6">
        <w:rPr>
          <w:rFonts w:cs="Times New Roman"/>
          <w:szCs w:val="24"/>
        </w:rPr>
        <w:t>Bupropion se nedoporučuje užívat gravidním nebo kojícím</w:t>
      </w:r>
      <w:r w:rsidR="00BF4FDF">
        <w:rPr>
          <w:rFonts w:cs="Times New Roman"/>
          <w:szCs w:val="24"/>
        </w:rPr>
        <w:t>, i když nebyla prováděna studie, která by potvrdila účinky na plod. (Paclt, 2002)</w:t>
      </w:r>
    </w:p>
    <w:p w:rsidR="004875DD" w:rsidRPr="004875DD" w:rsidRDefault="004875DD" w:rsidP="004875DD">
      <w:pPr>
        <w:rPr>
          <w:rFonts w:cs="Times New Roman"/>
          <w:szCs w:val="24"/>
        </w:rPr>
      </w:pPr>
    </w:p>
    <w:p w:rsidR="00B57E80" w:rsidRDefault="008727CC" w:rsidP="00C2692E">
      <w:pPr>
        <w:pStyle w:val="Nadpis5"/>
      </w:pPr>
      <w:bookmarkStart w:id="69" w:name="_Toc343782755"/>
      <w:bookmarkStart w:id="70" w:name="_Toc353433193"/>
      <w:r>
        <w:rPr>
          <w:rStyle w:val="Nadpis4Char"/>
        </w:rPr>
        <w:lastRenderedPageBreak/>
        <w:t>2</w:t>
      </w:r>
      <w:r w:rsidR="00C2692E" w:rsidRPr="00137BC4">
        <w:rPr>
          <w:rStyle w:val="Nadpis4Char"/>
        </w:rPr>
        <w:t>.4.1. Využití antidepresiv IV. generace v ambulantní léčbě deprese</w:t>
      </w:r>
      <w:bookmarkEnd w:id="69"/>
      <w:bookmarkEnd w:id="70"/>
    </w:p>
    <w:p w:rsidR="00EB784E" w:rsidRDefault="00C2692E" w:rsidP="00EF3E25">
      <w:pPr>
        <w:spacing w:before="240"/>
      </w:pPr>
      <w:r w:rsidRPr="00C2692E">
        <w:rPr>
          <w:b/>
        </w:rPr>
        <w:t>SNRI</w:t>
      </w:r>
      <w:r>
        <w:rPr>
          <w:b/>
        </w:rPr>
        <w:t xml:space="preserve"> </w:t>
      </w:r>
      <w:r>
        <w:t xml:space="preserve">jsou látky, které představují relativně novou třídu antidepresiv. </w:t>
      </w:r>
      <w:r w:rsidR="00273572">
        <w:t>Výhodou pro pacienty je nízké riziko nežádoucích účinků a celkově dobrá snášenlivost. Pozitivní</w:t>
      </w:r>
      <w:r w:rsidR="00EF3E25">
        <w:t>m</w:t>
      </w:r>
      <w:r w:rsidR="00273572">
        <w:t xml:space="preserve"> as</w:t>
      </w:r>
      <w:r w:rsidR="00EF3E25">
        <w:t>pektem je, že</w:t>
      </w:r>
      <w:r w:rsidR="00273572">
        <w:t xml:space="preserve"> </w:t>
      </w:r>
      <w:r w:rsidR="00EF3E25">
        <w:t xml:space="preserve">jsou léky </w:t>
      </w:r>
      <w:r w:rsidR="00273572">
        <w:t>efektivní v léčbě závažné a rezistentní deprese. Bývají voleny při neodpovídající léčbě SSRI</w:t>
      </w:r>
      <w:r w:rsidR="00EF3E25">
        <w:t>. Jejich účinnost po</w:t>
      </w:r>
      <w:r w:rsidR="00273572">
        <w:t xml:space="preserve"> změně na SNRI je </w:t>
      </w:r>
      <w:r w:rsidR="001609E5">
        <w:t>úspěšná u pacientů z 30 až 60 %</w:t>
      </w:r>
      <w:r w:rsidR="00273572">
        <w:t xml:space="preserve"> (Čéšková, 2008)</w:t>
      </w:r>
      <w:r w:rsidR="001609E5">
        <w:t>.</w:t>
      </w:r>
      <w:r w:rsidR="00273572">
        <w:t xml:space="preserve"> Nevýhodou léků jsou četné kontraindikace a diskutovaná je i omezená scho</w:t>
      </w:r>
      <w:r w:rsidR="001609E5">
        <w:t>pnost řízení motorových vozidel</w:t>
      </w:r>
      <w:r w:rsidR="00273572">
        <w:t xml:space="preserve"> (Paclt, 2002)</w:t>
      </w:r>
      <w:r w:rsidR="001609E5">
        <w:t>.</w:t>
      </w:r>
      <w:r w:rsidR="00273572">
        <w:t xml:space="preserve"> </w:t>
      </w:r>
      <w:r w:rsidR="00EB784E">
        <w:t>Studie prokázaly, že léky ze skupiny SNRI mají v léčbě deprese lepší účinnost a více remisí než SSRI. U těchto léků je také ud</w:t>
      </w:r>
      <w:r w:rsidR="001609E5">
        <w:t>ávána větší compliance pacientů</w:t>
      </w:r>
      <w:r w:rsidR="00EB784E">
        <w:t xml:space="preserve"> (Čéšková, 2008)</w:t>
      </w:r>
      <w:r w:rsidR="001609E5">
        <w:t>.</w:t>
      </w:r>
      <w:r w:rsidR="00EB784E">
        <w:t xml:space="preserve"> </w:t>
      </w:r>
    </w:p>
    <w:p w:rsidR="00C2692E" w:rsidRPr="00C2692E" w:rsidRDefault="00EE3EDF" w:rsidP="00EB784E">
      <w:pPr>
        <w:ind w:firstLine="284"/>
      </w:pPr>
      <w:r>
        <w:t xml:space="preserve">V </w:t>
      </w:r>
      <w:r w:rsidR="00EB784E">
        <w:t xml:space="preserve">letech 2003-2008 </w:t>
      </w:r>
      <w:r>
        <w:t>se spotřebovalo</w:t>
      </w:r>
      <w:r w:rsidR="00EB784E">
        <w:t xml:space="preserve"> 400 tisíc balení venlaflaxinu a od roku 2006 je evidentní vysoký nárůst užívání tohoto prep</w:t>
      </w:r>
      <w:r w:rsidR="001609E5">
        <w:t>arátu</w:t>
      </w:r>
      <w:r w:rsidR="00EB784E">
        <w:t xml:space="preserve"> (Kantorová, 2011)</w:t>
      </w:r>
      <w:r w:rsidR="001609E5">
        <w:t>.</w:t>
      </w:r>
      <w:r w:rsidR="00EB784E">
        <w:t xml:space="preserve">    </w:t>
      </w:r>
    </w:p>
    <w:p w:rsidR="00B57E80" w:rsidRDefault="00EF2DD6" w:rsidP="006C7321">
      <w:pPr>
        <w:ind w:firstLine="284"/>
        <w:rPr>
          <w:rFonts w:cs="Times New Roman"/>
          <w:szCs w:val="24"/>
        </w:rPr>
      </w:pPr>
      <w:r>
        <w:rPr>
          <w:rFonts w:cs="Times New Roman"/>
          <w:b/>
          <w:szCs w:val="24"/>
        </w:rPr>
        <w:t>NaSSa</w:t>
      </w:r>
      <w:r w:rsidR="000F2F10">
        <w:rPr>
          <w:rFonts w:cs="Times New Roman"/>
          <w:b/>
          <w:szCs w:val="24"/>
        </w:rPr>
        <w:t xml:space="preserve"> </w:t>
      </w:r>
      <w:r w:rsidR="000F2F10">
        <w:rPr>
          <w:rFonts w:cs="Times New Roman"/>
          <w:szCs w:val="24"/>
        </w:rPr>
        <w:t xml:space="preserve">jsou typem antidepresivních látek, které ovlivňují řadu receptorů. Jejich výhodou je málo nežádoucích účinků, dobrá snášenlivost a účinnost. Někteří autoři uvádějí, že jsou </w:t>
      </w:r>
      <w:r w:rsidR="008C4CB8">
        <w:rPr>
          <w:rFonts w:cs="Times New Roman"/>
          <w:szCs w:val="24"/>
        </w:rPr>
        <w:t xml:space="preserve">dokonce </w:t>
      </w:r>
      <w:r w:rsidR="000F2F10">
        <w:rPr>
          <w:rFonts w:cs="Times New Roman"/>
          <w:szCs w:val="24"/>
        </w:rPr>
        <w:t>účinnější než látky ze skupiny SSRI a SNRI. Dalším pozitivem léků je, že je dobře snášejí starší pacienti a že podporují spánkovou a</w:t>
      </w:r>
      <w:r w:rsidR="008C4CB8">
        <w:rPr>
          <w:rFonts w:cs="Times New Roman"/>
          <w:szCs w:val="24"/>
        </w:rPr>
        <w:t>rchitekturu. U pacientů, kteří trpí sexuální dysfunkcí po SSRI se často volí p</w:t>
      </w:r>
      <w:r w:rsidR="001609E5">
        <w:rPr>
          <w:rFonts w:cs="Times New Roman"/>
          <w:szCs w:val="24"/>
        </w:rPr>
        <w:t>řechod na léky ze skupiny NaSSA</w:t>
      </w:r>
      <w:r w:rsidR="008C4CB8">
        <w:rPr>
          <w:rFonts w:cs="Times New Roman"/>
          <w:szCs w:val="24"/>
        </w:rPr>
        <w:t xml:space="preserve"> (Anders, Kitzlerová, 2004)</w:t>
      </w:r>
      <w:r w:rsidR="001609E5">
        <w:rPr>
          <w:rFonts w:cs="Times New Roman"/>
          <w:szCs w:val="24"/>
        </w:rPr>
        <w:t>.</w:t>
      </w:r>
      <w:r w:rsidR="008C4CB8">
        <w:rPr>
          <w:rFonts w:cs="Times New Roman"/>
          <w:szCs w:val="24"/>
        </w:rPr>
        <w:t xml:space="preserve"> Příznivé může být pro některé pacienty i praktické užívání, protože látka mirtazapin se vyrábí ve formě rozpustné tablety. Je tedy vhodná i pro</w:t>
      </w:r>
      <w:r w:rsidR="001609E5">
        <w:rPr>
          <w:rFonts w:cs="Times New Roman"/>
          <w:szCs w:val="24"/>
        </w:rPr>
        <w:t xml:space="preserve"> pacienty s polykacími obtížemi</w:t>
      </w:r>
      <w:r w:rsidR="008C4CB8">
        <w:rPr>
          <w:rFonts w:cs="Times New Roman"/>
          <w:szCs w:val="24"/>
        </w:rPr>
        <w:t xml:space="preserve"> (Raboch, Jirák, Paclt, 2005)</w:t>
      </w:r>
      <w:r w:rsidR="001609E5">
        <w:rPr>
          <w:rFonts w:cs="Times New Roman"/>
          <w:szCs w:val="24"/>
        </w:rPr>
        <w:t>.</w:t>
      </w:r>
      <w:r w:rsidR="008C4CB8">
        <w:rPr>
          <w:rFonts w:cs="Times New Roman"/>
          <w:szCs w:val="24"/>
        </w:rPr>
        <w:t xml:space="preserve"> </w:t>
      </w:r>
    </w:p>
    <w:p w:rsidR="008C4CB8" w:rsidRDefault="008C4CB8" w:rsidP="006C7321">
      <w:pPr>
        <w:ind w:firstLine="284"/>
        <w:rPr>
          <w:rFonts w:cs="Times New Roman"/>
          <w:szCs w:val="24"/>
        </w:rPr>
      </w:pPr>
      <w:r>
        <w:rPr>
          <w:rFonts w:cs="Times New Roman"/>
          <w:szCs w:val="24"/>
        </w:rPr>
        <w:t>Nevýhodou pro pacienty může být přibírání na váze, většinou se uvádí okolo 1-2 kg. Nutné je také dodržování užívání léků ve večerních hodinách, protože způsobují útlum. Při předávkov</w:t>
      </w:r>
      <w:r w:rsidR="001609E5">
        <w:rPr>
          <w:rFonts w:cs="Times New Roman"/>
          <w:szCs w:val="24"/>
        </w:rPr>
        <w:t>ání hrozí riziko kardiotoxicity</w:t>
      </w:r>
      <w:r>
        <w:rPr>
          <w:rFonts w:cs="Times New Roman"/>
          <w:szCs w:val="24"/>
        </w:rPr>
        <w:t xml:space="preserve"> (Anders, Kitzlerová, 2004)</w:t>
      </w:r>
      <w:r w:rsidR="001609E5">
        <w:rPr>
          <w:rFonts w:cs="Times New Roman"/>
          <w:szCs w:val="24"/>
        </w:rPr>
        <w:t>.</w:t>
      </w:r>
      <w:r>
        <w:rPr>
          <w:rFonts w:cs="Times New Roman"/>
          <w:szCs w:val="24"/>
        </w:rPr>
        <w:t xml:space="preserve"> </w:t>
      </w:r>
      <w:r w:rsidR="00EB3475">
        <w:rPr>
          <w:rFonts w:cs="Times New Roman"/>
          <w:szCs w:val="24"/>
        </w:rPr>
        <w:t>Dle studie, která sledovala 24 měsíců ambulantní léčbu pacientů, byla vyhodnocena látka mirtazapin za účinné antidepresivum s minimem vedlejších účinků a tudí</w:t>
      </w:r>
      <w:r w:rsidR="001609E5">
        <w:rPr>
          <w:rFonts w:cs="Times New Roman"/>
          <w:szCs w:val="24"/>
        </w:rPr>
        <w:t>ž vhodná pro ambulantní využití</w:t>
      </w:r>
      <w:r w:rsidR="00EB3475">
        <w:rPr>
          <w:rFonts w:cs="Times New Roman"/>
          <w:szCs w:val="24"/>
        </w:rPr>
        <w:t xml:space="preserve"> (Moravec, 2005)</w:t>
      </w:r>
      <w:r w:rsidR="001609E5">
        <w:rPr>
          <w:rFonts w:cs="Times New Roman"/>
          <w:szCs w:val="24"/>
        </w:rPr>
        <w:t>.</w:t>
      </w:r>
    </w:p>
    <w:p w:rsidR="008C4CB8" w:rsidRPr="000F2F10" w:rsidRDefault="008C4CB8" w:rsidP="006C7321">
      <w:pPr>
        <w:ind w:firstLine="284"/>
        <w:rPr>
          <w:rFonts w:cs="Times New Roman"/>
          <w:szCs w:val="24"/>
        </w:rPr>
      </w:pPr>
      <w:r>
        <w:rPr>
          <w:rFonts w:cs="Times New Roman"/>
          <w:szCs w:val="24"/>
        </w:rPr>
        <w:t xml:space="preserve">V letech 2003-2008 </w:t>
      </w:r>
      <w:r w:rsidR="00EB3475">
        <w:rPr>
          <w:rFonts w:cs="Times New Roman"/>
          <w:szCs w:val="24"/>
        </w:rPr>
        <w:t>byla spotřeba účinné látky mirtazapin 650 tisíc balení. V posledních letech vzrostla spotřeba v počtech balení sedmkrát (Kantorová, 2011)</w:t>
      </w:r>
      <w:r w:rsidR="001609E5">
        <w:rPr>
          <w:rFonts w:cs="Times New Roman"/>
          <w:szCs w:val="24"/>
        </w:rPr>
        <w:t>.</w:t>
      </w:r>
      <w:r w:rsidR="00EB3475">
        <w:rPr>
          <w:rFonts w:cs="Times New Roman"/>
          <w:szCs w:val="24"/>
        </w:rPr>
        <w:t xml:space="preserve"> </w:t>
      </w:r>
      <w:r>
        <w:rPr>
          <w:rFonts w:cs="Times New Roman"/>
          <w:szCs w:val="24"/>
        </w:rPr>
        <w:t xml:space="preserve"> </w:t>
      </w:r>
    </w:p>
    <w:p w:rsidR="00A724CF" w:rsidRDefault="00BF4FDF" w:rsidP="006C7321">
      <w:pPr>
        <w:ind w:firstLine="284"/>
        <w:rPr>
          <w:rFonts w:cs="Times New Roman"/>
          <w:szCs w:val="24"/>
        </w:rPr>
      </w:pPr>
      <w:r w:rsidRPr="00BF4FDF">
        <w:rPr>
          <w:rFonts w:cs="Times New Roman"/>
          <w:b/>
          <w:szCs w:val="24"/>
        </w:rPr>
        <w:t>NDRI</w:t>
      </w:r>
      <w:r>
        <w:rPr>
          <w:rFonts w:cs="Times New Roman"/>
          <w:b/>
          <w:szCs w:val="24"/>
        </w:rPr>
        <w:t xml:space="preserve"> </w:t>
      </w:r>
      <w:r w:rsidR="00A724CF">
        <w:rPr>
          <w:rFonts w:cs="Times New Roman"/>
          <w:szCs w:val="24"/>
        </w:rPr>
        <w:t>má poměrně široké využití v oblasti psychiatrie. V terapii deprese je</w:t>
      </w:r>
      <w:r w:rsidR="00B33838">
        <w:rPr>
          <w:rFonts w:cs="Times New Roman"/>
          <w:szCs w:val="24"/>
        </w:rPr>
        <w:t xml:space="preserve"> antidepresivum příznivé</w:t>
      </w:r>
      <w:r w:rsidR="00A724CF">
        <w:rPr>
          <w:rFonts w:cs="Times New Roman"/>
          <w:szCs w:val="24"/>
        </w:rPr>
        <w:t xml:space="preserve"> v tom, že nepůsobí kardiotoxicky, </w:t>
      </w:r>
      <w:r w:rsidR="00B33838">
        <w:rPr>
          <w:rFonts w:cs="Times New Roman"/>
          <w:szCs w:val="24"/>
        </w:rPr>
        <w:t xml:space="preserve">a </w:t>
      </w:r>
      <w:r w:rsidR="00A724CF">
        <w:rPr>
          <w:rFonts w:cs="Times New Roman"/>
          <w:szCs w:val="24"/>
        </w:rPr>
        <w:t>proto ho mohou užívat i starší pacienti a je doporučován i k léčbě deprese u pacientů s Parkinsonov</w:t>
      </w:r>
      <w:r w:rsidR="001609E5">
        <w:rPr>
          <w:rFonts w:cs="Times New Roman"/>
          <w:szCs w:val="24"/>
        </w:rPr>
        <w:t>ou chorobou</w:t>
      </w:r>
      <w:r w:rsidR="00A724CF">
        <w:rPr>
          <w:rFonts w:cs="Times New Roman"/>
          <w:szCs w:val="24"/>
        </w:rPr>
        <w:t xml:space="preserve"> (Raboch, Jirák, Paclt, 2005)</w:t>
      </w:r>
      <w:r w:rsidR="001609E5">
        <w:rPr>
          <w:rFonts w:cs="Times New Roman"/>
          <w:szCs w:val="24"/>
        </w:rPr>
        <w:t>.</w:t>
      </w:r>
      <w:r w:rsidR="00A724CF">
        <w:rPr>
          <w:rFonts w:cs="Times New Roman"/>
          <w:szCs w:val="24"/>
        </w:rPr>
        <w:t xml:space="preserve"> Antidepresivum dále nezpůsobuje váhový přírůstek a nezasahuje do sexuálního života pacienta. Nevýhodou může být často udávaný dyskomfort gastrointestinálního traktu </w:t>
      </w:r>
      <w:r w:rsidR="00EF7909">
        <w:rPr>
          <w:rFonts w:cs="Times New Roman"/>
          <w:szCs w:val="24"/>
        </w:rPr>
        <w:t xml:space="preserve">a </w:t>
      </w:r>
      <w:r w:rsidR="001609E5">
        <w:rPr>
          <w:rFonts w:cs="Times New Roman"/>
          <w:szCs w:val="24"/>
        </w:rPr>
        <w:t>mnoho lékových interakcí</w:t>
      </w:r>
      <w:r w:rsidR="004B6FD8">
        <w:rPr>
          <w:rFonts w:cs="Times New Roman"/>
          <w:szCs w:val="24"/>
        </w:rPr>
        <w:t xml:space="preserve"> (Paclt, 2002)</w:t>
      </w:r>
      <w:r w:rsidR="001609E5">
        <w:rPr>
          <w:rFonts w:cs="Times New Roman"/>
          <w:szCs w:val="24"/>
        </w:rPr>
        <w:t>.</w:t>
      </w:r>
      <w:r w:rsidR="004B6FD8">
        <w:rPr>
          <w:rFonts w:cs="Times New Roman"/>
          <w:szCs w:val="24"/>
        </w:rPr>
        <w:t xml:space="preserve"> Dle </w:t>
      </w:r>
      <w:r w:rsidR="004B6FD8">
        <w:rPr>
          <w:rFonts w:cs="Times New Roman"/>
          <w:szCs w:val="24"/>
        </w:rPr>
        <w:lastRenderedPageBreak/>
        <w:t xml:space="preserve">Žahourkové (2008) je využívání bupropionu v ambulantní léčbě vhodné zejména pro pacienty, kteří mají strach z váhového přírůstku a sexuální dysfunkce. </w:t>
      </w:r>
      <w:r w:rsidR="00C96C19">
        <w:rPr>
          <w:rFonts w:cs="Times New Roman"/>
          <w:szCs w:val="24"/>
        </w:rPr>
        <w:t>Dle studie je bupropion hodnocen jako léčivo s nízkým výs</w:t>
      </w:r>
      <w:r w:rsidR="001609E5">
        <w:rPr>
          <w:rFonts w:cs="Times New Roman"/>
          <w:szCs w:val="24"/>
        </w:rPr>
        <w:t>kytem nežádoucích účinků</w:t>
      </w:r>
      <w:r w:rsidR="00B33838">
        <w:rPr>
          <w:rFonts w:cs="Times New Roman"/>
          <w:szCs w:val="24"/>
        </w:rPr>
        <w:t xml:space="preserve"> (Pacl</w:t>
      </w:r>
      <w:r w:rsidR="00C96C19">
        <w:rPr>
          <w:rFonts w:cs="Times New Roman"/>
          <w:szCs w:val="24"/>
        </w:rPr>
        <w:t>t, 2002)</w:t>
      </w:r>
      <w:r w:rsidR="001609E5">
        <w:rPr>
          <w:rFonts w:cs="Times New Roman"/>
          <w:szCs w:val="24"/>
        </w:rPr>
        <w:t>.</w:t>
      </w:r>
    </w:p>
    <w:p w:rsidR="00C13421" w:rsidRDefault="00C13421" w:rsidP="00137BC4">
      <w:pPr>
        <w:pStyle w:val="Nadpis3"/>
      </w:pPr>
      <w:bookmarkStart w:id="71" w:name="_Toc343782756"/>
    </w:p>
    <w:p w:rsidR="00EF7909" w:rsidRDefault="00B33838" w:rsidP="00137BC4">
      <w:pPr>
        <w:pStyle w:val="Nadpis3"/>
      </w:pPr>
      <w:r>
        <w:t> </w:t>
      </w:r>
      <w:bookmarkStart w:id="72" w:name="_Toc353433194"/>
      <w:r w:rsidR="008727CC">
        <w:t>2</w:t>
      </w:r>
      <w:r w:rsidR="00EF7909">
        <w:t>.5 IMAO (Inhibitory enzymu monoaminooxidázy)</w:t>
      </w:r>
      <w:bookmarkEnd w:id="71"/>
      <w:bookmarkEnd w:id="72"/>
    </w:p>
    <w:p w:rsidR="00EF7909" w:rsidRDefault="00B04A17" w:rsidP="00EF7909">
      <w:pPr>
        <w:ind w:firstLine="284"/>
      </w:pPr>
      <w:r>
        <w:t>Dříve se tyto látky souhrnně</w:t>
      </w:r>
      <w:r w:rsidR="00EF7909">
        <w:t xml:space="preserve"> nazývaly thymoeretika. </w:t>
      </w:r>
      <w:r w:rsidR="00016813">
        <w:t xml:space="preserve">Obecně se látky IMAO dělí na selektivní a neselektivní. </w:t>
      </w:r>
    </w:p>
    <w:p w:rsidR="00016813" w:rsidRDefault="00016813" w:rsidP="00016813">
      <w:r w:rsidRPr="00016813">
        <w:rPr>
          <w:b/>
        </w:rPr>
        <w:t xml:space="preserve"> Neselektivní IMAO </w:t>
      </w:r>
      <w:r w:rsidR="00EF2DD6">
        <w:t>nebo také ireverzibilní,</w:t>
      </w:r>
      <w:r>
        <w:t xml:space="preserve"> jsou látky, které mají poměrně omezenou účinnost. Jejich zástupcem je tranylcypromin. Indikací k léčbě jsou atypické formy deprese</w:t>
      </w:r>
      <w:r w:rsidR="00EF2DD6">
        <w:t>,</w:t>
      </w:r>
      <w:r>
        <w:t xml:space="preserve"> a také jsou voleny u nemocných, kteří nereagují na jiná antidepresiva. Mají výrazné nežádoucí účinky, mezi které patří hlavně riziko hypertenzní krize a vznik serotoninového syndromu. K hypertenzní krizi může dojít v případě, že pacient léčený IMAO nedodržuje předep</w:t>
      </w:r>
      <w:r w:rsidR="001609E5">
        <w:t xml:space="preserve">sanou dietu s omezením tyraminu (Raboch, Jirák, Paclt, 2005). </w:t>
      </w:r>
      <w:r>
        <w:t xml:space="preserve">Kontraindikací k léčbě je užívání antidepresiv skupiny SSRI, analgetik, morfinu, adrenalinu, noradrenalinu, anorektik </w:t>
      </w:r>
      <w:r w:rsidR="00A17D6E">
        <w:t>a</w:t>
      </w:r>
      <w:r w:rsidR="001609E5">
        <w:t xml:space="preserve"> psychostimulačních látek (Anderes, Roth, 2000). </w:t>
      </w:r>
      <w:r w:rsidR="00A17D6E">
        <w:t xml:space="preserve">Před zahájením léčby je nutné zvážit </w:t>
      </w:r>
      <w:r w:rsidR="00B33838">
        <w:t xml:space="preserve">všechna tato </w:t>
      </w:r>
      <w:r w:rsidR="00A17D6E">
        <w:t xml:space="preserve">rizika. </w:t>
      </w:r>
    </w:p>
    <w:p w:rsidR="00A17D6E" w:rsidRDefault="00454D02" w:rsidP="00016813">
      <w:r w:rsidRPr="00454D02">
        <w:rPr>
          <w:b/>
        </w:rPr>
        <w:t>Selektivní IMAO</w:t>
      </w:r>
      <w:r>
        <w:t xml:space="preserve"> se dále ještě dělí dle specifické blokády enzymů na </w:t>
      </w:r>
      <w:r w:rsidR="00C96C19">
        <w:t>I</w:t>
      </w:r>
      <w:r>
        <w:t xml:space="preserve">MAO A či </w:t>
      </w:r>
      <w:r w:rsidR="00C96C19">
        <w:t>I</w:t>
      </w:r>
      <w:r>
        <w:t>MAO B.</w:t>
      </w:r>
    </w:p>
    <w:p w:rsidR="00454D02" w:rsidRDefault="00C96C19" w:rsidP="00016813">
      <w:r>
        <w:rPr>
          <w:b/>
        </w:rPr>
        <w:t>I</w:t>
      </w:r>
      <w:r w:rsidR="00454D02" w:rsidRPr="00454D02">
        <w:rPr>
          <w:b/>
        </w:rPr>
        <w:t xml:space="preserve">MAO </w:t>
      </w:r>
      <w:r>
        <w:rPr>
          <w:b/>
        </w:rPr>
        <w:t xml:space="preserve">typu </w:t>
      </w:r>
      <w:r w:rsidR="00454D02" w:rsidRPr="00454D02">
        <w:rPr>
          <w:b/>
        </w:rPr>
        <w:t>A-RIMA</w:t>
      </w:r>
      <w:r w:rsidR="00454D02">
        <w:rPr>
          <w:b/>
        </w:rPr>
        <w:t xml:space="preserve"> </w:t>
      </w:r>
      <w:r w:rsidR="00454D02">
        <w:t>jsou látky, které způsobují reverzibilní inhibici monoaminooxidázy typu A. Zástupcem této skupiny je látka moclo</w:t>
      </w:r>
      <w:r w:rsidR="00B33838">
        <w:t>benid. Volí se v případě</w:t>
      </w:r>
      <w:r w:rsidR="00454D02">
        <w:t xml:space="preserve"> lehčích a středně těžkých depresí s anhedonií, dále u dystymie, s</w:t>
      </w:r>
      <w:r w:rsidR="001609E5">
        <w:t>ociální fobie a panické poruchy</w:t>
      </w:r>
      <w:r w:rsidR="00454D02">
        <w:t xml:space="preserve"> (Raboch, Jirák, Paclt, 2005)</w:t>
      </w:r>
      <w:r w:rsidR="001609E5">
        <w:t>.</w:t>
      </w:r>
      <w:r w:rsidR="00454D02">
        <w:t xml:space="preserve"> Nežádoucí účinky, které se mohou dostavit, jsou bolesti hlavy, sucho v ústech, nespavost, závratě, třes, neklid, zácpa a tachykardie. Kontraindikací léčby je užívání léků ze skupiny SSRI a TCA, věk do 18 let a u</w:t>
      </w:r>
      <w:r w:rsidR="001609E5">
        <w:t>žívání sympatomimetických látek (Bonnet, 2003).</w:t>
      </w:r>
    </w:p>
    <w:p w:rsidR="00390343" w:rsidRPr="00454D02" w:rsidRDefault="00390343" w:rsidP="00016813">
      <w:r>
        <w:t xml:space="preserve"> V letech 2003-2008 byla spotřeba moclobemidu 231 tisíc balení. A jeho tre</w:t>
      </w:r>
      <w:r w:rsidR="001609E5">
        <w:t>nd v užívání je spíše klesající</w:t>
      </w:r>
      <w:r>
        <w:t xml:space="preserve"> </w:t>
      </w:r>
      <w:r w:rsidR="007A3ECA">
        <w:t>(Kantorová, 2011)</w:t>
      </w:r>
      <w:r w:rsidR="001609E5">
        <w:t>.</w:t>
      </w:r>
    </w:p>
    <w:p w:rsidR="00137BC4" w:rsidRDefault="00C96C19" w:rsidP="00016813">
      <w:r w:rsidRPr="00C96C19">
        <w:rPr>
          <w:b/>
        </w:rPr>
        <w:t>IMAO typu B</w:t>
      </w:r>
      <w:r>
        <w:t xml:space="preserve"> </w:t>
      </w:r>
      <w:r w:rsidR="00F82374">
        <w:t>jsou ireverzibilní inhibitory zvyšující koncentraci dopaminu, serotoninu a ve vyšších dávkách i noradrenalinu. Zástupcem této skupiny je preparát sel</w:t>
      </w:r>
      <w:r w:rsidR="00B33838">
        <w:t>eg</w:t>
      </w:r>
      <w:r w:rsidR="00F82374">
        <w:t>in. Jeho antidepresivní účinek není natolik výrazný. Využívá se předevš</w:t>
      </w:r>
      <w:r w:rsidR="001609E5">
        <w:t>ím k léčbě Parkinsonovy choroby</w:t>
      </w:r>
      <w:r w:rsidR="00F82374">
        <w:t xml:space="preserve"> (Raboch, Jirák, Paclt, 2005)</w:t>
      </w:r>
      <w:r w:rsidR="001609E5">
        <w:t>.</w:t>
      </w:r>
      <w:r w:rsidR="00F82374">
        <w:t xml:space="preserve"> V poslední době se mu přisuzuje i efekt zlepšující </w:t>
      </w:r>
      <w:r w:rsidR="00F82374">
        <w:lastRenderedPageBreak/>
        <w:t>kognitivní funkce a může být použit v prevenci Alzheimerovy</w:t>
      </w:r>
      <w:r w:rsidR="0082111D">
        <w:t xml:space="preserve"> demence</w:t>
      </w:r>
      <w:r w:rsidR="00F82374">
        <w:t xml:space="preserve">. </w:t>
      </w:r>
      <w:r w:rsidR="0082111D">
        <w:t>Je třeba při užívání těchto látek dodržovat dietní a lékov</w:t>
      </w:r>
      <w:r w:rsidR="001609E5">
        <w:t>á opatření</w:t>
      </w:r>
      <w:r w:rsidR="00137BC4">
        <w:t xml:space="preserve"> (Hynie, 2001)</w:t>
      </w:r>
      <w:r w:rsidR="001609E5">
        <w:t>.</w:t>
      </w:r>
    </w:p>
    <w:p w:rsidR="00137BC4" w:rsidRDefault="00137BC4" w:rsidP="00016813"/>
    <w:p w:rsidR="00A17D6E" w:rsidRDefault="008727CC" w:rsidP="00137BC4">
      <w:pPr>
        <w:pStyle w:val="Nadpis4"/>
      </w:pPr>
      <w:bookmarkStart w:id="73" w:name="_Toc343782757"/>
      <w:bookmarkStart w:id="74" w:name="_Toc353433195"/>
      <w:r>
        <w:t>2</w:t>
      </w:r>
      <w:r w:rsidR="00A17D6E">
        <w:t>.</w:t>
      </w:r>
      <w:r w:rsidR="00137BC4">
        <w:t>5</w:t>
      </w:r>
      <w:r w:rsidR="00A17D6E">
        <w:t>.</w:t>
      </w:r>
      <w:r w:rsidR="00137BC4">
        <w:t>1</w:t>
      </w:r>
      <w:r w:rsidR="00A17D6E">
        <w:t xml:space="preserve"> Využití IMAO v ambulantní léčbě deprese</w:t>
      </w:r>
      <w:bookmarkEnd w:id="73"/>
      <w:bookmarkEnd w:id="74"/>
    </w:p>
    <w:p w:rsidR="00A17D6E" w:rsidRDefault="00A17D6E" w:rsidP="00A17D6E">
      <w:r>
        <w:t xml:space="preserve"> Skupina IMAO v léčbě deprese není považována za léky první volby. </w:t>
      </w:r>
    </w:p>
    <w:p w:rsidR="00454D02" w:rsidRDefault="00A17D6E" w:rsidP="00A17D6E">
      <w:r w:rsidRPr="00A17D6E">
        <w:rPr>
          <w:b/>
        </w:rPr>
        <w:t xml:space="preserve">Neselektivní IMAO </w:t>
      </w:r>
      <w:r>
        <w:t xml:space="preserve">jsou vhodné pro pacienty s lékovou rezistencí na jiné antidepresivní látky. Výhodou může být jejich aktivizující účinek. </w:t>
      </w:r>
      <w:r w:rsidR="00454D02">
        <w:t>Jinak mají l</w:t>
      </w:r>
      <w:r>
        <w:t xml:space="preserve">éky této </w:t>
      </w:r>
      <w:r w:rsidR="00454D02">
        <w:t>skupiny bohužel řadu</w:t>
      </w:r>
      <w:r>
        <w:t xml:space="preserve"> nevýhod.</w:t>
      </w:r>
      <w:r w:rsidR="00454D02">
        <w:t xml:space="preserve"> Mezi ně řadíme dodržování striktní diety s omezením tyraminu, mnoho lékových interakcí a také komplikace, které jsou život ohro</w:t>
      </w:r>
      <w:r w:rsidR="001609E5">
        <w:t xml:space="preserve">žující </w:t>
      </w:r>
      <w:r w:rsidR="00454D02">
        <w:t>(Roth, Anders, 2000)</w:t>
      </w:r>
      <w:r w:rsidR="001609E5">
        <w:t>.</w:t>
      </w:r>
    </w:p>
    <w:p w:rsidR="00A17D6E" w:rsidRDefault="004D58BF" w:rsidP="00A17D6E">
      <w:r w:rsidRPr="004D58BF">
        <w:rPr>
          <w:b/>
        </w:rPr>
        <w:t>I</w:t>
      </w:r>
      <w:r w:rsidR="00390343" w:rsidRPr="00390343">
        <w:rPr>
          <w:b/>
        </w:rPr>
        <w:t>MAO typu A</w:t>
      </w:r>
      <w:r w:rsidR="00390343">
        <w:rPr>
          <w:b/>
        </w:rPr>
        <w:t xml:space="preserve"> </w:t>
      </w:r>
      <w:r w:rsidR="00390343">
        <w:t>nebo také nazývány jako RI</w:t>
      </w:r>
      <w:r w:rsidR="00B33838">
        <w:t>MA mají v ambulantní léčbě</w:t>
      </w:r>
      <w:r w:rsidR="00390343">
        <w:t xml:space="preserve"> větší využití než neselektivní IMAO. Pozitive</w:t>
      </w:r>
      <w:r w:rsidR="00B33838">
        <w:t>m</w:t>
      </w:r>
      <w:r w:rsidR="00390343">
        <w:t xml:space="preserve"> léků je dobrá snášenlivost, minimální r</w:t>
      </w:r>
      <w:r w:rsidR="00B33838">
        <w:t xml:space="preserve">iziko vzniku hypertenzní krize a </w:t>
      </w:r>
      <w:r w:rsidR="00390343">
        <w:t xml:space="preserve">nemusí </w:t>
      </w:r>
      <w:r w:rsidR="001609E5">
        <w:t>se držet natolik striktní dieta</w:t>
      </w:r>
      <w:r w:rsidR="00390343">
        <w:t xml:space="preserve"> (Bonnet, 2003)</w:t>
      </w:r>
      <w:r w:rsidR="001609E5">
        <w:t>.</w:t>
      </w:r>
      <w:r w:rsidR="00390343">
        <w:t xml:space="preserve"> Nedoporučuje se jís</w:t>
      </w:r>
      <w:r w:rsidR="001609E5">
        <w:t>t větší množství zrajících sýrů</w:t>
      </w:r>
      <w:r w:rsidR="00390343">
        <w:t xml:space="preserve"> (Raboch, Pavlovský a kol., 2012)</w:t>
      </w:r>
      <w:r w:rsidR="001609E5">
        <w:t>.</w:t>
      </w:r>
      <w:r w:rsidR="00390343">
        <w:t xml:space="preserve"> U léku je popisována bezpečnost při předávkování. Negativem v ambulantním využití léku je častý výskyt závratí a také možná prodleva v terapeutické odpovědi. Léky se také nesmí kombinovat s </w:t>
      </w:r>
      <w:r w:rsidR="001609E5">
        <w:t>užíváním antidepresiv typu SSRI</w:t>
      </w:r>
      <w:r w:rsidR="00390343">
        <w:t xml:space="preserve"> (Bonnet, 2003)</w:t>
      </w:r>
      <w:r w:rsidR="001609E5">
        <w:t>.</w:t>
      </w:r>
    </w:p>
    <w:p w:rsidR="0082111D" w:rsidRDefault="0082111D" w:rsidP="00A17D6E">
      <w:r w:rsidRPr="0082111D">
        <w:rPr>
          <w:b/>
        </w:rPr>
        <w:t xml:space="preserve">IMAO typu B </w:t>
      </w:r>
      <w:r>
        <w:t>bývají více než k léčbě deprese užívány u pacientů s Parkinsonovou chorobou a Alzheimerovou demencí. Nevýhodou pro pacienty je dodržování dietního opatření s omezením potravin obsahující tyramin, a také se nesmí užív</w:t>
      </w:r>
      <w:r w:rsidR="001609E5">
        <w:t>at v kombinaci s léky typu SSRI</w:t>
      </w:r>
      <w:r>
        <w:t xml:space="preserve"> (Raboch, Jirák, Paclt, 2005)</w:t>
      </w:r>
      <w:r w:rsidR="001609E5">
        <w:t>.</w:t>
      </w:r>
    </w:p>
    <w:p w:rsidR="00137BC4" w:rsidRPr="0082111D" w:rsidRDefault="00137BC4" w:rsidP="00A17D6E"/>
    <w:p w:rsidR="00454D02" w:rsidRDefault="008727CC" w:rsidP="00137BC4">
      <w:pPr>
        <w:pStyle w:val="Nadpis3"/>
      </w:pPr>
      <w:bookmarkStart w:id="75" w:name="_Toc343782758"/>
      <w:bookmarkStart w:id="76" w:name="_Toc353433196"/>
      <w:r>
        <w:t>2</w:t>
      </w:r>
      <w:r w:rsidR="00137BC4">
        <w:t>.</w:t>
      </w:r>
      <w:r w:rsidR="007F0C91">
        <w:t>6 Ostatní antidepresiva</w:t>
      </w:r>
      <w:bookmarkEnd w:id="75"/>
      <w:bookmarkEnd w:id="76"/>
    </w:p>
    <w:p w:rsidR="003709E3" w:rsidRDefault="007F0C91" w:rsidP="003709E3">
      <w:r>
        <w:t xml:space="preserve">Do této kategorie antidepresiv se řadí látky typu SRE, RUI </w:t>
      </w:r>
      <w:r w:rsidR="00A82242">
        <w:t xml:space="preserve">a </w:t>
      </w:r>
      <w:r w:rsidR="001609E5">
        <w:t xml:space="preserve">MASSA </w:t>
      </w:r>
      <w:r w:rsidR="003709E3">
        <w:t>(Dušek, Večeřová-Procházková, 2010)</w:t>
      </w:r>
      <w:r w:rsidR="001609E5">
        <w:t>.</w:t>
      </w:r>
    </w:p>
    <w:p w:rsidR="003709E3" w:rsidRDefault="003709E3" w:rsidP="003709E3">
      <w:r w:rsidRPr="003709E3">
        <w:rPr>
          <w:b/>
        </w:rPr>
        <w:t>SRE</w:t>
      </w:r>
      <w:r>
        <w:t xml:space="preserve"> (stimulanty zpětného vychytávání serotoninu), zástupcem této skupiny je tianeptin. Je to tricyklické antidepresivum, které ve studiích prokázalo antidepresivní účinky. Klinické zkušenosti hovoří spíše o slabším účinku. Preparát má mírné nežádoucí účinky a je bezpe</w:t>
      </w:r>
      <w:r w:rsidR="001609E5">
        <w:t>čný při předávkování</w:t>
      </w:r>
      <w:r>
        <w:t xml:space="preserve"> (Anders, Roith, 2000)</w:t>
      </w:r>
      <w:r w:rsidR="001609E5">
        <w:t>.</w:t>
      </w:r>
      <w:r w:rsidR="005D25C0">
        <w:t xml:space="preserve"> Kontraindikací je sou</w:t>
      </w:r>
      <w:r w:rsidR="001609E5">
        <w:t>časné užívání antidepresiv IMAO</w:t>
      </w:r>
      <w:r w:rsidR="005D25C0">
        <w:t xml:space="preserve"> (Paclt, 2002)</w:t>
      </w:r>
      <w:r w:rsidR="001609E5">
        <w:t>.</w:t>
      </w:r>
    </w:p>
    <w:p w:rsidR="003709E3" w:rsidRDefault="003709E3" w:rsidP="003709E3">
      <w:r w:rsidRPr="003709E3">
        <w:rPr>
          <w:b/>
        </w:rPr>
        <w:t>RUI</w:t>
      </w:r>
      <w:r>
        <w:t xml:space="preserve"> (reuptake inhibitory) </w:t>
      </w:r>
      <w:r w:rsidR="00FF4998">
        <w:t xml:space="preserve">jsou specifickou skupinou, která je složena asi z 20 aktivních látek s antidepresivním působením. Do této skupiny patří Třezalka tečkovaná. Indikací </w:t>
      </w:r>
      <w:r w:rsidR="00FF4998">
        <w:lastRenderedPageBreak/>
        <w:t>k užívání jsou lehké dep</w:t>
      </w:r>
      <w:r w:rsidR="00EF2DD6">
        <w:t>rese. Má slabé nežádoucí účinky. N</w:t>
      </w:r>
      <w:r w:rsidR="00FF4998">
        <w:t>ezpůsobuje kardiotoxicitu ani přírůstek na váze. Kontraindikací v léčbě je</w:t>
      </w:r>
      <w:r w:rsidR="00FF2296">
        <w:t xml:space="preserve"> užívání antidepresiv typu SSRI a IMAO</w:t>
      </w:r>
      <w:r w:rsidR="00FF4998">
        <w:t xml:space="preserve"> z důvodu možného</w:t>
      </w:r>
      <w:r w:rsidR="001609E5">
        <w:t xml:space="preserve"> vzniku serotoninového syndromu</w:t>
      </w:r>
      <w:r w:rsidR="00FF4998">
        <w:t xml:space="preserve"> (Dušek, Večeřová-Procházková, 2010)</w:t>
      </w:r>
      <w:r w:rsidR="001609E5">
        <w:t>.</w:t>
      </w:r>
    </w:p>
    <w:p w:rsidR="007F0C91" w:rsidRDefault="00FF4998" w:rsidP="003709E3">
      <w:pPr>
        <w:rPr>
          <w:rFonts w:cs="Times New Roman"/>
          <w:szCs w:val="24"/>
        </w:rPr>
      </w:pPr>
      <w:r w:rsidRPr="00A82242">
        <w:rPr>
          <w:rFonts w:cs="Times New Roman"/>
          <w:b/>
          <w:szCs w:val="24"/>
        </w:rPr>
        <w:t>MASSA</w:t>
      </w:r>
      <w:r>
        <w:rPr>
          <w:rFonts w:cs="Times New Roman"/>
          <w:szCs w:val="24"/>
        </w:rPr>
        <w:t xml:space="preserve"> (agonisté melatoninových receptorů a antago</w:t>
      </w:r>
      <w:r w:rsidR="00EF2DD6">
        <w:rPr>
          <w:rFonts w:cs="Times New Roman"/>
          <w:szCs w:val="24"/>
        </w:rPr>
        <w:t>nisté serotoninových receptorů)</w:t>
      </w:r>
      <w:r w:rsidR="00E22DCF">
        <w:rPr>
          <w:rFonts w:cs="Times New Roman"/>
          <w:szCs w:val="24"/>
        </w:rPr>
        <w:t xml:space="preserve"> jsou</w:t>
      </w:r>
      <w:r>
        <w:rPr>
          <w:rFonts w:cs="Times New Roman"/>
          <w:szCs w:val="24"/>
        </w:rPr>
        <w:t xml:space="preserve"> nová generace antidepresivních látek s unikátním receptorovým profilem. Zástupcem této skupiny je agomelatin. Indikován je u depresí s poruchou spavosti, se suicidální tendencí a  úzkostmi. </w:t>
      </w:r>
      <w:r w:rsidR="00A82242">
        <w:rPr>
          <w:rFonts w:cs="Times New Roman"/>
          <w:szCs w:val="24"/>
        </w:rPr>
        <w:t>Má slabé nežádoucí účinky, udávány jsou závratě, nevolnost, migrény, ospalost nebo naopak nespavost, zácpa, úzkost nebo zvýšené pocení. Klinické studie uvádějí, že by agomelatin mohl být užitečným doplňkem současného farmakologic</w:t>
      </w:r>
      <w:r w:rsidR="001609E5">
        <w:rPr>
          <w:rFonts w:cs="Times New Roman"/>
          <w:szCs w:val="24"/>
        </w:rPr>
        <w:t xml:space="preserve">kého armamentária </w:t>
      </w:r>
      <w:r w:rsidR="00FF2296">
        <w:rPr>
          <w:rFonts w:cs="Times New Roman"/>
          <w:szCs w:val="24"/>
        </w:rPr>
        <w:t>(Sansone, 201</w:t>
      </w:r>
      <w:r w:rsidR="00A82242">
        <w:rPr>
          <w:rFonts w:cs="Times New Roman"/>
          <w:szCs w:val="24"/>
        </w:rPr>
        <w:t>1)</w:t>
      </w:r>
      <w:r w:rsidR="001609E5">
        <w:rPr>
          <w:rFonts w:cs="Times New Roman"/>
          <w:szCs w:val="24"/>
        </w:rPr>
        <w:t>.</w:t>
      </w:r>
    </w:p>
    <w:p w:rsidR="00A82242" w:rsidRDefault="00A82242" w:rsidP="003709E3">
      <w:pPr>
        <w:rPr>
          <w:rFonts w:cs="Times New Roman"/>
          <w:szCs w:val="24"/>
        </w:rPr>
      </w:pPr>
    </w:p>
    <w:p w:rsidR="00A82242" w:rsidRPr="007F0C91" w:rsidRDefault="008727CC" w:rsidP="00137BC4">
      <w:pPr>
        <w:pStyle w:val="Nadpis4"/>
      </w:pPr>
      <w:bookmarkStart w:id="77" w:name="_Toc343782759"/>
      <w:bookmarkStart w:id="78" w:name="_Toc353433197"/>
      <w:r>
        <w:t>2</w:t>
      </w:r>
      <w:r w:rsidR="00A82242">
        <w:t>.6.1 Využití ostatních antidepresiv v ambulantní léčbě deprese</w:t>
      </w:r>
      <w:bookmarkEnd w:id="77"/>
      <w:bookmarkEnd w:id="78"/>
    </w:p>
    <w:p w:rsidR="00EF7909" w:rsidRDefault="00A82242" w:rsidP="006C7321">
      <w:pPr>
        <w:ind w:firstLine="284"/>
        <w:rPr>
          <w:rFonts w:cs="Times New Roman"/>
          <w:szCs w:val="24"/>
        </w:rPr>
      </w:pPr>
      <w:r>
        <w:rPr>
          <w:rFonts w:cs="Times New Roman"/>
          <w:szCs w:val="24"/>
        </w:rPr>
        <w:t xml:space="preserve">Látky patřící do této skupiny se vymykají svým působením jiným antidepresivům, proto ani nemohou být zařazeny do příslušných generací. </w:t>
      </w:r>
    </w:p>
    <w:p w:rsidR="00A82242" w:rsidRDefault="00A82242" w:rsidP="006C7321">
      <w:pPr>
        <w:ind w:firstLine="284"/>
        <w:rPr>
          <w:rFonts w:cs="Times New Roman"/>
          <w:szCs w:val="24"/>
        </w:rPr>
      </w:pPr>
      <w:r w:rsidRPr="00A82242">
        <w:rPr>
          <w:rFonts w:cs="Times New Roman"/>
          <w:b/>
          <w:szCs w:val="24"/>
        </w:rPr>
        <w:t>SRE</w:t>
      </w:r>
      <w:r>
        <w:rPr>
          <w:rFonts w:cs="Times New Roman"/>
          <w:b/>
          <w:szCs w:val="24"/>
        </w:rPr>
        <w:t xml:space="preserve"> </w:t>
      </w:r>
      <w:r w:rsidR="003E4357" w:rsidRPr="003E4357">
        <w:rPr>
          <w:rFonts w:cs="Times New Roman"/>
          <w:szCs w:val="24"/>
        </w:rPr>
        <w:t>(stimulanty zpětného vychytávání serotoninu)</w:t>
      </w:r>
      <w:r w:rsidR="003E4357">
        <w:rPr>
          <w:rFonts w:cs="Times New Roman"/>
          <w:b/>
          <w:szCs w:val="24"/>
        </w:rPr>
        <w:t xml:space="preserve"> </w:t>
      </w:r>
      <w:r>
        <w:rPr>
          <w:rFonts w:cs="Times New Roman"/>
          <w:szCs w:val="24"/>
        </w:rPr>
        <w:t>jsou vhodné k terapii spíše  </w:t>
      </w:r>
      <w:r w:rsidR="00EF2DD6">
        <w:rPr>
          <w:rFonts w:cs="Times New Roman"/>
          <w:szCs w:val="24"/>
        </w:rPr>
        <w:t>lehčí nebo středně těžké deprese</w:t>
      </w:r>
      <w:r w:rsidR="005D25C0">
        <w:rPr>
          <w:rFonts w:cs="Times New Roman"/>
          <w:szCs w:val="24"/>
        </w:rPr>
        <w:t>. Výhodou je malé spektrum nežádoucích účinků a bezpečnost při předávkování. Toto antidepresivum patří mezi novější léky, které se dají využít v ambulan</w:t>
      </w:r>
      <w:r w:rsidR="001609E5">
        <w:rPr>
          <w:rFonts w:cs="Times New Roman"/>
          <w:szCs w:val="24"/>
        </w:rPr>
        <w:t>tní léčbě deprese</w:t>
      </w:r>
      <w:r w:rsidR="003E4357">
        <w:rPr>
          <w:rFonts w:cs="Times New Roman"/>
          <w:szCs w:val="24"/>
        </w:rPr>
        <w:t xml:space="preserve"> (Paclt, 2002)</w:t>
      </w:r>
      <w:r w:rsidR="001609E5">
        <w:rPr>
          <w:rFonts w:cs="Times New Roman"/>
          <w:szCs w:val="24"/>
        </w:rPr>
        <w:t>.</w:t>
      </w:r>
      <w:r w:rsidR="003E4357">
        <w:rPr>
          <w:rFonts w:cs="Times New Roman"/>
          <w:szCs w:val="24"/>
        </w:rPr>
        <w:t xml:space="preserve"> Zástupcem této skupiny je Tianeptin. Je vhodný například u depresivních stav</w:t>
      </w:r>
      <w:r w:rsidR="00E32532">
        <w:rPr>
          <w:rFonts w:cs="Times New Roman"/>
          <w:szCs w:val="24"/>
        </w:rPr>
        <w:t>ů u alkoholiků během abstinence</w:t>
      </w:r>
      <w:r w:rsidR="003E4357">
        <w:rPr>
          <w:rFonts w:cs="Times New Roman"/>
          <w:szCs w:val="24"/>
        </w:rPr>
        <w:t xml:space="preserve"> </w:t>
      </w:r>
      <w:r w:rsidR="00E32532">
        <w:rPr>
          <w:rFonts w:cs="Times New Roman"/>
          <w:szCs w:val="24"/>
        </w:rPr>
        <w:t>(Dušek, Večeřová-Procházková, 2010).</w:t>
      </w:r>
    </w:p>
    <w:p w:rsidR="005D25C0" w:rsidRDefault="005D25C0" w:rsidP="006C7321">
      <w:pPr>
        <w:ind w:firstLine="284"/>
        <w:rPr>
          <w:rFonts w:cs="Times New Roman"/>
          <w:szCs w:val="24"/>
        </w:rPr>
      </w:pPr>
      <w:r w:rsidRPr="005D25C0">
        <w:rPr>
          <w:rFonts w:cs="Times New Roman"/>
          <w:b/>
          <w:szCs w:val="24"/>
        </w:rPr>
        <w:t>RUI</w:t>
      </w:r>
      <w:r w:rsidR="003E4357">
        <w:rPr>
          <w:rFonts w:cs="Times New Roman"/>
          <w:b/>
          <w:szCs w:val="24"/>
        </w:rPr>
        <w:t xml:space="preserve"> </w:t>
      </w:r>
      <w:r w:rsidR="003E4357" w:rsidRPr="003E4357">
        <w:rPr>
          <w:rFonts w:cs="Times New Roman"/>
          <w:szCs w:val="24"/>
        </w:rPr>
        <w:t>(inhibitory zpětného vychytávání),</w:t>
      </w:r>
      <w:r>
        <w:rPr>
          <w:rFonts w:cs="Times New Roman"/>
          <w:b/>
          <w:szCs w:val="24"/>
        </w:rPr>
        <w:t xml:space="preserve"> </w:t>
      </w:r>
      <w:r w:rsidR="00EF2DD6">
        <w:t>jeji</w:t>
      </w:r>
      <w:r w:rsidR="00EF2DD6" w:rsidRPr="00EF2DD6">
        <w:t xml:space="preserve">chž </w:t>
      </w:r>
      <w:r>
        <w:rPr>
          <w:rFonts w:cs="Times New Roman"/>
          <w:szCs w:val="24"/>
        </w:rPr>
        <w:t xml:space="preserve">zástupcem je Třezalka tečkovaná. Výhodou je, že bývá volně prodejná v lékárně a svými účinky napomáhá v terapii lehkých depresí. </w:t>
      </w:r>
      <w:r w:rsidR="00FF2296">
        <w:rPr>
          <w:rFonts w:cs="Times New Roman"/>
          <w:szCs w:val="24"/>
        </w:rPr>
        <w:t>Pozornost je třeba věnovat při odběru anamnézy, protože se Třezalka nesmí užívat s jinými látkami zvyšující koncentrac</w:t>
      </w:r>
      <w:r w:rsidR="001609E5">
        <w:rPr>
          <w:rFonts w:cs="Times New Roman"/>
          <w:szCs w:val="24"/>
        </w:rPr>
        <w:t>i serotoninu (SSRI, IMAO)</w:t>
      </w:r>
      <w:r w:rsidR="00FF2296">
        <w:rPr>
          <w:rFonts w:cs="Times New Roman"/>
          <w:szCs w:val="24"/>
        </w:rPr>
        <w:t xml:space="preserve"> (Dušek, Večeřová-Procházková, 2010)</w:t>
      </w:r>
      <w:r w:rsidR="001609E5">
        <w:rPr>
          <w:rFonts w:cs="Times New Roman"/>
          <w:szCs w:val="24"/>
        </w:rPr>
        <w:t>.</w:t>
      </w:r>
    </w:p>
    <w:p w:rsidR="00FD44F0" w:rsidRDefault="00FF2296" w:rsidP="00FD44F0">
      <w:pPr>
        <w:ind w:firstLine="284"/>
        <w:rPr>
          <w:rFonts w:cs="Times New Roman"/>
          <w:szCs w:val="24"/>
        </w:rPr>
      </w:pPr>
      <w:r w:rsidRPr="00FF2296">
        <w:rPr>
          <w:rFonts w:cs="Times New Roman"/>
          <w:b/>
          <w:szCs w:val="24"/>
        </w:rPr>
        <w:t>MASSA</w:t>
      </w:r>
      <w:r w:rsidR="003E4357" w:rsidRPr="003E4357">
        <w:rPr>
          <w:rFonts w:cs="Times New Roman"/>
          <w:szCs w:val="24"/>
        </w:rPr>
        <w:t xml:space="preserve"> (</w:t>
      </w:r>
      <w:r w:rsidR="003E4357">
        <w:rPr>
          <w:rFonts w:cs="Times New Roman"/>
          <w:szCs w:val="24"/>
        </w:rPr>
        <w:t>melatoninový agonista a serotoninový antagonista)</w:t>
      </w:r>
      <w:r>
        <w:rPr>
          <w:rFonts w:cs="Times New Roman"/>
          <w:b/>
          <w:szCs w:val="24"/>
        </w:rPr>
        <w:t xml:space="preserve"> </w:t>
      </w:r>
      <w:r w:rsidR="00065685">
        <w:rPr>
          <w:rFonts w:cs="Times New Roman"/>
          <w:szCs w:val="24"/>
        </w:rPr>
        <w:t>se v ČR k</w:t>
      </w:r>
      <w:r>
        <w:rPr>
          <w:rFonts w:cs="Times New Roman"/>
          <w:szCs w:val="24"/>
        </w:rPr>
        <w:t> ambulantní léčbě neužívá. Výhodou je jistě to, že nevyvolává žádné symptomy při náhlém vysazení léku. Je relativně bezpečný při předávkování a je pacienty dobře snášen. Nevýhodou je, že zvyšuje sekreci jaterních transamináz. Preparát agomelatin se připrav</w:t>
      </w:r>
      <w:r w:rsidR="001609E5">
        <w:rPr>
          <w:rFonts w:cs="Times New Roman"/>
          <w:szCs w:val="24"/>
        </w:rPr>
        <w:t>uje na trh ve Spojených státech</w:t>
      </w:r>
      <w:r>
        <w:rPr>
          <w:rFonts w:cs="Times New Roman"/>
          <w:szCs w:val="24"/>
        </w:rPr>
        <w:t xml:space="preserve"> (Sansone, 2011)</w:t>
      </w:r>
      <w:r w:rsidR="001609E5">
        <w:rPr>
          <w:rFonts w:cs="Times New Roman"/>
          <w:szCs w:val="24"/>
        </w:rPr>
        <w:t>.</w:t>
      </w:r>
    </w:p>
    <w:p w:rsidR="00FD44F0" w:rsidRDefault="00FD44F0" w:rsidP="00FD44F0">
      <w:pPr>
        <w:ind w:firstLine="284"/>
        <w:rPr>
          <w:rFonts w:cs="Times New Roman"/>
          <w:szCs w:val="24"/>
        </w:rPr>
      </w:pPr>
    </w:p>
    <w:p w:rsidR="00FD44F0" w:rsidRDefault="00FD44F0" w:rsidP="00FD44F0">
      <w:pPr>
        <w:ind w:firstLine="284"/>
        <w:rPr>
          <w:rFonts w:cs="Times New Roman"/>
          <w:szCs w:val="24"/>
        </w:rPr>
      </w:pPr>
      <w:r>
        <w:rPr>
          <w:rFonts w:cs="Times New Roman"/>
          <w:szCs w:val="24"/>
        </w:rPr>
        <w:lastRenderedPageBreak/>
        <w:t>V některých případech je možné antidepresiva kombinovat. Z klinické studie byly prokázány dobré výsledky při kombinaci venlaflaxinu a mirtazapinu u farmakorezistentních forem deprese. Samozřejmě je důležité, aby při kombinaci antidepresi</w:t>
      </w:r>
      <w:r w:rsidR="00E32532">
        <w:rPr>
          <w:rFonts w:cs="Times New Roman"/>
          <w:szCs w:val="24"/>
        </w:rPr>
        <w:t>v nedošlo k lékové inter</w:t>
      </w:r>
      <w:r w:rsidR="001609E5">
        <w:rPr>
          <w:rFonts w:cs="Times New Roman"/>
          <w:szCs w:val="24"/>
        </w:rPr>
        <w:t xml:space="preserve">akci mezi léky typu SSRI a IMAO </w:t>
      </w:r>
      <w:r>
        <w:rPr>
          <w:rFonts w:cs="Times New Roman"/>
          <w:szCs w:val="24"/>
        </w:rPr>
        <w:t>(Čéšková, 2008)</w:t>
      </w:r>
      <w:r w:rsidR="001609E5">
        <w:rPr>
          <w:rFonts w:cs="Times New Roman"/>
          <w:szCs w:val="24"/>
        </w:rPr>
        <w:t>.</w:t>
      </w:r>
    </w:p>
    <w:p w:rsidR="007B5EE8" w:rsidRDefault="007B5EE8" w:rsidP="00C13421">
      <w:pPr>
        <w:pStyle w:val="Nadpis6"/>
        <w:numPr>
          <w:ilvl w:val="0"/>
          <w:numId w:val="0"/>
        </w:numPr>
        <w:rPr>
          <w:rFonts w:eastAsiaTheme="minorHAnsi" w:cs="Times New Roman"/>
          <w:b w:val="0"/>
          <w:iCs w:val="0"/>
          <w:sz w:val="24"/>
        </w:rPr>
      </w:pPr>
    </w:p>
    <w:p w:rsidR="002F50C7" w:rsidRDefault="002F50C7" w:rsidP="002F50C7"/>
    <w:p w:rsidR="002F50C7" w:rsidRDefault="002F50C7" w:rsidP="002F50C7"/>
    <w:p w:rsidR="002F50C7" w:rsidRDefault="002F50C7" w:rsidP="002F50C7"/>
    <w:p w:rsidR="002F50C7" w:rsidRDefault="002F50C7" w:rsidP="002F50C7"/>
    <w:p w:rsidR="002F50C7" w:rsidRDefault="002F50C7" w:rsidP="002F50C7"/>
    <w:p w:rsidR="002F50C7" w:rsidRDefault="002F50C7" w:rsidP="002F50C7"/>
    <w:p w:rsidR="002F50C7" w:rsidRDefault="002F50C7" w:rsidP="002F50C7"/>
    <w:p w:rsidR="002F50C7" w:rsidRDefault="002F50C7" w:rsidP="002F50C7"/>
    <w:p w:rsidR="002F50C7" w:rsidRDefault="002F50C7" w:rsidP="002F50C7"/>
    <w:p w:rsidR="002F50C7" w:rsidRDefault="002F50C7" w:rsidP="002F50C7"/>
    <w:p w:rsidR="002F50C7" w:rsidRDefault="002F50C7" w:rsidP="002F50C7"/>
    <w:p w:rsidR="002F50C7" w:rsidRDefault="002F50C7" w:rsidP="002F50C7"/>
    <w:p w:rsidR="008727CC" w:rsidRDefault="008727CC" w:rsidP="002F50C7"/>
    <w:p w:rsidR="008727CC" w:rsidRDefault="008727CC" w:rsidP="002F50C7"/>
    <w:p w:rsidR="008727CC" w:rsidRDefault="008727CC" w:rsidP="002F50C7"/>
    <w:p w:rsidR="008727CC" w:rsidRDefault="008727CC" w:rsidP="002F50C7"/>
    <w:p w:rsidR="008727CC" w:rsidRDefault="008727CC" w:rsidP="002F50C7"/>
    <w:p w:rsidR="008727CC" w:rsidRDefault="008727CC" w:rsidP="002F50C7"/>
    <w:p w:rsidR="008727CC" w:rsidRDefault="008727CC" w:rsidP="002F50C7"/>
    <w:p w:rsidR="008727CC" w:rsidRDefault="008727CC" w:rsidP="002F50C7"/>
    <w:p w:rsidR="008727CC" w:rsidRDefault="008727CC" w:rsidP="002F50C7"/>
    <w:p w:rsidR="008727CC" w:rsidRDefault="008727CC" w:rsidP="002F50C7"/>
    <w:p w:rsidR="008727CC" w:rsidRDefault="008727CC" w:rsidP="002F50C7"/>
    <w:p w:rsidR="008727CC" w:rsidRDefault="008727CC" w:rsidP="002F50C7"/>
    <w:p w:rsidR="00D81FC0" w:rsidRPr="00D81FC0" w:rsidRDefault="008727CC" w:rsidP="00C13421">
      <w:pPr>
        <w:pStyle w:val="Nadpis6"/>
        <w:numPr>
          <w:ilvl w:val="0"/>
          <w:numId w:val="0"/>
        </w:numPr>
      </w:pPr>
      <w:bookmarkStart w:id="79" w:name="_Toc353433198"/>
      <w:r>
        <w:lastRenderedPageBreak/>
        <w:t>3</w:t>
      </w:r>
      <w:r w:rsidR="00A236DF" w:rsidRPr="00C741D2">
        <w:t xml:space="preserve"> </w:t>
      </w:r>
      <w:r w:rsidR="00AC2AE6" w:rsidRPr="00C741D2">
        <w:t>Pohled pacienta na léčbu antidepresivy</w:t>
      </w:r>
      <w:bookmarkEnd w:id="79"/>
    </w:p>
    <w:p w:rsidR="00544838" w:rsidRPr="00544838" w:rsidRDefault="00544838" w:rsidP="00065685">
      <w:pPr>
        <w:ind w:firstLine="284"/>
      </w:pPr>
      <w:r>
        <w:t>Cílem léčby deprese je zmírnit symptomy a utrpení pacienta. Efekt léčby by</w:t>
      </w:r>
      <w:r w:rsidR="00065685">
        <w:t xml:space="preserve"> měl být doprovázen navrácením</w:t>
      </w:r>
      <w:r>
        <w:t xml:space="preserve"> schopností</w:t>
      </w:r>
      <w:r w:rsidR="00065685">
        <w:t xml:space="preserve"> funkčních,</w:t>
      </w:r>
      <w:r>
        <w:t xml:space="preserve"> psychosociálních a pracovních do úrovně před začátkem nemoci</w:t>
      </w:r>
      <w:r w:rsidR="00065685">
        <w:t>. Dalším cílem je minimalizovat riziko</w:t>
      </w:r>
      <w:r w:rsidR="001609E5">
        <w:t xml:space="preserve"> vzniku relapsu a recidivy</w:t>
      </w:r>
      <w:r>
        <w:t xml:space="preserve"> (Anders, Roth, 2000)</w:t>
      </w:r>
      <w:r w:rsidR="001609E5">
        <w:t>.</w:t>
      </w:r>
      <w:r w:rsidR="00AC2AE6">
        <w:t xml:space="preserve"> V léčbě musí být pacient veden k soustavnému a pravidelnému užívání medikamentů. Což může být u někte</w:t>
      </w:r>
      <w:r w:rsidR="001609E5">
        <w:t>rých pacientů problémová oblast</w:t>
      </w:r>
      <w:r w:rsidR="00AC2AE6">
        <w:t xml:space="preserve"> (Martinický, 2008)</w:t>
      </w:r>
      <w:r w:rsidR="001609E5">
        <w:t>.</w:t>
      </w:r>
    </w:p>
    <w:p w:rsidR="00A82242" w:rsidRDefault="00AC2AE6" w:rsidP="006C7321">
      <w:pPr>
        <w:ind w:firstLine="284"/>
        <w:rPr>
          <w:rFonts w:cs="Times New Roman"/>
          <w:szCs w:val="24"/>
        </w:rPr>
      </w:pPr>
      <w:r>
        <w:rPr>
          <w:rFonts w:cs="Times New Roman"/>
          <w:szCs w:val="24"/>
        </w:rPr>
        <w:t>V této kapitole budou shrnuty důležité zásady při užívání antidepresiv, compliance pacienta</w:t>
      </w:r>
      <w:r w:rsidR="00E32532">
        <w:rPr>
          <w:rFonts w:cs="Times New Roman"/>
          <w:szCs w:val="24"/>
        </w:rPr>
        <w:t xml:space="preserve"> k užívání léků a úloha psychiatra</w:t>
      </w:r>
      <w:r w:rsidR="0063268F">
        <w:rPr>
          <w:rFonts w:cs="Times New Roman"/>
          <w:szCs w:val="24"/>
        </w:rPr>
        <w:t xml:space="preserve"> v průběhu léčby</w:t>
      </w:r>
      <w:r w:rsidR="00E32532">
        <w:rPr>
          <w:rFonts w:cs="Times New Roman"/>
          <w:szCs w:val="24"/>
        </w:rPr>
        <w:t>.</w:t>
      </w:r>
    </w:p>
    <w:p w:rsidR="009D2A9B" w:rsidRDefault="009D2A9B" w:rsidP="00D60481">
      <w:pPr>
        <w:rPr>
          <w:rFonts w:cs="Times New Roman"/>
          <w:szCs w:val="24"/>
        </w:rPr>
      </w:pPr>
    </w:p>
    <w:p w:rsidR="00EE1A40" w:rsidRDefault="008727CC" w:rsidP="00EE1A40">
      <w:pPr>
        <w:pStyle w:val="Nadpis3"/>
      </w:pPr>
      <w:bookmarkStart w:id="80" w:name="_Toc343782760"/>
      <w:bookmarkStart w:id="81" w:name="_Toc353433199"/>
      <w:r>
        <w:t>3</w:t>
      </w:r>
      <w:r w:rsidR="00D60481">
        <w:t>.1</w:t>
      </w:r>
      <w:r w:rsidR="00EE1A40">
        <w:t xml:space="preserve"> Compliance </w:t>
      </w:r>
      <w:r w:rsidR="00787211">
        <w:t xml:space="preserve">pacienta </w:t>
      </w:r>
      <w:r w:rsidR="00EE1A40">
        <w:t>při léčbě deprese</w:t>
      </w:r>
      <w:bookmarkEnd w:id="80"/>
      <w:bookmarkEnd w:id="81"/>
    </w:p>
    <w:p w:rsidR="009A4B70" w:rsidRDefault="009A4B70" w:rsidP="00F00D3B">
      <w:pPr>
        <w:ind w:firstLine="284"/>
      </w:pPr>
      <w:r>
        <w:t>Compliance znamená ochotu nemocného spolupracovat při léčbě, přijmout a řídit se pokyny lék</w:t>
      </w:r>
      <w:r w:rsidR="001609E5">
        <w:t>aře</w:t>
      </w:r>
      <w:r w:rsidR="00065685">
        <w:t xml:space="preserve"> (Vokurka, Hugo, 2000)</w:t>
      </w:r>
      <w:r w:rsidR="001609E5">
        <w:t>.</w:t>
      </w:r>
      <w:r w:rsidR="00065685">
        <w:t xml:space="preserve"> C</w:t>
      </w:r>
      <w:r>
        <w:t>ompliance a non-compliance nejsou černobílé f</w:t>
      </w:r>
      <w:r w:rsidR="007B5EE8">
        <w:t>enomény, ale je mezi nimi plynul</w:t>
      </w:r>
      <w:r w:rsidR="00E749D7">
        <w:t>ý</w:t>
      </w:r>
      <w:r>
        <w:t xml:space="preserve"> přechod. </w:t>
      </w:r>
    </w:p>
    <w:p w:rsidR="00F00D3B" w:rsidRDefault="00F00D3B" w:rsidP="00065685">
      <w:pPr>
        <w:ind w:firstLine="284"/>
      </w:pPr>
      <w:r>
        <w:t>Míra non-compliance u depresivních poruch je vysoká, v kontrolovaných studiích byla 30 % a v naturalistických studiích dosahovala až 60 %. Zásadní otázkou této problematiky je, jak complianci u těchto pacientů můžeme zjišťovat. Objek</w:t>
      </w:r>
      <w:r w:rsidR="00EF2DD6">
        <w:t>tivní metodou je heteroanamnéza</w:t>
      </w:r>
      <w:r w:rsidR="00E52C83">
        <w:t>,</w:t>
      </w:r>
      <w:r>
        <w:t xml:space="preserve"> může se jednat o počítání tablet (medication events monitoring) nebo měření plazmatických hladin. Za dobrou complianci se považuje užívání 75-100 % léků. Subjektivní metodou zjišťo</w:t>
      </w:r>
      <w:r w:rsidR="007B5EE8">
        <w:t xml:space="preserve">vání compliance byla </w:t>
      </w:r>
      <w:r>
        <w:t>kongitivně-behaviorální metoda zjišťo</w:t>
      </w:r>
      <w:r w:rsidR="00624580">
        <w:t>vání dle Procházky a DiClementa. Ti vytvořili model fázových změn při modifikaci problémového c</w:t>
      </w:r>
      <w:r w:rsidR="001609E5">
        <w:t>hování při užívání antidepresiv</w:t>
      </w:r>
      <w:r>
        <w:t xml:space="preserve"> (Martinický, 2008)</w:t>
      </w:r>
      <w:r w:rsidR="001609E5">
        <w:t>.</w:t>
      </w:r>
    </w:p>
    <w:p w:rsidR="00F00D3B" w:rsidRDefault="00787211" w:rsidP="00D314E6">
      <w:pPr>
        <w:ind w:firstLine="284"/>
      </w:pPr>
      <w:r>
        <w:t>Studie prokázaly, že non-compliance je hlavním limitujícím faktorem účinnosti antidepresivní léčby. Podíl pacientů odpovídajících na léčbu byl nejnižší ve skupině pacientů s nízkou mírou compliance a nejvyšší ve skupině pacientů s vysokou mírou compliance. Spolupráci v léčbě ovlivňují také negativní postoje pacientů k medikaci. Tento postoj často způsobí předčasné vysazení medikace. Ze studie Demyttenaereho a spol. (2001) vyplynulo, že 53 % pacientů přeruší léčbu, a to nejčastěji z dů</w:t>
      </w:r>
      <w:r w:rsidR="00D314E6">
        <w:t>vodu zlepšení stavu (55 %) nebo pro nežádo</w:t>
      </w:r>
      <w:r w:rsidR="001609E5">
        <w:t>ucí účinky (23 %);</w:t>
      </w:r>
      <w:r w:rsidR="00D314E6">
        <w:t xml:space="preserve"> (Martinický, 2008)</w:t>
      </w:r>
      <w:r w:rsidR="001609E5">
        <w:t>.</w:t>
      </w:r>
    </w:p>
    <w:p w:rsidR="00AF4806" w:rsidRDefault="00193B6D" w:rsidP="00AF4806">
      <w:pPr>
        <w:ind w:firstLine="284"/>
      </w:pPr>
      <w:r>
        <w:t>Faktory, které se podílejí na ovlivnění compliance j</w:t>
      </w:r>
      <w:r w:rsidR="00E221F8">
        <w:t>sou důležitým aspektem v léčbě (obrázek 2).</w:t>
      </w:r>
      <w:r>
        <w:t xml:space="preserve"> </w:t>
      </w:r>
    </w:p>
    <w:p w:rsidR="001609E5" w:rsidRDefault="001609E5" w:rsidP="007B5EE8"/>
    <w:p w:rsidR="00FC1396" w:rsidRDefault="001609E5" w:rsidP="007B5EE8">
      <w:r>
        <w:lastRenderedPageBreak/>
        <w:t> </w:t>
      </w:r>
      <w:r w:rsidR="002B44ED">
        <w:rPr>
          <w:noProof/>
          <w:lang w:eastAsia="cs-CZ"/>
        </w:rPr>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_x0000_s1032" type="#_x0000_t48" style="position:absolute;left:0;text-align:left;margin-left:304.25pt;margin-top:12.05pt;width:105.75pt;height:92.85pt;z-index:251664384;mso-position-horizontal-relative:text;mso-position-vertical-relative:text" adj="-9610,14005,-5392,2094,-1226,2094,-5668,20239" fillcolor="white [3212]" strokecolor="black [3213]" strokeweight="1pt">
            <v:fill color2="#e5b8b7 [1301]"/>
            <v:shadow on="t" type="perspective" color="#622423 [1605]" opacity=".5" offset="1pt" offset2="-3pt"/>
            <v:textbox style="mso-next-textbox:#_x0000_s1032">
              <w:txbxContent>
                <w:p w:rsidR="006928C7" w:rsidRPr="007B5EE8" w:rsidRDefault="006928C7" w:rsidP="00AF4806">
                  <w:pPr>
                    <w:shd w:val="clear" w:color="auto" w:fill="FFFFFF" w:themeFill="background1"/>
                    <w:rPr>
                      <w:szCs w:val="24"/>
                    </w:rPr>
                  </w:pPr>
                  <w:r w:rsidRPr="007B5EE8">
                    <w:rPr>
                      <w:szCs w:val="24"/>
                    </w:rPr>
                    <w:t xml:space="preserve">Terapeutický vztah </w:t>
                  </w:r>
                </w:p>
                <w:p w:rsidR="006928C7" w:rsidRPr="007B5EE8" w:rsidRDefault="006928C7" w:rsidP="00AF4806">
                  <w:pPr>
                    <w:shd w:val="clear" w:color="auto" w:fill="FFFFFF" w:themeFill="background1"/>
                    <w:rPr>
                      <w:szCs w:val="24"/>
                    </w:rPr>
                  </w:pPr>
                  <w:r w:rsidRPr="007B5EE8">
                    <w:rPr>
                      <w:szCs w:val="24"/>
                    </w:rPr>
                    <w:t xml:space="preserve">Informovanost </w:t>
                  </w:r>
                </w:p>
                <w:p w:rsidR="006928C7" w:rsidRPr="007B5EE8" w:rsidRDefault="006928C7" w:rsidP="00AF4806">
                  <w:pPr>
                    <w:shd w:val="clear" w:color="auto" w:fill="FFFFFF" w:themeFill="background1"/>
                    <w:rPr>
                      <w:szCs w:val="24"/>
                    </w:rPr>
                  </w:pPr>
                  <w:r w:rsidRPr="007B5EE8">
                    <w:rPr>
                      <w:szCs w:val="24"/>
                    </w:rPr>
                    <w:t>Edukace</w:t>
                  </w:r>
                </w:p>
              </w:txbxContent>
            </v:textbox>
            <o:callout v:ext="edit" minusy="t"/>
          </v:shape>
        </w:pict>
      </w:r>
    </w:p>
    <w:p w:rsidR="00FC1396" w:rsidRPr="009A4B70" w:rsidRDefault="002B44ED" w:rsidP="00202DD9">
      <w:pPr>
        <w:shd w:val="clear" w:color="auto" w:fill="FFFFFF" w:themeFill="background1"/>
        <w:ind w:firstLine="284"/>
      </w:pPr>
      <w:r>
        <w:rPr>
          <w:noProof/>
          <w:lang w:eastAsia="cs-CZ"/>
        </w:rPr>
        <w:pict>
          <v:shape id="_x0000_s1035" type="#_x0000_t48" style="position:absolute;left:0;text-align:left;margin-left:-16.75pt;margin-top:7.15pt;width:96.75pt;height:92.8pt;z-index:251661312" adj="30731,24998,26802,2095,22940,2095,27795,22159" fillcolor="white [3212]" strokecolor="black [3213]" strokeweight="1pt">
            <v:textbox style="mso-next-textbox:#_x0000_s1035">
              <w:txbxContent>
                <w:p w:rsidR="006928C7" w:rsidRPr="007B5EE8" w:rsidRDefault="006928C7" w:rsidP="00F429A6">
                  <w:pPr>
                    <w:jc w:val="left"/>
                    <w:rPr>
                      <w:szCs w:val="24"/>
                    </w:rPr>
                  </w:pPr>
                  <w:r w:rsidRPr="007B5EE8">
                    <w:rPr>
                      <w:szCs w:val="24"/>
                    </w:rPr>
                    <w:t>Příznivý profil NÚ</w:t>
                  </w:r>
                </w:p>
                <w:p w:rsidR="006928C7" w:rsidRPr="007B5EE8" w:rsidRDefault="006928C7" w:rsidP="00F429A6">
                  <w:pPr>
                    <w:jc w:val="left"/>
                    <w:rPr>
                      <w:szCs w:val="24"/>
                    </w:rPr>
                  </w:pPr>
                  <w:r w:rsidRPr="007B5EE8">
                    <w:rPr>
                      <w:szCs w:val="24"/>
                    </w:rPr>
                    <w:t>Subjektivní prožívání</w:t>
                  </w:r>
                </w:p>
              </w:txbxContent>
            </v:textbox>
            <o:callout v:ext="edit" minusx="t" minusy="t"/>
          </v:shape>
        </w:pict>
      </w:r>
    </w:p>
    <w:p w:rsidR="00FC1396" w:rsidRDefault="00FC1396" w:rsidP="00202DD9">
      <w:pPr>
        <w:shd w:val="clear" w:color="auto" w:fill="FFFFFF" w:themeFill="background1"/>
      </w:pPr>
      <w:r>
        <w:t xml:space="preserve">                                                                   </w:t>
      </w:r>
    </w:p>
    <w:p w:rsidR="00193B6D" w:rsidRDefault="002B44ED" w:rsidP="00202DD9">
      <w:pPr>
        <w:shd w:val="clear" w:color="auto" w:fill="FFFFFF" w:themeFill="background1"/>
        <w:rPr>
          <w:noProof/>
          <w:lang w:eastAsia="cs-CZ"/>
        </w:rPr>
      </w:pPr>
      <w:r>
        <w:rPr>
          <w:noProof/>
          <w:lang w:eastAsia="cs-CZ"/>
        </w:rPr>
        <w:pict>
          <v:shape id="_x0000_s1037" type="#_x0000_t48" style="position:absolute;left:0;text-align:left;margin-left:335.75pt;margin-top:182.3pt;width:107.25pt;height:95.85pt;z-index:251662336" adj="-4914,-2389,-3041,2028,-1208,2028,-7250,-6389" fillcolor="white [3212]" strokecolor="black [3213]" strokeweight="1pt">
            <v:fill color2="#ccc0d9 [1303]"/>
            <v:shadow on="t" type="perspective" color="#3f3151 [1607]" opacity=".5" offset="1pt" offset2="-3pt"/>
            <v:textbox style="mso-next-textbox:#_x0000_s1037">
              <w:txbxContent>
                <w:p w:rsidR="006928C7" w:rsidRPr="007B5EE8" w:rsidRDefault="006928C7" w:rsidP="00F429A6">
                  <w:pPr>
                    <w:jc w:val="left"/>
                    <w:rPr>
                      <w:szCs w:val="24"/>
                    </w:rPr>
                  </w:pPr>
                  <w:r w:rsidRPr="007B5EE8">
                    <w:rPr>
                      <w:szCs w:val="24"/>
                    </w:rPr>
                    <w:t>Co nejúčinnější léčba</w:t>
                  </w:r>
                </w:p>
                <w:p w:rsidR="006928C7" w:rsidRPr="007B5EE8" w:rsidRDefault="006928C7" w:rsidP="00F429A6">
                  <w:pPr>
                    <w:jc w:val="left"/>
                    <w:rPr>
                      <w:szCs w:val="24"/>
                    </w:rPr>
                  </w:pPr>
                  <w:r w:rsidRPr="007B5EE8">
                    <w:rPr>
                      <w:szCs w:val="24"/>
                    </w:rPr>
                    <w:t>Forma</w:t>
                  </w:r>
                </w:p>
                <w:p w:rsidR="006928C7" w:rsidRPr="007B5EE8" w:rsidRDefault="006928C7" w:rsidP="00F429A6">
                  <w:pPr>
                    <w:jc w:val="left"/>
                    <w:rPr>
                      <w:szCs w:val="24"/>
                    </w:rPr>
                  </w:pPr>
                  <w:r w:rsidRPr="007B5EE8">
                    <w:rPr>
                      <w:szCs w:val="24"/>
                    </w:rPr>
                    <w:t>Dávkování</w:t>
                  </w:r>
                </w:p>
                <w:p w:rsidR="006928C7" w:rsidRDefault="006928C7"/>
              </w:txbxContent>
            </v:textbox>
          </v:shape>
        </w:pict>
      </w:r>
      <w:r>
        <w:rPr>
          <w:noProof/>
          <w:lang w:eastAsia="cs-CZ"/>
        </w:rPr>
        <w:pict>
          <v:shape id="_x0000_s1038" type="#_x0000_t48" style="position:absolute;left:0;text-align:left;margin-left:14.4pt;margin-top:199.95pt;width:114pt;height:92.9pt;z-index:251663360" adj="26649,3406,24679,2093,22737,2093,38226,-5208" fillcolor="white [3212]" strokecolor="black [3213]">
            <v:textbox style="mso-next-textbox:#_x0000_s1038">
              <w:txbxContent>
                <w:p w:rsidR="006928C7" w:rsidRPr="007B5EE8" w:rsidRDefault="006928C7" w:rsidP="00F429A6">
                  <w:pPr>
                    <w:jc w:val="left"/>
                    <w:rPr>
                      <w:szCs w:val="24"/>
                    </w:rPr>
                  </w:pPr>
                  <w:r w:rsidRPr="007B5EE8">
                    <w:rPr>
                      <w:szCs w:val="24"/>
                    </w:rPr>
                    <w:t>Motivace</w:t>
                  </w:r>
                </w:p>
                <w:p w:rsidR="006928C7" w:rsidRPr="007B5EE8" w:rsidRDefault="006928C7" w:rsidP="00F429A6">
                  <w:pPr>
                    <w:jc w:val="left"/>
                    <w:rPr>
                      <w:szCs w:val="24"/>
                    </w:rPr>
                  </w:pPr>
                  <w:r w:rsidRPr="007B5EE8">
                    <w:rPr>
                      <w:szCs w:val="24"/>
                    </w:rPr>
                    <w:t>Získat rodinu pro spolupráci</w:t>
                  </w:r>
                </w:p>
                <w:p w:rsidR="006928C7" w:rsidRPr="007B5EE8" w:rsidRDefault="006928C7" w:rsidP="00F429A6">
                  <w:pPr>
                    <w:jc w:val="left"/>
                    <w:rPr>
                      <w:szCs w:val="24"/>
                    </w:rPr>
                  </w:pPr>
                  <w:r w:rsidRPr="007B5EE8">
                    <w:rPr>
                      <w:szCs w:val="24"/>
                    </w:rPr>
                    <w:t>Edukovat rodinu</w:t>
                  </w:r>
                </w:p>
                <w:p w:rsidR="006928C7" w:rsidRDefault="006928C7"/>
              </w:txbxContent>
            </v:textbox>
            <o:callout v:ext="edit" minusx="t" minusy="t"/>
          </v:shape>
        </w:pict>
      </w:r>
      <w:r w:rsidR="007B5EE8">
        <w:rPr>
          <w:noProof/>
          <w:lang w:eastAsia="cs-CZ"/>
        </w:rPr>
        <w:t xml:space="preserve">        </w:t>
      </w:r>
      <w:r w:rsidR="00FC1396">
        <w:rPr>
          <w:noProof/>
          <w:lang w:eastAsia="cs-CZ"/>
        </w:rPr>
        <w:drawing>
          <wp:inline distT="0" distB="0" distL="0" distR="0" wp14:anchorId="7329C8F2" wp14:editId="250EE573">
            <wp:extent cx="5048250" cy="3305175"/>
            <wp:effectExtent l="0" t="1905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5D1289" w:rsidRDefault="005D1289" w:rsidP="00FC1396">
      <w:pPr>
        <w:rPr>
          <w:noProof/>
          <w:lang w:eastAsia="cs-CZ"/>
        </w:rPr>
      </w:pPr>
    </w:p>
    <w:p w:rsidR="005D1289" w:rsidRDefault="005D1289" w:rsidP="00FC1396">
      <w:pPr>
        <w:rPr>
          <w:noProof/>
          <w:lang w:eastAsia="cs-CZ"/>
        </w:rPr>
      </w:pPr>
    </w:p>
    <w:p w:rsidR="005D1289" w:rsidRDefault="005D1289" w:rsidP="00FC1396">
      <w:pPr>
        <w:rPr>
          <w:noProof/>
          <w:lang w:eastAsia="cs-CZ"/>
        </w:rPr>
      </w:pPr>
    </w:p>
    <w:p w:rsidR="005D1289" w:rsidRDefault="005D1289" w:rsidP="00FC1396">
      <w:pPr>
        <w:rPr>
          <w:noProof/>
          <w:lang w:eastAsia="cs-CZ"/>
        </w:rPr>
      </w:pPr>
    </w:p>
    <w:p w:rsidR="005D1289" w:rsidRDefault="005D1289" w:rsidP="00FC1396">
      <w:pPr>
        <w:rPr>
          <w:noProof/>
          <w:lang w:eastAsia="cs-CZ"/>
        </w:rPr>
      </w:pPr>
    </w:p>
    <w:p w:rsidR="00065685" w:rsidRDefault="005D1289" w:rsidP="00FC1396">
      <w:pPr>
        <w:rPr>
          <w:noProof/>
          <w:lang w:eastAsia="cs-CZ"/>
        </w:rPr>
      </w:pPr>
      <w:r>
        <w:rPr>
          <w:noProof/>
          <w:lang w:eastAsia="cs-CZ"/>
        </w:rPr>
        <w:t xml:space="preserve">  </w:t>
      </w:r>
      <w:r w:rsidRPr="005D1289">
        <w:rPr>
          <w:b/>
          <w:noProof/>
          <w:lang w:eastAsia="cs-CZ"/>
        </w:rPr>
        <w:t>Obrázek 2.</w:t>
      </w:r>
      <w:r>
        <w:rPr>
          <w:noProof/>
          <w:lang w:eastAsia="cs-CZ"/>
        </w:rPr>
        <w:t xml:space="preserve"> Faktory ovlivňuj</w:t>
      </w:r>
      <w:r w:rsidR="00F3111A">
        <w:rPr>
          <w:noProof/>
          <w:lang w:eastAsia="cs-CZ"/>
        </w:rPr>
        <w:t>ící complianci pacienta (Martinic</w:t>
      </w:r>
      <w:r>
        <w:rPr>
          <w:noProof/>
          <w:lang w:eastAsia="cs-CZ"/>
        </w:rPr>
        <w:t>ký, 2008)</w:t>
      </w:r>
      <w:r w:rsidR="001609E5">
        <w:rPr>
          <w:noProof/>
          <w:lang w:eastAsia="cs-CZ"/>
        </w:rPr>
        <w:t>.</w:t>
      </w:r>
    </w:p>
    <w:p w:rsidR="00624580" w:rsidRDefault="00624580" w:rsidP="00FC1396">
      <w:pPr>
        <w:rPr>
          <w:noProof/>
          <w:lang w:eastAsia="cs-CZ"/>
        </w:rPr>
      </w:pPr>
    </w:p>
    <w:p w:rsidR="005D1289" w:rsidRDefault="00065685" w:rsidP="00FC1396">
      <w:pPr>
        <w:rPr>
          <w:noProof/>
          <w:lang w:eastAsia="cs-CZ"/>
        </w:rPr>
      </w:pPr>
      <w:r>
        <w:rPr>
          <w:noProof/>
          <w:lang w:eastAsia="cs-CZ"/>
        </w:rPr>
        <w:t> </w:t>
      </w:r>
      <w:r w:rsidR="005D1289">
        <w:rPr>
          <w:noProof/>
          <w:lang w:eastAsia="cs-CZ"/>
        </w:rPr>
        <w:t>Další faktory, které maj</w:t>
      </w:r>
      <w:r w:rsidR="00E52C83">
        <w:rPr>
          <w:noProof/>
          <w:lang w:eastAsia="cs-CZ"/>
        </w:rPr>
        <w:t>í vliv na complianci pacienta jsou</w:t>
      </w:r>
      <w:r w:rsidR="005D1289">
        <w:rPr>
          <w:noProof/>
          <w:lang w:eastAsia="cs-CZ"/>
        </w:rPr>
        <w:t xml:space="preserve"> věk, pohlaví (studie ukazují, že non-compliance a s ní podmíněné hospitalizace jsou vyšší u žen), počet dávek, forma léku, barva a chuť. A také komunikačně-terapeutický vzt</w:t>
      </w:r>
      <w:r w:rsidR="001609E5">
        <w:rPr>
          <w:noProof/>
          <w:lang w:eastAsia="cs-CZ"/>
        </w:rPr>
        <w:t>ah a edukace pacientů</w:t>
      </w:r>
      <w:r w:rsidR="00F3111A">
        <w:rPr>
          <w:noProof/>
          <w:lang w:eastAsia="cs-CZ"/>
        </w:rPr>
        <w:t xml:space="preserve"> (Martinic</w:t>
      </w:r>
      <w:r w:rsidR="005D1289">
        <w:rPr>
          <w:noProof/>
          <w:lang w:eastAsia="cs-CZ"/>
        </w:rPr>
        <w:t>ký, 2008)</w:t>
      </w:r>
      <w:r w:rsidR="001609E5">
        <w:rPr>
          <w:noProof/>
          <w:lang w:eastAsia="cs-CZ"/>
        </w:rPr>
        <w:t>.</w:t>
      </w:r>
    </w:p>
    <w:p w:rsidR="00E749D7" w:rsidRDefault="00831062" w:rsidP="00E749D7">
      <w:pPr>
        <w:ind w:firstLine="284"/>
        <w:rPr>
          <w:noProof/>
          <w:lang w:eastAsia="cs-CZ"/>
        </w:rPr>
      </w:pPr>
      <w:r>
        <w:rPr>
          <w:i/>
          <w:noProof/>
          <w:lang w:eastAsia="cs-CZ"/>
        </w:rPr>
        <w:t>„</w:t>
      </w:r>
      <w:r w:rsidR="00D60481" w:rsidRPr="00D60481">
        <w:rPr>
          <w:i/>
          <w:noProof/>
          <w:lang w:eastAsia="cs-CZ"/>
        </w:rPr>
        <w:t>Hlavním terapeutickým cílem prvního setkání je především ustanovení a rozvíjení bezpečného terapeutického vztahu (lékař se stává spojencem v boji proti nemoci) a zapojení rodiny jako spojence léč</w:t>
      </w:r>
      <w:r w:rsidR="001609E5">
        <w:rPr>
          <w:i/>
          <w:noProof/>
          <w:lang w:eastAsia="cs-CZ"/>
        </w:rPr>
        <w:t>by</w:t>
      </w:r>
      <w:r>
        <w:rPr>
          <w:i/>
          <w:noProof/>
          <w:lang w:eastAsia="cs-CZ"/>
        </w:rPr>
        <w:t>“ (</w:t>
      </w:r>
      <w:r>
        <w:rPr>
          <w:noProof/>
          <w:lang w:eastAsia="cs-CZ"/>
        </w:rPr>
        <w:t>Anderes, Roth, 2000; s.7)</w:t>
      </w:r>
      <w:r w:rsidRPr="00831062">
        <w:rPr>
          <w:noProof/>
          <w:lang w:eastAsia="cs-CZ"/>
        </w:rPr>
        <w:t xml:space="preserve"> </w:t>
      </w:r>
      <w:r>
        <w:rPr>
          <w:noProof/>
          <w:lang w:eastAsia="cs-CZ"/>
        </w:rPr>
        <w:t xml:space="preserve">Způsob komunikace je v léčbě antidepresivy klíčový. Z hlediska compliance jsou významné 4 základní oblasti. První je hledisko ze strany pacienta, kde je důležitý věk, pohlaví, psychopatologie a komorbidita. Z hlediska lékaře je to zájem, empatie, informovanost, psychoedukace a samozřejmě dobrý psychoterapeutický vztah s pacientem. </w:t>
      </w:r>
      <w:r w:rsidR="00E749D7">
        <w:rPr>
          <w:noProof/>
          <w:lang w:eastAsia="cs-CZ"/>
        </w:rPr>
        <w:t>„</w:t>
      </w:r>
      <w:r w:rsidR="00E749D7" w:rsidRPr="00E749D7">
        <w:rPr>
          <w:i/>
          <w:noProof/>
          <w:lang w:eastAsia="cs-CZ"/>
        </w:rPr>
        <w:t xml:space="preserve">Pozitivní postoj lékaře k lékům </w:t>
      </w:r>
      <w:r w:rsidR="00E749D7" w:rsidRPr="00E749D7">
        <w:rPr>
          <w:i/>
          <w:noProof/>
          <w:lang w:eastAsia="cs-CZ"/>
        </w:rPr>
        <w:lastRenderedPageBreak/>
        <w:t>se případně přenáší i na pacienta</w:t>
      </w:r>
      <w:r w:rsidR="00E749D7">
        <w:rPr>
          <w:i/>
          <w:noProof/>
          <w:lang w:eastAsia="cs-CZ"/>
        </w:rPr>
        <w:t>“</w:t>
      </w:r>
      <w:r w:rsidR="00E749D7">
        <w:rPr>
          <w:noProof/>
          <w:lang w:eastAsia="cs-CZ"/>
        </w:rPr>
        <w:t xml:space="preserve"> (Beran a kol., 2010; s 116). M. Ballint to nazval „apoštoslkou úlohou lékaře“, což znamená výchova pacienta k obrazu svému (Beran a kol., 2010).</w:t>
      </w:r>
    </w:p>
    <w:p w:rsidR="00D60481" w:rsidRDefault="00E749D7" w:rsidP="00E749D7">
      <w:pPr>
        <w:ind w:firstLine="284"/>
        <w:rPr>
          <w:noProof/>
          <w:lang w:eastAsia="cs-CZ"/>
        </w:rPr>
      </w:pPr>
      <w:r>
        <w:rPr>
          <w:noProof/>
          <w:lang w:eastAsia="cs-CZ"/>
        </w:rPr>
        <w:t xml:space="preserve"> </w:t>
      </w:r>
      <w:r w:rsidR="00831062">
        <w:rPr>
          <w:noProof/>
          <w:lang w:eastAsia="cs-CZ"/>
        </w:rPr>
        <w:t>Důležitou roli v complianci hraje pacientovo prostředí. Do toho řadíme rodinu, postoje, předsudky, sociální podporu apod. Ze strany léčby jsou to hlavně nežádoucí účinky, forma podávání, dávkování, finanční náročnost a polypragmázie</w:t>
      </w:r>
      <w:r w:rsidR="00624580">
        <w:rPr>
          <w:rStyle w:val="Znakapoznpodarou"/>
          <w:noProof/>
          <w:lang w:eastAsia="cs-CZ"/>
        </w:rPr>
        <w:footnoteReference w:id="23"/>
      </w:r>
      <w:r w:rsidR="00831062">
        <w:rPr>
          <w:noProof/>
          <w:lang w:eastAsia="cs-CZ"/>
        </w:rPr>
        <w:t>. Algorytmus řešení non-compliance s</w:t>
      </w:r>
      <w:r w:rsidR="00E22DCF">
        <w:rPr>
          <w:noProof/>
          <w:lang w:eastAsia="cs-CZ"/>
        </w:rPr>
        <w:t>počívá v analýze těchto faktorů</w:t>
      </w:r>
      <w:r w:rsidR="00831062">
        <w:rPr>
          <w:noProof/>
          <w:lang w:eastAsia="cs-CZ"/>
        </w:rPr>
        <w:t xml:space="preserve"> </w:t>
      </w:r>
      <w:r w:rsidR="00E22DCF">
        <w:rPr>
          <w:noProof/>
          <w:lang w:eastAsia="cs-CZ"/>
        </w:rPr>
        <w:t xml:space="preserve"> (Martinický, 2008).</w:t>
      </w:r>
    </w:p>
    <w:p w:rsidR="00F3111A" w:rsidRPr="00D60481" w:rsidRDefault="00F3111A" w:rsidP="00D60481">
      <w:pPr>
        <w:ind w:firstLine="284"/>
        <w:rPr>
          <w:i/>
          <w:noProof/>
          <w:lang w:eastAsia="cs-CZ"/>
        </w:rPr>
      </w:pPr>
      <w:r>
        <w:rPr>
          <w:noProof/>
          <w:lang w:eastAsia="cs-CZ"/>
        </w:rPr>
        <w:t>Na závěr je třeba shrnout, že prohloubit terapeutický vztah je možné podrobným inf</w:t>
      </w:r>
      <w:r w:rsidR="00E52C83">
        <w:rPr>
          <w:noProof/>
          <w:lang w:eastAsia="cs-CZ"/>
        </w:rPr>
        <w:t>ormováním a edukováním pacienta, d</w:t>
      </w:r>
      <w:r>
        <w:rPr>
          <w:noProof/>
          <w:lang w:eastAsia="cs-CZ"/>
        </w:rPr>
        <w:t>ále prostře</w:t>
      </w:r>
      <w:r w:rsidR="00E52C83">
        <w:rPr>
          <w:noProof/>
          <w:lang w:eastAsia="cs-CZ"/>
        </w:rPr>
        <w:t>dnictvím léčby a  jejím výběrem, a</w:t>
      </w:r>
      <w:r>
        <w:rPr>
          <w:noProof/>
          <w:lang w:eastAsia="cs-CZ"/>
        </w:rPr>
        <w:t>by by</w:t>
      </w:r>
      <w:r w:rsidR="007C7A35">
        <w:rPr>
          <w:noProof/>
          <w:lang w:eastAsia="cs-CZ"/>
        </w:rPr>
        <w:t>la co nejúčinnější a s přijatelným</w:t>
      </w:r>
      <w:r>
        <w:rPr>
          <w:noProof/>
          <w:lang w:eastAsia="cs-CZ"/>
        </w:rPr>
        <w:t xml:space="preserve"> profilem nežádoucích účinků. V dlouhodobé léčbě klademe důraz</w:t>
      </w:r>
      <w:r w:rsidR="001609E5">
        <w:rPr>
          <w:noProof/>
          <w:lang w:eastAsia="cs-CZ"/>
        </w:rPr>
        <w:t xml:space="preserve"> na motivaci a podporu pacienta </w:t>
      </w:r>
      <w:r>
        <w:rPr>
          <w:noProof/>
          <w:lang w:eastAsia="cs-CZ"/>
        </w:rPr>
        <w:t>(Martinický, 2008)</w:t>
      </w:r>
      <w:r w:rsidR="001609E5">
        <w:rPr>
          <w:noProof/>
          <w:lang w:eastAsia="cs-CZ"/>
        </w:rPr>
        <w:t>.</w:t>
      </w:r>
    </w:p>
    <w:p w:rsidR="005D1289" w:rsidRDefault="005D1289" w:rsidP="00FC1396"/>
    <w:p w:rsidR="00D60481" w:rsidRDefault="008727CC" w:rsidP="00D60481">
      <w:pPr>
        <w:pStyle w:val="Nadpis3"/>
        <w:rPr>
          <w:szCs w:val="24"/>
        </w:rPr>
      </w:pPr>
      <w:bookmarkStart w:id="82" w:name="_Toc343782761"/>
      <w:bookmarkStart w:id="83" w:name="_Toc353433200"/>
      <w:r>
        <w:rPr>
          <w:szCs w:val="24"/>
        </w:rPr>
        <w:t>3</w:t>
      </w:r>
      <w:r w:rsidR="00D60481" w:rsidRPr="00C741D2">
        <w:rPr>
          <w:szCs w:val="24"/>
        </w:rPr>
        <w:t>.</w:t>
      </w:r>
      <w:r w:rsidR="00137BC4">
        <w:t xml:space="preserve"> 2</w:t>
      </w:r>
      <w:r w:rsidR="00D60481" w:rsidRPr="00C741D2">
        <w:rPr>
          <w:szCs w:val="24"/>
        </w:rPr>
        <w:t xml:space="preserve"> </w:t>
      </w:r>
      <w:r w:rsidR="00F3111A">
        <w:rPr>
          <w:szCs w:val="24"/>
        </w:rPr>
        <w:t>Edukace pacienta o zásadách</w:t>
      </w:r>
      <w:r w:rsidR="00D60481" w:rsidRPr="00C741D2">
        <w:rPr>
          <w:szCs w:val="24"/>
        </w:rPr>
        <w:t xml:space="preserve"> léčby antidepresivy</w:t>
      </w:r>
      <w:bookmarkEnd w:id="82"/>
      <w:bookmarkEnd w:id="83"/>
    </w:p>
    <w:p w:rsidR="00F3111A" w:rsidRDefault="00F3111A" w:rsidP="00F3111A">
      <w:r w:rsidRPr="006A5F59">
        <w:rPr>
          <w:i/>
        </w:rPr>
        <w:t>„Pojem edukace lze definovat jako proces soustavného ovlivňování chování a jednání jedince s cílem navodit pozitivní změny v jeho vědomostech, postojích, návycích a dovednostech</w:t>
      </w:r>
      <w:r w:rsidR="006A5F59">
        <w:t xml:space="preserve">“ </w:t>
      </w:r>
      <w:r w:rsidR="006A5F59" w:rsidRPr="006A5F59">
        <w:t>(Juřeníková, 20</w:t>
      </w:r>
      <w:r w:rsidR="006A5F59">
        <w:t>1</w:t>
      </w:r>
      <w:r w:rsidR="006A5F59" w:rsidRPr="006A5F59">
        <w:t>0</w:t>
      </w:r>
      <w:r w:rsidR="006A5F59">
        <w:t>; s. 9)</w:t>
      </w:r>
      <w:r w:rsidR="001609E5">
        <w:t>.</w:t>
      </w:r>
    </w:p>
    <w:p w:rsidR="00D60481" w:rsidRDefault="000F4699" w:rsidP="000403FE">
      <w:r>
        <w:t xml:space="preserve">Při léčbě psychofarmaky by měli být pacienti informováni o zásadách jejich užívání. Tyto informace nemocnému poskytuje lékař, a je nutné klást důraz zejména na jednotlivé aspekty léčby, </w:t>
      </w:r>
      <w:r w:rsidR="007C7A35">
        <w:t>které by mohly mít potenciální</w:t>
      </w:r>
      <w:r>
        <w:t xml:space="preserve"> vliv na předčasné vysazení léků. Mezi ně patří princip působení antidepresiv a jejich pozvolný nástup účinku. To, že se efekt léčby projeví až za 3-5 týdnů</w:t>
      </w:r>
      <w:r w:rsidR="00E52C83">
        <w:t>,</w:t>
      </w:r>
      <w:r>
        <w:t xml:space="preserve"> je zásadní informace, která může ovlivnit riziko předčasného vysazení antidepresiva. </w:t>
      </w:r>
    </w:p>
    <w:p w:rsidR="00D60481" w:rsidRDefault="007C7A35" w:rsidP="00D60481">
      <w:pPr>
        <w:ind w:firstLine="284"/>
      </w:pPr>
      <w:r>
        <w:t>Zásada dlouhodobého užívání je e</w:t>
      </w:r>
      <w:r w:rsidR="00D60481">
        <w:t>dukovat pacienta, aby nevysazoval léky, když se začne cítit dobře. Doporučuje se nejméně 6 měsíců užívání a v některých případech i několik let. Předčasné vysazení léků vede k</w:t>
      </w:r>
      <w:r>
        <w:t>e</w:t>
      </w:r>
      <w:r w:rsidR="00D60481">
        <w:t> znovu vzplanutí onemocnění. O vysazení antidepresiv p</w:t>
      </w:r>
      <w:r w:rsidR="001609E5">
        <w:t xml:space="preserve">roto musí rozhodovat vždy lékař (Praško, Buliková, Sikmundová, 2009). </w:t>
      </w:r>
    </w:p>
    <w:p w:rsidR="00D60481" w:rsidRDefault="00D60481" w:rsidP="00D60481">
      <w:pPr>
        <w:ind w:firstLine="284"/>
      </w:pPr>
      <w:r>
        <w:t xml:space="preserve">Mnoho lidí má o </w:t>
      </w:r>
      <w:r w:rsidR="007C7A35">
        <w:t>antidepresivech zkreslený názor</w:t>
      </w:r>
      <w:r>
        <w:t xml:space="preserve"> </w:t>
      </w:r>
      <w:r w:rsidR="009B1277">
        <w:t>(Příloha č. 7</w:t>
      </w:r>
      <w:r w:rsidR="000C1A49">
        <w:t>)</w:t>
      </w:r>
      <w:r w:rsidR="007C7A35">
        <w:t>.</w:t>
      </w:r>
      <w:r w:rsidR="000C1A49">
        <w:t xml:space="preserve"> </w:t>
      </w:r>
      <w:r>
        <w:t>Často se bojí léky užívat. Proto je na lékaři, aby s pacientem navázal vztah založený na důvěře a ujistil ho, že jsou bezpečná. „</w:t>
      </w:r>
      <w:r w:rsidRPr="009D2A9B">
        <w:rPr>
          <w:i/>
        </w:rPr>
        <w:t>Moderní antidepresiva doznala širokého použití nejen pro svou velmi dobrou účinnost, ale také pro dobrou snášenlivost, bezpečnost, nenávykovost a možnost současného podávání s většinou léků</w:t>
      </w:r>
      <w:r>
        <w:t xml:space="preserve">“ </w:t>
      </w:r>
      <w:r w:rsidRPr="009D2A9B">
        <w:t>(</w:t>
      </w:r>
      <w:r>
        <w:t>Skopová, 2011, s. 6)</w:t>
      </w:r>
      <w:r w:rsidR="00E52C83">
        <w:t>.</w:t>
      </w:r>
      <w:r w:rsidRPr="009D2A9B">
        <w:rPr>
          <w:i/>
        </w:rPr>
        <w:t xml:space="preserve"> </w:t>
      </w:r>
      <w:r>
        <w:t xml:space="preserve">Pacient by měl také vědět, </w:t>
      </w:r>
      <w:r>
        <w:lastRenderedPageBreak/>
        <w:t>jaké jsou možné nežádoucí účinky</w:t>
      </w:r>
      <w:r w:rsidR="001609E5">
        <w:t xml:space="preserve"> léků a jak se mohou projevovat</w:t>
      </w:r>
      <w:r>
        <w:t xml:space="preserve"> (Praško, Buliková, Sigmundová, 2009)</w:t>
      </w:r>
      <w:r w:rsidR="001609E5">
        <w:t>.</w:t>
      </w:r>
    </w:p>
    <w:p w:rsidR="00D60481" w:rsidRDefault="00D60481" w:rsidP="00D60481">
      <w:pPr>
        <w:ind w:firstLine="284"/>
      </w:pPr>
    </w:p>
    <w:p w:rsidR="00D60481" w:rsidRPr="008400AC" w:rsidRDefault="00D60481" w:rsidP="00D60481">
      <w:pPr>
        <w:ind w:firstLine="284"/>
        <w:rPr>
          <w:b/>
        </w:rPr>
      </w:pPr>
      <w:r w:rsidRPr="008400AC">
        <w:rPr>
          <w:b/>
        </w:rPr>
        <w:t>Léčba deprese lze rozdělit do tří etap:</w:t>
      </w:r>
    </w:p>
    <w:p w:rsidR="00D60481" w:rsidRDefault="00D60481" w:rsidP="00D60481">
      <w:pPr>
        <w:pStyle w:val="Odstavecseseznamem"/>
        <w:numPr>
          <w:ilvl w:val="0"/>
          <w:numId w:val="18"/>
        </w:numPr>
      </w:pPr>
      <w:r>
        <w:t>Akutní léčba (6-12 týdnů)</w:t>
      </w:r>
      <w:r w:rsidR="007C7A35">
        <w:t>.</w:t>
      </w:r>
    </w:p>
    <w:p w:rsidR="00D60481" w:rsidRDefault="00D60481" w:rsidP="00D60481">
      <w:pPr>
        <w:pStyle w:val="Odstavecseseznamem"/>
        <w:numPr>
          <w:ilvl w:val="0"/>
          <w:numId w:val="18"/>
        </w:numPr>
      </w:pPr>
      <w:r>
        <w:t>Pokračovací léčba (4-9 měsíců)</w:t>
      </w:r>
      <w:r w:rsidR="007C7A35">
        <w:t>.</w:t>
      </w:r>
    </w:p>
    <w:p w:rsidR="00D60481" w:rsidRDefault="00D60481" w:rsidP="00D60481">
      <w:pPr>
        <w:pStyle w:val="Odstavecseseznamem"/>
        <w:numPr>
          <w:ilvl w:val="0"/>
          <w:numId w:val="18"/>
        </w:numPr>
      </w:pPr>
      <w:r>
        <w:t>Profylaktická léčba (závisí na počtu epizod)</w:t>
      </w:r>
      <w:r w:rsidR="000F4699">
        <w:t>;</w:t>
      </w:r>
      <w:r>
        <w:t xml:space="preserve"> (Anders, Roth, 2000)</w:t>
      </w:r>
      <w:r w:rsidR="001609E5">
        <w:t>.</w:t>
      </w:r>
    </w:p>
    <w:p w:rsidR="000403FE" w:rsidRPr="00C741D2" w:rsidRDefault="000403FE" w:rsidP="000403FE">
      <w:pPr>
        <w:ind w:left="644"/>
      </w:pPr>
    </w:p>
    <w:p w:rsidR="00D60481" w:rsidRDefault="00D60481" w:rsidP="00D60481">
      <w:pPr>
        <w:ind w:firstLine="284"/>
        <w:rPr>
          <w:rFonts w:cs="Times New Roman"/>
          <w:szCs w:val="24"/>
        </w:rPr>
      </w:pPr>
      <w:r>
        <w:rPr>
          <w:rFonts w:cs="Times New Roman"/>
          <w:szCs w:val="24"/>
        </w:rPr>
        <w:t>Akutní léčba deprese je zaměřena na rozvíjení a upevňování vztahu mezi lékařem a pacientem. V této fázi se může stát, že pacient bude pociťovat suicidální tendence, které může vyvolat nárůst energie při užívání lék</w:t>
      </w:r>
      <w:r w:rsidR="00E52C83">
        <w:rPr>
          <w:rFonts w:cs="Times New Roman"/>
          <w:szCs w:val="24"/>
        </w:rPr>
        <w:t>ů. Pacient i jeho rodina by měli být s touto informací seznámeni</w:t>
      </w:r>
      <w:r>
        <w:rPr>
          <w:rFonts w:cs="Times New Roman"/>
          <w:szCs w:val="24"/>
        </w:rPr>
        <w:t>. Důležitá je trpělivost při nástupu účinku antidepresiv. V této fázi jsou návštěvy psychiatra častější, z d</w:t>
      </w:r>
      <w:r w:rsidR="001609E5">
        <w:rPr>
          <w:rFonts w:cs="Times New Roman"/>
          <w:szCs w:val="24"/>
        </w:rPr>
        <w:t>ůvodu důkladné monitorace stavu</w:t>
      </w:r>
      <w:r>
        <w:rPr>
          <w:rFonts w:cs="Times New Roman"/>
          <w:szCs w:val="24"/>
        </w:rPr>
        <w:t xml:space="preserve"> (Anders, Roth, 2000)</w:t>
      </w:r>
      <w:r w:rsidR="001609E5">
        <w:rPr>
          <w:rFonts w:cs="Times New Roman"/>
          <w:szCs w:val="24"/>
        </w:rPr>
        <w:t>.</w:t>
      </w:r>
    </w:p>
    <w:p w:rsidR="00D60481" w:rsidRDefault="00D60481" w:rsidP="00D60481">
      <w:pPr>
        <w:ind w:firstLine="284"/>
        <w:rPr>
          <w:rFonts w:cs="Times New Roman"/>
          <w:szCs w:val="24"/>
        </w:rPr>
      </w:pPr>
      <w:r>
        <w:rPr>
          <w:rFonts w:cs="Times New Roman"/>
          <w:szCs w:val="24"/>
        </w:rPr>
        <w:t>V pokračovací a profylaktické fázi léčby je nutné zvládnout pacientovu potřebu ukončit léčbu. Významnou roli zde hraje motivace. Nezbytné je také poučit pacienta a jeho rodinu o iniciálních příznacích</w:t>
      </w:r>
      <w:r w:rsidR="001609E5">
        <w:rPr>
          <w:rFonts w:cs="Times New Roman"/>
          <w:szCs w:val="24"/>
        </w:rPr>
        <w:t xml:space="preserve"> relapsu (Andrers, Roth, 2000).</w:t>
      </w:r>
    </w:p>
    <w:p w:rsidR="007A609D" w:rsidRDefault="007A609D" w:rsidP="00FC1396"/>
    <w:p w:rsidR="003D2916" w:rsidRDefault="003D2916" w:rsidP="003D2916">
      <w:pPr>
        <w:ind w:firstLine="284"/>
      </w:pPr>
      <w:r>
        <w:t>Psychoedukace jako specifická metoda cíleného vzdělávání je velmi účinná forma vzdělávání pacientů. Může probíhat buď formou rozhovoru lékař-pacient, nebo formou skupinové edukace. Toto skupinové vzdělávání se zaměřuje na povahu deprese, příznaky, příčiny vzniku, léčbu, její průběh a předcházení depresivní poruchy. O absolvování skupinové edukace b</w:t>
      </w:r>
      <w:r w:rsidR="00E52C83">
        <w:t>y se měl rozhodnout sám pacient,</w:t>
      </w:r>
      <w:r>
        <w:t xml:space="preserve"> vzhledem k onemocnění mu nemusí být příjemné hovořit o těc</w:t>
      </w:r>
      <w:r w:rsidR="00E54DA8">
        <w:t>hto problémech</w:t>
      </w:r>
      <w:r w:rsidR="001609E5">
        <w:t xml:space="preserve"> před jinými pacienty </w:t>
      </w:r>
      <w:r>
        <w:t>(Martinický, 2008)</w:t>
      </w:r>
      <w:r w:rsidR="001609E5">
        <w:t>.</w:t>
      </w:r>
    </w:p>
    <w:p w:rsidR="002A5FED" w:rsidRDefault="002A5FED" w:rsidP="00FC1396"/>
    <w:p w:rsidR="002A5FED" w:rsidRDefault="002A5FED" w:rsidP="002A5FED">
      <w:pPr>
        <w:pStyle w:val="Odstavecseseznamem"/>
        <w:ind w:left="142"/>
      </w:pPr>
    </w:p>
    <w:p w:rsidR="002A5FED" w:rsidRPr="00202DD9" w:rsidRDefault="002A5FED" w:rsidP="002A5FED"/>
    <w:p w:rsidR="006A5F59" w:rsidRPr="006A5F59" w:rsidRDefault="006A5F59" w:rsidP="006A5F59">
      <w:pPr>
        <w:ind w:firstLine="284"/>
      </w:pPr>
    </w:p>
    <w:p w:rsidR="006A5F59" w:rsidRDefault="006A5F59"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Default="00041C3D" w:rsidP="006A5F59"/>
    <w:p w:rsidR="00041C3D" w:rsidRPr="000E71C8" w:rsidRDefault="000E71C8" w:rsidP="008E4EEB">
      <w:pPr>
        <w:pStyle w:val="Nadpis6"/>
        <w:jc w:val="center"/>
      </w:pPr>
      <w:bookmarkStart w:id="84" w:name="_Toc353433201"/>
      <w:r w:rsidRPr="000E71C8">
        <w:t>II</w:t>
      </w:r>
      <w:r w:rsidR="00041C3D" w:rsidRPr="000E71C8">
        <w:t xml:space="preserve"> PRAKTICKÁ ČÁST</w:t>
      </w:r>
      <w:bookmarkEnd w:id="84"/>
    </w:p>
    <w:p w:rsidR="00041C3D" w:rsidRDefault="00041C3D" w:rsidP="00041C3D">
      <w:pPr>
        <w:jc w:val="center"/>
        <w:rPr>
          <w:b/>
        </w:rPr>
      </w:pPr>
    </w:p>
    <w:p w:rsidR="00041C3D" w:rsidRDefault="00041C3D" w:rsidP="00041C3D">
      <w:pPr>
        <w:jc w:val="center"/>
        <w:rPr>
          <w:b/>
        </w:rPr>
      </w:pPr>
    </w:p>
    <w:p w:rsidR="00041C3D" w:rsidRDefault="00041C3D" w:rsidP="00041C3D">
      <w:pPr>
        <w:jc w:val="center"/>
        <w:rPr>
          <w:b/>
        </w:rPr>
      </w:pPr>
    </w:p>
    <w:p w:rsidR="00041C3D" w:rsidRDefault="00041C3D" w:rsidP="00041C3D">
      <w:pPr>
        <w:jc w:val="center"/>
        <w:rPr>
          <w:b/>
        </w:rPr>
      </w:pPr>
    </w:p>
    <w:p w:rsidR="00041C3D" w:rsidRDefault="00041C3D" w:rsidP="00041C3D">
      <w:pPr>
        <w:jc w:val="center"/>
        <w:rPr>
          <w:b/>
        </w:rPr>
      </w:pPr>
    </w:p>
    <w:p w:rsidR="00041C3D" w:rsidRDefault="00041C3D" w:rsidP="00041C3D">
      <w:pPr>
        <w:jc w:val="center"/>
        <w:rPr>
          <w:b/>
        </w:rPr>
      </w:pPr>
    </w:p>
    <w:p w:rsidR="00041C3D" w:rsidRDefault="00041C3D" w:rsidP="00041C3D">
      <w:pPr>
        <w:jc w:val="center"/>
        <w:rPr>
          <w:b/>
        </w:rPr>
      </w:pPr>
    </w:p>
    <w:p w:rsidR="00041C3D" w:rsidRDefault="00041C3D" w:rsidP="00041C3D">
      <w:pPr>
        <w:jc w:val="center"/>
        <w:rPr>
          <w:b/>
        </w:rPr>
      </w:pPr>
    </w:p>
    <w:p w:rsidR="00041C3D" w:rsidRDefault="00041C3D" w:rsidP="00041C3D">
      <w:pPr>
        <w:jc w:val="center"/>
        <w:rPr>
          <w:b/>
        </w:rPr>
      </w:pPr>
    </w:p>
    <w:p w:rsidR="00041C3D" w:rsidRDefault="00041C3D" w:rsidP="00041C3D">
      <w:pPr>
        <w:jc w:val="center"/>
        <w:rPr>
          <w:b/>
        </w:rPr>
      </w:pPr>
    </w:p>
    <w:p w:rsidR="00041C3D" w:rsidRDefault="00041C3D" w:rsidP="00041C3D">
      <w:pPr>
        <w:jc w:val="center"/>
        <w:rPr>
          <w:b/>
        </w:rPr>
      </w:pPr>
    </w:p>
    <w:p w:rsidR="00041C3D" w:rsidRDefault="00041C3D" w:rsidP="00041C3D">
      <w:pPr>
        <w:jc w:val="center"/>
        <w:rPr>
          <w:b/>
        </w:rPr>
      </w:pPr>
    </w:p>
    <w:p w:rsidR="00041C3D" w:rsidRDefault="00041C3D" w:rsidP="00041C3D">
      <w:pPr>
        <w:jc w:val="center"/>
        <w:rPr>
          <w:b/>
        </w:rPr>
      </w:pPr>
    </w:p>
    <w:p w:rsidR="00041C3D" w:rsidRDefault="008727CC" w:rsidP="008E4EEB">
      <w:pPr>
        <w:pStyle w:val="Nadpis6"/>
        <w:numPr>
          <w:ilvl w:val="0"/>
          <w:numId w:val="0"/>
        </w:numPr>
      </w:pPr>
      <w:bookmarkStart w:id="85" w:name="_Toc353433202"/>
      <w:r>
        <w:lastRenderedPageBreak/>
        <w:t>4</w:t>
      </w:r>
      <w:r w:rsidR="00041C3D" w:rsidRPr="00041C3D">
        <w:t xml:space="preserve"> </w:t>
      </w:r>
      <w:r w:rsidR="008E4EEB">
        <w:t>C</w:t>
      </w:r>
      <w:r w:rsidR="008E4EEB" w:rsidRPr="00041C3D">
        <w:t>íle výzkumu</w:t>
      </w:r>
      <w:bookmarkEnd w:id="85"/>
    </w:p>
    <w:p w:rsidR="000E71C8" w:rsidRPr="000E71C8" w:rsidRDefault="000E71C8" w:rsidP="004B136E">
      <w:pPr>
        <w:ind w:firstLine="284"/>
      </w:pPr>
      <w:r>
        <w:t xml:space="preserve">Tato práce se </w:t>
      </w:r>
      <w:r w:rsidR="008E4EEB">
        <w:t>zabývá problematikou psychiatrických pacientů užívajících k léčbě deprese antidepresiva. V teoretické části bylo pojednáno o depresi, o možnostech léčby antidepresivy a dále o pohledu pacientů na tuto možnost léčby.</w:t>
      </w:r>
    </w:p>
    <w:p w:rsidR="00041C3D" w:rsidRDefault="00041C3D" w:rsidP="00041C3D">
      <w:pPr>
        <w:ind w:firstLine="284"/>
      </w:pPr>
      <w:r w:rsidRPr="00BF0B3D">
        <w:rPr>
          <w:b/>
        </w:rPr>
        <w:t>H</w:t>
      </w:r>
      <w:r w:rsidR="00E52C83">
        <w:rPr>
          <w:b/>
        </w:rPr>
        <w:t>lavním cílem mé diplomové práce</w:t>
      </w:r>
      <w:r w:rsidRPr="00BF0B3D">
        <w:rPr>
          <w:b/>
        </w:rPr>
        <w:t xml:space="preserve"> je zjistit subjektivní posouzení úrovně depresivity u zkoumaných osob ve</w:t>
      </w:r>
      <w:r w:rsidR="009A25F4" w:rsidRPr="00BF0B3D">
        <w:rPr>
          <w:b/>
        </w:rPr>
        <w:t xml:space="preserve"> vztahu k typu, délce užívání antidepresiv a pohlaví respondentů, dále </w:t>
      </w:r>
      <w:r w:rsidR="00F753A8" w:rsidRPr="00BF0B3D">
        <w:rPr>
          <w:b/>
        </w:rPr>
        <w:t xml:space="preserve">zjistit </w:t>
      </w:r>
      <w:r w:rsidR="00B10A64" w:rsidRPr="00BF0B3D">
        <w:rPr>
          <w:b/>
        </w:rPr>
        <w:t xml:space="preserve">nežádoucí účinky antidepresiv </w:t>
      </w:r>
      <w:r w:rsidR="0044518A" w:rsidRPr="00BF0B3D">
        <w:rPr>
          <w:b/>
        </w:rPr>
        <w:t>a hledat souvislosti s</w:t>
      </w:r>
      <w:r w:rsidR="00CA0FCA" w:rsidRPr="00BF0B3D">
        <w:rPr>
          <w:b/>
        </w:rPr>
        <w:t xml:space="preserve"> předčasným vysazením antidepresiv</w:t>
      </w:r>
      <w:r w:rsidR="00CA0FCA">
        <w:t xml:space="preserve">. </w:t>
      </w:r>
    </w:p>
    <w:p w:rsidR="000105B2" w:rsidRDefault="00A50671" w:rsidP="00041C3D">
      <w:pPr>
        <w:ind w:firstLine="284"/>
      </w:pPr>
      <w:r>
        <w:t>V praktické části práce,</w:t>
      </w:r>
      <w:r w:rsidR="004B136E">
        <w:t xml:space="preserve"> je tedy posuzována úroveň depresivity za pomoci standardizovaného dotazníku BDI, dále jsou zjišťovány nežádoucí účinky léčby a možné vysazení léků u jednotlivých respondentů. </w:t>
      </w:r>
    </w:p>
    <w:p w:rsidR="004B136E" w:rsidRDefault="004B136E" w:rsidP="00041C3D">
      <w:pPr>
        <w:ind w:firstLine="284"/>
      </w:pPr>
      <w:r>
        <w:t xml:space="preserve">  </w:t>
      </w:r>
      <w:r w:rsidR="000A6D9F">
        <w:t>Ve výzkumném šetření bylo stanoveno sedm výzkumných otázek. U prvních třech výzkumných otázek</w:t>
      </w:r>
      <w:r w:rsidR="000105B2" w:rsidRPr="000105B2">
        <w:t xml:space="preserve"> jsou uvedená</w:t>
      </w:r>
      <w:r w:rsidR="000A6D9F">
        <w:t xml:space="preserve"> témata rozvedena </w:t>
      </w:r>
      <w:r w:rsidR="000105B2" w:rsidRPr="000105B2">
        <w:t>v hypotézách, pro detailnější vhled do problematiky a lepší pochopení stavu zkoumaného problému.</w:t>
      </w:r>
      <w:r>
        <w:t xml:space="preserve"> </w:t>
      </w:r>
    </w:p>
    <w:p w:rsidR="00041C3D" w:rsidRPr="003B29A4" w:rsidRDefault="00041C3D" w:rsidP="00041C3D"/>
    <w:p w:rsidR="009A25F4" w:rsidRDefault="009A25F4" w:rsidP="00041C3D">
      <w:pPr>
        <w:rPr>
          <w:b/>
        </w:rPr>
      </w:pPr>
      <w:r w:rsidRPr="001E1930">
        <w:rPr>
          <w:b/>
        </w:rPr>
        <w:t>V</w:t>
      </w:r>
      <w:r w:rsidR="00041C3D" w:rsidRPr="001E1930">
        <w:rPr>
          <w:b/>
        </w:rPr>
        <w:t>ýzkumné otázky</w:t>
      </w:r>
      <w:r w:rsidR="001E1930">
        <w:rPr>
          <w:b/>
        </w:rPr>
        <w:t xml:space="preserve"> vyplývající z cíle výzkumu</w:t>
      </w:r>
      <w:r w:rsidR="00041C3D" w:rsidRPr="001E1930">
        <w:rPr>
          <w:b/>
        </w:rPr>
        <w:t>:</w:t>
      </w:r>
    </w:p>
    <w:p w:rsidR="007C3954" w:rsidRPr="007C3954" w:rsidRDefault="007C3954" w:rsidP="00041C3D">
      <w:pPr>
        <w:rPr>
          <w:b/>
        </w:rPr>
      </w:pPr>
    </w:p>
    <w:p w:rsidR="00041C3D" w:rsidRDefault="003B7A5D" w:rsidP="001E1930">
      <w:pPr>
        <w:pStyle w:val="Odstavecseseznamem"/>
        <w:numPr>
          <w:ilvl w:val="0"/>
          <w:numId w:val="23"/>
        </w:numPr>
      </w:pPr>
      <w:r>
        <w:rPr>
          <w:b/>
        </w:rPr>
        <w:t>Výzkumná o</w:t>
      </w:r>
      <w:r w:rsidR="001E1930" w:rsidRPr="001E1930">
        <w:rPr>
          <w:b/>
        </w:rPr>
        <w:t xml:space="preserve">tázka č </w:t>
      </w:r>
      <w:r w:rsidR="00041C3D" w:rsidRPr="001E1930">
        <w:rPr>
          <w:b/>
        </w:rPr>
        <w:t>1</w:t>
      </w:r>
      <w:r w:rsidR="001E1930">
        <w:t>:</w:t>
      </w:r>
      <w:r w:rsidR="00041C3D">
        <w:t xml:space="preserve"> Jak respondenti subjektivně posuzují míru deprese vzhledem k typu užívaných antidepresiv?</w:t>
      </w:r>
    </w:p>
    <w:p w:rsidR="00041C3D" w:rsidRDefault="003B7A5D" w:rsidP="001E1930">
      <w:pPr>
        <w:pStyle w:val="Odstavecseseznamem"/>
        <w:numPr>
          <w:ilvl w:val="0"/>
          <w:numId w:val="25"/>
        </w:numPr>
      </w:pPr>
      <w:r>
        <w:rPr>
          <w:b/>
        </w:rPr>
        <w:t>Výzkumná o</w:t>
      </w:r>
      <w:r w:rsidR="001E1930" w:rsidRPr="001E1930">
        <w:rPr>
          <w:b/>
        </w:rPr>
        <w:t xml:space="preserve">tázka č. </w:t>
      </w:r>
      <w:r w:rsidR="00041C3D" w:rsidRPr="001E1930">
        <w:rPr>
          <w:b/>
        </w:rPr>
        <w:t>2</w:t>
      </w:r>
      <w:r w:rsidR="001E1930" w:rsidRPr="001E1930">
        <w:rPr>
          <w:b/>
        </w:rPr>
        <w:t>:</w:t>
      </w:r>
      <w:r w:rsidR="00041C3D">
        <w:t xml:space="preserve"> Jak respondenti subjektivně posuzují míru de</w:t>
      </w:r>
      <w:r w:rsidR="007C7A35">
        <w:t>prese vzhledem k délce užívaní</w:t>
      </w:r>
      <w:r w:rsidR="00041C3D">
        <w:t xml:space="preserve"> antidepresiv?</w:t>
      </w:r>
    </w:p>
    <w:p w:rsidR="00041C3D" w:rsidRDefault="003B7A5D" w:rsidP="001E1930">
      <w:pPr>
        <w:pStyle w:val="Odstavecseseznamem"/>
        <w:numPr>
          <w:ilvl w:val="0"/>
          <w:numId w:val="25"/>
        </w:numPr>
      </w:pPr>
      <w:r>
        <w:rPr>
          <w:b/>
        </w:rPr>
        <w:t>Výzkumná o</w:t>
      </w:r>
      <w:r w:rsidR="001E1930" w:rsidRPr="001E1930">
        <w:rPr>
          <w:b/>
        </w:rPr>
        <w:t xml:space="preserve">tázka č. </w:t>
      </w:r>
      <w:r w:rsidR="00041C3D" w:rsidRPr="001E1930">
        <w:rPr>
          <w:b/>
        </w:rPr>
        <w:t>3</w:t>
      </w:r>
      <w:r w:rsidR="001E1930">
        <w:t>:</w:t>
      </w:r>
      <w:r w:rsidR="00041C3D">
        <w:t xml:space="preserve"> Jak respondenti subjektivně posuzují míru deprese vzhledem k pohlaví u respondentů?</w:t>
      </w:r>
    </w:p>
    <w:p w:rsidR="00041C3D" w:rsidRDefault="003B7A5D" w:rsidP="001E1930">
      <w:pPr>
        <w:pStyle w:val="Odstavecseseznamem"/>
        <w:numPr>
          <w:ilvl w:val="0"/>
          <w:numId w:val="26"/>
        </w:numPr>
      </w:pPr>
      <w:r>
        <w:rPr>
          <w:b/>
        </w:rPr>
        <w:t>Výzkumná o</w:t>
      </w:r>
      <w:r w:rsidR="001E1930" w:rsidRPr="001E1930">
        <w:rPr>
          <w:b/>
        </w:rPr>
        <w:t xml:space="preserve">tázka č. </w:t>
      </w:r>
      <w:r w:rsidR="00041C3D" w:rsidRPr="001E1930">
        <w:rPr>
          <w:b/>
        </w:rPr>
        <w:t>4</w:t>
      </w:r>
      <w:r w:rsidR="001E1930" w:rsidRPr="001E1930">
        <w:rPr>
          <w:b/>
        </w:rPr>
        <w:t xml:space="preserve">: </w:t>
      </w:r>
      <w:r w:rsidR="00041C3D">
        <w:t>Uvádějí respondenti výskyt nežádoucích účinků při užívání antidepresiv?</w:t>
      </w:r>
    </w:p>
    <w:p w:rsidR="00041C3D" w:rsidRPr="00F753A8" w:rsidRDefault="003B7A5D" w:rsidP="001E1930">
      <w:pPr>
        <w:pStyle w:val="Odstavecseseznamem"/>
        <w:numPr>
          <w:ilvl w:val="0"/>
          <w:numId w:val="26"/>
        </w:numPr>
      </w:pPr>
      <w:r>
        <w:rPr>
          <w:b/>
        </w:rPr>
        <w:t>Výzkumná o</w:t>
      </w:r>
      <w:r w:rsidR="001E1930" w:rsidRPr="001E1930">
        <w:rPr>
          <w:b/>
        </w:rPr>
        <w:t xml:space="preserve">tázka č. </w:t>
      </w:r>
      <w:r w:rsidR="00041C3D" w:rsidRPr="001E1930">
        <w:rPr>
          <w:b/>
        </w:rPr>
        <w:t>5</w:t>
      </w:r>
      <w:r w:rsidR="001E1930">
        <w:t>:</w:t>
      </w:r>
      <w:r w:rsidR="00E52C83">
        <w:t xml:space="preserve"> U kterého typu antidepresiv</w:t>
      </w:r>
      <w:r w:rsidR="00041C3D" w:rsidRPr="00F753A8">
        <w:t xml:space="preserve"> budou respondenti uvádět </w:t>
      </w:r>
      <w:r w:rsidR="00F42AE2">
        <w:t xml:space="preserve">nejčastěji výskyt </w:t>
      </w:r>
      <w:r w:rsidR="00041C3D" w:rsidRPr="00F753A8">
        <w:t>nežádoucích účinků?</w:t>
      </w:r>
    </w:p>
    <w:p w:rsidR="009A25F4" w:rsidRDefault="003B7A5D" w:rsidP="001E1930">
      <w:pPr>
        <w:pStyle w:val="Odstavecseseznamem"/>
        <w:numPr>
          <w:ilvl w:val="0"/>
          <w:numId w:val="27"/>
        </w:numPr>
      </w:pPr>
      <w:r>
        <w:rPr>
          <w:b/>
        </w:rPr>
        <w:t>Výzkumná o</w:t>
      </w:r>
      <w:r w:rsidR="001E1930" w:rsidRPr="001E1930">
        <w:rPr>
          <w:b/>
        </w:rPr>
        <w:t xml:space="preserve">tázka č. </w:t>
      </w:r>
      <w:r w:rsidR="00041C3D" w:rsidRPr="001E1930">
        <w:rPr>
          <w:b/>
        </w:rPr>
        <w:t>6</w:t>
      </w:r>
      <w:r w:rsidR="001E1930">
        <w:t>:</w:t>
      </w:r>
      <w:r w:rsidR="00041C3D" w:rsidRPr="00F753A8">
        <w:t xml:space="preserve"> Došlo u respondentů během léčby antidepresivy k svévolnému vysazení léků?</w:t>
      </w:r>
    </w:p>
    <w:p w:rsidR="007C3954" w:rsidRDefault="003B7A5D" w:rsidP="001463A6">
      <w:pPr>
        <w:pStyle w:val="Odstavecseseznamem"/>
        <w:numPr>
          <w:ilvl w:val="0"/>
          <w:numId w:val="27"/>
        </w:numPr>
      </w:pPr>
      <w:r>
        <w:rPr>
          <w:b/>
        </w:rPr>
        <w:t>Výzkumná o</w:t>
      </w:r>
      <w:r w:rsidR="001E1930" w:rsidRPr="001E1930">
        <w:rPr>
          <w:b/>
        </w:rPr>
        <w:t xml:space="preserve">tázka č. </w:t>
      </w:r>
      <w:r w:rsidR="009A25F4" w:rsidRPr="001E1930">
        <w:rPr>
          <w:b/>
        </w:rPr>
        <w:t>7</w:t>
      </w:r>
      <w:r w:rsidR="001E1930" w:rsidRPr="001E1930">
        <w:rPr>
          <w:b/>
        </w:rPr>
        <w:t>:</w:t>
      </w:r>
      <w:r w:rsidR="009A25F4">
        <w:t xml:space="preserve"> Jaký byl nejčastěji uváděný důvod k vysazení antidepresiv?</w:t>
      </w:r>
    </w:p>
    <w:p w:rsidR="000105B2" w:rsidRDefault="000105B2" w:rsidP="000105B2">
      <w:pPr>
        <w:pStyle w:val="Odstavecseseznamem"/>
        <w:rPr>
          <w:b/>
        </w:rPr>
      </w:pPr>
    </w:p>
    <w:p w:rsidR="000105B2" w:rsidRDefault="000105B2" w:rsidP="000105B2">
      <w:pPr>
        <w:pStyle w:val="Odstavecseseznamem"/>
        <w:rPr>
          <w:b/>
        </w:rPr>
      </w:pPr>
    </w:p>
    <w:p w:rsidR="000105B2" w:rsidRDefault="000105B2" w:rsidP="000105B2">
      <w:pPr>
        <w:pStyle w:val="Odstavecseseznamem"/>
      </w:pPr>
    </w:p>
    <w:p w:rsidR="001463A6" w:rsidRDefault="001463A6" w:rsidP="001463A6">
      <w:pPr>
        <w:pStyle w:val="Odstavecseseznamem"/>
      </w:pPr>
    </w:p>
    <w:p w:rsidR="009A25F4" w:rsidRDefault="001E1930" w:rsidP="009A25F4">
      <w:pPr>
        <w:contextualSpacing/>
        <w:rPr>
          <w:b/>
        </w:rPr>
      </w:pPr>
      <w:r w:rsidRPr="001E1930">
        <w:rPr>
          <w:b/>
        </w:rPr>
        <w:t xml:space="preserve">Na základě cíle výzkumu </w:t>
      </w:r>
      <w:r w:rsidR="008400AC">
        <w:rPr>
          <w:b/>
        </w:rPr>
        <w:t xml:space="preserve">a výzkumných otázkách jsme stanovili </w:t>
      </w:r>
      <w:r w:rsidRPr="001E1930">
        <w:rPr>
          <w:b/>
        </w:rPr>
        <w:t>hypotézy:</w:t>
      </w:r>
    </w:p>
    <w:p w:rsidR="001E1930" w:rsidRPr="001E1930" w:rsidRDefault="001E1930" w:rsidP="009A25F4">
      <w:pPr>
        <w:contextualSpacing/>
        <w:rPr>
          <w:b/>
        </w:rPr>
      </w:pPr>
    </w:p>
    <w:p w:rsidR="001E1930" w:rsidRDefault="001E1930" w:rsidP="007C3954">
      <w:pPr>
        <w:pStyle w:val="Odstavecseseznamem"/>
        <w:numPr>
          <w:ilvl w:val="0"/>
          <w:numId w:val="31"/>
        </w:numPr>
      </w:pPr>
      <w:r w:rsidRPr="007C3954">
        <w:rPr>
          <w:b/>
        </w:rPr>
        <w:t>H1</w:t>
      </w:r>
      <w:r>
        <w:t xml:space="preserve">: Respondenti užívající antidepresiva IV. generace subjektivně lépe posuzují míru deprese než respondenti užívající antidepresiva III. generace. </w:t>
      </w:r>
    </w:p>
    <w:p w:rsidR="001E1930" w:rsidRDefault="001E1930" w:rsidP="007C3954">
      <w:pPr>
        <w:pStyle w:val="Odstavecseseznamem"/>
        <w:numPr>
          <w:ilvl w:val="0"/>
          <w:numId w:val="30"/>
        </w:numPr>
      </w:pPr>
      <w:r w:rsidRPr="007C3954">
        <w:rPr>
          <w:b/>
        </w:rPr>
        <w:t>H2:</w:t>
      </w:r>
      <w:r>
        <w:t xml:space="preserve"> Respondenti užívající antidepresiva déle než 5 let subjektivně lépe posuzují míru deprese než respondenti užívající antidepresiva méně než 2 roky. </w:t>
      </w:r>
    </w:p>
    <w:p w:rsidR="007C3954" w:rsidRDefault="001E1930" w:rsidP="007C3954">
      <w:pPr>
        <w:pStyle w:val="Odstavecseseznamem"/>
        <w:numPr>
          <w:ilvl w:val="0"/>
          <w:numId w:val="29"/>
        </w:numPr>
      </w:pPr>
      <w:r w:rsidRPr="007C3954">
        <w:rPr>
          <w:b/>
        </w:rPr>
        <w:t>H3:</w:t>
      </w:r>
      <w:r w:rsidRPr="007C3954">
        <w:t xml:space="preserve"> Muži subjektivně hůře posuzují míru deprese než ženy.</w:t>
      </w:r>
      <w:r>
        <w:t xml:space="preserve"> </w:t>
      </w: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7C3954" w:rsidRPr="007C3954" w:rsidRDefault="007C3954" w:rsidP="007C3954">
      <w:pPr>
        <w:rPr>
          <w:rStyle w:val="Nadpis6Char"/>
          <w:rFonts w:eastAsiaTheme="minorHAnsi" w:cstheme="minorBidi"/>
          <w:b w:val="0"/>
          <w:iCs w:val="0"/>
          <w:sz w:val="24"/>
          <w:szCs w:val="22"/>
        </w:rPr>
      </w:pPr>
    </w:p>
    <w:p w:rsidR="00A64FAA" w:rsidRDefault="000A6D9F" w:rsidP="003B7A5D">
      <w:pPr>
        <w:pStyle w:val="Nadpis6"/>
        <w:numPr>
          <w:ilvl w:val="0"/>
          <w:numId w:val="0"/>
        </w:numPr>
      </w:pPr>
      <w:r>
        <w:rPr>
          <w:rStyle w:val="Nadpis6Char"/>
          <w:rFonts w:eastAsiaTheme="minorHAnsi" w:cstheme="minorBidi"/>
          <w:sz w:val="24"/>
          <w:szCs w:val="22"/>
        </w:rPr>
        <w:lastRenderedPageBreak/>
        <w:t> </w:t>
      </w:r>
      <w:bookmarkStart w:id="86" w:name="_Toc353433203"/>
      <w:r w:rsidR="00A64FAA">
        <w:t>5 Výzkumný soubor</w:t>
      </w:r>
      <w:bookmarkEnd w:id="86"/>
    </w:p>
    <w:p w:rsidR="00526CDE" w:rsidRDefault="00F53742" w:rsidP="00A64FAA">
      <w:pPr>
        <w:ind w:firstLine="284"/>
      </w:pPr>
      <w:r>
        <w:t>Výzkumné</w:t>
      </w:r>
      <w:r w:rsidR="00A64FAA">
        <w:t xml:space="preserve"> šetřen</w:t>
      </w:r>
      <w:r w:rsidR="000F3B0F">
        <w:t>í k</w:t>
      </w:r>
      <w:r>
        <w:t xml:space="preserve"> diplomové práci probíhalo</w:t>
      </w:r>
      <w:r w:rsidR="000F3B0F">
        <w:t xml:space="preserve"> od října do ledna ve</w:t>
      </w:r>
      <w:r w:rsidR="00A64FAA">
        <w:t xml:space="preserve"> čtyřech psychiatrických ambulancích. Jednalo se o tři psychiatrické ambulance v Olomouci a o jednu ambulanci v Jihlavě. </w:t>
      </w:r>
      <w:r w:rsidR="003B7A5D">
        <w:t xml:space="preserve">Celkem bylo osloveno 87 respondentů. </w:t>
      </w:r>
      <w:r w:rsidR="00C9220C">
        <w:t>Rozdělení respondentů je uvedeno v tabulce 7</w:t>
      </w:r>
      <w:r w:rsidR="00526CDE">
        <w:t xml:space="preserve"> a 8</w:t>
      </w:r>
      <w:r w:rsidR="00C9220C">
        <w:t xml:space="preserve">. </w:t>
      </w:r>
      <w:r w:rsidR="00526CDE">
        <w:t xml:space="preserve">Nejvyšší dosažené vzdělání je nastíněno v tabulce 9. </w:t>
      </w:r>
    </w:p>
    <w:p w:rsidR="00A64FAA" w:rsidRDefault="00A64FAA" w:rsidP="00A64FAA">
      <w:pPr>
        <w:ind w:firstLine="284"/>
      </w:pPr>
      <w:r>
        <w:t>Tomuto šetření předcházel předvýzkum, který probíhal od června do srpna</w:t>
      </w:r>
      <w:r w:rsidR="00526CDE">
        <w:t xml:space="preserve"> v psychiatrické ambulanci v Jihlavě</w:t>
      </w:r>
      <w:r>
        <w:t>. Bylo v něm osloveno 25 respondentů psychiatrické ambulance. Vzhledem k výsledkům t</w:t>
      </w:r>
      <w:r w:rsidR="000F3B0F">
        <w:t>ohoto šetření byl dotazník dodatečně</w:t>
      </w:r>
      <w:r>
        <w:t xml:space="preserve"> upraven. Celkem se jednalo o úpravu dvou položek v dotazníku. </w:t>
      </w:r>
    </w:p>
    <w:p w:rsidR="00C9220C" w:rsidRDefault="00C9220C" w:rsidP="00A64FAA">
      <w:pPr>
        <w:ind w:firstLine="284"/>
      </w:pPr>
      <w:r>
        <w:t>Respondenty</w:t>
      </w:r>
      <w:r w:rsidR="00A64FAA">
        <w:t xml:space="preserve"> byli pacienti, kteří navštívili ambulanci psychiatra v době výzkumného šetření. Podmínkou pro vyplnění dotazníku byla diagnóza F 32(depresivní fáze)</w:t>
      </w:r>
      <w:r w:rsidR="003B7A5D">
        <w:t>, věk nad 15 let</w:t>
      </w:r>
      <w:r w:rsidR="00A64FAA">
        <w:t xml:space="preserve"> a ochota účastnit se výzkumného šetření. </w:t>
      </w:r>
    </w:p>
    <w:p w:rsidR="009942F9" w:rsidRDefault="009942F9" w:rsidP="00322B81">
      <w:pPr>
        <w:ind w:firstLine="284"/>
      </w:pPr>
      <w:r>
        <w:t xml:space="preserve">Dotazníky respondentům rozdával lékař v tištěné podobě. </w:t>
      </w:r>
      <w:r w:rsidR="000F3B0F">
        <w:t xml:space="preserve">Pacienti měli možnost odnést dotazník domů a vyplnit jej tam. </w:t>
      </w:r>
      <w:r>
        <w:t xml:space="preserve">Při další návštěvě lékaře vyplněný dotazník odevzdali. </w:t>
      </w:r>
    </w:p>
    <w:p w:rsidR="00C9220C" w:rsidRDefault="00C9220C" w:rsidP="00C9220C"/>
    <w:p w:rsidR="009942F9" w:rsidRDefault="009942F9" w:rsidP="00A64FAA">
      <w:pPr>
        <w:ind w:firstLine="284"/>
      </w:pPr>
      <w:r w:rsidRPr="009942F9">
        <w:rPr>
          <w:b/>
        </w:rPr>
        <w:t>Tabulka</w:t>
      </w:r>
      <w:r w:rsidR="00C9220C">
        <w:rPr>
          <w:b/>
        </w:rPr>
        <w:t xml:space="preserve"> </w:t>
      </w:r>
      <w:r w:rsidR="00E55909">
        <w:rPr>
          <w:b/>
        </w:rPr>
        <w:t>6</w:t>
      </w:r>
      <w:r w:rsidRPr="009942F9">
        <w:rPr>
          <w:b/>
        </w:rPr>
        <w:t>:</w:t>
      </w:r>
      <w:r>
        <w:t xml:space="preserve"> Počet respondentů v jednotlivých psychiatrických ambulancích</w:t>
      </w:r>
    </w:p>
    <w:tbl>
      <w:tblPr>
        <w:tblW w:w="8083" w:type="dxa"/>
        <w:tblInd w:w="60" w:type="dxa"/>
        <w:tblCellMar>
          <w:left w:w="70" w:type="dxa"/>
          <w:right w:w="70" w:type="dxa"/>
        </w:tblCellMar>
        <w:tblLook w:val="04A0" w:firstRow="1" w:lastRow="0" w:firstColumn="1" w:lastColumn="0" w:noHBand="0" w:noVBand="1"/>
      </w:tblPr>
      <w:tblGrid>
        <w:gridCol w:w="3000"/>
        <w:gridCol w:w="2488"/>
        <w:gridCol w:w="2595"/>
      </w:tblGrid>
      <w:tr w:rsidR="009942F9" w:rsidRPr="009942F9" w:rsidTr="00CA0FCA">
        <w:trPr>
          <w:trHeight w:val="523"/>
        </w:trPr>
        <w:tc>
          <w:tcPr>
            <w:tcW w:w="3000" w:type="dxa"/>
            <w:tcBorders>
              <w:top w:val="single" w:sz="8" w:space="0" w:color="auto"/>
              <w:left w:val="single" w:sz="8" w:space="0" w:color="auto"/>
              <w:bottom w:val="single" w:sz="4" w:space="0" w:color="auto"/>
              <w:right w:val="single" w:sz="4" w:space="0" w:color="auto"/>
            </w:tcBorders>
            <w:shd w:val="clear" w:color="auto" w:fill="EEECE1" w:themeFill="background2"/>
            <w:noWrap/>
            <w:vAlign w:val="bottom"/>
            <w:hideMark/>
          </w:tcPr>
          <w:p w:rsidR="009942F9" w:rsidRPr="009942F9" w:rsidRDefault="009942F9" w:rsidP="009942F9">
            <w:pPr>
              <w:spacing w:line="240" w:lineRule="auto"/>
              <w:jc w:val="center"/>
              <w:rPr>
                <w:rFonts w:eastAsia="Times New Roman" w:cs="Times New Roman"/>
                <w:b/>
                <w:color w:val="000000"/>
                <w:szCs w:val="24"/>
                <w:lang w:eastAsia="cs-CZ"/>
              </w:rPr>
            </w:pPr>
            <w:r w:rsidRPr="009942F9">
              <w:rPr>
                <w:rFonts w:eastAsia="Times New Roman" w:cs="Times New Roman"/>
                <w:b/>
                <w:color w:val="000000"/>
                <w:szCs w:val="24"/>
                <w:lang w:eastAsia="cs-CZ"/>
              </w:rPr>
              <w:t>Ambulance</w:t>
            </w:r>
          </w:p>
        </w:tc>
        <w:tc>
          <w:tcPr>
            <w:tcW w:w="2488" w:type="dxa"/>
            <w:tcBorders>
              <w:top w:val="single" w:sz="8" w:space="0" w:color="auto"/>
              <w:left w:val="nil"/>
              <w:bottom w:val="single" w:sz="4" w:space="0" w:color="auto"/>
              <w:right w:val="single" w:sz="4" w:space="0" w:color="auto"/>
            </w:tcBorders>
            <w:shd w:val="clear" w:color="auto" w:fill="EEECE1" w:themeFill="background2"/>
            <w:noWrap/>
            <w:vAlign w:val="bottom"/>
            <w:hideMark/>
          </w:tcPr>
          <w:p w:rsidR="009942F9" w:rsidRPr="009942F9" w:rsidRDefault="009942F9" w:rsidP="009942F9">
            <w:pPr>
              <w:spacing w:line="240" w:lineRule="auto"/>
              <w:jc w:val="center"/>
              <w:rPr>
                <w:rFonts w:eastAsia="Times New Roman" w:cs="Times New Roman"/>
                <w:b/>
                <w:color w:val="000000"/>
                <w:szCs w:val="24"/>
                <w:lang w:eastAsia="cs-CZ"/>
              </w:rPr>
            </w:pPr>
            <w:r w:rsidRPr="009942F9">
              <w:rPr>
                <w:rFonts w:eastAsia="Times New Roman" w:cs="Times New Roman"/>
                <w:b/>
                <w:color w:val="000000"/>
                <w:szCs w:val="24"/>
                <w:lang w:eastAsia="cs-CZ"/>
              </w:rPr>
              <w:t>Absolutní četnost</w:t>
            </w:r>
          </w:p>
        </w:tc>
        <w:tc>
          <w:tcPr>
            <w:tcW w:w="2595" w:type="dxa"/>
            <w:tcBorders>
              <w:top w:val="single" w:sz="8" w:space="0" w:color="auto"/>
              <w:left w:val="nil"/>
              <w:bottom w:val="single" w:sz="4" w:space="0" w:color="auto"/>
              <w:right w:val="single" w:sz="8" w:space="0" w:color="auto"/>
            </w:tcBorders>
            <w:shd w:val="clear" w:color="auto" w:fill="EEECE1" w:themeFill="background2"/>
            <w:noWrap/>
            <w:vAlign w:val="bottom"/>
            <w:hideMark/>
          </w:tcPr>
          <w:p w:rsidR="009942F9" w:rsidRPr="009942F9" w:rsidRDefault="009942F9" w:rsidP="009942F9">
            <w:pPr>
              <w:spacing w:line="240" w:lineRule="auto"/>
              <w:jc w:val="center"/>
              <w:rPr>
                <w:rFonts w:eastAsia="Times New Roman" w:cs="Times New Roman"/>
                <w:b/>
                <w:color w:val="000000"/>
                <w:szCs w:val="24"/>
                <w:lang w:eastAsia="cs-CZ"/>
              </w:rPr>
            </w:pPr>
            <w:r w:rsidRPr="009942F9">
              <w:rPr>
                <w:rFonts w:eastAsia="Times New Roman" w:cs="Times New Roman"/>
                <w:b/>
                <w:color w:val="000000"/>
                <w:szCs w:val="24"/>
                <w:lang w:eastAsia="cs-CZ"/>
              </w:rPr>
              <w:t>Relativní četnost</w:t>
            </w:r>
          </w:p>
        </w:tc>
      </w:tr>
      <w:tr w:rsidR="009942F9" w:rsidRPr="009942F9" w:rsidTr="00C9220C">
        <w:trPr>
          <w:trHeight w:val="523"/>
        </w:trPr>
        <w:tc>
          <w:tcPr>
            <w:tcW w:w="3000" w:type="dxa"/>
            <w:tcBorders>
              <w:top w:val="nil"/>
              <w:left w:val="single" w:sz="8" w:space="0" w:color="auto"/>
              <w:bottom w:val="single" w:sz="4" w:space="0" w:color="auto"/>
              <w:right w:val="single" w:sz="4" w:space="0" w:color="auto"/>
            </w:tcBorders>
            <w:shd w:val="clear" w:color="auto" w:fill="auto"/>
            <w:noWrap/>
            <w:vAlign w:val="bottom"/>
            <w:hideMark/>
          </w:tcPr>
          <w:p w:rsidR="009942F9" w:rsidRPr="009942F9" w:rsidRDefault="009942F9" w:rsidP="009942F9">
            <w:pPr>
              <w:spacing w:line="240" w:lineRule="auto"/>
              <w:jc w:val="center"/>
              <w:rPr>
                <w:rFonts w:eastAsia="Times New Roman" w:cs="Times New Roman"/>
                <w:b/>
                <w:color w:val="000000"/>
                <w:szCs w:val="24"/>
                <w:lang w:eastAsia="cs-CZ"/>
              </w:rPr>
            </w:pPr>
            <w:r w:rsidRPr="009942F9">
              <w:rPr>
                <w:rFonts w:eastAsia="Times New Roman" w:cs="Times New Roman"/>
                <w:b/>
                <w:color w:val="000000"/>
                <w:szCs w:val="24"/>
                <w:lang w:eastAsia="cs-CZ"/>
              </w:rPr>
              <w:t>Jihlava</w:t>
            </w:r>
          </w:p>
        </w:tc>
        <w:tc>
          <w:tcPr>
            <w:tcW w:w="2488" w:type="dxa"/>
            <w:tcBorders>
              <w:top w:val="nil"/>
              <w:left w:val="nil"/>
              <w:bottom w:val="single" w:sz="4" w:space="0" w:color="auto"/>
              <w:right w:val="single" w:sz="4" w:space="0" w:color="auto"/>
            </w:tcBorders>
            <w:shd w:val="clear" w:color="auto" w:fill="auto"/>
            <w:noWrap/>
            <w:vAlign w:val="bottom"/>
            <w:hideMark/>
          </w:tcPr>
          <w:p w:rsidR="009942F9" w:rsidRPr="009942F9" w:rsidRDefault="009942F9" w:rsidP="009942F9">
            <w:pPr>
              <w:spacing w:line="240" w:lineRule="auto"/>
              <w:jc w:val="center"/>
              <w:rPr>
                <w:rFonts w:eastAsia="Times New Roman" w:cs="Times New Roman"/>
                <w:color w:val="000000"/>
                <w:szCs w:val="24"/>
                <w:lang w:eastAsia="cs-CZ"/>
              </w:rPr>
            </w:pPr>
            <w:r w:rsidRPr="009942F9">
              <w:rPr>
                <w:rFonts w:eastAsia="Times New Roman" w:cs="Times New Roman"/>
                <w:color w:val="000000"/>
                <w:szCs w:val="24"/>
                <w:lang w:eastAsia="cs-CZ"/>
              </w:rPr>
              <w:t>40</w:t>
            </w:r>
          </w:p>
        </w:tc>
        <w:tc>
          <w:tcPr>
            <w:tcW w:w="2595" w:type="dxa"/>
            <w:tcBorders>
              <w:top w:val="nil"/>
              <w:left w:val="nil"/>
              <w:bottom w:val="single" w:sz="4" w:space="0" w:color="auto"/>
              <w:right w:val="single" w:sz="8" w:space="0" w:color="auto"/>
            </w:tcBorders>
            <w:shd w:val="clear" w:color="auto" w:fill="auto"/>
            <w:noWrap/>
            <w:vAlign w:val="bottom"/>
            <w:hideMark/>
          </w:tcPr>
          <w:p w:rsidR="009942F9" w:rsidRPr="009942F9" w:rsidRDefault="009942F9" w:rsidP="009942F9">
            <w:pPr>
              <w:spacing w:line="240" w:lineRule="auto"/>
              <w:jc w:val="center"/>
              <w:rPr>
                <w:rFonts w:eastAsia="Times New Roman" w:cs="Times New Roman"/>
                <w:color w:val="000000"/>
                <w:szCs w:val="24"/>
                <w:lang w:eastAsia="cs-CZ"/>
              </w:rPr>
            </w:pPr>
            <w:r w:rsidRPr="009942F9">
              <w:rPr>
                <w:rFonts w:eastAsia="Times New Roman" w:cs="Times New Roman"/>
                <w:color w:val="000000"/>
                <w:szCs w:val="24"/>
                <w:lang w:eastAsia="cs-CZ"/>
              </w:rPr>
              <w:t>46,0</w:t>
            </w:r>
            <w:r w:rsidR="00E52C83">
              <w:rPr>
                <w:rFonts w:eastAsia="Times New Roman" w:cs="Times New Roman"/>
                <w:color w:val="000000"/>
                <w:szCs w:val="24"/>
                <w:lang w:eastAsia="cs-CZ"/>
              </w:rPr>
              <w:t xml:space="preserve"> </w:t>
            </w:r>
            <w:r w:rsidRPr="009942F9">
              <w:rPr>
                <w:rFonts w:eastAsia="Times New Roman" w:cs="Times New Roman"/>
                <w:color w:val="000000"/>
                <w:szCs w:val="24"/>
                <w:lang w:eastAsia="cs-CZ"/>
              </w:rPr>
              <w:t>%</w:t>
            </w:r>
          </w:p>
        </w:tc>
      </w:tr>
      <w:tr w:rsidR="009942F9" w:rsidRPr="009942F9" w:rsidTr="00C9220C">
        <w:trPr>
          <w:trHeight w:val="523"/>
        </w:trPr>
        <w:tc>
          <w:tcPr>
            <w:tcW w:w="3000" w:type="dxa"/>
            <w:tcBorders>
              <w:top w:val="nil"/>
              <w:left w:val="single" w:sz="8" w:space="0" w:color="auto"/>
              <w:bottom w:val="single" w:sz="4" w:space="0" w:color="auto"/>
              <w:right w:val="single" w:sz="4" w:space="0" w:color="auto"/>
            </w:tcBorders>
            <w:shd w:val="clear" w:color="auto" w:fill="auto"/>
            <w:noWrap/>
            <w:vAlign w:val="bottom"/>
            <w:hideMark/>
          </w:tcPr>
          <w:p w:rsidR="009942F9" w:rsidRPr="009942F9" w:rsidRDefault="009942F9" w:rsidP="009942F9">
            <w:pPr>
              <w:spacing w:line="240" w:lineRule="auto"/>
              <w:jc w:val="center"/>
              <w:rPr>
                <w:rFonts w:eastAsia="Times New Roman" w:cs="Times New Roman"/>
                <w:b/>
                <w:color w:val="000000"/>
                <w:szCs w:val="24"/>
                <w:lang w:eastAsia="cs-CZ"/>
              </w:rPr>
            </w:pPr>
            <w:r w:rsidRPr="009942F9">
              <w:rPr>
                <w:rFonts w:eastAsia="Times New Roman" w:cs="Times New Roman"/>
                <w:b/>
                <w:color w:val="000000"/>
                <w:szCs w:val="24"/>
                <w:lang w:eastAsia="cs-CZ"/>
              </w:rPr>
              <w:t>Olomouc</w:t>
            </w:r>
          </w:p>
        </w:tc>
        <w:tc>
          <w:tcPr>
            <w:tcW w:w="2488" w:type="dxa"/>
            <w:tcBorders>
              <w:top w:val="nil"/>
              <w:left w:val="nil"/>
              <w:bottom w:val="single" w:sz="4" w:space="0" w:color="auto"/>
              <w:right w:val="single" w:sz="4" w:space="0" w:color="auto"/>
            </w:tcBorders>
            <w:shd w:val="clear" w:color="auto" w:fill="auto"/>
            <w:noWrap/>
            <w:vAlign w:val="bottom"/>
            <w:hideMark/>
          </w:tcPr>
          <w:p w:rsidR="009942F9" w:rsidRPr="009942F9" w:rsidRDefault="009942F9" w:rsidP="009942F9">
            <w:pPr>
              <w:spacing w:line="240" w:lineRule="auto"/>
              <w:jc w:val="center"/>
              <w:rPr>
                <w:rFonts w:eastAsia="Times New Roman" w:cs="Times New Roman"/>
                <w:color w:val="000000"/>
                <w:szCs w:val="24"/>
                <w:lang w:eastAsia="cs-CZ"/>
              </w:rPr>
            </w:pPr>
            <w:r w:rsidRPr="009942F9">
              <w:rPr>
                <w:rFonts w:eastAsia="Times New Roman" w:cs="Times New Roman"/>
                <w:color w:val="000000"/>
                <w:szCs w:val="24"/>
                <w:lang w:eastAsia="cs-CZ"/>
              </w:rPr>
              <w:t>47</w:t>
            </w:r>
          </w:p>
        </w:tc>
        <w:tc>
          <w:tcPr>
            <w:tcW w:w="2595" w:type="dxa"/>
            <w:tcBorders>
              <w:top w:val="nil"/>
              <w:left w:val="nil"/>
              <w:bottom w:val="single" w:sz="4" w:space="0" w:color="auto"/>
              <w:right w:val="single" w:sz="8" w:space="0" w:color="auto"/>
            </w:tcBorders>
            <w:shd w:val="clear" w:color="auto" w:fill="auto"/>
            <w:noWrap/>
            <w:vAlign w:val="bottom"/>
            <w:hideMark/>
          </w:tcPr>
          <w:p w:rsidR="009942F9" w:rsidRPr="009942F9" w:rsidRDefault="009942F9" w:rsidP="009942F9">
            <w:pPr>
              <w:spacing w:line="240" w:lineRule="auto"/>
              <w:jc w:val="center"/>
              <w:rPr>
                <w:rFonts w:eastAsia="Times New Roman" w:cs="Times New Roman"/>
                <w:color w:val="000000"/>
                <w:szCs w:val="24"/>
                <w:lang w:eastAsia="cs-CZ"/>
              </w:rPr>
            </w:pPr>
            <w:r w:rsidRPr="009942F9">
              <w:rPr>
                <w:rFonts w:eastAsia="Times New Roman" w:cs="Times New Roman"/>
                <w:color w:val="000000"/>
                <w:szCs w:val="24"/>
                <w:lang w:eastAsia="cs-CZ"/>
              </w:rPr>
              <w:t>54,0</w:t>
            </w:r>
            <w:r w:rsidR="00E52C83">
              <w:rPr>
                <w:rFonts w:eastAsia="Times New Roman" w:cs="Times New Roman"/>
                <w:color w:val="000000"/>
                <w:szCs w:val="24"/>
                <w:lang w:eastAsia="cs-CZ"/>
              </w:rPr>
              <w:t xml:space="preserve"> </w:t>
            </w:r>
            <w:r w:rsidRPr="009942F9">
              <w:rPr>
                <w:rFonts w:eastAsia="Times New Roman" w:cs="Times New Roman"/>
                <w:color w:val="000000"/>
                <w:szCs w:val="24"/>
                <w:lang w:eastAsia="cs-CZ"/>
              </w:rPr>
              <w:t>%</w:t>
            </w:r>
          </w:p>
        </w:tc>
      </w:tr>
      <w:tr w:rsidR="009942F9" w:rsidRPr="009942F9" w:rsidTr="00C9220C">
        <w:trPr>
          <w:trHeight w:val="549"/>
        </w:trPr>
        <w:tc>
          <w:tcPr>
            <w:tcW w:w="3000" w:type="dxa"/>
            <w:tcBorders>
              <w:top w:val="nil"/>
              <w:left w:val="single" w:sz="8" w:space="0" w:color="auto"/>
              <w:bottom w:val="single" w:sz="8" w:space="0" w:color="auto"/>
              <w:right w:val="single" w:sz="4" w:space="0" w:color="auto"/>
            </w:tcBorders>
            <w:shd w:val="clear" w:color="auto" w:fill="auto"/>
            <w:noWrap/>
            <w:vAlign w:val="bottom"/>
            <w:hideMark/>
          </w:tcPr>
          <w:p w:rsidR="009942F9" w:rsidRPr="009942F9" w:rsidRDefault="009942F9" w:rsidP="009942F9">
            <w:pPr>
              <w:spacing w:line="240" w:lineRule="auto"/>
              <w:jc w:val="center"/>
              <w:rPr>
                <w:rFonts w:eastAsia="Times New Roman" w:cs="Times New Roman"/>
                <w:b/>
                <w:color w:val="000000"/>
                <w:szCs w:val="24"/>
                <w:lang w:eastAsia="cs-CZ"/>
              </w:rPr>
            </w:pPr>
            <w:r w:rsidRPr="009942F9">
              <w:rPr>
                <w:rFonts w:eastAsia="Times New Roman" w:cs="Times New Roman"/>
                <w:b/>
                <w:color w:val="000000"/>
                <w:szCs w:val="24"/>
                <w:lang w:eastAsia="cs-CZ"/>
              </w:rPr>
              <w:t>Celkem</w:t>
            </w:r>
          </w:p>
        </w:tc>
        <w:tc>
          <w:tcPr>
            <w:tcW w:w="2488" w:type="dxa"/>
            <w:tcBorders>
              <w:top w:val="nil"/>
              <w:left w:val="nil"/>
              <w:bottom w:val="single" w:sz="8" w:space="0" w:color="auto"/>
              <w:right w:val="single" w:sz="4" w:space="0" w:color="auto"/>
            </w:tcBorders>
            <w:shd w:val="clear" w:color="auto" w:fill="auto"/>
            <w:noWrap/>
            <w:vAlign w:val="bottom"/>
            <w:hideMark/>
          </w:tcPr>
          <w:p w:rsidR="009942F9" w:rsidRPr="009942F9" w:rsidRDefault="009942F9" w:rsidP="009942F9">
            <w:pPr>
              <w:spacing w:line="240" w:lineRule="auto"/>
              <w:jc w:val="center"/>
              <w:rPr>
                <w:rFonts w:eastAsia="Times New Roman" w:cs="Times New Roman"/>
                <w:b/>
                <w:color w:val="000000"/>
                <w:szCs w:val="24"/>
                <w:lang w:eastAsia="cs-CZ"/>
              </w:rPr>
            </w:pPr>
            <w:r w:rsidRPr="009942F9">
              <w:rPr>
                <w:rFonts w:eastAsia="Times New Roman" w:cs="Times New Roman"/>
                <w:b/>
                <w:color w:val="000000"/>
                <w:szCs w:val="24"/>
                <w:lang w:eastAsia="cs-CZ"/>
              </w:rPr>
              <w:t>87</w:t>
            </w:r>
          </w:p>
        </w:tc>
        <w:tc>
          <w:tcPr>
            <w:tcW w:w="2595" w:type="dxa"/>
            <w:tcBorders>
              <w:top w:val="nil"/>
              <w:left w:val="nil"/>
              <w:bottom w:val="single" w:sz="8" w:space="0" w:color="auto"/>
              <w:right w:val="single" w:sz="8" w:space="0" w:color="auto"/>
            </w:tcBorders>
            <w:shd w:val="clear" w:color="auto" w:fill="auto"/>
            <w:noWrap/>
            <w:vAlign w:val="bottom"/>
            <w:hideMark/>
          </w:tcPr>
          <w:p w:rsidR="009942F9" w:rsidRPr="009942F9" w:rsidRDefault="009942F9" w:rsidP="009942F9">
            <w:pPr>
              <w:spacing w:line="240" w:lineRule="auto"/>
              <w:jc w:val="center"/>
              <w:rPr>
                <w:rFonts w:eastAsia="Times New Roman" w:cs="Times New Roman"/>
                <w:b/>
                <w:color w:val="000000"/>
                <w:szCs w:val="24"/>
                <w:lang w:eastAsia="cs-CZ"/>
              </w:rPr>
            </w:pPr>
            <w:r w:rsidRPr="009942F9">
              <w:rPr>
                <w:rFonts w:eastAsia="Times New Roman" w:cs="Times New Roman"/>
                <w:b/>
                <w:color w:val="000000"/>
                <w:szCs w:val="24"/>
                <w:lang w:eastAsia="cs-CZ"/>
              </w:rPr>
              <w:t>100,0</w:t>
            </w:r>
            <w:r w:rsidR="00E52C83">
              <w:rPr>
                <w:rFonts w:eastAsia="Times New Roman" w:cs="Times New Roman"/>
                <w:b/>
                <w:color w:val="000000"/>
                <w:szCs w:val="24"/>
                <w:lang w:eastAsia="cs-CZ"/>
              </w:rPr>
              <w:t xml:space="preserve"> </w:t>
            </w:r>
            <w:r w:rsidRPr="009942F9">
              <w:rPr>
                <w:rFonts w:eastAsia="Times New Roman" w:cs="Times New Roman"/>
                <w:b/>
                <w:color w:val="000000"/>
                <w:szCs w:val="24"/>
                <w:lang w:eastAsia="cs-CZ"/>
              </w:rPr>
              <w:t>%</w:t>
            </w:r>
          </w:p>
        </w:tc>
      </w:tr>
    </w:tbl>
    <w:p w:rsidR="00E47693" w:rsidRDefault="00E47693" w:rsidP="007C3954"/>
    <w:p w:rsidR="003B7A5D" w:rsidRDefault="003B7A5D" w:rsidP="007C3954">
      <w:r>
        <w:t xml:space="preserve">Do šetření se zapojilo celkem 87 respondentů z Jihlavy a Olomouce. Z psychiatrické ambulance v Jihlavě to bylo 40 respondentů (46 %) a z ambulancí v Olomouci 47 respondentů (54 %). </w:t>
      </w:r>
    </w:p>
    <w:p w:rsidR="003B7A5D" w:rsidRDefault="003B7A5D" w:rsidP="007C3954"/>
    <w:p w:rsidR="00526CDE" w:rsidRDefault="00526CDE" w:rsidP="007C3954"/>
    <w:p w:rsidR="00526CDE" w:rsidRDefault="00526CDE" w:rsidP="007C3954"/>
    <w:p w:rsidR="00526CDE" w:rsidRDefault="00526CDE" w:rsidP="007C3954"/>
    <w:p w:rsidR="00526CDE" w:rsidRDefault="00526CDE" w:rsidP="007C3954"/>
    <w:p w:rsidR="000A6D9F" w:rsidRDefault="000A6D9F" w:rsidP="007C3954"/>
    <w:p w:rsidR="00322B81" w:rsidRDefault="00E55909" w:rsidP="007C3954">
      <w:r>
        <w:rPr>
          <w:b/>
        </w:rPr>
        <w:lastRenderedPageBreak/>
        <w:t>Tabulka 7</w:t>
      </w:r>
      <w:r w:rsidR="00322B81" w:rsidRPr="00322B81">
        <w:rPr>
          <w:b/>
        </w:rPr>
        <w:t xml:space="preserve">: </w:t>
      </w:r>
      <w:r w:rsidR="00322B81">
        <w:t>Pohlaví respondentů</w:t>
      </w:r>
    </w:p>
    <w:tbl>
      <w:tblPr>
        <w:tblW w:w="8166" w:type="dxa"/>
        <w:tblInd w:w="55" w:type="dxa"/>
        <w:tblCellMar>
          <w:left w:w="70" w:type="dxa"/>
          <w:right w:w="70" w:type="dxa"/>
        </w:tblCellMar>
        <w:tblLook w:val="04A0" w:firstRow="1" w:lastRow="0" w:firstColumn="1" w:lastColumn="0" w:noHBand="0" w:noVBand="1"/>
      </w:tblPr>
      <w:tblGrid>
        <w:gridCol w:w="3031"/>
        <w:gridCol w:w="2513"/>
        <w:gridCol w:w="2622"/>
      </w:tblGrid>
      <w:tr w:rsidR="00322B81" w:rsidRPr="00322B81" w:rsidTr="00CA0FCA">
        <w:trPr>
          <w:trHeight w:val="590"/>
        </w:trPr>
        <w:tc>
          <w:tcPr>
            <w:tcW w:w="3031" w:type="dxa"/>
            <w:tcBorders>
              <w:top w:val="single" w:sz="8" w:space="0" w:color="auto"/>
              <w:left w:val="single" w:sz="8" w:space="0" w:color="auto"/>
              <w:bottom w:val="single" w:sz="4" w:space="0" w:color="auto"/>
              <w:right w:val="single" w:sz="4" w:space="0" w:color="auto"/>
            </w:tcBorders>
            <w:shd w:val="clear" w:color="auto" w:fill="EEECE1" w:themeFill="background2"/>
            <w:noWrap/>
            <w:vAlign w:val="bottom"/>
            <w:hideMark/>
          </w:tcPr>
          <w:p w:rsidR="00322B81" w:rsidRPr="00322B81" w:rsidRDefault="00322B81" w:rsidP="00322B81">
            <w:pPr>
              <w:spacing w:line="240" w:lineRule="auto"/>
              <w:jc w:val="center"/>
              <w:rPr>
                <w:rFonts w:eastAsia="Times New Roman" w:cs="Times New Roman"/>
                <w:b/>
                <w:color w:val="000000"/>
                <w:szCs w:val="24"/>
                <w:lang w:eastAsia="cs-CZ"/>
              </w:rPr>
            </w:pPr>
            <w:r w:rsidRPr="00322B81">
              <w:rPr>
                <w:rFonts w:eastAsia="Times New Roman" w:cs="Times New Roman"/>
                <w:b/>
                <w:color w:val="000000"/>
                <w:szCs w:val="24"/>
                <w:lang w:eastAsia="cs-CZ"/>
              </w:rPr>
              <w:t>Pohlaví</w:t>
            </w:r>
          </w:p>
        </w:tc>
        <w:tc>
          <w:tcPr>
            <w:tcW w:w="2513" w:type="dxa"/>
            <w:tcBorders>
              <w:top w:val="single" w:sz="8" w:space="0" w:color="auto"/>
              <w:left w:val="nil"/>
              <w:bottom w:val="single" w:sz="4" w:space="0" w:color="auto"/>
              <w:right w:val="single" w:sz="4" w:space="0" w:color="auto"/>
            </w:tcBorders>
            <w:shd w:val="clear" w:color="auto" w:fill="EEECE1" w:themeFill="background2"/>
            <w:noWrap/>
            <w:vAlign w:val="bottom"/>
            <w:hideMark/>
          </w:tcPr>
          <w:p w:rsidR="00322B81" w:rsidRPr="00322B81" w:rsidRDefault="00322B81" w:rsidP="00322B81">
            <w:pPr>
              <w:spacing w:line="240" w:lineRule="auto"/>
              <w:jc w:val="center"/>
              <w:rPr>
                <w:rFonts w:eastAsia="Times New Roman" w:cs="Times New Roman"/>
                <w:b/>
                <w:color w:val="000000"/>
                <w:szCs w:val="24"/>
                <w:lang w:eastAsia="cs-CZ"/>
              </w:rPr>
            </w:pPr>
            <w:r w:rsidRPr="00322B81">
              <w:rPr>
                <w:rFonts w:eastAsia="Times New Roman" w:cs="Times New Roman"/>
                <w:b/>
                <w:color w:val="000000"/>
                <w:szCs w:val="24"/>
                <w:lang w:eastAsia="cs-CZ"/>
              </w:rPr>
              <w:t>Absolutní četnost</w:t>
            </w:r>
          </w:p>
        </w:tc>
        <w:tc>
          <w:tcPr>
            <w:tcW w:w="2622" w:type="dxa"/>
            <w:tcBorders>
              <w:top w:val="single" w:sz="8" w:space="0" w:color="auto"/>
              <w:left w:val="nil"/>
              <w:bottom w:val="single" w:sz="4" w:space="0" w:color="auto"/>
              <w:right w:val="single" w:sz="8" w:space="0" w:color="auto"/>
            </w:tcBorders>
            <w:shd w:val="clear" w:color="auto" w:fill="EEECE1" w:themeFill="background2"/>
            <w:noWrap/>
            <w:vAlign w:val="bottom"/>
            <w:hideMark/>
          </w:tcPr>
          <w:p w:rsidR="00322B81" w:rsidRPr="00322B81" w:rsidRDefault="00322B81" w:rsidP="00322B81">
            <w:pPr>
              <w:spacing w:line="240" w:lineRule="auto"/>
              <w:jc w:val="center"/>
              <w:rPr>
                <w:rFonts w:eastAsia="Times New Roman" w:cs="Times New Roman"/>
                <w:b/>
                <w:color w:val="000000"/>
                <w:szCs w:val="24"/>
                <w:lang w:eastAsia="cs-CZ"/>
              </w:rPr>
            </w:pPr>
            <w:r w:rsidRPr="00322B81">
              <w:rPr>
                <w:rFonts w:eastAsia="Times New Roman" w:cs="Times New Roman"/>
                <w:b/>
                <w:color w:val="000000"/>
                <w:szCs w:val="24"/>
                <w:lang w:eastAsia="cs-CZ"/>
              </w:rPr>
              <w:t>Relativní četnost</w:t>
            </w:r>
          </w:p>
        </w:tc>
      </w:tr>
      <w:tr w:rsidR="00322B81" w:rsidRPr="00322B81" w:rsidTr="00322B81">
        <w:trPr>
          <w:trHeight w:val="590"/>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322B81" w:rsidRPr="00322B81" w:rsidRDefault="00322B81" w:rsidP="00322B81">
            <w:pPr>
              <w:spacing w:line="240" w:lineRule="auto"/>
              <w:jc w:val="center"/>
              <w:rPr>
                <w:rFonts w:eastAsia="Times New Roman" w:cs="Times New Roman"/>
                <w:b/>
                <w:color w:val="000000"/>
                <w:szCs w:val="24"/>
                <w:lang w:eastAsia="cs-CZ"/>
              </w:rPr>
            </w:pPr>
            <w:r w:rsidRPr="00322B81">
              <w:rPr>
                <w:rFonts w:eastAsia="Times New Roman" w:cs="Times New Roman"/>
                <w:b/>
                <w:color w:val="000000"/>
                <w:szCs w:val="24"/>
                <w:lang w:eastAsia="cs-CZ"/>
              </w:rPr>
              <w:t>Ženské</w:t>
            </w:r>
          </w:p>
        </w:tc>
        <w:tc>
          <w:tcPr>
            <w:tcW w:w="2513" w:type="dxa"/>
            <w:tcBorders>
              <w:top w:val="nil"/>
              <w:left w:val="nil"/>
              <w:bottom w:val="single" w:sz="4" w:space="0" w:color="auto"/>
              <w:right w:val="single" w:sz="4" w:space="0" w:color="auto"/>
            </w:tcBorders>
            <w:shd w:val="clear" w:color="auto" w:fill="auto"/>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62</w:t>
            </w:r>
          </w:p>
        </w:tc>
        <w:tc>
          <w:tcPr>
            <w:tcW w:w="2622" w:type="dxa"/>
            <w:tcBorders>
              <w:top w:val="nil"/>
              <w:left w:val="nil"/>
              <w:bottom w:val="single" w:sz="4" w:space="0" w:color="auto"/>
              <w:right w:val="single" w:sz="8" w:space="0" w:color="auto"/>
            </w:tcBorders>
            <w:shd w:val="clear" w:color="auto" w:fill="auto"/>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71,3</w:t>
            </w:r>
            <w:r w:rsidR="00E52C83">
              <w:rPr>
                <w:rFonts w:eastAsia="Times New Roman" w:cs="Times New Roman"/>
                <w:color w:val="000000"/>
                <w:szCs w:val="24"/>
                <w:lang w:eastAsia="cs-CZ"/>
              </w:rPr>
              <w:t xml:space="preserve"> </w:t>
            </w:r>
            <w:r w:rsidRPr="00322B81">
              <w:rPr>
                <w:rFonts w:eastAsia="Times New Roman" w:cs="Times New Roman"/>
                <w:color w:val="000000"/>
                <w:szCs w:val="24"/>
                <w:lang w:eastAsia="cs-CZ"/>
              </w:rPr>
              <w:t>%</w:t>
            </w:r>
          </w:p>
        </w:tc>
      </w:tr>
      <w:tr w:rsidR="00322B81" w:rsidRPr="00322B81" w:rsidTr="00322B81">
        <w:trPr>
          <w:trHeight w:val="590"/>
        </w:trPr>
        <w:tc>
          <w:tcPr>
            <w:tcW w:w="3031" w:type="dxa"/>
            <w:tcBorders>
              <w:top w:val="nil"/>
              <w:left w:val="single" w:sz="8" w:space="0" w:color="auto"/>
              <w:bottom w:val="single" w:sz="4" w:space="0" w:color="auto"/>
              <w:right w:val="single" w:sz="4" w:space="0" w:color="auto"/>
            </w:tcBorders>
            <w:shd w:val="clear" w:color="auto" w:fill="auto"/>
            <w:noWrap/>
            <w:vAlign w:val="bottom"/>
            <w:hideMark/>
          </w:tcPr>
          <w:p w:rsidR="00322B81" w:rsidRPr="00322B81" w:rsidRDefault="00322B81" w:rsidP="00322B81">
            <w:pPr>
              <w:spacing w:line="240" w:lineRule="auto"/>
              <w:jc w:val="center"/>
              <w:rPr>
                <w:rFonts w:eastAsia="Times New Roman" w:cs="Times New Roman"/>
                <w:b/>
                <w:color w:val="000000"/>
                <w:szCs w:val="24"/>
                <w:lang w:eastAsia="cs-CZ"/>
              </w:rPr>
            </w:pPr>
            <w:r w:rsidRPr="00322B81">
              <w:rPr>
                <w:rFonts w:eastAsia="Times New Roman" w:cs="Times New Roman"/>
                <w:b/>
                <w:color w:val="000000"/>
                <w:szCs w:val="24"/>
                <w:lang w:eastAsia="cs-CZ"/>
              </w:rPr>
              <w:t>Mužské</w:t>
            </w:r>
          </w:p>
        </w:tc>
        <w:tc>
          <w:tcPr>
            <w:tcW w:w="2513" w:type="dxa"/>
            <w:tcBorders>
              <w:top w:val="nil"/>
              <w:left w:val="nil"/>
              <w:bottom w:val="single" w:sz="4" w:space="0" w:color="auto"/>
              <w:right w:val="single" w:sz="4" w:space="0" w:color="auto"/>
            </w:tcBorders>
            <w:shd w:val="clear" w:color="auto" w:fill="auto"/>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25</w:t>
            </w:r>
          </w:p>
        </w:tc>
        <w:tc>
          <w:tcPr>
            <w:tcW w:w="2622" w:type="dxa"/>
            <w:tcBorders>
              <w:top w:val="nil"/>
              <w:left w:val="nil"/>
              <w:bottom w:val="single" w:sz="4" w:space="0" w:color="auto"/>
              <w:right w:val="single" w:sz="8" w:space="0" w:color="auto"/>
            </w:tcBorders>
            <w:shd w:val="clear" w:color="auto" w:fill="auto"/>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28,7</w:t>
            </w:r>
            <w:r w:rsidR="00E52C83">
              <w:rPr>
                <w:rFonts w:eastAsia="Times New Roman" w:cs="Times New Roman"/>
                <w:color w:val="000000"/>
                <w:szCs w:val="24"/>
                <w:lang w:eastAsia="cs-CZ"/>
              </w:rPr>
              <w:t xml:space="preserve"> </w:t>
            </w:r>
            <w:r w:rsidRPr="00322B81">
              <w:rPr>
                <w:rFonts w:eastAsia="Times New Roman" w:cs="Times New Roman"/>
                <w:color w:val="000000"/>
                <w:szCs w:val="24"/>
                <w:lang w:eastAsia="cs-CZ"/>
              </w:rPr>
              <w:t>%</w:t>
            </w:r>
          </w:p>
        </w:tc>
      </w:tr>
      <w:tr w:rsidR="00322B81" w:rsidRPr="00322B81" w:rsidTr="00322B81">
        <w:trPr>
          <w:trHeight w:val="619"/>
        </w:trPr>
        <w:tc>
          <w:tcPr>
            <w:tcW w:w="3031" w:type="dxa"/>
            <w:tcBorders>
              <w:top w:val="nil"/>
              <w:left w:val="single" w:sz="8" w:space="0" w:color="auto"/>
              <w:bottom w:val="single" w:sz="8" w:space="0" w:color="auto"/>
              <w:right w:val="single" w:sz="4" w:space="0" w:color="auto"/>
            </w:tcBorders>
            <w:shd w:val="clear" w:color="auto" w:fill="auto"/>
            <w:noWrap/>
            <w:vAlign w:val="bottom"/>
            <w:hideMark/>
          </w:tcPr>
          <w:p w:rsidR="00322B81" w:rsidRPr="00322B81" w:rsidRDefault="00322B81" w:rsidP="00322B81">
            <w:pPr>
              <w:spacing w:line="240" w:lineRule="auto"/>
              <w:jc w:val="center"/>
              <w:rPr>
                <w:rFonts w:eastAsia="Times New Roman" w:cs="Times New Roman"/>
                <w:b/>
                <w:color w:val="000000"/>
                <w:szCs w:val="24"/>
                <w:lang w:eastAsia="cs-CZ"/>
              </w:rPr>
            </w:pPr>
            <w:r w:rsidRPr="00322B81">
              <w:rPr>
                <w:rFonts w:eastAsia="Times New Roman" w:cs="Times New Roman"/>
                <w:b/>
                <w:color w:val="000000"/>
                <w:szCs w:val="24"/>
                <w:lang w:eastAsia="cs-CZ"/>
              </w:rPr>
              <w:t>Celkem</w:t>
            </w:r>
          </w:p>
        </w:tc>
        <w:tc>
          <w:tcPr>
            <w:tcW w:w="2513" w:type="dxa"/>
            <w:tcBorders>
              <w:top w:val="nil"/>
              <w:left w:val="nil"/>
              <w:bottom w:val="single" w:sz="8" w:space="0" w:color="auto"/>
              <w:right w:val="single" w:sz="4" w:space="0" w:color="auto"/>
            </w:tcBorders>
            <w:shd w:val="clear" w:color="auto" w:fill="auto"/>
            <w:noWrap/>
            <w:vAlign w:val="bottom"/>
            <w:hideMark/>
          </w:tcPr>
          <w:p w:rsidR="00322B81" w:rsidRPr="00322B81" w:rsidRDefault="00322B81" w:rsidP="00322B81">
            <w:pPr>
              <w:spacing w:line="240" w:lineRule="auto"/>
              <w:jc w:val="center"/>
              <w:rPr>
                <w:rFonts w:eastAsia="Times New Roman" w:cs="Times New Roman"/>
                <w:b/>
                <w:color w:val="000000"/>
                <w:szCs w:val="24"/>
                <w:lang w:eastAsia="cs-CZ"/>
              </w:rPr>
            </w:pPr>
            <w:r w:rsidRPr="00322B81">
              <w:rPr>
                <w:rFonts w:eastAsia="Times New Roman" w:cs="Times New Roman"/>
                <w:b/>
                <w:color w:val="000000"/>
                <w:szCs w:val="24"/>
                <w:lang w:eastAsia="cs-CZ"/>
              </w:rPr>
              <w:t>87</w:t>
            </w:r>
          </w:p>
        </w:tc>
        <w:tc>
          <w:tcPr>
            <w:tcW w:w="2622" w:type="dxa"/>
            <w:tcBorders>
              <w:top w:val="nil"/>
              <w:left w:val="nil"/>
              <w:bottom w:val="single" w:sz="8" w:space="0" w:color="auto"/>
              <w:right w:val="single" w:sz="8" w:space="0" w:color="auto"/>
            </w:tcBorders>
            <w:shd w:val="clear" w:color="auto" w:fill="auto"/>
            <w:noWrap/>
            <w:vAlign w:val="bottom"/>
            <w:hideMark/>
          </w:tcPr>
          <w:p w:rsidR="00322B81" w:rsidRPr="00322B81" w:rsidRDefault="00322B81" w:rsidP="00322B81">
            <w:pPr>
              <w:spacing w:line="240" w:lineRule="auto"/>
              <w:jc w:val="center"/>
              <w:rPr>
                <w:rFonts w:eastAsia="Times New Roman" w:cs="Times New Roman"/>
                <w:b/>
                <w:color w:val="000000"/>
                <w:szCs w:val="24"/>
                <w:lang w:eastAsia="cs-CZ"/>
              </w:rPr>
            </w:pPr>
            <w:r w:rsidRPr="00322B81">
              <w:rPr>
                <w:rFonts w:eastAsia="Times New Roman" w:cs="Times New Roman"/>
                <w:b/>
                <w:color w:val="000000"/>
                <w:szCs w:val="24"/>
                <w:lang w:eastAsia="cs-CZ"/>
              </w:rPr>
              <w:t>100,0</w:t>
            </w:r>
            <w:r w:rsidR="00E52C83">
              <w:rPr>
                <w:rFonts w:eastAsia="Times New Roman" w:cs="Times New Roman"/>
                <w:b/>
                <w:color w:val="000000"/>
                <w:szCs w:val="24"/>
                <w:lang w:eastAsia="cs-CZ"/>
              </w:rPr>
              <w:t xml:space="preserve"> </w:t>
            </w:r>
            <w:r w:rsidRPr="00322B81">
              <w:rPr>
                <w:rFonts w:eastAsia="Times New Roman" w:cs="Times New Roman"/>
                <w:b/>
                <w:color w:val="000000"/>
                <w:szCs w:val="24"/>
                <w:lang w:eastAsia="cs-CZ"/>
              </w:rPr>
              <w:t>%</w:t>
            </w:r>
          </w:p>
        </w:tc>
      </w:tr>
    </w:tbl>
    <w:p w:rsidR="00322B81" w:rsidRDefault="00322B81" w:rsidP="007C3954"/>
    <w:p w:rsidR="003B7A5D" w:rsidRDefault="003B7A5D" w:rsidP="007C3954">
      <w:r>
        <w:t>Z tabulky je zřejmé, že do dotazníkového šetření se zapojilo více žen. Celkem se jednalo o 62 žen a 25 mužů.</w:t>
      </w:r>
    </w:p>
    <w:p w:rsidR="003B7A5D" w:rsidRDefault="003B7A5D" w:rsidP="007C3954"/>
    <w:p w:rsidR="00C9220C" w:rsidRDefault="00322B81" w:rsidP="007C3954">
      <w:r>
        <w:rPr>
          <w:noProof/>
          <w:lang w:eastAsia="cs-CZ"/>
        </w:rPr>
        <w:drawing>
          <wp:inline distT="0" distB="0" distL="0" distR="0" wp14:anchorId="47853815" wp14:editId="5CC54628">
            <wp:extent cx="5305646" cy="2360428"/>
            <wp:effectExtent l="38100" t="0" r="0" b="1905"/>
            <wp:docPr id="11" name="Graf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B7A5D" w:rsidRDefault="003B7A5D" w:rsidP="007C3954">
      <w:pPr>
        <w:rPr>
          <w:b/>
        </w:rPr>
      </w:pPr>
    </w:p>
    <w:p w:rsidR="00322B81" w:rsidRDefault="00322B81" w:rsidP="007C3954">
      <w:r w:rsidRPr="00322B81">
        <w:rPr>
          <w:b/>
        </w:rPr>
        <w:t>Graf 1</w:t>
      </w:r>
      <w:r>
        <w:t>: Pohlaví respondentů</w:t>
      </w:r>
    </w:p>
    <w:p w:rsidR="003B7A5D" w:rsidRDefault="003B7A5D" w:rsidP="007C3954">
      <w:r>
        <w:t xml:space="preserve">Graf uvádí, jaké bylo procentuální zastoupení mužů a žen v dotazníkovém šetření. Ženy měly zastoupení ze 71, 3 % a muži z 28,7 %. </w:t>
      </w:r>
    </w:p>
    <w:p w:rsidR="00322B81" w:rsidRDefault="00322B81" w:rsidP="007C3954"/>
    <w:p w:rsidR="00526CDE" w:rsidRDefault="00526CDE" w:rsidP="007C3954">
      <w:pPr>
        <w:rPr>
          <w:b/>
        </w:rPr>
      </w:pPr>
    </w:p>
    <w:p w:rsidR="00526CDE" w:rsidRDefault="00526CDE" w:rsidP="007C3954">
      <w:pPr>
        <w:rPr>
          <w:b/>
        </w:rPr>
      </w:pPr>
    </w:p>
    <w:p w:rsidR="00526CDE" w:rsidRDefault="00526CDE" w:rsidP="007C3954">
      <w:pPr>
        <w:rPr>
          <w:b/>
        </w:rPr>
      </w:pPr>
    </w:p>
    <w:p w:rsidR="00526CDE" w:rsidRDefault="00526CDE" w:rsidP="007C3954">
      <w:pPr>
        <w:rPr>
          <w:b/>
        </w:rPr>
      </w:pPr>
    </w:p>
    <w:p w:rsidR="00526CDE" w:rsidRDefault="00526CDE" w:rsidP="007C3954">
      <w:pPr>
        <w:rPr>
          <w:b/>
        </w:rPr>
      </w:pPr>
    </w:p>
    <w:p w:rsidR="000A6D9F" w:rsidRDefault="000A6D9F" w:rsidP="007C3954">
      <w:pPr>
        <w:rPr>
          <w:b/>
        </w:rPr>
      </w:pPr>
    </w:p>
    <w:p w:rsidR="00526CDE" w:rsidRDefault="00526CDE" w:rsidP="007C3954">
      <w:pPr>
        <w:rPr>
          <w:b/>
        </w:rPr>
      </w:pPr>
    </w:p>
    <w:p w:rsidR="00E55909" w:rsidRDefault="00E55909" w:rsidP="007C3954">
      <w:pPr>
        <w:rPr>
          <w:b/>
        </w:rPr>
      </w:pPr>
    </w:p>
    <w:p w:rsidR="00322B81" w:rsidRDefault="00E55909" w:rsidP="007C3954">
      <w:r>
        <w:rPr>
          <w:b/>
        </w:rPr>
        <w:lastRenderedPageBreak/>
        <w:t> Tabulka 8</w:t>
      </w:r>
      <w:r w:rsidR="00322B81" w:rsidRPr="00322B81">
        <w:rPr>
          <w:b/>
        </w:rPr>
        <w:t>:</w:t>
      </w:r>
      <w:r w:rsidR="00322B81">
        <w:t xml:space="preserve"> </w:t>
      </w:r>
      <w:r w:rsidR="00526CDE">
        <w:t>Nejvyšší dosažené vzdělání respondentů</w:t>
      </w:r>
    </w:p>
    <w:tbl>
      <w:tblPr>
        <w:tblW w:w="8700" w:type="dxa"/>
        <w:tblInd w:w="55" w:type="dxa"/>
        <w:shd w:val="clear" w:color="auto" w:fill="F2DBDB" w:themeFill="accent2" w:themeFillTint="33"/>
        <w:tblCellMar>
          <w:left w:w="70" w:type="dxa"/>
          <w:right w:w="70" w:type="dxa"/>
        </w:tblCellMar>
        <w:tblLook w:val="04A0" w:firstRow="1" w:lastRow="0" w:firstColumn="1" w:lastColumn="0" w:noHBand="0" w:noVBand="1"/>
      </w:tblPr>
      <w:tblGrid>
        <w:gridCol w:w="3230"/>
        <w:gridCol w:w="2677"/>
        <w:gridCol w:w="2793"/>
      </w:tblGrid>
      <w:tr w:rsidR="00322B81" w:rsidRPr="00322B81" w:rsidTr="00CA0FCA">
        <w:trPr>
          <w:trHeight w:val="520"/>
        </w:trPr>
        <w:tc>
          <w:tcPr>
            <w:tcW w:w="3230" w:type="dxa"/>
            <w:tcBorders>
              <w:top w:val="single" w:sz="8" w:space="0" w:color="auto"/>
              <w:left w:val="single" w:sz="8" w:space="0" w:color="auto"/>
              <w:bottom w:val="single" w:sz="4" w:space="0" w:color="auto"/>
              <w:right w:val="single" w:sz="4" w:space="0" w:color="auto"/>
            </w:tcBorders>
            <w:shd w:val="clear" w:color="auto" w:fill="EEECE1" w:themeFill="background2"/>
            <w:noWrap/>
            <w:vAlign w:val="bottom"/>
            <w:hideMark/>
          </w:tcPr>
          <w:p w:rsidR="00322B81" w:rsidRPr="00442706" w:rsidRDefault="00322B81" w:rsidP="00322B81">
            <w:pPr>
              <w:spacing w:line="240" w:lineRule="auto"/>
              <w:jc w:val="center"/>
              <w:rPr>
                <w:rFonts w:eastAsia="Times New Roman" w:cs="Times New Roman"/>
                <w:b/>
                <w:szCs w:val="24"/>
                <w:lang w:eastAsia="cs-CZ"/>
              </w:rPr>
            </w:pPr>
            <w:r w:rsidRPr="00442706">
              <w:rPr>
                <w:rFonts w:eastAsia="Times New Roman" w:cs="Times New Roman"/>
                <w:b/>
                <w:szCs w:val="24"/>
                <w:lang w:eastAsia="cs-CZ"/>
              </w:rPr>
              <w:t>Vzdělání</w:t>
            </w:r>
          </w:p>
        </w:tc>
        <w:tc>
          <w:tcPr>
            <w:tcW w:w="2677" w:type="dxa"/>
            <w:tcBorders>
              <w:top w:val="single" w:sz="8" w:space="0" w:color="auto"/>
              <w:left w:val="nil"/>
              <w:bottom w:val="single" w:sz="4" w:space="0" w:color="auto"/>
              <w:right w:val="single" w:sz="4" w:space="0" w:color="auto"/>
            </w:tcBorders>
            <w:shd w:val="clear" w:color="auto" w:fill="EEECE1" w:themeFill="background2"/>
            <w:noWrap/>
            <w:vAlign w:val="bottom"/>
            <w:hideMark/>
          </w:tcPr>
          <w:p w:rsidR="00322B81" w:rsidRPr="00442706" w:rsidRDefault="00442706" w:rsidP="00322B81">
            <w:pPr>
              <w:spacing w:line="240" w:lineRule="auto"/>
              <w:jc w:val="center"/>
              <w:rPr>
                <w:rFonts w:eastAsia="Times New Roman" w:cs="Times New Roman"/>
                <w:b/>
                <w:szCs w:val="24"/>
                <w:lang w:eastAsia="cs-CZ"/>
              </w:rPr>
            </w:pPr>
            <w:r w:rsidRPr="00442706">
              <w:rPr>
                <w:rFonts w:eastAsia="Times New Roman" w:cs="Times New Roman"/>
                <w:b/>
                <w:szCs w:val="24"/>
                <w:lang w:eastAsia="cs-CZ"/>
              </w:rPr>
              <w:t xml:space="preserve">Absolutní </w:t>
            </w:r>
            <w:r w:rsidR="00322B81" w:rsidRPr="00442706">
              <w:rPr>
                <w:rFonts w:eastAsia="Times New Roman" w:cs="Times New Roman"/>
                <w:b/>
                <w:szCs w:val="24"/>
                <w:lang w:eastAsia="cs-CZ"/>
              </w:rPr>
              <w:t>četnost</w:t>
            </w:r>
          </w:p>
        </w:tc>
        <w:tc>
          <w:tcPr>
            <w:tcW w:w="2793" w:type="dxa"/>
            <w:tcBorders>
              <w:top w:val="single" w:sz="8" w:space="0" w:color="auto"/>
              <w:left w:val="nil"/>
              <w:bottom w:val="single" w:sz="4" w:space="0" w:color="auto"/>
              <w:right w:val="single" w:sz="8" w:space="0" w:color="auto"/>
            </w:tcBorders>
            <w:shd w:val="clear" w:color="auto" w:fill="EEECE1" w:themeFill="background2"/>
            <w:noWrap/>
            <w:vAlign w:val="bottom"/>
            <w:hideMark/>
          </w:tcPr>
          <w:p w:rsidR="00322B81" w:rsidRPr="00442706" w:rsidRDefault="00442706" w:rsidP="00322B81">
            <w:pPr>
              <w:spacing w:line="240" w:lineRule="auto"/>
              <w:jc w:val="center"/>
              <w:rPr>
                <w:rFonts w:eastAsia="Times New Roman" w:cs="Times New Roman"/>
                <w:b/>
                <w:szCs w:val="24"/>
                <w:lang w:eastAsia="cs-CZ"/>
              </w:rPr>
            </w:pPr>
            <w:r w:rsidRPr="00442706">
              <w:rPr>
                <w:rFonts w:eastAsia="Times New Roman" w:cs="Times New Roman"/>
                <w:b/>
                <w:szCs w:val="24"/>
                <w:lang w:eastAsia="cs-CZ"/>
              </w:rPr>
              <w:t xml:space="preserve">Relativní </w:t>
            </w:r>
            <w:r w:rsidR="00322B81" w:rsidRPr="00442706">
              <w:rPr>
                <w:rFonts w:eastAsia="Times New Roman" w:cs="Times New Roman"/>
                <w:b/>
                <w:szCs w:val="24"/>
                <w:lang w:eastAsia="cs-CZ"/>
              </w:rPr>
              <w:t xml:space="preserve">četnost </w:t>
            </w:r>
          </w:p>
        </w:tc>
      </w:tr>
      <w:tr w:rsidR="00322B81" w:rsidRPr="00322B81" w:rsidTr="00442706">
        <w:trPr>
          <w:trHeight w:val="520"/>
        </w:trPr>
        <w:tc>
          <w:tcPr>
            <w:tcW w:w="3230" w:type="dxa"/>
            <w:tcBorders>
              <w:top w:val="nil"/>
              <w:left w:val="single" w:sz="8" w:space="0" w:color="auto"/>
              <w:bottom w:val="single" w:sz="4" w:space="0" w:color="auto"/>
              <w:right w:val="single" w:sz="4" w:space="0" w:color="auto"/>
            </w:tcBorders>
            <w:shd w:val="clear" w:color="auto" w:fill="FFFFFF" w:themeFill="background1"/>
            <w:noWrap/>
            <w:vAlign w:val="bottom"/>
            <w:hideMark/>
          </w:tcPr>
          <w:p w:rsidR="00322B81" w:rsidRPr="00442706" w:rsidRDefault="00442706" w:rsidP="00322B81">
            <w:pPr>
              <w:spacing w:line="240" w:lineRule="auto"/>
              <w:jc w:val="center"/>
              <w:rPr>
                <w:rFonts w:eastAsia="Times New Roman" w:cs="Times New Roman"/>
                <w:b/>
                <w:color w:val="000000"/>
                <w:szCs w:val="24"/>
                <w:lang w:eastAsia="cs-CZ"/>
              </w:rPr>
            </w:pPr>
            <w:r w:rsidRPr="00442706">
              <w:rPr>
                <w:rFonts w:eastAsia="Times New Roman" w:cs="Times New Roman"/>
                <w:b/>
                <w:color w:val="000000"/>
                <w:szCs w:val="24"/>
                <w:lang w:eastAsia="cs-CZ"/>
              </w:rPr>
              <w:t>Základní</w:t>
            </w:r>
          </w:p>
        </w:tc>
        <w:tc>
          <w:tcPr>
            <w:tcW w:w="2677" w:type="dxa"/>
            <w:tcBorders>
              <w:top w:val="nil"/>
              <w:left w:val="nil"/>
              <w:bottom w:val="single" w:sz="4" w:space="0" w:color="auto"/>
              <w:right w:val="single" w:sz="4" w:space="0" w:color="auto"/>
            </w:tcBorders>
            <w:shd w:val="clear" w:color="auto" w:fill="FFFFFF" w:themeFill="background1"/>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7</w:t>
            </w:r>
          </w:p>
        </w:tc>
        <w:tc>
          <w:tcPr>
            <w:tcW w:w="2793" w:type="dxa"/>
            <w:tcBorders>
              <w:top w:val="nil"/>
              <w:left w:val="nil"/>
              <w:bottom w:val="single" w:sz="4" w:space="0" w:color="auto"/>
              <w:right w:val="single" w:sz="8" w:space="0" w:color="auto"/>
            </w:tcBorders>
            <w:shd w:val="clear" w:color="auto" w:fill="FFFFFF" w:themeFill="background1"/>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8,0</w:t>
            </w:r>
            <w:r w:rsidR="00E52C83">
              <w:rPr>
                <w:rFonts w:eastAsia="Times New Roman" w:cs="Times New Roman"/>
                <w:color w:val="000000"/>
                <w:szCs w:val="24"/>
                <w:lang w:eastAsia="cs-CZ"/>
              </w:rPr>
              <w:t xml:space="preserve"> </w:t>
            </w:r>
            <w:r w:rsidRPr="00322B81">
              <w:rPr>
                <w:rFonts w:eastAsia="Times New Roman" w:cs="Times New Roman"/>
                <w:color w:val="000000"/>
                <w:szCs w:val="24"/>
                <w:lang w:eastAsia="cs-CZ"/>
              </w:rPr>
              <w:t>%</w:t>
            </w:r>
          </w:p>
        </w:tc>
      </w:tr>
      <w:tr w:rsidR="00322B81" w:rsidRPr="00322B81" w:rsidTr="00442706">
        <w:trPr>
          <w:trHeight w:val="520"/>
        </w:trPr>
        <w:tc>
          <w:tcPr>
            <w:tcW w:w="3230" w:type="dxa"/>
            <w:tcBorders>
              <w:top w:val="nil"/>
              <w:left w:val="single" w:sz="8" w:space="0" w:color="auto"/>
              <w:bottom w:val="single" w:sz="4" w:space="0" w:color="auto"/>
              <w:right w:val="single" w:sz="4" w:space="0" w:color="auto"/>
            </w:tcBorders>
            <w:shd w:val="clear" w:color="auto" w:fill="FFFFFF" w:themeFill="background1"/>
            <w:noWrap/>
            <w:vAlign w:val="bottom"/>
            <w:hideMark/>
          </w:tcPr>
          <w:p w:rsidR="00322B81" w:rsidRPr="00442706" w:rsidRDefault="00442706" w:rsidP="00322B81">
            <w:pPr>
              <w:spacing w:line="240" w:lineRule="auto"/>
              <w:jc w:val="center"/>
              <w:rPr>
                <w:rFonts w:eastAsia="Times New Roman" w:cs="Times New Roman"/>
                <w:b/>
                <w:color w:val="000000"/>
                <w:szCs w:val="24"/>
                <w:lang w:eastAsia="cs-CZ"/>
              </w:rPr>
            </w:pPr>
            <w:r w:rsidRPr="00442706">
              <w:rPr>
                <w:rFonts w:eastAsia="Times New Roman" w:cs="Times New Roman"/>
                <w:b/>
                <w:color w:val="000000"/>
                <w:szCs w:val="24"/>
                <w:lang w:eastAsia="cs-CZ"/>
              </w:rPr>
              <w:t>Vyučen</w:t>
            </w:r>
            <w:r>
              <w:rPr>
                <w:rFonts w:eastAsia="Times New Roman" w:cs="Times New Roman"/>
                <w:b/>
                <w:color w:val="000000"/>
                <w:szCs w:val="24"/>
                <w:lang w:eastAsia="cs-CZ"/>
              </w:rPr>
              <w:t xml:space="preserve"> </w:t>
            </w:r>
            <w:r w:rsidRPr="00442706">
              <w:rPr>
                <w:rFonts w:eastAsia="Times New Roman" w:cs="Times New Roman"/>
                <w:b/>
                <w:color w:val="000000"/>
                <w:szCs w:val="24"/>
                <w:lang w:eastAsia="cs-CZ"/>
              </w:rPr>
              <w:t>(a)</w:t>
            </w:r>
          </w:p>
        </w:tc>
        <w:tc>
          <w:tcPr>
            <w:tcW w:w="2677" w:type="dxa"/>
            <w:tcBorders>
              <w:top w:val="nil"/>
              <w:left w:val="nil"/>
              <w:bottom w:val="single" w:sz="4" w:space="0" w:color="auto"/>
              <w:right w:val="single" w:sz="4" w:space="0" w:color="auto"/>
            </w:tcBorders>
            <w:shd w:val="clear" w:color="auto" w:fill="FFFFFF" w:themeFill="background1"/>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22</w:t>
            </w:r>
          </w:p>
        </w:tc>
        <w:tc>
          <w:tcPr>
            <w:tcW w:w="2793" w:type="dxa"/>
            <w:tcBorders>
              <w:top w:val="nil"/>
              <w:left w:val="nil"/>
              <w:bottom w:val="single" w:sz="4" w:space="0" w:color="auto"/>
              <w:right w:val="single" w:sz="8" w:space="0" w:color="auto"/>
            </w:tcBorders>
            <w:shd w:val="clear" w:color="auto" w:fill="FFFFFF" w:themeFill="background1"/>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25,3</w:t>
            </w:r>
            <w:r w:rsidR="00E52C83">
              <w:rPr>
                <w:rFonts w:eastAsia="Times New Roman" w:cs="Times New Roman"/>
                <w:color w:val="000000"/>
                <w:szCs w:val="24"/>
                <w:lang w:eastAsia="cs-CZ"/>
              </w:rPr>
              <w:t xml:space="preserve"> </w:t>
            </w:r>
            <w:r w:rsidRPr="00322B81">
              <w:rPr>
                <w:rFonts w:eastAsia="Times New Roman" w:cs="Times New Roman"/>
                <w:color w:val="000000"/>
                <w:szCs w:val="24"/>
                <w:lang w:eastAsia="cs-CZ"/>
              </w:rPr>
              <w:t>%</w:t>
            </w:r>
          </w:p>
        </w:tc>
      </w:tr>
      <w:tr w:rsidR="00322B81" w:rsidRPr="00322B81" w:rsidTr="00442706">
        <w:trPr>
          <w:trHeight w:val="520"/>
        </w:trPr>
        <w:tc>
          <w:tcPr>
            <w:tcW w:w="3230" w:type="dxa"/>
            <w:tcBorders>
              <w:top w:val="nil"/>
              <w:left w:val="single" w:sz="8" w:space="0" w:color="auto"/>
              <w:bottom w:val="single" w:sz="4" w:space="0" w:color="auto"/>
              <w:right w:val="single" w:sz="4" w:space="0" w:color="auto"/>
            </w:tcBorders>
            <w:shd w:val="clear" w:color="auto" w:fill="FFFFFF" w:themeFill="background1"/>
            <w:noWrap/>
            <w:vAlign w:val="bottom"/>
            <w:hideMark/>
          </w:tcPr>
          <w:p w:rsidR="00322B81" w:rsidRPr="00442706" w:rsidRDefault="00442706" w:rsidP="00322B81">
            <w:pPr>
              <w:spacing w:line="240" w:lineRule="auto"/>
              <w:jc w:val="center"/>
              <w:rPr>
                <w:rFonts w:eastAsia="Times New Roman" w:cs="Times New Roman"/>
                <w:b/>
                <w:color w:val="000000"/>
                <w:szCs w:val="24"/>
                <w:lang w:eastAsia="cs-CZ"/>
              </w:rPr>
            </w:pPr>
            <w:r w:rsidRPr="00442706">
              <w:rPr>
                <w:rFonts w:eastAsia="Times New Roman" w:cs="Times New Roman"/>
                <w:b/>
                <w:color w:val="000000"/>
                <w:szCs w:val="24"/>
                <w:lang w:eastAsia="cs-CZ"/>
              </w:rPr>
              <w:t>Středoškolské</w:t>
            </w:r>
          </w:p>
        </w:tc>
        <w:tc>
          <w:tcPr>
            <w:tcW w:w="2677" w:type="dxa"/>
            <w:tcBorders>
              <w:top w:val="nil"/>
              <w:left w:val="nil"/>
              <w:bottom w:val="single" w:sz="4" w:space="0" w:color="auto"/>
              <w:right w:val="single" w:sz="4" w:space="0" w:color="auto"/>
            </w:tcBorders>
            <w:shd w:val="clear" w:color="auto" w:fill="FFFFFF" w:themeFill="background1"/>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39</w:t>
            </w:r>
          </w:p>
        </w:tc>
        <w:tc>
          <w:tcPr>
            <w:tcW w:w="2793" w:type="dxa"/>
            <w:tcBorders>
              <w:top w:val="nil"/>
              <w:left w:val="nil"/>
              <w:bottom w:val="single" w:sz="4" w:space="0" w:color="auto"/>
              <w:right w:val="single" w:sz="8" w:space="0" w:color="auto"/>
            </w:tcBorders>
            <w:shd w:val="clear" w:color="auto" w:fill="FFFFFF" w:themeFill="background1"/>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44,8</w:t>
            </w:r>
            <w:r w:rsidR="00E52C83">
              <w:rPr>
                <w:rFonts w:eastAsia="Times New Roman" w:cs="Times New Roman"/>
                <w:color w:val="000000"/>
                <w:szCs w:val="24"/>
                <w:lang w:eastAsia="cs-CZ"/>
              </w:rPr>
              <w:t xml:space="preserve"> </w:t>
            </w:r>
            <w:r w:rsidRPr="00322B81">
              <w:rPr>
                <w:rFonts w:eastAsia="Times New Roman" w:cs="Times New Roman"/>
                <w:color w:val="000000"/>
                <w:szCs w:val="24"/>
                <w:lang w:eastAsia="cs-CZ"/>
              </w:rPr>
              <w:t>%</w:t>
            </w:r>
          </w:p>
        </w:tc>
      </w:tr>
      <w:tr w:rsidR="00322B81" w:rsidRPr="00322B81" w:rsidTr="00442706">
        <w:trPr>
          <w:trHeight w:val="520"/>
        </w:trPr>
        <w:tc>
          <w:tcPr>
            <w:tcW w:w="3230" w:type="dxa"/>
            <w:tcBorders>
              <w:top w:val="nil"/>
              <w:left w:val="single" w:sz="8" w:space="0" w:color="auto"/>
              <w:bottom w:val="single" w:sz="4" w:space="0" w:color="auto"/>
              <w:right w:val="single" w:sz="4" w:space="0" w:color="auto"/>
            </w:tcBorders>
            <w:shd w:val="clear" w:color="auto" w:fill="FFFFFF" w:themeFill="background1"/>
            <w:noWrap/>
            <w:vAlign w:val="bottom"/>
            <w:hideMark/>
          </w:tcPr>
          <w:p w:rsidR="00322B81" w:rsidRPr="00442706" w:rsidRDefault="00442706" w:rsidP="00322B81">
            <w:pPr>
              <w:spacing w:line="240" w:lineRule="auto"/>
              <w:jc w:val="center"/>
              <w:rPr>
                <w:rFonts w:eastAsia="Times New Roman" w:cs="Times New Roman"/>
                <w:b/>
                <w:color w:val="000000"/>
                <w:szCs w:val="24"/>
                <w:lang w:eastAsia="cs-CZ"/>
              </w:rPr>
            </w:pPr>
            <w:r w:rsidRPr="00442706">
              <w:rPr>
                <w:rFonts w:eastAsia="Times New Roman" w:cs="Times New Roman"/>
                <w:b/>
                <w:color w:val="000000"/>
                <w:szCs w:val="24"/>
                <w:lang w:eastAsia="cs-CZ"/>
              </w:rPr>
              <w:t>Vysokoškolské</w:t>
            </w:r>
          </w:p>
        </w:tc>
        <w:tc>
          <w:tcPr>
            <w:tcW w:w="2677" w:type="dxa"/>
            <w:tcBorders>
              <w:top w:val="nil"/>
              <w:left w:val="nil"/>
              <w:bottom w:val="single" w:sz="4" w:space="0" w:color="auto"/>
              <w:right w:val="single" w:sz="4" w:space="0" w:color="auto"/>
            </w:tcBorders>
            <w:shd w:val="clear" w:color="auto" w:fill="FFFFFF" w:themeFill="background1"/>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19</w:t>
            </w:r>
          </w:p>
        </w:tc>
        <w:tc>
          <w:tcPr>
            <w:tcW w:w="2793" w:type="dxa"/>
            <w:tcBorders>
              <w:top w:val="nil"/>
              <w:left w:val="nil"/>
              <w:bottom w:val="single" w:sz="4" w:space="0" w:color="auto"/>
              <w:right w:val="single" w:sz="8" w:space="0" w:color="auto"/>
            </w:tcBorders>
            <w:shd w:val="clear" w:color="auto" w:fill="FFFFFF" w:themeFill="background1"/>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21,8</w:t>
            </w:r>
            <w:r w:rsidR="00E52C83">
              <w:rPr>
                <w:rFonts w:eastAsia="Times New Roman" w:cs="Times New Roman"/>
                <w:color w:val="000000"/>
                <w:szCs w:val="24"/>
                <w:lang w:eastAsia="cs-CZ"/>
              </w:rPr>
              <w:t xml:space="preserve"> </w:t>
            </w:r>
            <w:r w:rsidRPr="00322B81">
              <w:rPr>
                <w:rFonts w:eastAsia="Times New Roman" w:cs="Times New Roman"/>
                <w:color w:val="000000"/>
                <w:szCs w:val="24"/>
                <w:lang w:eastAsia="cs-CZ"/>
              </w:rPr>
              <w:t>%</w:t>
            </w:r>
          </w:p>
        </w:tc>
      </w:tr>
      <w:tr w:rsidR="00322B81" w:rsidRPr="00322B81" w:rsidTr="00442706">
        <w:trPr>
          <w:trHeight w:val="520"/>
        </w:trPr>
        <w:tc>
          <w:tcPr>
            <w:tcW w:w="3230" w:type="dxa"/>
            <w:tcBorders>
              <w:top w:val="nil"/>
              <w:left w:val="single" w:sz="8" w:space="0" w:color="auto"/>
              <w:bottom w:val="single" w:sz="4" w:space="0" w:color="auto"/>
              <w:right w:val="single" w:sz="4" w:space="0" w:color="auto"/>
            </w:tcBorders>
            <w:shd w:val="clear" w:color="auto" w:fill="FFFFFF" w:themeFill="background1"/>
            <w:noWrap/>
            <w:vAlign w:val="bottom"/>
            <w:hideMark/>
          </w:tcPr>
          <w:p w:rsidR="00322B81" w:rsidRPr="00442706" w:rsidRDefault="00442706" w:rsidP="00322B81">
            <w:pPr>
              <w:spacing w:line="240" w:lineRule="auto"/>
              <w:jc w:val="center"/>
              <w:rPr>
                <w:rFonts w:eastAsia="Times New Roman" w:cs="Times New Roman"/>
                <w:b/>
                <w:color w:val="000000"/>
                <w:szCs w:val="24"/>
                <w:lang w:eastAsia="cs-CZ"/>
              </w:rPr>
            </w:pPr>
            <w:r w:rsidRPr="00442706">
              <w:rPr>
                <w:rFonts w:eastAsia="Times New Roman" w:cs="Times New Roman"/>
                <w:b/>
                <w:color w:val="000000"/>
                <w:szCs w:val="24"/>
                <w:lang w:eastAsia="cs-CZ"/>
              </w:rPr>
              <w:t>Jiné</w:t>
            </w:r>
          </w:p>
        </w:tc>
        <w:tc>
          <w:tcPr>
            <w:tcW w:w="2677" w:type="dxa"/>
            <w:tcBorders>
              <w:top w:val="nil"/>
              <w:left w:val="nil"/>
              <w:bottom w:val="single" w:sz="4" w:space="0" w:color="auto"/>
              <w:right w:val="single" w:sz="4" w:space="0" w:color="auto"/>
            </w:tcBorders>
            <w:shd w:val="clear" w:color="auto" w:fill="FFFFFF" w:themeFill="background1"/>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0</w:t>
            </w:r>
          </w:p>
        </w:tc>
        <w:tc>
          <w:tcPr>
            <w:tcW w:w="2793" w:type="dxa"/>
            <w:tcBorders>
              <w:top w:val="nil"/>
              <w:left w:val="nil"/>
              <w:bottom w:val="single" w:sz="4" w:space="0" w:color="auto"/>
              <w:right w:val="single" w:sz="8" w:space="0" w:color="auto"/>
            </w:tcBorders>
            <w:shd w:val="clear" w:color="auto" w:fill="FFFFFF" w:themeFill="background1"/>
            <w:noWrap/>
            <w:vAlign w:val="bottom"/>
            <w:hideMark/>
          </w:tcPr>
          <w:p w:rsidR="00322B81" w:rsidRPr="00322B81" w:rsidRDefault="00322B81" w:rsidP="00322B81">
            <w:pPr>
              <w:spacing w:line="240" w:lineRule="auto"/>
              <w:jc w:val="center"/>
              <w:rPr>
                <w:rFonts w:eastAsia="Times New Roman" w:cs="Times New Roman"/>
                <w:color w:val="000000"/>
                <w:szCs w:val="24"/>
                <w:lang w:eastAsia="cs-CZ"/>
              </w:rPr>
            </w:pPr>
            <w:r w:rsidRPr="00322B81">
              <w:rPr>
                <w:rFonts w:eastAsia="Times New Roman" w:cs="Times New Roman"/>
                <w:color w:val="000000"/>
                <w:szCs w:val="24"/>
                <w:lang w:eastAsia="cs-CZ"/>
              </w:rPr>
              <w:t>0</w:t>
            </w:r>
            <w:r w:rsidR="00E52C83">
              <w:rPr>
                <w:rFonts w:eastAsia="Times New Roman" w:cs="Times New Roman"/>
                <w:color w:val="000000"/>
                <w:szCs w:val="24"/>
                <w:lang w:eastAsia="cs-CZ"/>
              </w:rPr>
              <w:t xml:space="preserve"> </w:t>
            </w:r>
            <w:r w:rsidRPr="00322B81">
              <w:rPr>
                <w:rFonts w:eastAsia="Times New Roman" w:cs="Times New Roman"/>
                <w:color w:val="000000"/>
                <w:szCs w:val="24"/>
                <w:lang w:eastAsia="cs-CZ"/>
              </w:rPr>
              <w:t>%</w:t>
            </w:r>
          </w:p>
        </w:tc>
      </w:tr>
      <w:tr w:rsidR="00322B81" w:rsidRPr="00322B81" w:rsidTr="00442706">
        <w:trPr>
          <w:trHeight w:val="545"/>
        </w:trPr>
        <w:tc>
          <w:tcPr>
            <w:tcW w:w="3230" w:type="dxa"/>
            <w:tcBorders>
              <w:top w:val="nil"/>
              <w:left w:val="single" w:sz="8" w:space="0" w:color="auto"/>
              <w:bottom w:val="single" w:sz="8" w:space="0" w:color="auto"/>
              <w:right w:val="single" w:sz="4" w:space="0" w:color="auto"/>
            </w:tcBorders>
            <w:shd w:val="clear" w:color="auto" w:fill="FFFFFF" w:themeFill="background1"/>
            <w:noWrap/>
            <w:vAlign w:val="bottom"/>
            <w:hideMark/>
          </w:tcPr>
          <w:p w:rsidR="00322B81" w:rsidRPr="00442706" w:rsidRDefault="00322B81" w:rsidP="00322B81">
            <w:pPr>
              <w:spacing w:line="240" w:lineRule="auto"/>
              <w:jc w:val="center"/>
              <w:rPr>
                <w:rFonts w:eastAsia="Times New Roman" w:cs="Times New Roman"/>
                <w:b/>
                <w:color w:val="000000"/>
                <w:szCs w:val="24"/>
                <w:lang w:eastAsia="cs-CZ"/>
              </w:rPr>
            </w:pPr>
            <w:r w:rsidRPr="00442706">
              <w:rPr>
                <w:rFonts w:eastAsia="Times New Roman" w:cs="Times New Roman"/>
                <w:b/>
                <w:color w:val="000000"/>
                <w:szCs w:val="24"/>
                <w:lang w:eastAsia="cs-CZ"/>
              </w:rPr>
              <w:t>Celkem</w:t>
            </w:r>
          </w:p>
        </w:tc>
        <w:tc>
          <w:tcPr>
            <w:tcW w:w="2677" w:type="dxa"/>
            <w:tcBorders>
              <w:top w:val="nil"/>
              <w:left w:val="nil"/>
              <w:bottom w:val="single" w:sz="8" w:space="0" w:color="auto"/>
              <w:right w:val="single" w:sz="4" w:space="0" w:color="auto"/>
            </w:tcBorders>
            <w:shd w:val="clear" w:color="auto" w:fill="FFFFFF" w:themeFill="background1"/>
            <w:noWrap/>
            <w:vAlign w:val="bottom"/>
            <w:hideMark/>
          </w:tcPr>
          <w:p w:rsidR="00322B81" w:rsidRPr="00442706" w:rsidRDefault="00322B81" w:rsidP="00322B81">
            <w:pPr>
              <w:spacing w:line="240" w:lineRule="auto"/>
              <w:jc w:val="center"/>
              <w:rPr>
                <w:rFonts w:eastAsia="Times New Roman" w:cs="Times New Roman"/>
                <w:b/>
                <w:color w:val="000000"/>
                <w:szCs w:val="24"/>
                <w:lang w:eastAsia="cs-CZ"/>
              </w:rPr>
            </w:pPr>
            <w:r w:rsidRPr="00442706">
              <w:rPr>
                <w:rFonts w:eastAsia="Times New Roman" w:cs="Times New Roman"/>
                <w:b/>
                <w:color w:val="000000"/>
                <w:szCs w:val="24"/>
                <w:lang w:eastAsia="cs-CZ"/>
              </w:rPr>
              <w:t>87</w:t>
            </w:r>
          </w:p>
        </w:tc>
        <w:tc>
          <w:tcPr>
            <w:tcW w:w="2793" w:type="dxa"/>
            <w:tcBorders>
              <w:top w:val="nil"/>
              <w:left w:val="nil"/>
              <w:bottom w:val="single" w:sz="8" w:space="0" w:color="auto"/>
              <w:right w:val="single" w:sz="8" w:space="0" w:color="auto"/>
            </w:tcBorders>
            <w:shd w:val="clear" w:color="auto" w:fill="FFFFFF" w:themeFill="background1"/>
            <w:noWrap/>
            <w:vAlign w:val="bottom"/>
            <w:hideMark/>
          </w:tcPr>
          <w:p w:rsidR="00322B81" w:rsidRPr="00442706" w:rsidRDefault="00322B81" w:rsidP="00322B81">
            <w:pPr>
              <w:spacing w:line="240" w:lineRule="auto"/>
              <w:jc w:val="center"/>
              <w:rPr>
                <w:rFonts w:eastAsia="Times New Roman" w:cs="Times New Roman"/>
                <w:b/>
                <w:color w:val="000000"/>
                <w:szCs w:val="24"/>
                <w:lang w:eastAsia="cs-CZ"/>
              </w:rPr>
            </w:pPr>
            <w:r w:rsidRPr="00442706">
              <w:rPr>
                <w:rFonts w:eastAsia="Times New Roman" w:cs="Times New Roman"/>
                <w:b/>
                <w:color w:val="000000"/>
                <w:szCs w:val="24"/>
                <w:lang w:eastAsia="cs-CZ"/>
              </w:rPr>
              <w:t>100,0</w:t>
            </w:r>
            <w:r w:rsidR="00E52C83">
              <w:rPr>
                <w:rFonts w:eastAsia="Times New Roman" w:cs="Times New Roman"/>
                <w:b/>
                <w:color w:val="000000"/>
                <w:szCs w:val="24"/>
                <w:lang w:eastAsia="cs-CZ"/>
              </w:rPr>
              <w:t xml:space="preserve"> </w:t>
            </w:r>
            <w:r w:rsidRPr="00442706">
              <w:rPr>
                <w:rFonts w:eastAsia="Times New Roman" w:cs="Times New Roman"/>
                <w:b/>
                <w:color w:val="000000"/>
                <w:szCs w:val="24"/>
                <w:lang w:eastAsia="cs-CZ"/>
              </w:rPr>
              <w:t>%</w:t>
            </w:r>
          </w:p>
        </w:tc>
      </w:tr>
    </w:tbl>
    <w:p w:rsidR="00322B81" w:rsidRDefault="00322B81" w:rsidP="007C3954"/>
    <w:p w:rsidR="00526CDE" w:rsidRDefault="00526CDE" w:rsidP="007C3954">
      <w:r>
        <w:t>Z tabulky vyplývá, že největší zastoupení měli respondenti se středoškolským vzděláním, celkem se jednalo o 39 respondentů (44,8 %). Dvacet dva respondentů v dotazníku uvedlo, že jsou vyučeni (25,3 %). Vysokoškolské vzdělání uvedlo 19 respondentů              (21,8 %). Sedm respondentů mělo dokončeno základní vzdělání (8,0 %) a odpověď jiné vzdělání nezvolil ani jeden z dotazovaných (0 %).</w:t>
      </w:r>
    </w:p>
    <w:p w:rsidR="00526CDE" w:rsidRDefault="00526CDE" w:rsidP="007C3954"/>
    <w:p w:rsidR="00C9220C" w:rsidRDefault="00C9220C" w:rsidP="00C9220C">
      <w:pPr>
        <w:pStyle w:val="Nadpis3"/>
      </w:pPr>
      <w:bookmarkStart w:id="87" w:name="_Toc353433204"/>
      <w:r>
        <w:t>5.1 Průběh výzkumného šetření</w:t>
      </w:r>
      <w:bookmarkEnd w:id="87"/>
    </w:p>
    <w:p w:rsidR="00C9220C" w:rsidRDefault="00F53742" w:rsidP="00F53742">
      <w:pPr>
        <w:ind w:firstLine="284"/>
      </w:pPr>
      <w:r>
        <w:t xml:space="preserve">Výzkumné šetření bylo provedeno dohromady ve čtyřech psychiatrických ambulancích a účastnilo se ho 87 respondentů. Bližší rozčlenění bylo uvedeno v tabulce 7. </w:t>
      </w:r>
    </w:p>
    <w:p w:rsidR="00F53742" w:rsidRDefault="00F53742" w:rsidP="003F43C0">
      <w:pPr>
        <w:ind w:firstLine="284"/>
      </w:pPr>
      <w:r>
        <w:t>Lékaři svým pacientům rozdávali dotazníky v tištěné podobě. Spolu s lékaři jsme se domluvili, že bude vhodnější, když si dotazní</w:t>
      </w:r>
      <w:r w:rsidR="00E52C83">
        <w:t>k bude moci pacient odnést domů, a</w:t>
      </w:r>
      <w:r>
        <w:t xml:space="preserve"> to z časových důvo</w:t>
      </w:r>
      <w:r w:rsidR="00CA0FCA">
        <w:t>dů</w:t>
      </w:r>
      <w:r w:rsidR="00E52C83">
        <w:t>,</w:t>
      </w:r>
      <w:r w:rsidR="00CA0FCA">
        <w:t xml:space="preserve"> a také proto, aby si ho</w:t>
      </w:r>
      <w:r>
        <w:t xml:space="preserve"> mohli vyplnit v rodinném prostředí. </w:t>
      </w:r>
      <w:r w:rsidR="003F43C0">
        <w:t>Zároveň tím sníží</w:t>
      </w:r>
      <w:r w:rsidR="00CA0FCA">
        <w:t>me riziko působení ovlivňujících</w:t>
      </w:r>
      <w:r w:rsidR="003F43C0">
        <w:t xml:space="preserve"> faktorů, které mohou na pacienty v ambulanci psychiatra dopadat. </w:t>
      </w:r>
      <w:r>
        <w:t>Pacienti byli poučeni, že tento dotazník je ano</w:t>
      </w:r>
      <w:r w:rsidR="003F43C0">
        <w:t xml:space="preserve">nymní a bude sloužit pro účely zpracování dat v diplomové práci. Vyplněný dotazník pacienti odevzdávali svým lékařům při další návštěvě, která byla zhruba za 3 </w:t>
      </w:r>
      <w:r w:rsidR="000F3B0F">
        <w:t>měsíce.  Tento dotazník vkládali</w:t>
      </w:r>
      <w:r w:rsidR="003F43C0">
        <w:t xml:space="preserve"> do obálek, aby byla co nejvíce zachována anonymita. </w:t>
      </w:r>
      <w:r w:rsidR="00D026E7">
        <w:t xml:space="preserve">V tomto šetření jsme si byli vědomi, že někteří respondenti nebudou znát název antidepresiva, který užívají. Proto jsme se s lékaři dohodli, že budou název antidepresiva u respondentů raději vyplňovat oni. </w:t>
      </w:r>
      <w:r w:rsidR="00526CDE">
        <w:t>Návratnost dotazníků od pacientů je uvedena v tabulce 10.</w:t>
      </w:r>
    </w:p>
    <w:p w:rsidR="00526CDE" w:rsidRDefault="00526CDE" w:rsidP="003F43C0">
      <w:pPr>
        <w:ind w:firstLine="284"/>
      </w:pPr>
    </w:p>
    <w:p w:rsidR="00526CDE" w:rsidRDefault="00E55909" w:rsidP="003F43C0">
      <w:pPr>
        <w:ind w:firstLine="284"/>
      </w:pPr>
      <w:r>
        <w:rPr>
          <w:b/>
        </w:rPr>
        <w:lastRenderedPageBreak/>
        <w:t>Tabulka 9</w:t>
      </w:r>
      <w:r w:rsidR="00526CDE" w:rsidRPr="00526CDE">
        <w:rPr>
          <w:b/>
        </w:rPr>
        <w:t>:</w:t>
      </w:r>
      <w:r w:rsidR="00526CDE">
        <w:t xml:space="preserve"> Návratnost dotazníků</w:t>
      </w:r>
    </w:p>
    <w:tbl>
      <w:tblPr>
        <w:tblW w:w="8092" w:type="dxa"/>
        <w:tblInd w:w="55" w:type="dxa"/>
        <w:tblCellMar>
          <w:left w:w="70" w:type="dxa"/>
          <w:right w:w="70" w:type="dxa"/>
        </w:tblCellMar>
        <w:tblLook w:val="04A0" w:firstRow="1" w:lastRow="0" w:firstColumn="1" w:lastColumn="0" w:noHBand="0" w:noVBand="1"/>
      </w:tblPr>
      <w:tblGrid>
        <w:gridCol w:w="3454"/>
        <w:gridCol w:w="2270"/>
        <w:gridCol w:w="2368"/>
      </w:tblGrid>
      <w:tr w:rsidR="00526CDE" w:rsidRPr="00526CDE" w:rsidTr="00CA0FCA">
        <w:trPr>
          <w:trHeight w:val="602"/>
        </w:trPr>
        <w:tc>
          <w:tcPr>
            <w:tcW w:w="3454"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526CDE" w:rsidRPr="00526CDE" w:rsidRDefault="00526CDE" w:rsidP="00526CDE">
            <w:pPr>
              <w:spacing w:line="240" w:lineRule="auto"/>
              <w:jc w:val="center"/>
              <w:rPr>
                <w:rFonts w:eastAsia="Times New Roman" w:cs="Times New Roman"/>
                <w:b/>
                <w:color w:val="000000"/>
                <w:szCs w:val="24"/>
                <w:lang w:eastAsia="cs-CZ"/>
              </w:rPr>
            </w:pPr>
            <w:r w:rsidRPr="00526CDE">
              <w:rPr>
                <w:rFonts w:eastAsia="Times New Roman" w:cs="Times New Roman"/>
                <w:b/>
                <w:color w:val="000000"/>
                <w:szCs w:val="24"/>
                <w:lang w:eastAsia="cs-CZ"/>
              </w:rPr>
              <w:t>Návratnost dotazníků</w:t>
            </w:r>
          </w:p>
        </w:tc>
        <w:tc>
          <w:tcPr>
            <w:tcW w:w="2270"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526CDE" w:rsidRPr="00526CDE" w:rsidRDefault="00526CDE" w:rsidP="00526CDE">
            <w:pPr>
              <w:spacing w:line="240" w:lineRule="auto"/>
              <w:jc w:val="center"/>
              <w:rPr>
                <w:rFonts w:eastAsia="Times New Roman" w:cs="Times New Roman"/>
                <w:b/>
                <w:color w:val="000000"/>
                <w:szCs w:val="24"/>
                <w:lang w:eastAsia="cs-CZ"/>
              </w:rPr>
            </w:pPr>
            <w:r w:rsidRPr="00526CDE">
              <w:rPr>
                <w:rFonts w:eastAsia="Times New Roman" w:cs="Times New Roman"/>
                <w:b/>
                <w:color w:val="000000"/>
                <w:szCs w:val="24"/>
                <w:lang w:eastAsia="cs-CZ"/>
              </w:rPr>
              <w:t>Absolutní četnost</w:t>
            </w:r>
          </w:p>
        </w:tc>
        <w:tc>
          <w:tcPr>
            <w:tcW w:w="2368"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526CDE" w:rsidRPr="00526CDE" w:rsidRDefault="00526CDE" w:rsidP="00526CDE">
            <w:pPr>
              <w:spacing w:line="240" w:lineRule="auto"/>
              <w:jc w:val="center"/>
              <w:rPr>
                <w:rFonts w:eastAsia="Times New Roman" w:cs="Times New Roman"/>
                <w:b/>
                <w:color w:val="000000"/>
                <w:szCs w:val="24"/>
                <w:lang w:eastAsia="cs-CZ"/>
              </w:rPr>
            </w:pPr>
            <w:r w:rsidRPr="00526CDE">
              <w:rPr>
                <w:rFonts w:eastAsia="Times New Roman" w:cs="Times New Roman"/>
                <w:b/>
                <w:color w:val="000000"/>
                <w:szCs w:val="24"/>
                <w:lang w:eastAsia="cs-CZ"/>
              </w:rPr>
              <w:t>Relativní četnost</w:t>
            </w:r>
          </w:p>
        </w:tc>
      </w:tr>
      <w:tr w:rsidR="00526CDE" w:rsidRPr="00526CDE" w:rsidTr="00526CDE">
        <w:trPr>
          <w:trHeight w:val="602"/>
        </w:trPr>
        <w:tc>
          <w:tcPr>
            <w:tcW w:w="3454" w:type="dxa"/>
            <w:tcBorders>
              <w:top w:val="nil"/>
              <w:left w:val="single" w:sz="4" w:space="0" w:color="auto"/>
              <w:bottom w:val="single" w:sz="4" w:space="0" w:color="auto"/>
              <w:right w:val="single" w:sz="4" w:space="0" w:color="auto"/>
            </w:tcBorders>
            <w:shd w:val="clear" w:color="auto" w:fill="auto"/>
            <w:noWrap/>
            <w:vAlign w:val="bottom"/>
            <w:hideMark/>
          </w:tcPr>
          <w:p w:rsidR="00526CDE" w:rsidRPr="00526CDE" w:rsidRDefault="00526CDE" w:rsidP="00526CDE">
            <w:pPr>
              <w:spacing w:line="240" w:lineRule="auto"/>
              <w:jc w:val="center"/>
              <w:rPr>
                <w:rFonts w:eastAsia="Times New Roman" w:cs="Times New Roman"/>
                <w:b/>
                <w:color w:val="000000"/>
                <w:szCs w:val="24"/>
                <w:lang w:eastAsia="cs-CZ"/>
              </w:rPr>
            </w:pPr>
            <w:r w:rsidRPr="00526CDE">
              <w:rPr>
                <w:rFonts w:eastAsia="Times New Roman" w:cs="Times New Roman"/>
                <w:b/>
                <w:color w:val="000000"/>
                <w:szCs w:val="24"/>
                <w:lang w:eastAsia="cs-CZ"/>
              </w:rPr>
              <w:t>Počet rozdaných dotazníků</w:t>
            </w:r>
          </w:p>
        </w:tc>
        <w:tc>
          <w:tcPr>
            <w:tcW w:w="2270" w:type="dxa"/>
            <w:tcBorders>
              <w:top w:val="nil"/>
              <w:left w:val="nil"/>
              <w:bottom w:val="single" w:sz="4" w:space="0" w:color="auto"/>
              <w:right w:val="single" w:sz="4" w:space="0" w:color="auto"/>
            </w:tcBorders>
            <w:shd w:val="clear" w:color="auto" w:fill="auto"/>
            <w:noWrap/>
            <w:vAlign w:val="bottom"/>
            <w:hideMark/>
          </w:tcPr>
          <w:p w:rsidR="00526CDE" w:rsidRPr="00526CDE" w:rsidRDefault="00526CDE" w:rsidP="00526CDE">
            <w:pPr>
              <w:spacing w:line="240" w:lineRule="auto"/>
              <w:jc w:val="center"/>
              <w:rPr>
                <w:rFonts w:eastAsia="Times New Roman" w:cs="Times New Roman"/>
                <w:color w:val="000000"/>
                <w:szCs w:val="24"/>
                <w:lang w:eastAsia="cs-CZ"/>
              </w:rPr>
            </w:pPr>
            <w:r w:rsidRPr="00526CDE">
              <w:rPr>
                <w:rFonts w:eastAsia="Times New Roman" w:cs="Times New Roman"/>
                <w:color w:val="000000"/>
                <w:szCs w:val="24"/>
                <w:lang w:eastAsia="cs-CZ"/>
              </w:rPr>
              <w:t>120</w:t>
            </w:r>
          </w:p>
        </w:tc>
        <w:tc>
          <w:tcPr>
            <w:tcW w:w="2368" w:type="dxa"/>
            <w:tcBorders>
              <w:top w:val="nil"/>
              <w:left w:val="nil"/>
              <w:bottom w:val="single" w:sz="4" w:space="0" w:color="auto"/>
              <w:right w:val="single" w:sz="4" w:space="0" w:color="auto"/>
            </w:tcBorders>
            <w:shd w:val="clear" w:color="auto" w:fill="auto"/>
            <w:noWrap/>
            <w:vAlign w:val="bottom"/>
            <w:hideMark/>
          </w:tcPr>
          <w:p w:rsidR="00526CDE" w:rsidRPr="00526CDE" w:rsidRDefault="00526CDE" w:rsidP="00526CDE">
            <w:pPr>
              <w:spacing w:line="240" w:lineRule="auto"/>
              <w:jc w:val="center"/>
              <w:rPr>
                <w:rFonts w:eastAsia="Times New Roman" w:cs="Times New Roman"/>
                <w:color w:val="000000"/>
                <w:szCs w:val="24"/>
                <w:lang w:eastAsia="cs-CZ"/>
              </w:rPr>
            </w:pPr>
            <w:r w:rsidRPr="00526CDE">
              <w:rPr>
                <w:rFonts w:eastAsia="Times New Roman" w:cs="Times New Roman"/>
                <w:color w:val="000000"/>
                <w:szCs w:val="24"/>
                <w:lang w:eastAsia="cs-CZ"/>
              </w:rPr>
              <w:t>100,0</w:t>
            </w:r>
            <w:r w:rsidR="00E52C83">
              <w:rPr>
                <w:rFonts w:eastAsia="Times New Roman" w:cs="Times New Roman"/>
                <w:color w:val="000000"/>
                <w:szCs w:val="24"/>
                <w:lang w:eastAsia="cs-CZ"/>
              </w:rPr>
              <w:t xml:space="preserve"> </w:t>
            </w:r>
            <w:r w:rsidRPr="00526CDE">
              <w:rPr>
                <w:rFonts w:eastAsia="Times New Roman" w:cs="Times New Roman"/>
                <w:color w:val="000000"/>
                <w:szCs w:val="24"/>
                <w:lang w:eastAsia="cs-CZ"/>
              </w:rPr>
              <w:t>%</w:t>
            </w:r>
          </w:p>
        </w:tc>
      </w:tr>
      <w:tr w:rsidR="00526CDE" w:rsidRPr="00526CDE" w:rsidTr="00526CDE">
        <w:trPr>
          <w:trHeight w:val="602"/>
        </w:trPr>
        <w:tc>
          <w:tcPr>
            <w:tcW w:w="3454" w:type="dxa"/>
            <w:tcBorders>
              <w:top w:val="nil"/>
              <w:left w:val="single" w:sz="4" w:space="0" w:color="auto"/>
              <w:bottom w:val="single" w:sz="4" w:space="0" w:color="auto"/>
              <w:right w:val="single" w:sz="4" w:space="0" w:color="auto"/>
            </w:tcBorders>
            <w:shd w:val="clear" w:color="auto" w:fill="auto"/>
            <w:noWrap/>
            <w:vAlign w:val="bottom"/>
            <w:hideMark/>
          </w:tcPr>
          <w:p w:rsidR="00526CDE" w:rsidRPr="00526CDE" w:rsidRDefault="00526CDE" w:rsidP="00526CDE">
            <w:pPr>
              <w:spacing w:line="240" w:lineRule="auto"/>
              <w:jc w:val="center"/>
              <w:rPr>
                <w:rFonts w:eastAsia="Times New Roman" w:cs="Times New Roman"/>
                <w:b/>
                <w:color w:val="000000"/>
                <w:szCs w:val="24"/>
                <w:lang w:eastAsia="cs-CZ"/>
              </w:rPr>
            </w:pPr>
            <w:r w:rsidRPr="00526CDE">
              <w:rPr>
                <w:rFonts w:eastAsia="Times New Roman" w:cs="Times New Roman"/>
                <w:b/>
                <w:color w:val="000000"/>
                <w:szCs w:val="24"/>
                <w:lang w:eastAsia="cs-CZ"/>
              </w:rPr>
              <w:t>Počet navrácených dotazníků</w:t>
            </w:r>
          </w:p>
        </w:tc>
        <w:tc>
          <w:tcPr>
            <w:tcW w:w="2270" w:type="dxa"/>
            <w:tcBorders>
              <w:top w:val="nil"/>
              <w:left w:val="nil"/>
              <w:bottom w:val="single" w:sz="4" w:space="0" w:color="auto"/>
              <w:right w:val="single" w:sz="4" w:space="0" w:color="auto"/>
            </w:tcBorders>
            <w:shd w:val="clear" w:color="auto" w:fill="auto"/>
            <w:noWrap/>
            <w:vAlign w:val="bottom"/>
            <w:hideMark/>
          </w:tcPr>
          <w:p w:rsidR="00526CDE" w:rsidRPr="00526CDE" w:rsidRDefault="00526CDE" w:rsidP="00526CDE">
            <w:pPr>
              <w:spacing w:line="240" w:lineRule="auto"/>
              <w:jc w:val="center"/>
              <w:rPr>
                <w:rFonts w:eastAsia="Times New Roman" w:cs="Times New Roman"/>
                <w:color w:val="000000"/>
                <w:szCs w:val="24"/>
                <w:lang w:eastAsia="cs-CZ"/>
              </w:rPr>
            </w:pPr>
            <w:r w:rsidRPr="00526CDE">
              <w:rPr>
                <w:rFonts w:eastAsia="Times New Roman" w:cs="Times New Roman"/>
                <w:color w:val="000000"/>
                <w:szCs w:val="24"/>
                <w:lang w:eastAsia="cs-CZ"/>
              </w:rPr>
              <w:t>87</w:t>
            </w:r>
          </w:p>
        </w:tc>
        <w:tc>
          <w:tcPr>
            <w:tcW w:w="2368" w:type="dxa"/>
            <w:tcBorders>
              <w:top w:val="nil"/>
              <w:left w:val="nil"/>
              <w:bottom w:val="single" w:sz="4" w:space="0" w:color="auto"/>
              <w:right w:val="single" w:sz="4" w:space="0" w:color="auto"/>
            </w:tcBorders>
            <w:shd w:val="clear" w:color="auto" w:fill="auto"/>
            <w:noWrap/>
            <w:vAlign w:val="bottom"/>
            <w:hideMark/>
          </w:tcPr>
          <w:p w:rsidR="00526CDE" w:rsidRPr="00526CDE" w:rsidRDefault="00526CDE" w:rsidP="00526CDE">
            <w:pPr>
              <w:spacing w:line="240" w:lineRule="auto"/>
              <w:jc w:val="center"/>
              <w:rPr>
                <w:rFonts w:eastAsia="Times New Roman" w:cs="Times New Roman"/>
                <w:color w:val="000000"/>
                <w:szCs w:val="24"/>
                <w:lang w:eastAsia="cs-CZ"/>
              </w:rPr>
            </w:pPr>
            <w:r w:rsidRPr="00526CDE">
              <w:rPr>
                <w:rFonts w:eastAsia="Times New Roman" w:cs="Times New Roman"/>
                <w:color w:val="000000"/>
                <w:szCs w:val="24"/>
                <w:lang w:eastAsia="cs-CZ"/>
              </w:rPr>
              <w:t>72,5</w:t>
            </w:r>
            <w:r w:rsidR="00E52C83">
              <w:rPr>
                <w:rFonts w:eastAsia="Times New Roman" w:cs="Times New Roman"/>
                <w:color w:val="000000"/>
                <w:szCs w:val="24"/>
                <w:lang w:eastAsia="cs-CZ"/>
              </w:rPr>
              <w:t xml:space="preserve"> </w:t>
            </w:r>
            <w:r w:rsidRPr="00526CDE">
              <w:rPr>
                <w:rFonts w:eastAsia="Times New Roman" w:cs="Times New Roman"/>
                <w:color w:val="000000"/>
                <w:szCs w:val="24"/>
                <w:lang w:eastAsia="cs-CZ"/>
              </w:rPr>
              <w:t>%</w:t>
            </w:r>
          </w:p>
        </w:tc>
      </w:tr>
    </w:tbl>
    <w:p w:rsidR="00526CDE" w:rsidRDefault="00526CDE" w:rsidP="00526CDE">
      <w:pPr>
        <w:ind w:firstLine="284"/>
        <w:jc w:val="center"/>
      </w:pPr>
    </w:p>
    <w:p w:rsidR="00526CDE" w:rsidRDefault="00C447AF" w:rsidP="003F43C0">
      <w:pPr>
        <w:ind w:firstLine="284"/>
      </w:pPr>
      <w:r>
        <w:t xml:space="preserve">Z tabulky vyplývá, že bylo rozdáno celkem 120 dotazníků k vyplnění. Jejich návratnost byla ze 72, 5 %. Celkem bylo zpracováno 87 dotazníků. </w:t>
      </w: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3F43C0" w:rsidRDefault="003F43C0" w:rsidP="003F43C0">
      <w:pPr>
        <w:ind w:firstLine="284"/>
      </w:pPr>
    </w:p>
    <w:p w:rsidR="00C447AF" w:rsidRDefault="00C447AF" w:rsidP="003F43C0">
      <w:pPr>
        <w:ind w:firstLine="284"/>
      </w:pPr>
    </w:p>
    <w:p w:rsidR="00C447AF" w:rsidRDefault="00C447AF" w:rsidP="003F43C0">
      <w:pPr>
        <w:ind w:firstLine="284"/>
      </w:pPr>
    </w:p>
    <w:p w:rsidR="00C447AF" w:rsidRDefault="00C447AF" w:rsidP="003F43C0">
      <w:pPr>
        <w:ind w:firstLine="284"/>
      </w:pPr>
    </w:p>
    <w:p w:rsidR="00C447AF" w:rsidRDefault="00C447AF" w:rsidP="003F43C0">
      <w:pPr>
        <w:ind w:firstLine="284"/>
      </w:pPr>
    </w:p>
    <w:p w:rsidR="00C447AF" w:rsidRDefault="00C447AF" w:rsidP="003F43C0">
      <w:pPr>
        <w:ind w:firstLine="284"/>
      </w:pPr>
    </w:p>
    <w:p w:rsidR="003F43C0" w:rsidRDefault="003F43C0" w:rsidP="003F43C0">
      <w:pPr>
        <w:ind w:firstLine="284"/>
      </w:pPr>
    </w:p>
    <w:p w:rsidR="003F43C0" w:rsidRDefault="00C447AF" w:rsidP="00D026E7">
      <w:pPr>
        <w:pStyle w:val="Nadpis6"/>
        <w:numPr>
          <w:ilvl w:val="0"/>
          <w:numId w:val="0"/>
        </w:numPr>
      </w:pPr>
      <w:r>
        <w:lastRenderedPageBreak/>
        <w:t> </w:t>
      </w:r>
      <w:bookmarkStart w:id="88" w:name="_Toc353433205"/>
      <w:r w:rsidR="003F43C0">
        <w:t>6 V</w:t>
      </w:r>
      <w:r w:rsidR="00E06772">
        <w:t>ýzkumná metoda</w:t>
      </w:r>
      <w:bookmarkEnd w:id="88"/>
    </w:p>
    <w:p w:rsidR="003F43C0" w:rsidRDefault="00B40FD5" w:rsidP="00B40FD5">
      <w:pPr>
        <w:ind w:firstLine="284"/>
      </w:pPr>
      <w:r>
        <w:t>Výzkumnou</w:t>
      </w:r>
      <w:r w:rsidR="00B14695">
        <w:t xml:space="preserve"> metodou v šetření byl dotazník (Příloha 8).</w:t>
      </w:r>
      <w:r>
        <w:t xml:space="preserve"> Jedná se o velmi frekventovanou metodu k</w:t>
      </w:r>
      <w:r w:rsidR="000F3B0F">
        <w:t>e</w:t>
      </w:r>
      <w:r>
        <w:t xml:space="preserve"> sběru dat. Pro sběr dat prostřednictvím dotazníku je charakteristická nepřítomnost výzkumníka při vyplňování dotazníku, dále přiměřená znalost šetřeného prostředí a nezbytnost předvýzkumu (Bártlová, Hnilicová, 2000). Dotazníkové metodě bývá vytýkáno, </w:t>
      </w:r>
      <w:r w:rsidR="00E52C83">
        <w:t>že nezjišťuje, jací respondenti</w:t>
      </w:r>
      <w:r>
        <w:t xml:space="preserve"> skutečně jsou, ale jen to, jak sami </w:t>
      </w:r>
      <w:r w:rsidR="000F3B0F">
        <w:t xml:space="preserve">sebe </w:t>
      </w:r>
      <w:r>
        <w:t>vidí, nebo chtějí, aby byli viděni.  Nespornou výhodou je na druhé straně poměrně rychlé a ekonomické shromáždění dat od velkého počtu respondentů (Chráska, 2007).</w:t>
      </w:r>
    </w:p>
    <w:p w:rsidR="00626D59" w:rsidRDefault="00B40FD5" w:rsidP="00B40FD5">
      <w:pPr>
        <w:ind w:firstLine="284"/>
      </w:pPr>
      <w:r>
        <w:t>Dotazní</w:t>
      </w:r>
      <w:r w:rsidR="00365FA8">
        <w:t>k obsahoval dvě části. Jednu část tvořil standardizovaný dotazník-</w:t>
      </w:r>
      <w:r w:rsidR="00E52C83">
        <w:t xml:space="preserve"> </w:t>
      </w:r>
      <w:r w:rsidR="00365FA8">
        <w:t>BDI, zjišťující subjektivní posouzení míry deprese, druhou č</w:t>
      </w:r>
      <w:r w:rsidR="00B11353">
        <w:t>ást tvořil dotazník obsahující 8</w:t>
      </w:r>
      <w:r w:rsidR="00365FA8">
        <w:t xml:space="preserve"> </w:t>
      </w:r>
      <w:r w:rsidR="000F3B0F">
        <w:t xml:space="preserve">hlavních </w:t>
      </w:r>
      <w:r w:rsidR="00365FA8">
        <w:t>otázek a 3 doplňující otázky. Tyto 3 doplňující otázky zjišťovaly základní úda</w:t>
      </w:r>
      <w:r w:rsidR="00C447AF">
        <w:t>je o respondentovi-věk, pohlaví a</w:t>
      </w:r>
      <w:r w:rsidR="00365FA8">
        <w:t xml:space="preserve"> vzdělání. </w:t>
      </w:r>
    </w:p>
    <w:p w:rsidR="00626D59" w:rsidRDefault="00365FA8" w:rsidP="00B40FD5">
      <w:pPr>
        <w:ind w:firstLine="284"/>
      </w:pPr>
      <w:r>
        <w:t>Dotazník</w:t>
      </w:r>
      <w:r w:rsidR="00501FA6">
        <w:t>-</w:t>
      </w:r>
      <w:r>
        <w:t xml:space="preserve"> BDI, obsahuje celkem 21 položek a odpovědi na položky jsou hodnocené body</w:t>
      </w:r>
      <w:r w:rsidR="00E52C83">
        <w:t>-0,1,2,3</w:t>
      </w:r>
      <w:r>
        <w:t xml:space="preserve">. Součet </w:t>
      </w:r>
      <w:r w:rsidR="000F3B0F">
        <w:t>všech bodů položek udává celkové</w:t>
      </w:r>
      <w:r>
        <w:t xml:space="preserve"> skór</w:t>
      </w:r>
      <w:r w:rsidR="000F3B0F">
        <w:t>e</w:t>
      </w:r>
      <w:r>
        <w:t xml:space="preserve"> deprese </w:t>
      </w:r>
      <w:r w:rsidRPr="00C13CCC">
        <w:t>(Praško, Buliková, Sigmundová, 2009)</w:t>
      </w:r>
      <w:r>
        <w:t xml:space="preserve">. Výsledné skóre deprese </w:t>
      </w:r>
      <w:r w:rsidR="00626D59">
        <w:t xml:space="preserve">je interpretováno: 0-13 </w:t>
      </w:r>
      <w:r w:rsidR="00501FA6">
        <w:t>bodů (minimální projevy deprese</w:t>
      </w:r>
      <w:r w:rsidR="00626D59">
        <w:t>), 14-19 bodů (mírné projevy deprese), 20-28 bodů (středně těžké projevy deprese), 26-63 bodů (těžké projevy deprese); (Beck, Steer, Brow, 2006).</w:t>
      </w:r>
    </w:p>
    <w:p w:rsidR="00B40FD5" w:rsidRDefault="00626D59" w:rsidP="00B40FD5">
      <w:pPr>
        <w:ind w:firstLine="284"/>
        <w:rPr>
          <w:rFonts w:cs="Times New Roman"/>
          <w:szCs w:val="24"/>
        </w:rPr>
      </w:pPr>
      <w:r>
        <w:rPr>
          <w:rFonts w:cs="Times New Roman"/>
          <w:szCs w:val="24"/>
        </w:rPr>
        <w:t xml:space="preserve">Druhá část dotazníku obsahovala </w:t>
      </w:r>
      <w:r w:rsidR="00D966F9">
        <w:rPr>
          <w:rFonts w:cs="Times New Roman"/>
          <w:szCs w:val="24"/>
        </w:rPr>
        <w:t xml:space="preserve">otázky, vztahující se k užívání antidepresiv </w:t>
      </w:r>
      <w:r w:rsidR="00E52C83">
        <w:rPr>
          <w:rFonts w:cs="Times New Roman"/>
          <w:szCs w:val="24"/>
        </w:rPr>
        <w:t xml:space="preserve">             </w:t>
      </w:r>
      <w:r w:rsidR="00D966F9">
        <w:rPr>
          <w:rFonts w:cs="Times New Roman"/>
          <w:szCs w:val="24"/>
        </w:rPr>
        <w:t>(Příloha 8)</w:t>
      </w:r>
      <w:r w:rsidR="00E52C83">
        <w:rPr>
          <w:rFonts w:cs="Times New Roman"/>
          <w:szCs w:val="24"/>
        </w:rPr>
        <w:t>.</w:t>
      </w:r>
      <w:r w:rsidR="00D966F9">
        <w:rPr>
          <w:rFonts w:cs="Times New Roman"/>
          <w:szCs w:val="24"/>
        </w:rPr>
        <w:t xml:space="preserve"> </w:t>
      </w:r>
      <w:r w:rsidR="00E52C83" w:rsidRPr="00E52C83">
        <w:rPr>
          <w:rFonts w:cs="Times New Roman"/>
          <w:szCs w:val="24"/>
        </w:rPr>
        <w:t>Počet otázek i forma</w:t>
      </w:r>
      <w:r w:rsidR="00E52C83">
        <w:rPr>
          <w:rFonts w:cs="Times New Roman"/>
          <w:szCs w:val="24"/>
        </w:rPr>
        <w:t xml:space="preserve"> dotazníku</w:t>
      </w:r>
      <w:r w:rsidR="00E52C83" w:rsidRPr="00E52C83">
        <w:rPr>
          <w:rFonts w:cs="Times New Roman"/>
          <w:szCs w:val="24"/>
        </w:rPr>
        <w:t xml:space="preserve"> byla přizpůsobena zdravotnímu stavu pacientů s ohledem na probíhající depresi.</w:t>
      </w:r>
    </w:p>
    <w:p w:rsidR="00D966F9" w:rsidRDefault="00D966F9" w:rsidP="00B40FD5">
      <w:pPr>
        <w:ind w:firstLine="284"/>
        <w:rPr>
          <w:rFonts w:cs="Times New Roman"/>
          <w:szCs w:val="24"/>
        </w:rPr>
      </w:pPr>
      <w:r>
        <w:rPr>
          <w:rFonts w:cs="Times New Roman"/>
          <w:szCs w:val="24"/>
        </w:rPr>
        <w:t>Výsledky dotazníkového šetře</w:t>
      </w:r>
      <w:r w:rsidR="00C447AF">
        <w:rPr>
          <w:rFonts w:cs="Times New Roman"/>
          <w:szCs w:val="24"/>
        </w:rPr>
        <w:t>ní jsou zpracovány v kapitole</w:t>
      </w:r>
      <w:r>
        <w:rPr>
          <w:rFonts w:cs="Times New Roman"/>
          <w:szCs w:val="24"/>
        </w:rPr>
        <w:t xml:space="preserve"> </w:t>
      </w:r>
      <w:r w:rsidR="00D026E7">
        <w:rPr>
          <w:rFonts w:cs="Times New Roman"/>
          <w:szCs w:val="24"/>
        </w:rPr>
        <w:t>7.</w:t>
      </w:r>
      <w:r w:rsidR="00AB63D4">
        <w:rPr>
          <w:rFonts w:cs="Times New Roman"/>
          <w:szCs w:val="24"/>
        </w:rPr>
        <w:t xml:space="preserve"> </w:t>
      </w:r>
      <w:r w:rsidR="00C447AF">
        <w:rPr>
          <w:rFonts w:cs="Times New Roman"/>
          <w:szCs w:val="24"/>
        </w:rPr>
        <w:t> </w:t>
      </w:r>
    </w:p>
    <w:p w:rsidR="00AB63D4" w:rsidRDefault="00AB63D4" w:rsidP="00B40FD5">
      <w:pPr>
        <w:ind w:firstLine="284"/>
        <w:rPr>
          <w:rFonts w:cs="Times New Roman"/>
          <w:szCs w:val="24"/>
        </w:rPr>
      </w:pPr>
    </w:p>
    <w:p w:rsidR="00AB63D4" w:rsidRDefault="00AB63D4" w:rsidP="00B40FD5">
      <w:pPr>
        <w:ind w:firstLine="284"/>
        <w:rPr>
          <w:rFonts w:cs="Times New Roman"/>
          <w:szCs w:val="24"/>
        </w:rPr>
      </w:pPr>
    </w:p>
    <w:p w:rsidR="00AB63D4" w:rsidRDefault="00AB63D4" w:rsidP="00B40FD5">
      <w:pPr>
        <w:ind w:firstLine="284"/>
        <w:rPr>
          <w:rFonts w:cs="Times New Roman"/>
          <w:szCs w:val="24"/>
        </w:rPr>
      </w:pPr>
    </w:p>
    <w:p w:rsidR="00AB63D4" w:rsidRDefault="00AB63D4" w:rsidP="00B40FD5">
      <w:pPr>
        <w:ind w:firstLine="284"/>
        <w:rPr>
          <w:rFonts w:cs="Times New Roman"/>
          <w:szCs w:val="24"/>
        </w:rPr>
      </w:pPr>
    </w:p>
    <w:p w:rsidR="00AB63D4" w:rsidRDefault="00AB63D4" w:rsidP="00B40FD5">
      <w:pPr>
        <w:ind w:firstLine="284"/>
        <w:rPr>
          <w:rFonts w:cs="Times New Roman"/>
          <w:szCs w:val="24"/>
        </w:rPr>
      </w:pPr>
    </w:p>
    <w:p w:rsidR="00AB63D4" w:rsidRDefault="00AB63D4" w:rsidP="00B40FD5">
      <w:pPr>
        <w:ind w:firstLine="284"/>
        <w:rPr>
          <w:rFonts w:cs="Times New Roman"/>
          <w:szCs w:val="24"/>
        </w:rPr>
      </w:pPr>
    </w:p>
    <w:p w:rsidR="00AB63D4" w:rsidRDefault="00AB63D4" w:rsidP="00B40FD5">
      <w:pPr>
        <w:ind w:firstLine="284"/>
        <w:rPr>
          <w:rFonts w:cs="Times New Roman"/>
          <w:szCs w:val="24"/>
        </w:rPr>
      </w:pPr>
    </w:p>
    <w:p w:rsidR="00AB63D4" w:rsidRDefault="00AB63D4" w:rsidP="00B40FD5">
      <w:pPr>
        <w:ind w:firstLine="284"/>
        <w:rPr>
          <w:rFonts w:cs="Times New Roman"/>
          <w:szCs w:val="24"/>
        </w:rPr>
      </w:pPr>
    </w:p>
    <w:p w:rsidR="00AB63D4" w:rsidRDefault="00AB63D4" w:rsidP="00B40FD5">
      <w:pPr>
        <w:ind w:firstLine="284"/>
        <w:rPr>
          <w:rFonts w:cs="Times New Roman"/>
          <w:szCs w:val="24"/>
        </w:rPr>
      </w:pPr>
    </w:p>
    <w:p w:rsidR="00AB63D4" w:rsidRDefault="00AB63D4" w:rsidP="00B40FD5">
      <w:pPr>
        <w:ind w:firstLine="284"/>
        <w:rPr>
          <w:rFonts w:cs="Times New Roman"/>
          <w:szCs w:val="24"/>
        </w:rPr>
      </w:pPr>
    </w:p>
    <w:p w:rsidR="00AB63D4" w:rsidRDefault="00AB63D4" w:rsidP="00C447AF">
      <w:pPr>
        <w:rPr>
          <w:rFonts w:cs="Times New Roman"/>
          <w:szCs w:val="24"/>
        </w:rPr>
      </w:pPr>
    </w:p>
    <w:p w:rsidR="00AB63D4" w:rsidRDefault="00C447AF" w:rsidP="00C447AF">
      <w:pPr>
        <w:pStyle w:val="Nadpis6"/>
        <w:numPr>
          <w:ilvl w:val="0"/>
          <w:numId w:val="0"/>
        </w:numPr>
      </w:pPr>
      <w:r>
        <w:lastRenderedPageBreak/>
        <w:t> </w:t>
      </w:r>
      <w:bookmarkStart w:id="89" w:name="_Toc353433206"/>
      <w:r w:rsidR="00D026E7">
        <w:t>7</w:t>
      </w:r>
      <w:r w:rsidR="00AB63D4">
        <w:t xml:space="preserve"> P</w:t>
      </w:r>
      <w:r w:rsidR="00E06772">
        <w:t>rezentace výzkumných šetření</w:t>
      </w:r>
      <w:bookmarkEnd w:id="89"/>
    </w:p>
    <w:p w:rsidR="00AB63D4" w:rsidRDefault="000F3B0F" w:rsidP="00B40FD5">
      <w:pPr>
        <w:ind w:firstLine="284"/>
        <w:rPr>
          <w:rFonts w:cs="Times New Roman"/>
          <w:szCs w:val="24"/>
        </w:rPr>
      </w:pPr>
      <w:r>
        <w:t xml:space="preserve">V této kapitole interpretujeme konkrétní výsledky výzkumného šetření, které jsou systematicky rozčleněny do tří podkapitol. </w:t>
      </w:r>
      <w:r w:rsidR="00267941">
        <w:rPr>
          <w:rFonts w:cs="Times New Roman"/>
          <w:szCs w:val="24"/>
        </w:rPr>
        <w:t xml:space="preserve">Ke každému z nich se vztahují výzkumné otázky. Prezentace výsledků je </w:t>
      </w:r>
      <w:r w:rsidR="008A47CE">
        <w:rPr>
          <w:rFonts w:cs="Times New Roman"/>
          <w:szCs w:val="24"/>
        </w:rPr>
        <w:t>přehledně z</w:t>
      </w:r>
      <w:r w:rsidR="00267941">
        <w:rPr>
          <w:rFonts w:cs="Times New Roman"/>
          <w:szCs w:val="24"/>
        </w:rPr>
        <w:t>obrazena v tabulkách a grafech, u nichž jsou uvedeny komentáře. První podkapitola, s názvem subjektivní posouzení míry deprese u respondentů ve vztahu k proměnným, je dále roz</w:t>
      </w:r>
      <w:r w:rsidR="008A47CE">
        <w:rPr>
          <w:rFonts w:cs="Times New Roman"/>
          <w:szCs w:val="24"/>
        </w:rPr>
        <w:t>dělena na tři úseky, které</w:t>
      </w:r>
      <w:r w:rsidR="00267941">
        <w:rPr>
          <w:rFonts w:cs="Times New Roman"/>
          <w:szCs w:val="24"/>
        </w:rPr>
        <w:t xml:space="preserve"> obsahují statisticky zpracované výsledky k jednotlivým hypotézám. </w:t>
      </w:r>
    </w:p>
    <w:p w:rsidR="00FD482F" w:rsidRDefault="00FD482F" w:rsidP="00B40FD5">
      <w:pPr>
        <w:ind w:firstLine="284"/>
        <w:rPr>
          <w:rFonts w:cs="Times New Roman"/>
          <w:szCs w:val="24"/>
        </w:rPr>
      </w:pPr>
    </w:p>
    <w:p w:rsidR="00635367" w:rsidRDefault="00D026E7" w:rsidP="00635367">
      <w:pPr>
        <w:pStyle w:val="Nadpis3"/>
      </w:pPr>
      <w:bookmarkStart w:id="90" w:name="_Toc353433207"/>
      <w:r>
        <w:t>7</w:t>
      </w:r>
      <w:r w:rsidR="00635367">
        <w:t>.1 Subjektivní posouzení míry deprese u respondentů</w:t>
      </w:r>
      <w:r w:rsidR="005D7E26">
        <w:t xml:space="preserve"> ve vztahu k proměnným</w:t>
      </w:r>
      <w:bookmarkEnd w:id="90"/>
    </w:p>
    <w:p w:rsidR="00FE6F0D" w:rsidRDefault="00635367" w:rsidP="0022144D">
      <w:pPr>
        <w:ind w:firstLine="284"/>
      </w:pPr>
      <w:r>
        <w:t>Základní otázkou výzkumného šetření je subjektivní posouzení míry deprese u respondentů. Ta byla zjišťována za pomoci standardizovaného dotazníku</w:t>
      </w:r>
      <w:r w:rsidR="00501FA6">
        <w:t>-</w:t>
      </w:r>
      <w:r>
        <w:t xml:space="preserve"> BDI. </w:t>
      </w:r>
      <w:r w:rsidR="00FE6F0D">
        <w:t>Na základě výsledků dotazníku-BDI byly</w:t>
      </w:r>
      <w:r w:rsidR="00FD482F">
        <w:t xml:space="preserve"> stanoveny tři výzkumné otázky a na ně navazující hypotézy.</w:t>
      </w:r>
      <w:r w:rsidR="00267941">
        <w:t xml:space="preserve"> Výsledky Beckovy posuzovací škály byly porovnávány s typem užívaných antidepresiv u respondentů, s délkou užívání antidepresiv</w:t>
      </w:r>
      <w:r w:rsidR="00E52C83">
        <w:t>,</w:t>
      </w:r>
      <w:r w:rsidR="00267941">
        <w:t xml:space="preserve"> a také v závislosti na pohlaví. </w:t>
      </w:r>
    </w:p>
    <w:p w:rsidR="00442706" w:rsidRDefault="00442706" w:rsidP="0022144D">
      <w:pPr>
        <w:ind w:firstLine="284"/>
      </w:pPr>
    </w:p>
    <w:p w:rsidR="00501FA6" w:rsidRDefault="00442706" w:rsidP="00FD482F">
      <w:pPr>
        <w:pStyle w:val="Nadpis4"/>
      </w:pPr>
      <w:bookmarkStart w:id="91" w:name="_Toc353433208"/>
      <w:r>
        <w:t>7.1.1 Subjektivní posouzení míry deprese u respondentů vzhledem k typu užívaných antidepresiv</w:t>
      </w:r>
      <w:bookmarkEnd w:id="91"/>
    </w:p>
    <w:p w:rsidR="00FD482F" w:rsidRDefault="00FD482F" w:rsidP="00FD482F">
      <w:r>
        <w:t xml:space="preserve">Výsledky dotazníku BDI, byly porovnávány s typem užívaných antidepresiv u jednotlivých respondentů. Byla zde stanovena jedna výzkumná otázka, a na ni navazující hypotéza. </w:t>
      </w:r>
    </w:p>
    <w:p w:rsidR="00E52C83" w:rsidRDefault="00E52C83" w:rsidP="00FD482F">
      <w:pPr>
        <w:rPr>
          <w:b/>
        </w:rPr>
      </w:pPr>
    </w:p>
    <w:p w:rsidR="00FD482F" w:rsidRPr="00FD482F" w:rsidRDefault="00FD482F" w:rsidP="00FD482F">
      <w:pPr>
        <w:rPr>
          <w:b/>
        </w:rPr>
      </w:pPr>
      <w:r w:rsidRPr="00FD482F">
        <w:rPr>
          <w:b/>
        </w:rPr>
        <w:t>Výzkumná otázka č 1: Jak respondenti subjektivně posuzují míru deprese vzhledem k typu užívaných antidepresiv?</w:t>
      </w:r>
    </w:p>
    <w:p w:rsidR="00FD482F" w:rsidRDefault="00FD482F" w:rsidP="00FD482F"/>
    <w:p w:rsidR="00267941" w:rsidRDefault="00267941" w:rsidP="00FD482F"/>
    <w:p w:rsidR="00267941" w:rsidRDefault="00267941" w:rsidP="00FD482F"/>
    <w:p w:rsidR="00267941" w:rsidRDefault="00267941" w:rsidP="00FD482F"/>
    <w:p w:rsidR="00267941" w:rsidRDefault="00267941" w:rsidP="00FD482F"/>
    <w:p w:rsidR="00267941" w:rsidRPr="00FD482F" w:rsidRDefault="00267941" w:rsidP="00FD482F"/>
    <w:p w:rsidR="00AC593D" w:rsidRDefault="00267941" w:rsidP="00635367">
      <w:r>
        <w:rPr>
          <w:b/>
        </w:rPr>
        <w:lastRenderedPageBreak/>
        <w:t> </w:t>
      </w:r>
      <w:r w:rsidR="00E55909">
        <w:rPr>
          <w:b/>
        </w:rPr>
        <w:t>Tabulka 10</w:t>
      </w:r>
      <w:r w:rsidR="00501FA6" w:rsidRPr="00501FA6">
        <w:rPr>
          <w:b/>
        </w:rPr>
        <w:t>:</w:t>
      </w:r>
      <w:r w:rsidR="00501FA6">
        <w:t xml:space="preserve"> Výsledky BDI u respondentů</w:t>
      </w:r>
    </w:p>
    <w:tbl>
      <w:tblPr>
        <w:tblW w:w="8640" w:type="dxa"/>
        <w:tblInd w:w="65" w:type="dxa"/>
        <w:tblCellMar>
          <w:left w:w="70" w:type="dxa"/>
          <w:right w:w="70" w:type="dxa"/>
        </w:tblCellMar>
        <w:tblLook w:val="04A0" w:firstRow="1" w:lastRow="0" w:firstColumn="1" w:lastColumn="0" w:noHBand="0" w:noVBand="1"/>
      </w:tblPr>
      <w:tblGrid>
        <w:gridCol w:w="3208"/>
        <w:gridCol w:w="2658"/>
        <w:gridCol w:w="2774"/>
      </w:tblGrid>
      <w:tr w:rsidR="00501FA6" w:rsidRPr="00501FA6" w:rsidTr="008A47CE">
        <w:trPr>
          <w:trHeight w:val="516"/>
        </w:trPr>
        <w:tc>
          <w:tcPr>
            <w:tcW w:w="3208"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501FA6" w:rsidRPr="00501FA6" w:rsidRDefault="00501FA6" w:rsidP="00501FA6">
            <w:pPr>
              <w:spacing w:line="240" w:lineRule="auto"/>
              <w:jc w:val="center"/>
              <w:rPr>
                <w:rFonts w:eastAsia="Times New Roman" w:cs="Times New Roman"/>
                <w:b/>
                <w:bCs/>
                <w:color w:val="000000"/>
                <w:szCs w:val="24"/>
                <w:lang w:eastAsia="cs-CZ"/>
              </w:rPr>
            </w:pPr>
            <w:r w:rsidRPr="00501FA6">
              <w:rPr>
                <w:rFonts w:eastAsia="Times New Roman" w:cs="Times New Roman"/>
                <w:b/>
                <w:bCs/>
                <w:color w:val="000000"/>
                <w:szCs w:val="24"/>
                <w:lang w:eastAsia="cs-CZ"/>
              </w:rPr>
              <w:t>BDI</w:t>
            </w:r>
          </w:p>
        </w:tc>
        <w:tc>
          <w:tcPr>
            <w:tcW w:w="2658"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501FA6" w:rsidRPr="00501FA6" w:rsidRDefault="00501FA6" w:rsidP="00501FA6">
            <w:pPr>
              <w:spacing w:line="240" w:lineRule="auto"/>
              <w:jc w:val="center"/>
              <w:rPr>
                <w:rFonts w:eastAsia="Times New Roman" w:cs="Times New Roman"/>
                <w:b/>
                <w:bCs/>
                <w:color w:val="000000"/>
                <w:szCs w:val="24"/>
                <w:lang w:eastAsia="cs-CZ"/>
              </w:rPr>
            </w:pPr>
            <w:r w:rsidRPr="00501FA6">
              <w:rPr>
                <w:rFonts w:eastAsia="Times New Roman" w:cs="Times New Roman"/>
                <w:b/>
                <w:bCs/>
                <w:color w:val="000000"/>
                <w:szCs w:val="24"/>
                <w:lang w:eastAsia="cs-CZ"/>
              </w:rPr>
              <w:t>Absolutní četnost</w:t>
            </w:r>
          </w:p>
        </w:tc>
        <w:tc>
          <w:tcPr>
            <w:tcW w:w="2774"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501FA6" w:rsidRPr="00501FA6" w:rsidRDefault="00501FA6" w:rsidP="00501FA6">
            <w:pPr>
              <w:spacing w:line="240" w:lineRule="auto"/>
              <w:jc w:val="center"/>
              <w:rPr>
                <w:rFonts w:eastAsia="Times New Roman" w:cs="Times New Roman"/>
                <w:b/>
                <w:bCs/>
                <w:color w:val="000000"/>
                <w:szCs w:val="24"/>
                <w:lang w:eastAsia="cs-CZ"/>
              </w:rPr>
            </w:pPr>
            <w:r w:rsidRPr="00501FA6">
              <w:rPr>
                <w:rFonts w:eastAsia="Times New Roman" w:cs="Times New Roman"/>
                <w:b/>
                <w:bCs/>
                <w:color w:val="000000"/>
                <w:szCs w:val="24"/>
                <w:lang w:eastAsia="cs-CZ"/>
              </w:rPr>
              <w:t>Relativní četnost</w:t>
            </w:r>
          </w:p>
        </w:tc>
      </w:tr>
      <w:tr w:rsidR="00501FA6" w:rsidRPr="00501FA6" w:rsidTr="004D5F42">
        <w:trPr>
          <w:trHeight w:val="516"/>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b/>
                <w:bCs/>
                <w:color w:val="000000"/>
                <w:szCs w:val="24"/>
                <w:lang w:eastAsia="cs-CZ"/>
              </w:rPr>
            </w:pPr>
            <w:r w:rsidRPr="00501FA6">
              <w:rPr>
                <w:rFonts w:eastAsia="Times New Roman" w:cs="Times New Roman"/>
                <w:b/>
                <w:bCs/>
                <w:color w:val="000000"/>
                <w:szCs w:val="24"/>
                <w:lang w:eastAsia="cs-CZ"/>
              </w:rPr>
              <w:t>0-13 bodů</w:t>
            </w:r>
          </w:p>
        </w:tc>
        <w:tc>
          <w:tcPr>
            <w:tcW w:w="2658" w:type="dxa"/>
            <w:tcBorders>
              <w:top w:val="nil"/>
              <w:left w:val="nil"/>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color w:val="000000"/>
                <w:szCs w:val="24"/>
                <w:lang w:eastAsia="cs-CZ"/>
              </w:rPr>
            </w:pPr>
            <w:r w:rsidRPr="00501FA6">
              <w:rPr>
                <w:rFonts w:eastAsia="Times New Roman" w:cs="Times New Roman"/>
                <w:color w:val="000000"/>
                <w:szCs w:val="24"/>
                <w:lang w:eastAsia="cs-CZ"/>
              </w:rPr>
              <w:t>60</w:t>
            </w:r>
          </w:p>
        </w:tc>
        <w:tc>
          <w:tcPr>
            <w:tcW w:w="2774" w:type="dxa"/>
            <w:tcBorders>
              <w:top w:val="nil"/>
              <w:left w:val="nil"/>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color w:val="000000"/>
                <w:szCs w:val="24"/>
                <w:lang w:eastAsia="cs-CZ"/>
              </w:rPr>
            </w:pPr>
            <w:r w:rsidRPr="00501FA6">
              <w:rPr>
                <w:rFonts w:eastAsia="Times New Roman" w:cs="Times New Roman"/>
                <w:color w:val="000000"/>
                <w:szCs w:val="24"/>
                <w:lang w:eastAsia="cs-CZ"/>
              </w:rPr>
              <w:t>69,0</w:t>
            </w:r>
            <w:r w:rsidR="00E52C83">
              <w:rPr>
                <w:rFonts w:eastAsia="Times New Roman" w:cs="Times New Roman"/>
                <w:color w:val="000000"/>
                <w:szCs w:val="24"/>
                <w:lang w:eastAsia="cs-CZ"/>
              </w:rPr>
              <w:t xml:space="preserve"> </w:t>
            </w:r>
            <w:r w:rsidRPr="00501FA6">
              <w:rPr>
                <w:rFonts w:eastAsia="Times New Roman" w:cs="Times New Roman"/>
                <w:color w:val="000000"/>
                <w:szCs w:val="24"/>
                <w:lang w:eastAsia="cs-CZ"/>
              </w:rPr>
              <w:t>%</w:t>
            </w:r>
          </w:p>
        </w:tc>
      </w:tr>
      <w:tr w:rsidR="00501FA6" w:rsidRPr="00501FA6" w:rsidTr="004D5F42">
        <w:trPr>
          <w:trHeight w:val="516"/>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b/>
                <w:bCs/>
                <w:color w:val="000000"/>
                <w:szCs w:val="24"/>
                <w:lang w:eastAsia="cs-CZ"/>
              </w:rPr>
            </w:pPr>
            <w:r w:rsidRPr="00501FA6">
              <w:rPr>
                <w:rFonts w:eastAsia="Times New Roman" w:cs="Times New Roman"/>
                <w:b/>
                <w:bCs/>
                <w:color w:val="000000"/>
                <w:szCs w:val="24"/>
                <w:lang w:eastAsia="cs-CZ"/>
              </w:rPr>
              <w:t>14-19 bodů</w:t>
            </w:r>
          </w:p>
        </w:tc>
        <w:tc>
          <w:tcPr>
            <w:tcW w:w="2658" w:type="dxa"/>
            <w:tcBorders>
              <w:top w:val="nil"/>
              <w:left w:val="nil"/>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color w:val="000000"/>
                <w:szCs w:val="24"/>
                <w:lang w:eastAsia="cs-CZ"/>
              </w:rPr>
            </w:pPr>
            <w:r w:rsidRPr="00501FA6">
              <w:rPr>
                <w:rFonts w:eastAsia="Times New Roman" w:cs="Times New Roman"/>
                <w:color w:val="000000"/>
                <w:szCs w:val="24"/>
                <w:lang w:eastAsia="cs-CZ"/>
              </w:rPr>
              <w:t>16</w:t>
            </w:r>
          </w:p>
        </w:tc>
        <w:tc>
          <w:tcPr>
            <w:tcW w:w="2774" w:type="dxa"/>
            <w:tcBorders>
              <w:top w:val="nil"/>
              <w:left w:val="nil"/>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color w:val="000000"/>
                <w:szCs w:val="24"/>
                <w:lang w:eastAsia="cs-CZ"/>
              </w:rPr>
            </w:pPr>
            <w:r w:rsidRPr="00501FA6">
              <w:rPr>
                <w:rFonts w:eastAsia="Times New Roman" w:cs="Times New Roman"/>
                <w:color w:val="000000"/>
                <w:szCs w:val="24"/>
                <w:lang w:eastAsia="cs-CZ"/>
              </w:rPr>
              <w:t>18,4</w:t>
            </w:r>
            <w:r w:rsidR="00E52C83">
              <w:rPr>
                <w:rFonts w:eastAsia="Times New Roman" w:cs="Times New Roman"/>
                <w:color w:val="000000"/>
                <w:szCs w:val="24"/>
                <w:lang w:eastAsia="cs-CZ"/>
              </w:rPr>
              <w:t xml:space="preserve"> </w:t>
            </w:r>
            <w:r w:rsidRPr="00501FA6">
              <w:rPr>
                <w:rFonts w:eastAsia="Times New Roman" w:cs="Times New Roman"/>
                <w:color w:val="000000"/>
                <w:szCs w:val="24"/>
                <w:lang w:eastAsia="cs-CZ"/>
              </w:rPr>
              <w:t>%</w:t>
            </w:r>
          </w:p>
        </w:tc>
      </w:tr>
      <w:tr w:rsidR="00501FA6" w:rsidRPr="00501FA6" w:rsidTr="004D5F42">
        <w:trPr>
          <w:trHeight w:val="516"/>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b/>
                <w:bCs/>
                <w:color w:val="000000"/>
                <w:szCs w:val="24"/>
                <w:lang w:eastAsia="cs-CZ"/>
              </w:rPr>
            </w:pPr>
            <w:r w:rsidRPr="00501FA6">
              <w:rPr>
                <w:rFonts w:eastAsia="Times New Roman" w:cs="Times New Roman"/>
                <w:b/>
                <w:bCs/>
                <w:color w:val="000000"/>
                <w:szCs w:val="24"/>
                <w:lang w:eastAsia="cs-CZ"/>
              </w:rPr>
              <w:t>20-28 bodů</w:t>
            </w:r>
          </w:p>
        </w:tc>
        <w:tc>
          <w:tcPr>
            <w:tcW w:w="2658" w:type="dxa"/>
            <w:tcBorders>
              <w:top w:val="nil"/>
              <w:left w:val="nil"/>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color w:val="000000"/>
                <w:szCs w:val="24"/>
                <w:lang w:eastAsia="cs-CZ"/>
              </w:rPr>
            </w:pPr>
            <w:r w:rsidRPr="00501FA6">
              <w:rPr>
                <w:rFonts w:eastAsia="Times New Roman" w:cs="Times New Roman"/>
                <w:color w:val="000000"/>
                <w:szCs w:val="24"/>
                <w:lang w:eastAsia="cs-CZ"/>
              </w:rPr>
              <w:t>6</w:t>
            </w:r>
          </w:p>
        </w:tc>
        <w:tc>
          <w:tcPr>
            <w:tcW w:w="2774" w:type="dxa"/>
            <w:tcBorders>
              <w:top w:val="nil"/>
              <w:left w:val="nil"/>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color w:val="000000"/>
                <w:szCs w:val="24"/>
                <w:lang w:eastAsia="cs-CZ"/>
              </w:rPr>
            </w:pPr>
            <w:r w:rsidRPr="00501FA6">
              <w:rPr>
                <w:rFonts w:eastAsia="Times New Roman" w:cs="Times New Roman"/>
                <w:color w:val="000000"/>
                <w:szCs w:val="24"/>
                <w:lang w:eastAsia="cs-CZ"/>
              </w:rPr>
              <w:t>6,9</w:t>
            </w:r>
            <w:r w:rsidR="00E52C83">
              <w:rPr>
                <w:rFonts w:eastAsia="Times New Roman" w:cs="Times New Roman"/>
                <w:color w:val="000000"/>
                <w:szCs w:val="24"/>
                <w:lang w:eastAsia="cs-CZ"/>
              </w:rPr>
              <w:t xml:space="preserve"> </w:t>
            </w:r>
            <w:r w:rsidRPr="00501FA6">
              <w:rPr>
                <w:rFonts w:eastAsia="Times New Roman" w:cs="Times New Roman"/>
                <w:color w:val="000000"/>
                <w:szCs w:val="24"/>
                <w:lang w:eastAsia="cs-CZ"/>
              </w:rPr>
              <w:t>%</w:t>
            </w:r>
          </w:p>
        </w:tc>
      </w:tr>
      <w:tr w:rsidR="00501FA6" w:rsidRPr="00501FA6" w:rsidTr="004D5F42">
        <w:trPr>
          <w:trHeight w:val="516"/>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b/>
                <w:bCs/>
                <w:color w:val="000000"/>
                <w:szCs w:val="24"/>
                <w:lang w:eastAsia="cs-CZ"/>
              </w:rPr>
            </w:pPr>
            <w:r w:rsidRPr="00501FA6">
              <w:rPr>
                <w:rFonts w:eastAsia="Times New Roman" w:cs="Times New Roman"/>
                <w:b/>
                <w:bCs/>
                <w:color w:val="000000"/>
                <w:szCs w:val="24"/>
                <w:lang w:eastAsia="cs-CZ"/>
              </w:rPr>
              <w:t>29-63 bodů</w:t>
            </w:r>
          </w:p>
        </w:tc>
        <w:tc>
          <w:tcPr>
            <w:tcW w:w="2658" w:type="dxa"/>
            <w:tcBorders>
              <w:top w:val="nil"/>
              <w:left w:val="nil"/>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color w:val="000000"/>
                <w:szCs w:val="24"/>
                <w:lang w:eastAsia="cs-CZ"/>
              </w:rPr>
            </w:pPr>
            <w:r w:rsidRPr="00501FA6">
              <w:rPr>
                <w:rFonts w:eastAsia="Times New Roman" w:cs="Times New Roman"/>
                <w:color w:val="000000"/>
                <w:szCs w:val="24"/>
                <w:lang w:eastAsia="cs-CZ"/>
              </w:rPr>
              <w:t>5</w:t>
            </w:r>
          </w:p>
        </w:tc>
        <w:tc>
          <w:tcPr>
            <w:tcW w:w="2774" w:type="dxa"/>
            <w:tcBorders>
              <w:top w:val="nil"/>
              <w:left w:val="nil"/>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color w:val="000000"/>
                <w:szCs w:val="24"/>
                <w:lang w:eastAsia="cs-CZ"/>
              </w:rPr>
            </w:pPr>
            <w:r w:rsidRPr="00501FA6">
              <w:rPr>
                <w:rFonts w:eastAsia="Times New Roman" w:cs="Times New Roman"/>
                <w:color w:val="000000"/>
                <w:szCs w:val="24"/>
                <w:lang w:eastAsia="cs-CZ"/>
              </w:rPr>
              <w:t>5,7</w:t>
            </w:r>
            <w:r w:rsidR="00E52C83">
              <w:rPr>
                <w:rFonts w:eastAsia="Times New Roman" w:cs="Times New Roman"/>
                <w:color w:val="000000"/>
                <w:szCs w:val="24"/>
                <w:lang w:eastAsia="cs-CZ"/>
              </w:rPr>
              <w:t xml:space="preserve"> </w:t>
            </w:r>
            <w:r w:rsidRPr="00501FA6">
              <w:rPr>
                <w:rFonts w:eastAsia="Times New Roman" w:cs="Times New Roman"/>
                <w:color w:val="000000"/>
                <w:szCs w:val="24"/>
                <w:lang w:eastAsia="cs-CZ"/>
              </w:rPr>
              <w:t>%</w:t>
            </w:r>
          </w:p>
        </w:tc>
      </w:tr>
      <w:tr w:rsidR="00501FA6" w:rsidRPr="00501FA6" w:rsidTr="004D5F42">
        <w:trPr>
          <w:trHeight w:val="516"/>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b/>
                <w:bCs/>
                <w:color w:val="000000"/>
                <w:szCs w:val="24"/>
                <w:lang w:eastAsia="cs-CZ"/>
              </w:rPr>
            </w:pPr>
            <w:r w:rsidRPr="00501FA6">
              <w:rPr>
                <w:rFonts w:eastAsia="Times New Roman" w:cs="Times New Roman"/>
                <w:b/>
                <w:bCs/>
                <w:color w:val="000000"/>
                <w:szCs w:val="24"/>
                <w:lang w:eastAsia="cs-CZ"/>
              </w:rPr>
              <w:t>Celkem</w:t>
            </w:r>
          </w:p>
        </w:tc>
        <w:tc>
          <w:tcPr>
            <w:tcW w:w="2658" w:type="dxa"/>
            <w:tcBorders>
              <w:top w:val="nil"/>
              <w:left w:val="nil"/>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b/>
                <w:bCs/>
                <w:color w:val="000000"/>
                <w:szCs w:val="24"/>
                <w:lang w:eastAsia="cs-CZ"/>
              </w:rPr>
            </w:pPr>
            <w:r w:rsidRPr="00501FA6">
              <w:rPr>
                <w:rFonts w:eastAsia="Times New Roman" w:cs="Times New Roman"/>
                <w:b/>
                <w:bCs/>
                <w:color w:val="000000"/>
                <w:szCs w:val="24"/>
                <w:lang w:eastAsia="cs-CZ"/>
              </w:rPr>
              <w:t>87</w:t>
            </w:r>
          </w:p>
        </w:tc>
        <w:tc>
          <w:tcPr>
            <w:tcW w:w="2774" w:type="dxa"/>
            <w:tcBorders>
              <w:top w:val="nil"/>
              <w:left w:val="nil"/>
              <w:bottom w:val="single" w:sz="4" w:space="0" w:color="auto"/>
              <w:right w:val="single" w:sz="4" w:space="0" w:color="auto"/>
            </w:tcBorders>
            <w:shd w:val="clear" w:color="auto" w:fill="auto"/>
            <w:noWrap/>
            <w:vAlign w:val="bottom"/>
            <w:hideMark/>
          </w:tcPr>
          <w:p w:rsidR="00501FA6" w:rsidRPr="00501FA6" w:rsidRDefault="00501FA6" w:rsidP="00501FA6">
            <w:pPr>
              <w:spacing w:line="240" w:lineRule="auto"/>
              <w:jc w:val="center"/>
              <w:rPr>
                <w:rFonts w:eastAsia="Times New Roman" w:cs="Times New Roman"/>
                <w:b/>
                <w:bCs/>
                <w:color w:val="000000"/>
                <w:szCs w:val="24"/>
                <w:lang w:eastAsia="cs-CZ"/>
              </w:rPr>
            </w:pPr>
            <w:r w:rsidRPr="00501FA6">
              <w:rPr>
                <w:rFonts w:eastAsia="Times New Roman" w:cs="Times New Roman"/>
                <w:b/>
                <w:bCs/>
                <w:color w:val="000000"/>
                <w:szCs w:val="24"/>
                <w:lang w:eastAsia="cs-CZ"/>
              </w:rPr>
              <w:t>100,0</w:t>
            </w:r>
            <w:r w:rsidR="00E52C83">
              <w:rPr>
                <w:rFonts w:eastAsia="Times New Roman" w:cs="Times New Roman"/>
                <w:b/>
                <w:bCs/>
                <w:color w:val="000000"/>
                <w:szCs w:val="24"/>
                <w:lang w:eastAsia="cs-CZ"/>
              </w:rPr>
              <w:t xml:space="preserve"> </w:t>
            </w:r>
            <w:r w:rsidRPr="00501FA6">
              <w:rPr>
                <w:rFonts w:eastAsia="Times New Roman" w:cs="Times New Roman"/>
                <w:b/>
                <w:bCs/>
                <w:color w:val="000000"/>
                <w:szCs w:val="24"/>
                <w:lang w:eastAsia="cs-CZ"/>
              </w:rPr>
              <w:t>%</w:t>
            </w:r>
          </w:p>
        </w:tc>
      </w:tr>
    </w:tbl>
    <w:p w:rsidR="00501FA6" w:rsidRDefault="00501FA6" w:rsidP="00635367"/>
    <w:p w:rsidR="00501FA6" w:rsidRDefault="000F3632" w:rsidP="00635367">
      <w:r>
        <w:t>Z t</w:t>
      </w:r>
      <w:r w:rsidR="00501FA6">
        <w:t xml:space="preserve">abulky </w:t>
      </w:r>
      <w:r w:rsidR="00FD482F">
        <w:t xml:space="preserve">11 </w:t>
      </w:r>
      <w:r w:rsidR="00501FA6">
        <w:t xml:space="preserve">vyplývá, že z 87 respondentů má 60 z nich jen minimální projevy deprese, v součtu </w:t>
      </w:r>
      <w:r w:rsidR="00015D7F">
        <w:t xml:space="preserve">bodů </w:t>
      </w:r>
      <w:r w:rsidR="00501FA6">
        <w:t xml:space="preserve">BDI získali 0-13 bodů.  Šestnáct respondentů </w:t>
      </w:r>
      <w:r w:rsidR="00015D7F">
        <w:t>má dle BDI</w:t>
      </w:r>
      <w:r w:rsidR="00501FA6">
        <w:t xml:space="preserve"> mírné projevy deprese</w:t>
      </w:r>
      <w:r w:rsidR="00015D7F">
        <w:t xml:space="preserve"> (14-19 bodů)</w:t>
      </w:r>
      <w:r w:rsidR="00501FA6">
        <w:t>. Třetí skupinu tvoří respondenti, kteří mají středně těžké projevy depr</w:t>
      </w:r>
      <w:r w:rsidR="00015D7F">
        <w:t>ese a získali v rozmezí 20-28 bodů, celkem je to 6 respondentů</w:t>
      </w:r>
      <w:r w:rsidR="00501FA6">
        <w:t xml:space="preserve">. Těžké projevy deprese dle dotazníku BDI má </w:t>
      </w:r>
      <w:r w:rsidR="00015D7F">
        <w:t>5 respondentů a získali 29-63 bodů.</w:t>
      </w:r>
    </w:p>
    <w:p w:rsidR="00A44428" w:rsidRDefault="00A44428" w:rsidP="00635367"/>
    <w:p w:rsidR="00A44428" w:rsidRDefault="00E55909" w:rsidP="00635367">
      <w:r>
        <w:rPr>
          <w:b/>
        </w:rPr>
        <w:t>Tabulka 11</w:t>
      </w:r>
      <w:r w:rsidR="00A44428" w:rsidRPr="00A44428">
        <w:rPr>
          <w:b/>
        </w:rPr>
        <w:t>:</w:t>
      </w:r>
      <w:r w:rsidR="00A44428">
        <w:t>Průměrná hodnota BDI</w:t>
      </w:r>
    </w:p>
    <w:tbl>
      <w:tblPr>
        <w:tblW w:w="8774" w:type="dxa"/>
        <w:tblInd w:w="55" w:type="dxa"/>
        <w:tblCellMar>
          <w:left w:w="70" w:type="dxa"/>
          <w:right w:w="70" w:type="dxa"/>
        </w:tblCellMar>
        <w:tblLook w:val="04A0" w:firstRow="1" w:lastRow="0" w:firstColumn="1" w:lastColumn="0" w:noHBand="0" w:noVBand="1"/>
      </w:tblPr>
      <w:tblGrid>
        <w:gridCol w:w="3745"/>
        <w:gridCol w:w="2461"/>
        <w:gridCol w:w="2568"/>
      </w:tblGrid>
      <w:tr w:rsidR="00A44428" w:rsidRPr="00A44428" w:rsidTr="008A47CE">
        <w:trPr>
          <w:trHeight w:val="556"/>
        </w:trPr>
        <w:tc>
          <w:tcPr>
            <w:tcW w:w="3745"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A44428" w:rsidRPr="00A44428" w:rsidRDefault="00A44428" w:rsidP="00A44428">
            <w:pPr>
              <w:spacing w:line="240" w:lineRule="auto"/>
              <w:jc w:val="center"/>
              <w:rPr>
                <w:rFonts w:eastAsia="Times New Roman" w:cs="Times New Roman"/>
                <w:b/>
                <w:color w:val="000000"/>
                <w:szCs w:val="24"/>
                <w:lang w:eastAsia="cs-CZ"/>
              </w:rPr>
            </w:pPr>
            <w:r w:rsidRPr="00A44428">
              <w:rPr>
                <w:rFonts w:eastAsia="Times New Roman" w:cs="Times New Roman"/>
                <w:b/>
                <w:color w:val="000000"/>
                <w:szCs w:val="24"/>
                <w:lang w:eastAsia="cs-CZ"/>
              </w:rPr>
              <w:t>Absolutní četnost</w:t>
            </w:r>
          </w:p>
        </w:tc>
        <w:tc>
          <w:tcPr>
            <w:tcW w:w="2461"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A44428" w:rsidRPr="00A44428" w:rsidRDefault="00A44428" w:rsidP="00A44428">
            <w:pPr>
              <w:spacing w:line="240" w:lineRule="auto"/>
              <w:jc w:val="center"/>
              <w:rPr>
                <w:rFonts w:eastAsia="Times New Roman" w:cs="Times New Roman"/>
                <w:b/>
                <w:color w:val="000000"/>
                <w:szCs w:val="24"/>
                <w:lang w:eastAsia="cs-CZ"/>
              </w:rPr>
            </w:pPr>
            <w:r>
              <w:rPr>
                <w:rFonts w:eastAsia="Times New Roman" w:cs="Times New Roman"/>
                <w:b/>
                <w:color w:val="000000"/>
                <w:szCs w:val="24"/>
                <w:lang w:eastAsia="cs-CZ"/>
              </w:rPr>
              <w:t>Počet bodů</w:t>
            </w:r>
            <w:r w:rsidRPr="00A44428">
              <w:rPr>
                <w:rFonts w:eastAsia="Times New Roman" w:cs="Times New Roman"/>
                <w:b/>
                <w:color w:val="000000"/>
                <w:szCs w:val="24"/>
                <w:lang w:eastAsia="cs-CZ"/>
              </w:rPr>
              <w:t xml:space="preserve"> BDI</w:t>
            </w:r>
          </w:p>
        </w:tc>
        <w:tc>
          <w:tcPr>
            <w:tcW w:w="2568"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A44428" w:rsidRPr="00A44428" w:rsidRDefault="00A44428" w:rsidP="00A44428">
            <w:pPr>
              <w:spacing w:line="240" w:lineRule="auto"/>
              <w:jc w:val="center"/>
              <w:rPr>
                <w:rFonts w:eastAsia="Times New Roman" w:cs="Times New Roman"/>
                <w:b/>
                <w:color w:val="000000"/>
                <w:szCs w:val="24"/>
                <w:lang w:eastAsia="cs-CZ"/>
              </w:rPr>
            </w:pPr>
            <w:r w:rsidRPr="00A44428">
              <w:rPr>
                <w:rFonts w:eastAsia="Times New Roman" w:cs="Times New Roman"/>
                <w:b/>
                <w:color w:val="000000"/>
                <w:szCs w:val="24"/>
                <w:lang w:eastAsia="cs-CZ"/>
              </w:rPr>
              <w:t>Průměrná hodnota</w:t>
            </w:r>
          </w:p>
        </w:tc>
      </w:tr>
      <w:tr w:rsidR="00A44428" w:rsidRPr="00A44428" w:rsidTr="00A44428">
        <w:trPr>
          <w:trHeight w:val="556"/>
        </w:trPr>
        <w:tc>
          <w:tcPr>
            <w:tcW w:w="3745" w:type="dxa"/>
            <w:tcBorders>
              <w:top w:val="nil"/>
              <w:left w:val="single" w:sz="4" w:space="0" w:color="auto"/>
              <w:bottom w:val="single" w:sz="4" w:space="0" w:color="auto"/>
              <w:right w:val="single" w:sz="4" w:space="0" w:color="auto"/>
            </w:tcBorders>
            <w:shd w:val="clear" w:color="auto" w:fill="auto"/>
            <w:noWrap/>
            <w:vAlign w:val="bottom"/>
            <w:hideMark/>
          </w:tcPr>
          <w:p w:rsidR="00A44428" w:rsidRPr="00A44428" w:rsidRDefault="00A44428" w:rsidP="00A44428">
            <w:pPr>
              <w:spacing w:line="240" w:lineRule="auto"/>
              <w:jc w:val="center"/>
              <w:rPr>
                <w:rFonts w:eastAsia="Times New Roman" w:cs="Times New Roman"/>
                <w:b/>
                <w:color w:val="000000"/>
                <w:szCs w:val="24"/>
                <w:lang w:eastAsia="cs-CZ"/>
              </w:rPr>
            </w:pPr>
            <w:r w:rsidRPr="00A44428">
              <w:rPr>
                <w:rFonts w:eastAsia="Times New Roman" w:cs="Times New Roman"/>
                <w:b/>
                <w:color w:val="000000"/>
                <w:szCs w:val="24"/>
                <w:lang w:eastAsia="cs-CZ"/>
              </w:rPr>
              <w:t>87</w:t>
            </w:r>
          </w:p>
        </w:tc>
        <w:tc>
          <w:tcPr>
            <w:tcW w:w="2461" w:type="dxa"/>
            <w:tcBorders>
              <w:top w:val="nil"/>
              <w:left w:val="nil"/>
              <w:bottom w:val="single" w:sz="4" w:space="0" w:color="auto"/>
              <w:right w:val="single" w:sz="4" w:space="0" w:color="auto"/>
            </w:tcBorders>
            <w:shd w:val="clear" w:color="auto" w:fill="auto"/>
            <w:noWrap/>
            <w:vAlign w:val="bottom"/>
            <w:hideMark/>
          </w:tcPr>
          <w:p w:rsidR="00A44428" w:rsidRPr="00A44428" w:rsidRDefault="00A44428" w:rsidP="00A44428">
            <w:pPr>
              <w:spacing w:line="240" w:lineRule="auto"/>
              <w:jc w:val="center"/>
              <w:rPr>
                <w:rFonts w:eastAsia="Times New Roman" w:cs="Times New Roman"/>
                <w:b/>
                <w:color w:val="000000"/>
                <w:szCs w:val="24"/>
                <w:lang w:eastAsia="cs-CZ"/>
              </w:rPr>
            </w:pPr>
            <w:r w:rsidRPr="00A44428">
              <w:rPr>
                <w:rFonts w:eastAsia="Times New Roman" w:cs="Times New Roman"/>
                <w:b/>
                <w:color w:val="000000"/>
                <w:szCs w:val="24"/>
                <w:lang w:eastAsia="cs-CZ"/>
              </w:rPr>
              <w:t>875</w:t>
            </w:r>
          </w:p>
        </w:tc>
        <w:tc>
          <w:tcPr>
            <w:tcW w:w="2568" w:type="dxa"/>
            <w:tcBorders>
              <w:top w:val="nil"/>
              <w:left w:val="nil"/>
              <w:bottom w:val="single" w:sz="4" w:space="0" w:color="auto"/>
              <w:right w:val="single" w:sz="4" w:space="0" w:color="auto"/>
            </w:tcBorders>
            <w:shd w:val="clear" w:color="auto" w:fill="auto"/>
            <w:noWrap/>
            <w:vAlign w:val="bottom"/>
            <w:hideMark/>
          </w:tcPr>
          <w:p w:rsidR="00A44428" w:rsidRPr="00A44428" w:rsidRDefault="00A44428" w:rsidP="00A44428">
            <w:pPr>
              <w:spacing w:line="240" w:lineRule="auto"/>
              <w:jc w:val="center"/>
              <w:rPr>
                <w:rFonts w:eastAsia="Times New Roman" w:cs="Times New Roman"/>
                <w:b/>
                <w:color w:val="000000"/>
                <w:szCs w:val="24"/>
                <w:lang w:eastAsia="cs-CZ"/>
              </w:rPr>
            </w:pPr>
            <w:r w:rsidRPr="00A44428">
              <w:rPr>
                <w:rFonts w:eastAsia="Times New Roman" w:cs="Times New Roman"/>
                <w:b/>
                <w:color w:val="000000"/>
                <w:szCs w:val="24"/>
                <w:lang w:eastAsia="cs-CZ"/>
              </w:rPr>
              <w:t>10</w:t>
            </w:r>
          </w:p>
        </w:tc>
      </w:tr>
    </w:tbl>
    <w:p w:rsidR="00A44428" w:rsidRDefault="00A44428" w:rsidP="00635367"/>
    <w:p w:rsidR="00FB1508" w:rsidRDefault="00A44428" w:rsidP="00635367">
      <w:r>
        <w:t>Z tabulky je zřejmé, že průměrně získaná bodová hodnota u respondentů je 10.</w:t>
      </w:r>
    </w:p>
    <w:p w:rsidR="008A47CE" w:rsidRDefault="008A47CE" w:rsidP="00635367"/>
    <w:p w:rsidR="00501FA6" w:rsidRDefault="00501FA6" w:rsidP="00635367">
      <w:r w:rsidRPr="00501FA6">
        <w:rPr>
          <w:noProof/>
          <w:lang w:eastAsia="cs-CZ"/>
        </w:rPr>
        <w:lastRenderedPageBreak/>
        <w:drawing>
          <wp:inline distT="0" distB="0" distL="0" distR="0" wp14:anchorId="17216625" wp14:editId="77584559">
            <wp:extent cx="5504003" cy="3072810"/>
            <wp:effectExtent l="19050" t="0" r="20497" b="0"/>
            <wp:docPr id="1"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01FA6" w:rsidRDefault="00F507EF" w:rsidP="00635367">
      <w:r>
        <w:rPr>
          <w:b/>
        </w:rPr>
        <w:t>Graf 2</w:t>
      </w:r>
      <w:r w:rsidR="00501FA6" w:rsidRPr="00501FA6">
        <w:rPr>
          <w:b/>
        </w:rPr>
        <w:t>:</w:t>
      </w:r>
      <w:r w:rsidR="00501FA6">
        <w:t xml:space="preserve"> Výsledky BDI u respondentů</w:t>
      </w:r>
    </w:p>
    <w:p w:rsidR="00015D7F" w:rsidRDefault="00015D7F" w:rsidP="00635367"/>
    <w:p w:rsidR="00FE6F0D" w:rsidRDefault="000F3B0F" w:rsidP="00635367">
      <w:r>
        <w:t>Z grafu 2</w:t>
      </w:r>
      <w:r w:rsidR="00015D7F">
        <w:t xml:space="preserve"> je patrné, že největší zastoupení mají respondenti </w:t>
      </w:r>
      <w:r w:rsidR="008A47CE">
        <w:t xml:space="preserve">ve skupině </w:t>
      </w:r>
      <w:r w:rsidR="00015D7F">
        <w:t>od 0-13 b</w:t>
      </w:r>
      <w:r w:rsidR="008A47CE">
        <w:t>odů, tedy s minimálními projevy</w:t>
      </w:r>
      <w:r w:rsidR="00015D7F">
        <w:t xml:space="preserve"> deprese- 69 %. </w:t>
      </w:r>
      <w:r w:rsidR="00F70576">
        <w:t xml:space="preserve">Respondentů s 14-19 body je 18,4 %. Další skupinou jsou respondenti s 20-28 body, </w:t>
      </w:r>
      <w:r w:rsidR="000F3632">
        <w:t xml:space="preserve">u kterých je </w:t>
      </w:r>
      <w:r w:rsidR="00F70576">
        <w:t xml:space="preserve">6,9 %. Respondentů s těžkými projevy deprese, kteří měli v rozmezí 29-36 bodů je 5,7 %.   </w:t>
      </w:r>
    </w:p>
    <w:p w:rsidR="008A47CE" w:rsidRDefault="008A47CE" w:rsidP="00635367"/>
    <w:p w:rsidR="00FE6F0D" w:rsidRDefault="00E55909" w:rsidP="00635367">
      <w:r>
        <w:rPr>
          <w:b/>
        </w:rPr>
        <w:t> Tabulka 12</w:t>
      </w:r>
      <w:r w:rsidR="00FE6F0D" w:rsidRPr="004D5F42">
        <w:rPr>
          <w:b/>
        </w:rPr>
        <w:t>:</w:t>
      </w:r>
      <w:r w:rsidR="00FE6F0D">
        <w:t xml:space="preserve"> Typ užívaných antidepresiv</w:t>
      </w:r>
    </w:p>
    <w:tbl>
      <w:tblPr>
        <w:tblW w:w="8687" w:type="dxa"/>
        <w:tblInd w:w="65" w:type="dxa"/>
        <w:tblCellMar>
          <w:left w:w="70" w:type="dxa"/>
          <w:right w:w="70" w:type="dxa"/>
        </w:tblCellMar>
        <w:tblLook w:val="04A0" w:firstRow="1" w:lastRow="0" w:firstColumn="1" w:lastColumn="0" w:noHBand="0" w:noVBand="1"/>
      </w:tblPr>
      <w:tblGrid>
        <w:gridCol w:w="3225"/>
        <w:gridCol w:w="2673"/>
        <w:gridCol w:w="2789"/>
      </w:tblGrid>
      <w:tr w:rsidR="00FE6F0D" w:rsidRPr="00FE6F0D" w:rsidTr="008A47CE">
        <w:trPr>
          <w:trHeight w:val="569"/>
        </w:trPr>
        <w:tc>
          <w:tcPr>
            <w:tcW w:w="3225"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Typ antidepresiv</w:t>
            </w:r>
          </w:p>
        </w:tc>
        <w:tc>
          <w:tcPr>
            <w:tcW w:w="2673"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Absolutní četnost</w:t>
            </w:r>
          </w:p>
        </w:tc>
        <w:tc>
          <w:tcPr>
            <w:tcW w:w="2789"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Relativní četnost</w:t>
            </w:r>
          </w:p>
        </w:tc>
      </w:tr>
      <w:tr w:rsidR="00FE6F0D" w:rsidRPr="00FE6F0D" w:rsidTr="004D5F42">
        <w:trPr>
          <w:trHeight w:val="569"/>
        </w:trPr>
        <w:tc>
          <w:tcPr>
            <w:tcW w:w="3225" w:type="dxa"/>
            <w:tcBorders>
              <w:top w:val="nil"/>
              <w:left w:val="single" w:sz="4" w:space="0" w:color="auto"/>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I. generace</w:t>
            </w:r>
          </w:p>
        </w:tc>
        <w:tc>
          <w:tcPr>
            <w:tcW w:w="2673"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0</w:t>
            </w:r>
          </w:p>
        </w:tc>
        <w:tc>
          <w:tcPr>
            <w:tcW w:w="2789"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0,0</w:t>
            </w:r>
            <w:r w:rsidR="000F3632">
              <w:rPr>
                <w:rFonts w:eastAsia="Times New Roman" w:cs="Times New Roman"/>
                <w:color w:val="000000"/>
                <w:szCs w:val="24"/>
                <w:lang w:eastAsia="cs-CZ"/>
              </w:rPr>
              <w:t xml:space="preserve"> </w:t>
            </w:r>
            <w:r w:rsidRPr="00FE6F0D">
              <w:rPr>
                <w:rFonts w:eastAsia="Times New Roman" w:cs="Times New Roman"/>
                <w:color w:val="000000"/>
                <w:szCs w:val="24"/>
                <w:lang w:eastAsia="cs-CZ"/>
              </w:rPr>
              <w:t>%</w:t>
            </w:r>
          </w:p>
        </w:tc>
      </w:tr>
      <w:tr w:rsidR="00FE6F0D" w:rsidRPr="00FE6F0D" w:rsidTr="004D5F42">
        <w:trPr>
          <w:trHeight w:val="569"/>
        </w:trPr>
        <w:tc>
          <w:tcPr>
            <w:tcW w:w="3225" w:type="dxa"/>
            <w:tcBorders>
              <w:top w:val="nil"/>
              <w:left w:val="single" w:sz="4" w:space="0" w:color="auto"/>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II. generace</w:t>
            </w:r>
          </w:p>
        </w:tc>
        <w:tc>
          <w:tcPr>
            <w:tcW w:w="2673"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1</w:t>
            </w:r>
          </w:p>
        </w:tc>
        <w:tc>
          <w:tcPr>
            <w:tcW w:w="2789"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1,1</w:t>
            </w:r>
            <w:r w:rsidR="000F3632">
              <w:rPr>
                <w:rFonts w:eastAsia="Times New Roman" w:cs="Times New Roman"/>
                <w:color w:val="000000"/>
                <w:szCs w:val="24"/>
                <w:lang w:eastAsia="cs-CZ"/>
              </w:rPr>
              <w:t xml:space="preserve"> </w:t>
            </w:r>
            <w:r w:rsidRPr="00FE6F0D">
              <w:rPr>
                <w:rFonts w:eastAsia="Times New Roman" w:cs="Times New Roman"/>
                <w:color w:val="000000"/>
                <w:szCs w:val="24"/>
                <w:lang w:eastAsia="cs-CZ"/>
              </w:rPr>
              <w:t>%</w:t>
            </w:r>
          </w:p>
        </w:tc>
      </w:tr>
      <w:tr w:rsidR="00FE6F0D" w:rsidRPr="00FE6F0D" w:rsidTr="004D5F42">
        <w:trPr>
          <w:trHeight w:val="569"/>
        </w:trPr>
        <w:tc>
          <w:tcPr>
            <w:tcW w:w="3225" w:type="dxa"/>
            <w:tcBorders>
              <w:top w:val="nil"/>
              <w:left w:val="single" w:sz="4" w:space="0" w:color="auto"/>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III. generace</w:t>
            </w:r>
          </w:p>
        </w:tc>
        <w:tc>
          <w:tcPr>
            <w:tcW w:w="2673"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54</w:t>
            </w:r>
          </w:p>
        </w:tc>
        <w:tc>
          <w:tcPr>
            <w:tcW w:w="2789"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62,1</w:t>
            </w:r>
            <w:r w:rsidR="000F3632">
              <w:rPr>
                <w:rFonts w:eastAsia="Times New Roman" w:cs="Times New Roman"/>
                <w:color w:val="000000"/>
                <w:szCs w:val="24"/>
                <w:lang w:eastAsia="cs-CZ"/>
              </w:rPr>
              <w:t xml:space="preserve"> </w:t>
            </w:r>
            <w:r w:rsidRPr="00FE6F0D">
              <w:rPr>
                <w:rFonts w:eastAsia="Times New Roman" w:cs="Times New Roman"/>
                <w:color w:val="000000"/>
                <w:szCs w:val="24"/>
                <w:lang w:eastAsia="cs-CZ"/>
              </w:rPr>
              <w:t>%</w:t>
            </w:r>
          </w:p>
        </w:tc>
      </w:tr>
      <w:tr w:rsidR="00FE6F0D" w:rsidRPr="00FE6F0D" w:rsidTr="004D5F42">
        <w:trPr>
          <w:trHeight w:val="569"/>
        </w:trPr>
        <w:tc>
          <w:tcPr>
            <w:tcW w:w="3225" w:type="dxa"/>
            <w:tcBorders>
              <w:top w:val="nil"/>
              <w:left w:val="single" w:sz="4" w:space="0" w:color="auto"/>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IV. generace</w:t>
            </w:r>
          </w:p>
        </w:tc>
        <w:tc>
          <w:tcPr>
            <w:tcW w:w="2673"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20</w:t>
            </w:r>
          </w:p>
        </w:tc>
        <w:tc>
          <w:tcPr>
            <w:tcW w:w="2789"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23,0</w:t>
            </w:r>
            <w:r w:rsidR="000F3632">
              <w:rPr>
                <w:rFonts w:eastAsia="Times New Roman" w:cs="Times New Roman"/>
                <w:color w:val="000000"/>
                <w:szCs w:val="24"/>
                <w:lang w:eastAsia="cs-CZ"/>
              </w:rPr>
              <w:t xml:space="preserve"> </w:t>
            </w:r>
            <w:r w:rsidRPr="00FE6F0D">
              <w:rPr>
                <w:rFonts w:eastAsia="Times New Roman" w:cs="Times New Roman"/>
                <w:color w:val="000000"/>
                <w:szCs w:val="24"/>
                <w:lang w:eastAsia="cs-CZ"/>
              </w:rPr>
              <w:t>%</w:t>
            </w:r>
          </w:p>
        </w:tc>
      </w:tr>
      <w:tr w:rsidR="00FE6F0D" w:rsidRPr="00FE6F0D" w:rsidTr="004D5F42">
        <w:trPr>
          <w:trHeight w:val="569"/>
        </w:trPr>
        <w:tc>
          <w:tcPr>
            <w:tcW w:w="3225" w:type="dxa"/>
            <w:tcBorders>
              <w:top w:val="nil"/>
              <w:left w:val="single" w:sz="4" w:space="0" w:color="auto"/>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IMAO</w:t>
            </w:r>
          </w:p>
        </w:tc>
        <w:tc>
          <w:tcPr>
            <w:tcW w:w="2673"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4</w:t>
            </w:r>
          </w:p>
        </w:tc>
        <w:tc>
          <w:tcPr>
            <w:tcW w:w="2789"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4,6</w:t>
            </w:r>
            <w:r w:rsidR="000F3632">
              <w:rPr>
                <w:rFonts w:eastAsia="Times New Roman" w:cs="Times New Roman"/>
                <w:color w:val="000000"/>
                <w:szCs w:val="24"/>
                <w:lang w:eastAsia="cs-CZ"/>
              </w:rPr>
              <w:t xml:space="preserve"> </w:t>
            </w:r>
            <w:r w:rsidRPr="00FE6F0D">
              <w:rPr>
                <w:rFonts w:eastAsia="Times New Roman" w:cs="Times New Roman"/>
                <w:color w:val="000000"/>
                <w:szCs w:val="24"/>
                <w:lang w:eastAsia="cs-CZ"/>
              </w:rPr>
              <w:t>%</w:t>
            </w:r>
          </w:p>
        </w:tc>
      </w:tr>
      <w:tr w:rsidR="00FE6F0D" w:rsidRPr="00FE6F0D" w:rsidTr="004D5F42">
        <w:trPr>
          <w:trHeight w:val="569"/>
        </w:trPr>
        <w:tc>
          <w:tcPr>
            <w:tcW w:w="3225" w:type="dxa"/>
            <w:tcBorders>
              <w:top w:val="nil"/>
              <w:left w:val="single" w:sz="4" w:space="0" w:color="auto"/>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Jiné AD</w:t>
            </w:r>
          </w:p>
        </w:tc>
        <w:tc>
          <w:tcPr>
            <w:tcW w:w="2673"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3</w:t>
            </w:r>
          </w:p>
        </w:tc>
        <w:tc>
          <w:tcPr>
            <w:tcW w:w="2789"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3,4</w:t>
            </w:r>
            <w:r w:rsidR="000F3632">
              <w:rPr>
                <w:rFonts w:eastAsia="Times New Roman" w:cs="Times New Roman"/>
                <w:color w:val="000000"/>
                <w:szCs w:val="24"/>
                <w:lang w:eastAsia="cs-CZ"/>
              </w:rPr>
              <w:t xml:space="preserve"> </w:t>
            </w:r>
            <w:r w:rsidRPr="00FE6F0D">
              <w:rPr>
                <w:rFonts w:eastAsia="Times New Roman" w:cs="Times New Roman"/>
                <w:color w:val="000000"/>
                <w:szCs w:val="24"/>
                <w:lang w:eastAsia="cs-CZ"/>
              </w:rPr>
              <w:t>%</w:t>
            </w:r>
          </w:p>
        </w:tc>
      </w:tr>
      <w:tr w:rsidR="00FE6F0D" w:rsidRPr="00FE6F0D" w:rsidTr="004D5F42">
        <w:trPr>
          <w:trHeight w:val="569"/>
        </w:trPr>
        <w:tc>
          <w:tcPr>
            <w:tcW w:w="3225" w:type="dxa"/>
            <w:tcBorders>
              <w:top w:val="nil"/>
              <w:left w:val="single" w:sz="4" w:space="0" w:color="auto"/>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Kombinace AD</w:t>
            </w:r>
          </w:p>
        </w:tc>
        <w:tc>
          <w:tcPr>
            <w:tcW w:w="2673"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5</w:t>
            </w:r>
          </w:p>
        </w:tc>
        <w:tc>
          <w:tcPr>
            <w:tcW w:w="2789"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color w:val="000000"/>
                <w:szCs w:val="24"/>
                <w:lang w:eastAsia="cs-CZ"/>
              </w:rPr>
            </w:pPr>
            <w:r w:rsidRPr="00FE6F0D">
              <w:rPr>
                <w:rFonts w:eastAsia="Times New Roman" w:cs="Times New Roman"/>
                <w:color w:val="000000"/>
                <w:szCs w:val="24"/>
                <w:lang w:eastAsia="cs-CZ"/>
              </w:rPr>
              <w:t>5,7</w:t>
            </w:r>
            <w:r w:rsidR="000F3632">
              <w:rPr>
                <w:rFonts w:eastAsia="Times New Roman" w:cs="Times New Roman"/>
                <w:color w:val="000000"/>
                <w:szCs w:val="24"/>
                <w:lang w:eastAsia="cs-CZ"/>
              </w:rPr>
              <w:t xml:space="preserve"> </w:t>
            </w:r>
            <w:r w:rsidRPr="00FE6F0D">
              <w:rPr>
                <w:rFonts w:eastAsia="Times New Roman" w:cs="Times New Roman"/>
                <w:color w:val="000000"/>
                <w:szCs w:val="24"/>
                <w:lang w:eastAsia="cs-CZ"/>
              </w:rPr>
              <w:t>%</w:t>
            </w:r>
          </w:p>
        </w:tc>
      </w:tr>
      <w:tr w:rsidR="00FE6F0D" w:rsidRPr="00FE6F0D" w:rsidTr="004D5F42">
        <w:trPr>
          <w:trHeight w:val="569"/>
        </w:trPr>
        <w:tc>
          <w:tcPr>
            <w:tcW w:w="3225" w:type="dxa"/>
            <w:tcBorders>
              <w:top w:val="nil"/>
              <w:left w:val="single" w:sz="4" w:space="0" w:color="auto"/>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Celkem</w:t>
            </w:r>
          </w:p>
        </w:tc>
        <w:tc>
          <w:tcPr>
            <w:tcW w:w="2673"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87</w:t>
            </w:r>
          </w:p>
        </w:tc>
        <w:tc>
          <w:tcPr>
            <w:tcW w:w="2789" w:type="dxa"/>
            <w:tcBorders>
              <w:top w:val="nil"/>
              <w:left w:val="nil"/>
              <w:bottom w:val="single" w:sz="4" w:space="0" w:color="auto"/>
              <w:right w:val="single" w:sz="4" w:space="0" w:color="auto"/>
            </w:tcBorders>
            <w:shd w:val="clear" w:color="auto" w:fill="auto"/>
            <w:noWrap/>
            <w:vAlign w:val="bottom"/>
            <w:hideMark/>
          </w:tcPr>
          <w:p w:rsidR="00FE6F0D" w:rsidRPr="00FE6F0D" w:rsidRDefault="00FE6F0D" w:rsidP="00FE6F0D">
            <w:pPr>
              <w:spacing w:line="240" w:lineRule="auto"/>
              <w:jc w:val="center"/>
              <w:rPr>
                <w:rFonts w:eastAsia="Times New Roman" w:cs="Times New Roman"/>
                <w:b/>
                <w:bCs/>
                <w:color w:val="000000"/>
                <w:szCs w:val="24"/>
                <w:lang w:eastAsia="cs-CZ"/>
              </w:rPr>
            </w:pPr>
            <w:r w:rsidRPr="00FE6F0D">
              <w:rPr>
                <w:rFonts w:eastAsia="Times New Roman" w:cs="Times New Roman"/>
                <w:b/>
                <w:bCs/>
                <w:color w:val="000000"/>
                <w:szCs w:val="24"/>
                <w:lang w:eastAsia="cs-CZ"/>
              </w:rPr>
              <w:t>100,0</w:t>
            </w:r>
            <w:r w:rsidR="000F3632">
              <w:rPr>
                <w:rFonts w:eastAsia="Times New Roman" w:cs="Times New Roman"/>
                <w:b/>
                <w:bCs/>
                <w:color w:val="000000"/>
                <w:szCs w:val="24"/>
                <w:lang w:eastAsia="cs-CZ"/>
              </w:rPr>
              <w:t xml:space="preserve"> </w:t>
            </w:r>
            <w:r w:rsidRPr="00FE6F0D">
              <w:rPr>
                <w:rFonts w:eastAsia="Times New Roman" w:cs="Times New Roman"/>
                <w:b/>
                <w:bCs/>
                <w:color w:val="000000"/>
                <w:szCs w:val="24"/>
                <w:lang w:eastAsia="cs-CZ"/>
              </w:rPr>
              <w:t>%</w:t>
            </w:r>
          </w:p>
        </w:tc>
      </w:tr>
    </w:tbl>
    <w:p w:rsidR="004D5F42" w:rsidRDefault="004D5F42" w:rsidP="00635367"/>
    <w:p w:rsidR="004D5F42" w:rsidRDefault="00FB1508" w:rsidP="00635367">
      <w:r>
        <w:lastRenderedPageBreak/>
        <w:t>Z tabulky je</w:t>
      </w:r>
      <w:r w:rsidR="004D5F42">
        <w:t xml:space="preserve"> zřejmé, že nejvíce zastoupenou skupinou antidepresiv jsou antidepresiva III. generace. Užívání těchto antidepresiv uvedlo 54 respondentů. Druhou nejpočetnější skupinou </w:t>
      </w:r>
      <w:r w:rsidR="000F3632">
        <w:t>jsou antidepresiva IV. generace,</w:t>
      </w:r>
      <w:r w:rsidR="004D5F42">
        <w:t xml:space="preserve"> jejich užívání uvedlo celkem 20 respondentů. Ostatní skupiny antidepresiv jsou v poměru k III. a IV. generaci málo uváděné. Pět resp</w:t>
      </w:r>
      <w:r w:rsidR="008A47CE">
        <w:t>ondentů uvedlo užívání kombinace</w:t>
      </w:r>
      <w:r w:rsidR="004D5F42">
        <w:t xml:space="preserve"> antidepresiv, nejčastěji se jednalo o kombinaci antidepresiv z III. a IV. generace. Čtyři respondenti uvedli, že užívají antidepresiva typu IMAO.</w:t>
      </w:r>
      <w:r w:rsidR="00D026E7">
        <w:t xml:space="preserve"> Jiné antidepresiva užívají 3 respondenti. Jeden respondent uvedl užívání antidepresiv II. generace. Nejméně zastoupenou skupinou byla I. generace antidepresiv, užívání neuvedl ani jeden respondent.</w:t>
      </w:r>
      <w:r w:rsidR="004D5F42">
        <w:t xml:space="preserve"> </w:t>
      </w:r>
    </w:p>
    <w:p w:rsidR="00D026E7" w:rsidRDefault="00D026E7" w:rsidP="00635367"/>
    <w:p w:rsidR="004D5F42" w:rsidRDefault="004D5F42" w:rsidP="00635367">
      <w:r w:rsidRPr="004D5F42">
        <w:rPr>
          <w:noProof/>
          <w:lang w:eastAsia="cs-CZ"/>
        </w:rPr>
        <w:drawing>
          <wp:inline distT="0" distB="0" distL="0" distR="0" wp14:anchorId="1069521C" wp14:editId="337FA981">
            <wp:extent cx="5504003" cy="3561907"/>
            <wp:effectExtent l="19050" t="0" r="20497" b="443"/>
            <wp:docPr id="5" name="Graf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D5F42" w:rsidRDefault="00F507EF" w:rsidP="00635367">
      <w:r>
        <w:rPr>
          <w:b/>
        </w:rPr>
        <w:t>Graf 3</w:t>
      </w:r>
      <w:r w:rsidR="004D5F42">
        <w:t>: Typ užívaných antidepresiv</w:t>
      </w:r>
    </w:p>
    <w:p w:rsidR="00D026E7" w:rsidRDefault="00D026E7" w:rsidP="00635367"/>
    <w:p w:rsidR="00D026E7" w:rsidRDefault="00D026E7" w:rsidP="00635367">
      <w:r>
        <w:t xml:space="preserve">Z grafického znázornění vyplývá, že 62,1 % respondentů užívá antidepresiva III. generace. Antidepresiva IV. generace užívá 23 % respondentů. Léčbu antidepresivy typu IMAO uvedlo 4,6 % respondentů. Kombinaci antidepresiv užívá k léčbě deprese 5,7 % respondentů. Skupina jiná antidepresiva má 3,4 % respondentů. Antidepresiva II. generace uvedlo 1,1 % respondentů. A antidepresiva I. generace neuvedl žádný respondent, tedy 0 %. </w:t>
      </w:r>
    </w:p>
    <w:p w:rsidR="008A47CE" w:rsidRDefault="008A47CE" w:rsidP="00635367"/>
    <w:p w:rsidR="00044A50" w:rsidRDefault="00044A50" w:rsidP="00635367"/>
    <w:p w:rsidR="008D7310" w:rsidRDefault="00E55909" w:rsidP="00635367">
      <w:r>
        <w:rPr>
          <w:b/>
        </w:rPr>
        <w:lastRenderedPageBreak/>
        <w:t>Tabulka 13</w:t>
      </w:r>
      <w:r w:rsidR="00044A50" w:rsidRPr="00044A50">
        <w:rPr>
          <w:b/>
        </w:rPr>
        <w:t>:</w:t>
      </w:r>
      <w:r w:rsidR="00044A50">
        <w:t xml:space="preserve"> Hodnocení BDI vzhledem k typu antidepresiv</w:t>
      </w:r>
    </w:p>
    <w:tbl>
      <w:tblPr>
        <w:tblW w:w="8904" w:type="dxa"/>
        <w:tblInd w:w="55" w:type="dxa"/>
        <w:tblCellMar>
          <w:left w:w="70" w:type="dxa"/>
          <w:right w:w="70" w:type="dxa"/>
        </w:tblCellMar>
        <w:tblLook w:val="04A0" w:firstRow="1" w:lastRow="0" w:firstColumn="1" w:lastColumn="0" w:noHBand="0" w:noVBand="1"/>
      </w:tblPr>
      <w:tblGrid>
        <w:gridCol w:w="2926"/>
        <w:gridCol w:w="1923"/>
        <w:gridCol w:w="2006"/>
        <w:gridCol w:w="2049"/>
      </w:tblGrid>
      <w:tr w:rsidR="00044A50" w:rsidRPr="000657A6" w:rsidTr="00A0565C">
        <w:trPr>
          <w:trHeight w:val="530"/>
        </w:trPr>
        <w:tc>
          <w:tcPr>
            <w:tcW w:w="292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0657A6" w:rsidRPr="000657A6" w:rsidRDefault="00044A50" w:rsidP="00044A50">
            <w:pPr>
              <w:spacing w:line="240" w:lineRule="auto"/>
              <w:jc w:val="center"/>
              <w:rPr>
                <w:rFonts w:eastAsia="Times New Roman" w:cs="Times New Roman"/>
                <w:b/>
                <w:color w:val="000000"/>
                <w:szCs w:val="24"/>
                <w:lang w:eastAsia="cs-CZ"/>
              </w:rPr>
            </w:pPr>
            <w:r>
              <w:rPr>
                <w:rFonts w:eastAsia="Times New Roman" w:cs="Times New Roman"/>
                <w:b/>
                <w:color w:val="000000"/>
                <w:szCs w:val="24"/>
                <w:lang w:eastAsia="cs-CZ"/>
              </w:rPr>
              <w:t>Typ antidepresiv</w:t>
            </w:r>
          </w:p>
        </w:tc>
        <w:tc>
          <w:tcPr>
            <w:tcW w:w="1923"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0657A6" w:rsidRPr="000657A6" w:rsidRDefault="000657A6" w:rsidP="000657A6">
            <w:pPr>
              <w:spacing w:line="240" w:lineRule="auto"/>
              <w:jc w:val="center"/>
              <w:rPr>
                <w:rFonts w:eastAsia="Times New Roman" w:cs="Times New Roman"/>
                <w:b/>
                <w:color w:val="000000"/>
                <w:szCs w:val="24"/>
                <w:lang w:eastAsia="cs-CZ"/>
              </w:rPr>
            </w:pPr>
            <w:r w:rsidRPr="000657A6">
              <w:rPr>
                <w:rFonts w:eastAsia="Times New Roman" w:cs="Times New Roman"/>
                <w:b/>
                <w:color w:val="000000"/>
                <w:szCs w:val="24"/>
                <w:lang w:eastAsia="cs-CZ"/>
              </w:rPr>
              <w:t>Absolutní četnost</w:t>
            </w:r>
          </w:p>
        </w:tc>
        <w:tc>
          <w:tcPr>
            <w:tcW w:w="2006"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0657A6" w:rsidRPr="000657A6" w:rsidRDefault="00044A50" w:rsidP="000657A6">
            <w:pPr>
              <w:spacing w:line="240" w:lineRule="auto"/>
              <w:jc w:val="center"/>
              <w:rPr>
                <w:rFonts w:eastAsia="Times New Roman" w:cs="Times New Roman"/>
                <w:b/>
                <w:color w:val="000000"/>
                <w:szCs w:val="24"/>
                <w:lang w:eastAsia="cs-CZ"/>
              </w:rPr>
            </w:pPr>
            <w:r>
              <w:rPr>
                <w:rFonts w:eastAsia="Times New Roman" w:cs="Times New Roman"/>
                <w:b/>
                <w:color w:val="000000"/>
                <w:szCs w:val="24"/>
                <w:lang w:eastAsia="cs-CZ"/>
              </w:rPr>
              <w:t>Počet bodů</w:t>
            </w:r>
            <w:r w:rsidR="000657A6" w:rsidRPr="000657A6">
              <w:rPr>
                <w:rFonts w:eastAsia="Times New Roman" w:cs="Times New Roman"/>
                <w:b/>
                <w:color w:val="000000"/>
                <w:szCs w:val="24"/>
                <w:lang w:eastAsia="cs-CZ"/>
              </w:rPr>
              <w:t xml:space="preserve"> BDI</w:t>
            </w:r>
          </w:p>
        </w:tc>
        <w:tc>
          <w:tcPr>
            <w:tcW w:w="2049"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0657A6" w:rsidRPr="000657A6" w:rsidRDefault="000657A6" w:rsidP="000657A6">
            <w:pPr>
              <w:spacing w:line="240" w:lineRule="auto"/>
              <w:jc w:val="center"/>
              <w:rPr>
                <w:rFonts w:eastAsia="Times New Roman" w:cs="Times New Roman"/>
                <w:b/>
                <w:color w:val="000000"/>
                <w:szCs w:val="24"/>
                <w:lang w:eastAsia="cs-CZ"/>
              </w:rPr>
            </w:pPr>
            <w:r w:rsidRPr="000657A6">
              <w:rPr>
                <w:rFonts w:eastAsia="Times New Roman" w:cs="Times New Roman"/>
                <w:b/>
                <w:color w:val="000000"/>
                <w:szCs w:val="24"/>
                <w:lang w:eastAsia="cs-CZ"/>
              </w:rPr>
              <w:t>Průměrná hodnota</w:t>
            </w:r>
          </w:p>
        </w:tc>
      </w:tr>
      <w:tr w:rsidR="000657A6" w:rsidRPr="000657A6" w:rsidTr="00044A50">
        <w:trPr>
          <w:trHeight w:val="530"/>
        </w:trPr>
        <w:tc>
          <w:tcPr>
            <w:tcW w:w="2926" w:type="dxa"/>
            <w:tcBorders>
              <w:top w:val="nil"/>
              <w:left w:val="single" w:sz="4" w:space="0" w:color="auto"/>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b/>
                <w:color w:val="000000"/>
                <w:szCs w:val="24"/>
                <w:lang w:eastAsia="cs-CZ"/>
              </w:rPr>
            </w:pPr>
            <w:r w:rsidRPr="000657A6">
              <w:rPr>
                <w:rFonts w:eastAsia="Times New Roman" w:cs="Times New Roman"/>
                <w:b/>
                <w:color w:val="000000"/>
                <w:szCs w:val="24"/>
                <w:lang w:eastAsia="cs-CZ"/>
              </w:rPr>
              <w:t>II.generace</w:t>
            </w:r>
          </w:p>
        </w:tc>
        <w:tc>
          <w:tcPr>
            <w:tcW w:w="1923"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1</w:t>
            </w:r>
          </w:p>
        </w:tc>
        <w:tc>
          <w:tcPr>
            <w:tcW w:w="2006"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7</w:t>
            </w:r>
          </w:p>
        </w:tc>
        <w:tc>
          <w:tcPr>
            <w:tcW w:w="2049"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7</w:t>
            </w:r>
          </w:p>
        </w:tc>
      </w:tr>
      <w:tr w:rsidR="000657A6" w:rsidRPr="000657A6" w:rsidTr="00044A50">
        <w:trPr>
          <w:trHeight w:val="530"/>
        </w:trPr>
        <w:tc>
          <w:tcPr>
            <w:tcW w:w="2926" w:type="dxa"/>
            <w:tcBorders>
              <w:top w:val="nil"/>
              <w:left w:val="single" w:sz="4" w:space="0" w:color="auto"/>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b/>
                <w:color w:val="000000"/>
                <w:szCs w:val="24"/>
                <w:lang w:eastAsia="cs-CZ"/>
              </w:rPr>
            </w:pPr>
            <w:r w:rsidRPr="000657A6">
              <w:rPr>
                <w:rFonts w:eastAsia="Times New Roman" w:cs="Times New Roman"/>
                <w:b/>
                <w:color w:val="000000"/>
                <w:szCs w:val="24"/>
                <w:lang w:eastAsia="cs-CZ"/>
              </w:rPr>
              <w:t>III. Generace</w:t>
            </w:r>
          </w:p>
        </w:tc>
        <w:tc>
          <w:tcPr>
            <w:tcW w:w="1923"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54</w:t>
            </w:r>
          </w:p>
        </w:tc>
        <w:tc>
          <w:tcPr>
            <w:tcW w:w="2006"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461</w:t>
            </w:r>
          </w:p>
        </w:tc>
        <w:tc>
          <w:tcPr>
            <w:tcW w:w="2049"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9</w:t>
            </w:r>
          </w:p>
        </w:tc>
      </w:tr>
      <w:tr w:rsidR="000657A6" w:rsidRPr="000657A6" w:rsidTr="00044A50">
        <w:trPr>
          <w:trHeight w:val="530"/>
        </w:trPr>
        <w:tc>
          <w:tcPr>
            <w:tcW w:w="2926" w:type="dxa"/>
            <w:tcBorders>
              <w:top w:val="nil"/>
              <w:left w:val="single" w:sz="4" w:space="0" w:color="auto"/>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b/>
                <w:color w:val="000000"/>
                <w:szCs w:val="24"/>
                <w:lang w:eastAsia="cs-CZ"/>
              </w:rPr>
            </w:pPr>
            <w:r w:rsidRPr="000657A6">
              <w:rPr>
                <w:rFonts w:eastAsia="Times New Roman" w:cs="Times New Roman"/>
                <w:b/>
                <w:color w:val="000000"/>
                <w:szCs w:val="24"/>
                <w:lang w:eastAsia="cs-CZ"/>
              </w:rPr>
              <w:t>IV. Generace</w:t>
            </w:r>
          </w:p>
        </w:tc>
        <w:tc>
          <w:tcPr>
            <w:tcW w:w="1923"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20</w:t>
            </w:r>
          </w:p>
        </w:tc>
        <w:tc>
          <w:tcPr>
            <w:tcW w:w="2006"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276</w:t>
            </w:r>
          </w:p>
        </w:tc>
        <w:tc>
          <w:tcPr>
            <w:tcW w:w="2049"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14</w:t>
            </w:r>
          </w:p>
        </w:tc>
      </w:tr>
      <w:tr w:rsidR="000657A6" w:rsidRPr="000657A6" w:rsidTr="00044A50">
        <w:trPr>
          <w:trHeight w:val="530"/>
        </w:trPr>
        <w:tc>
          <w:tcPr>
            <w:tcW w:w="2926" w:type="dxa"/>
            <w:tcBorders>
              <w:top w:val="nil"/>
              <w:left w:val="single" w:sz="4" w:space="0" w:color="auto"/>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b/>
                <w:color w:val="000000"/>
                <w:szCs w:val="24"/>
                <w:lang w:eastAsia="cs-CZ"/>
              </w:rPr>
            </w:pPr>
            <w:r w:rsidRPr="000657A6">
              <w:rPr>
                <w:rFonts w:eastAsia="Times New Roman" w:cs="Times New Roman"/>
                <w:b/>
                <w:color w:val="000000"/>
                <w:szCs w:val="24"/>
                <w:lang w:eastAsia="cs-CZ"/>
              </w:rPr>
              <w:t>IMAO</w:t>
            </w:r>
          </w:p>
        </w:tc>
        <w:tc>
          <w:tcPr>
            <w:tcW w:w="1923"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4</w:t>
            </w:r>
          </w:p>
        </w:tc>
        <w:tc>
          <w:tcPr>
            <w:tcW w:w="2006"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24</w:t>
            </w:r>
          </w:p>
        </w:tc>
        <w:tc>
          <w:tcPr>
            <w:tcW w:w="2049"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6</w:t>
            </w:r>
          </w:p>
        </w:tc>
      </w:tr>
      <w:tr w:rsidR="000657A6" w:rsidRPr="000657A6" w:rsidTr="00044A50">
        <w:trPr>
          <w:trHeight w:val="530"/>
        </w:trPr>
        <w:tc>
          <w:tcPr>
            <w:tcW w:w="2926" w:type="dxa"/>
            <w:tcBorders>
              <w:top w:val="nil"/>
              <w:left w:val="single" w:sz="4" w:space="0" w:color="auto"/>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b/>
                <w:color w:val="000000"/>
                <w:szCs w:val="24"/>
                <w:lang w:eastAsia="cs-CZ"/>
              </w:rPr>
            </w:pPr>
            <w:r w:rsidRPr="000657A6">
              <w:rPr>
                <w:rFonts w:eastAsia="Times New Roman" w:cs="Times New Roman"/>
                <w:b/>
                <w:color w:val="000000"/>
                <w:szCs w:val="24"/>
                <w:lang w:eastAsia="cs-CZ"/>
              </w:rPr>
              <w:t>kombinace AD</w:t>
            </w:r>
          </w:p>
        </w:tc>
        <w:tc>
          <w:tcPr>
            <w:tcW w:w="1923"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5</w:t>
            </w:r>
          </w:p>
        </w:tc>
        <w:tc>
          <w:tcPr>
            <w:tcW w:w="2006"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72</w:t>
            </w:r>
          </w:p>
        </w:tc>
        <w:tc>
          <w:tcPr>
            <w:tcW w:w="2049"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14</w:t>
            </w:r>
          </w:p>
        </w:tc>
      </w:tr>
      <w:tr w:rsidR="000657A6" w:rsidRPr="000657A6" w:rsidTr="00044A50">
        <w:trPr>
          <w:trHeight w:val="530"/>
        </w:trPr>
        <w:tc>
          <w:tcPr>
            <w:tcW w:w="2926" w:type="dxa"/>
            <w:tcBorders>
              <w:top w:val="nil"/>
              <w:left w:val="single" w:sz="4" w:space="0" w:color="auto"/>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b/>
                <w:color w:val="000000"/>
                <w:szCs w:val="24"/>
                <w:lang w:eastAsia="cs-CZ"/>
              </w:rPr>
            </w:pPr>
            <w:r w:rsidRPr="000657A6">
              <w:rPr>
                <w:rFonts w:eastAsia="Times New Roman" w:cs="Times New Roman"/>
                <w:b/>
                <w:color w:val="000000"/>
                <w:szCs w:val="24"/>
                <w:lang w:eastAsia="cs-CZ"/>
              </w:rPr>
              <w:t>Jiná AD</w:t>
            </w:r>
          </w:p>
        </w:tc>
        <w:tc>
          <w:tcPr>
            <w:tcW w:w="1923"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3</w:t>
            </w:r>
          </w:p>
        </w:tc>
        <w:tc>
          <w:tcPr>
            <w:tcW w:w="2006"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36</w:t>
            </w:r>
          </w:p>
        </w:tc>
        <w:tc>
          <w:tcPr>
            <w:tcW w:w="2049" w:type="dxa"/>
            <w:tcBorders>
              <w:top w:val="nil"/>
              <w:left w:val="nil"/>
              <w:bottom w:val="single" w:sz="4" w:space="0" w:color="auto"/>
              <w:right w:val="single" w:sz="4" w:space="0" w:color="auto"/>
            </w:tcBorders>
            <w:shd w:val="clear" w:color="auto" w:fill="auto"/>
            <w:noWrap/>
            <w:vAlign w:val="bottom"/>
            <w:hideMark/>
          </w:tcPr>
          <w:p w:rsidR="000657A6" w:rsidRPr="000657A6" w:rsidRDefault="000657A6" w:rsidP="000657A6">
            <w:pPr>
              <w:spacing w:line="240" w:lineRule="auto"/>
              <w:jc w:val="center"/>
              <w:rPr>
                <w:rFonts w:eastAsia="Times New Roman" w:cs="Times New Roman"/>
                <w:color w:val="000000"/>
                <w:szCs w:val="24"/>
                <w:lang w:eastAsia="cs-CZ"/>
              </w:rPr>
            </w:pPr>
            <w:r w:rsidRPr="000657A6">
              <w:rPr>
                <w:rFonts w:eastAsia="Times New Roman" w:cs="Times New Roman"/>
                <w:color w:val="000000"/>
                <w:szCs w:val="24"/>
                <w:lang w:eastAsia="cs-CZ"/>
              </w:rPr>
              <w:t>10</w:t>
            </w:r>
          </w:p>
        </w:tc>
      </w:tr>
    </w:tbl>
    <w:p w:rsidR="000657A6" w:rsidRPr="000657A6" w:rsidRDefault="000657A6" w:rsidP="000657A6">
      <w:pPr>
        <w:jc w:val="center"/>
        <w:rPr>
          <w:rFonts w:cs="Times New Roman"/>
          <w:szCs w:val="24"/>
        </w:rPr>
      </w:pPr>
    </w:p>
    <w:p w:rsidR="00044A50" w:rsidRDefault="00044A50" w:rsidP="00635367">
      <w:r>
        <w:t xml:space="preserve">Z tabulky vyplývá, že respondenti léčeni antidepresivy II., III. generace, IMAO a jinými antidepresivy dosáhli bodového hodnocení, které odpovídá minimálním projevům deprese. Pacienti léčeni IV. generací antidepresiv a kombinací antidepresiv (III. a IV. generace) uvedli bodové hodnocení, které odpovídá nízkým projevům deprese. </w:t>
      </w:r>
    </w:p>
    <w:p w:rsidR="00044A50" w:rsidRDefault="00044A50" w:rsidP="00635367"/>
    <w:p w:rsidR="00FB1508" w:rsidRDefault="008D7310" w:rsidP="00635367">
      <w:r>
        <w:t>Na základě této výzkumné otázky</w:t>
      </w:r>
      <w:r w:rsidR="002D3859">
        <w:t xml:space="preserve"> č. 1, byla stanovena hypotéza.</w:t>
      </w:r>
    </w:p>
    <w:p w:rsidR="008D7310" w:rsidRDefault="008D7310" w:rsidP="00635367">
      <w:r w:rsidRPr="008D7310">
        <w:rPr>
          <w:b/>
        </w:rPr>
        <w:t>H1:</w:t>
      </w:r>
      <w:r>
        <w:t xml:space="preserve"> </w:t>
      </w:r>
      <w:r w:rsidRPr="00FB1508">
        <w:rPr>
          <w:b/>
        </w:rPr>
        <w:t>Respondenti užívající antidepresiva IV. generace subjektivně lépe posuzují míru deprese než respondenti užívající antidepresiva III. generace.</w:t>
      </w:r>
    </w:p>
    <w:p w:rsidR="008D7310" w:rsidRDefault="008D7310" w:rsidP="00635367"/>
    <w:p w:rsidR="001362C8" w:rsidRDefault="001E4897" w:rsidP="00635367">
      <w:r>
        <w:t>K</w:t>
      </w:r>
      <w:r w:rsidR="001362C8">
        <w:t>e</w:t>
      </w:r>
      <w:r>
        <w:t> zjišťování této hypotézy byla zvolena stat</w:t>
      </w:r>
      <w:r w:rsidR="001362C8">
        <w:t>istická metoda</w:t>
      </w:r>
      <w:r>
        <w:t xml:space="preserve"> Wilcoxonova </w:t>
      </w:r>
      <w:r w:rsidR="0090391D">
        <w:t xml:space="preserve">neparametrického </w:t>
      </w:r>
      <w:r>
        <w:t xml:space="preserve">testu. </w:t>
      </w:r>
    </w:p>
    <w:p w:rsidR="001E4897" w:rsidRDefault="001E4897" w:rsidP="00635367">
      <w:r>
        <w:rPr>
          <w:rFonts w:cs="Times New Roman"/>
        </w:rPr>
        <w:t>α</w:t>
      </w:r>
      <w:r>
        <w:t>= 0,05</w:t>
      </w:r>
    </w:p>
    <w:p w:rsidR="001362C8" w:rsidRDefault="001362C8" w:rsidP="00635367">
      <w:pPr>
        <w:rPr>
          <w:rFonts w:cs="Times New Roman"/>
        </w:rPr>
      </w:pPr>
      <w:r>
        <w:t xml:space="preserve">pokud: p </w:t>
      </w:r>
      <w:r w:rsidR="00133CB4">
        <w:rPr>
          <w:rFonts w:cs="Times New Roman"/>
        </w:rPr>
        <w:t>≥</w:t>
      </w:r>
      <w:r>
        <w:rPr>
          <w:rFonts w:cs="Times New Roman"/>
        </w:rPr>
        <w:t xml:space="preserve"> α, pak H</w:t>
      </w:r>
      <w:r>
        <w:rPr>
          <w:rFonts w:cs="Times New Roman"/>
          <w:vertAlign w:val="subscript"/>
        </w:rPr>
        <w:t>0</w:t>
      </w:r>
      <w:r>
        <w:rPr>
          <w:rFonts w:cs="Times New Roman"/>
        </w:rPr>
        <w:t xml:space="preserve"> nelze zamítnout</w:t>
      </w:r>
    </w:p>
    <w:p w:rsidR="001362C8" w:rsidRDefault="001362C8" w:rsidP="00635367">
      <w:pPr>
        <w:rPr>
          <w:rFonts w:cs="Times New Roman"/>
        </w:rPr>
      </w:pPr>
      <w:r>
        <w:rPr>
          <w:rFonts w:cs="Times New Roman"/>
        </w:rPr>
        <w:t xml:space="preserve">           </w:t>
      </w:r>
      <w:r w:rsidR="00F80AC9">
        <w:rPr>
          <w:rFonts w:cs="Times New Roman"/>
        </w:rPr>
        <w:t xml:space="preserve"> </w:t>
      </w:r>
      <w:r>
        <w:rPr>
          <w:rFonts w:cs="Times New Roman"/>
        </w:rPr>
        <w:t>p &lt; α, pak H</w:t>
      </w:r>
      <w:r>
        <w:rPr>
          <w:rFonts w:cs="Times New Roman"/>
          <w:vertAlign w:val="subscript"/>
        </w:rPr>
        <w:t xml:space="preserve">0 </w:t>
      </w:r>
      <w:r w:rsidRPr="001362C8">
        <w:rPr>
          <w:rFonts w:cs="Times New Roman"/>
        </w:rPr>
        <w:t>zamítáme</w:t>
      </w:r>
    </w:p>
    <w:p w:rsidR="001362C8" w:rsidRDefault="001362C8" w:rsidP="00635367">
      <w:pPr>
        <w:rPr>
          <w:rFonts w:cs="Times New Roman"/>
        </w:rPr>
      </w:pPr>
    </w:p>
    <w:p w:rsidR="002D3859" w:rsidRDefault="002D3859" w:rsidP="00635367">
      <w:pPr>
        <w:rPr>
          <w:rFonts w:cs="Times New Roman"/>
        </w:rPr>
      </w:pPr>
    </w:p>
    <w:p w:rsidR="002D3859" w:rsidRDefault="002D3859" w:rsidP="00635367">
      <w:pPr>
        <w:rPr>
          <w:rFonts w:cs="Times New Roman"/>
        </w:rPr>
      </w:pPr>
    </w:p>
    <w:p w:rsidR="002D3859" w:rsidRDefault="002D3859" w:rsidP="00635367">
      <w:pPr>
        <w:rPr>
          <w:rFonts w:cs="Times New Roman"/>
        </w:rPr>
      </w:pPr>
    </w:p>
    <w:p w:rsidR="002D3859" w:rsidRDefault="002D3859" w:rsidP="00635367">
      <w:pPr>
        <w:rPr>
          <w:rFonts w:cs="Times New Roman"/>
        </w:rPr>
      </w:pPr>
    </w:p>
    <w:p w:rsidR="002D3859" w:rsidRDefault="002D3859" w:rsidP="00635367">
      <w:pPr>
        <w:rPr>
          <w:rFonts w:cs="Times New Roman"/>
        </w:rPr>
      </w:pPr>
    </w:p>
    <w:p w:rsidR="001362C8" w:rsidRDefault="001362C8" w:rsidP="00635367">
      <w:pPr>
        <w:rPr>
          <w:rFonts w:cs="Times New Roman"/>
        </w:rPr>
      </w:pPr>
      <w:r>
        <w:rPr>
          <w:rFonts w:cs="Times New Roman"/>
        </w:rPr>
        <w:lastRenderedPageBreak/>
        <w:t>Za pomoci Shapiro-Wilk testu na normalitu rozdělení dat, bylo zjištěno, že</w:t>
      </w:r>
      <w:r w:rsidR="00EA77E1">
        <w:rPr>
          <w:rFonts w:cs="Times New Roman"/>
        </w:rPr>
        <w:t xml:space="preserve"> data nemají normální rozdělení, to je uvedeno v grafu 3. K</w:t>
      </w:r>
      <w:r>
        <w:rPr>
          <w:rFonts w:cs="Times New Roman"/>
        </w:rPr>
        <w:t>e zpracování dat</w:t>
      </w:r>
      <w:r w:rsidR="00EA77E1">
        <w:rPr>
          <w:rFonts w:cs="Times New Roman"/>
        </w:rPr>
        <w:t xml:space="preserve"> tedy</w:t>
      </w:r>
      <w:r>
        <w:rPr>
          <w:rFonts w:cs="Times New Roman"/>
        </w:rPr>
        <w:t xml:space="preserve"> nelze použít T test ani F test. </w:t>
      </w:r>
    </w:p>
    <w:p w:rsidR="001362C8" w:rsidRDefault="002D3859" w:rsidP="00635367">
      <w:pPr>
        <w:rPr>
          <w:rFonts w:cs="Times New Roman"/>
        </w:rPr>
      </w:pPr>
      <w:r w:rsidRPr="001362C8">
        <w:rPr>
          <w:rFonts w:cs="Times New Roman"/>
          <w:noProof/>
          <w:lang w:eastAsia="cs-CZ"/>
        </w:rPr>
        <w:drawing>
          <wp:inline distT="0" distB="0" distL="0" distR="0" wp14:anchorId="43968F95" wp14:editId="020F192E">
            <wp:extent cx="4016985" cy="3402418"/>
            <wp:effectExtent l="0" t="0" r="0" b="0"/>
            <wp:docPr id="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26169" cy="3410197"/>
                    </a:xfrm>
                    <a:prstGeom prst="rect">
                      <a:avLst/>
                    </a:prstGeom>
                    <a:noFill/>
                    <a:ln>
                      <a:noFill/>
                    </a:ln>
                  </pic:spPr>
                </pic:pic>
              </a:graphicData>
            </a:graphic>
          </wp:inline>
        </w:drawing>
      </w:r>
    </w:p>
    <w:p w:rsidR="001362C8" w:rsidRDefault="001362C8" w:rsidP="00635367">
      <w:pPr>
        <w:rPr>
          <w:rFonts w:cs="Times New Roman"/>
        </w:rPr>
      </w:pPr>
    </w:p>
    <w:p w:rsidR="001362C8" w:rsidRDefault="00F507EF" w:rsidP="00635367">
      <w:r>
        <w:rPr>
          <w:b/>
        </w:rPr>
        <w:t>Graf 4</w:t>
      </w:r>
      <w:r w:rsidR="001362C8" w:rsidRPr="001362C8">
        <w:rPr>
          <w:b/>
        </w:rPr>
        <w:t>:</w:t>
      </w:r>
      <w:r w:rsidR="001362C8">
        <w:t xml:space="preserve"> Rozdělení respondentů dle užívání antidepresiv III. a IV. generace</w:t>
      </w:r>
    </w:p>
    <w:p w:rsidR="00442706" w:rsidRDefault="001362C8" w:rsidP="00635367">
      <w:r>
        <w:t>Z</w:t>
      </w:r>
      <w:r w:rsidR="0022144D">
        <w:t> </w:t>
      </w:r>
      <w:r>
        <w:t>grafu</w:t>
      </w:r>
      <w:r w:rsidR="0022144D">
        <w:t xml:space="preserve"> je zřejmé</w:t>
      </w:r>
      <w:r>
        <w:t>, že respondenti III. a IV. generace nemají normální rozdělení</w:t>
      </w:r>
      <w:r w:rsidR="0090391D">
        <w:t>.</w:t>
      </w:r>
    </w:p>
    <w:p w:rsidR="002D3859" w:rsidRDefault="002D3859" w:rsidP="00635367"/>
    <w:p w:rsidR="002D3859" w:rsidRPr="002D3859" w:rsidRDefault="00E55909" w:rsidP="002D3859">
      <w:r>
        <w:rPr>
          <w:b/>
        </w:rPr>
        <w:t>Tabulka 14</w:t>
      </w:r>
      <w:r w:rsidR="002D3859" w:rsidRPr="002D3859">
        <w:rPr>
          <w:b/>
        </w:rPr>
        <w:t xml:space="preserve">: </w:t>
      </w:r>
      <w:r w:rsidR="002D3859" w:rsidRPr="002D3859">
        <w:t>Wilcoxonův párový test</w:t>
      </w:r>
      <w:r>
        <w:t>- dle typu antidepresiv</w:t>
      </w:r>
    </w:p>
    <w:tbl>
      <w:tblPr>
        <w:tblStyle w:val="Mkatabulky"/>
        <w:tblW w:w="9341"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34"/>
        <w:gridCol w:w="1562"/>
        <w:gridCol w:w="2130"/>
        <w:gridCol w:w="2415"/>
      </w:tblGrid>
      <w:tr w:rsidR="002D3859" w:rsidRPr="002D3859" w:rsidTr="00F507EF">
        <w:trPr>
          <w:trHeight w:val="577"/>
        </w:trPr>
        <w:tc>
          <w:tcPr>
            <w:tcW w:w="3234" w:type="dxa"/>
            <w:tcBorders>
              <w:top w:val="single" w:sz="12" w:space="0" w:color="auto"/>
              <w:left w:val="single" w:sz="12" w:space="0" w:color="auto"/>
              <w:bottom w:val="single" w:sz="12" w:space="0" w:color="auto"/>
              <w:right w:val="single" w:sz="12" w:space="0" w:color="auto"/>
            </w:tcBorders>
            <w:shd w:val="clear" w:color="auto" w:fill="EEECE1" w:themeFill="background2"/>
            <w:hideMark/>
          </w:tcPr>
          <w:p w:rsidR="002D3859" w:rsidRPr="002D3859" w:rsidRDefault="002D3859" w:rsidP="002D3859">
            <w:pPr>
              <w:rPr>
                <w:b/>
              </w:rPr>
            </w:pPr>
            <w:r w:rsidRPr="002D3859">
              <w:rPr>
                <w:b/>
              </w:rPr>
              <w:t>Dvojice proměnných</w:t>
            </w:r>
          </w:p>
        </w:tc>
        <w:tc>
          <w:tcPr>
            <w:tcW w:w="1562" w:type="dxa"/>
            <w:tcBorders>
              <w:top w:val="single" w:sz="12" w:space="0" w:color="auto"/>
              <w:left w:val="single" w:sz="12" w:space="0" w:color="auto"/>
              <w:bottom w:val="single" w:sz="12" w:space="0" w:color="auto"/>
              <w:right w:val="single" w:sz="4" w:space="0" w:color="auto"/>
            </w:tcBorders>
            <w:shd w:val="clear" w:color="auto" w:fill="EEECE1" w:themeFill="background2"/>
            <w:hideMark/>
          </w:tcPr>
          <w:p w:rsidR="002D3859" w:rsidRPr="002D3859" w:rsidRDefault="002D3859" w:rsidP="002D3859">
            <w:pPr>
              <w:rPr>
                <w:b/>
              </w:rPr>
            </w:pPr>
            <w:r w:rsidRPr="002D3859">
              <w:rPr>
                <w:b/>
              </w:rPr>
              <w:t>Počet pac.</w:t>
            </w:r>
          </w:p>
        </w:tc>
        <w:tc>
          <w:tcPr>
            <w:tcW w:w="2130" w:type="dxa"/>
            <w:tcBorders>
              <w:top w:val="single" w:sz="12" w:space="0" w:color="auto"/>
              <w:left w:val="single" w:sz="4" w:space="0" w:color="auto"/>
              <w:bottom w:val="single" w:sz="12" w:space="0" w:color="auto"/>
              <w:right w:val="single" w:sz="4" w:space="0" w:color="auto"/>
            </w:tcBorders>
            <w:shd w:val="clear" w:color="auto" w:fill="EEECE1" w:themeFill="background2"/>
            <w:hideMark/>
          </w:tcPr>
          <w:p w:rsidR="002D3859" w:rsidRPr="002D3859" w:rsidRDefault="002D3859" w:rsidP="002D3859">
            <w:pPr>
              <w:rPr>
                <w:b/>
              </w:rPr>
            </w:pPr>
            <w:r w:rsidRPr="002D3859">
              <w:rPr>
                <w:b/>
              </w:rPr>
              <w:t>W</w:t>
            </w:r>
          </w:p>
        </w:tc>
        <w:tc>
          <w:tcPr>
            <w:tcW w:w="2415" w:type="dxa"/>
            <w:tcBorders>
              <w:top w:val="single" w:sz="12" w:space="0" w:color="auto"/>
              <w:left w:val="single" w:sz="4" w:space="0" w:color="auto"/>
              <w:bottom w:val="single" w:sz="12" w:space="0" w:color="auto"/>
              <w:right w:val="single" w:sz="12" w:space="0" w:color="auto"/>
            </w:tcBorders>
            <w:shd w:val="clear" w:color="auto" w:fill="EEECE1" w:themeFill="background2"/>
            <w:hideMark/>
          </w:tcPr>
          <w:p w:rsidR="002D3859" w:rsidRPr="002D3859" w:rsidRDefault="002D3859" w:rsidP="002D3859">
            <w:pPr>
              <w:rPr>
                <w:b/>
              </w:rPr>
            </w:pPr>
            <w:r w:rsidRPr="002D3859">
              <w:rPr>
                <w:b/>
              </w:rPr>
              <w:t>Úroveň p</w:t>
            </w:r>
          </w:p>
        </w:tc>
      </w:tr>
      <w:tr w:rsidR="002D3859" w:rsidRPr="002D3859" w:rsidTr="00F507EF">
        <w:trPr>
          <w:trHeight w:val="577"/>
        </w:trPr>
        <w:tc>
          <w:tcPr>
            <w:tcW w:w="3234" w:type="dxa"/>
            <w:tcBorders>
              <w:top w:val="single" w:sz="12" w:space="0" w:color="auto"/>
              <w:left w:val="single" w:sz="12" w:space="0" w:color="auto"/>
              <w:bottom w:val="single" w:sz="4" w:space="0" w:color="auto"/>
              <w:right w:val="single" w:sz="12" w:space="0" w:color="auto"/>
            </w:tcBorders>
            <w:hideMark/>
          </w:tcPr>
          <w:p w:rsidR="002D3859" w:rsidRPr="002D3859" w:rsidRDefault="002D3859" w:rsidP="002D3859">
            <w:r w:rsidRPr="002D3859">
              <w:t>III.generace / IV.generace</w:t>
            </w:r>
          </w:p>
        </w:tc>
        <w:tc>
          <w:tcPr>
            <w:tcW w:w="1562" w:type="dxa"/>
            <w:tcBorders>
              <w:top w:val="single" w:sz="12" w:space="0" w:color="auto"/>
              <w:left w:val="single" w:sz="12" w:space="0" w:color="auto"/>
              <w:bottom w:val="single" w:sz="4" w:space="0" w:color="auto"/>
              <w:right w:val="single" w:sz="4" w:space="0" w:color="auto"/>
            </w:tcBorders>
            <w:hideMark/>
          </w:tcPr>
          <w:p w:rsidR="002D3859" w:rsidRPr="002D3859" w:rsidRDefault="002D3859" w:rsidP="002D3859">
            <w:r w:rsidRPr="002D3859">
              <w:t>53 / 20</w:t>
            </w:r>
          </w:p>
        </w:tc>
        <w:tc>
          <w:tcPr>
            <w:tcW w:w="2130" w:type="dxa"/>
            <w:tcBorders>
              <w:top w:val="single" w:sz="12" w:space="0" w:color="auto"/>
              <w:left w:val="single" w:sz="4" w:space="0" w:color="auto"/>
              <w:bottom w:val="single" w:sz="4" w:space="0" w:color="auto"/>
              <w:right w:val="single" w:sz="4" w:space="0" w:color="auto"/>
            </w:tcBorders>
            <w:hideMark/>
          </w:tcPr>
          <w:p w:rsidR="002D3859" w:rsidRPr="002D3859" w:rsidRDefault="002D3859" w:rsidP="002D3859">
            <w:r w:rsidRPr="002D3859">
              <w:t>401,5</w:t>
            </w:r>
          </w:p>
        </w:tc>
        <w:tc>
          <w:tcPr>
            <w:tcW w:w="2415" w:type="dxa"/>
            <w:tcBorders>
              <w:top w:val="single" w:sz="12" w:space="0" w:color="auto"/>
              <w:left w:val="single" w:sz="4" w:space="0" w:color="auto"/>
              <w:bottom w:val="single" w:sz="4" w:space="0" w:color="auto"/>
              <w:right w:val="single" w:sz="12" w:space="0" w:color="auto"/>
            </w:tcBorders>
            <w:hideMark/>
          </w:tcPr>
          <w:p w:rsidR="002D3859" w:rsidRPr="002D3859" w:rsidRDefault="002D3859" w:rsidP="002D3859">
            <w:r w:rsidRPr="002D3859">
              <w:t>0, 1128</w:t>
            </w:r>
          </w:p>
        </w:tc>
      </w:tr>
    </w:tbl>
    <w:p w:rsidR="002D3859" w:rsidRDefault="002D3859" w:rsidP="00635367">
      <w:pPr>
        <w:rPr>
          <w:sz w:val="20"/>
          <w:szCs w:val="20"/>
        </w:rPr>
      </w:pPr>
      <w:r>
        <w:rPr>
          <w:sz w:val="20"/>
          <w:szCs w:val="20"/>
        </w:rPr>
        <w:t xml:space="preserve">Legenda: Počet pac.– </w:t>
      </w:r>
      <w:r w:rsidRPr="002D3859">
        <w:rPr>
          <w:sz w:val="20"/>
          <w:szCs w:val="20"/>
        </w:rPr>
        <w:t>počet pacientů v testovaném souboru; p – hladina významnosti; W – testovací kritérium</w:t>
      </w:r>
    </w:p>
    <w:p w:rsidR="002D3859" w:rsidRPr="002D3859" w:rsidRDefault="002D3859" w:rsidP="00635367">
      <w:pPr>
        <w:rPr>
          <w:sz w:val="20"/>
          <w:szCs w:val="20"/>
        </w:rPr>
      </w:pPr>
    </w:p>
    <w:p w:rsidR="00AF7B88" w:rsidRDefault="00AF7B88" w:rsidP="00635367">
      <w:pPr>
        <w:rPr>
          <w:rFonts w:cs="Times New Roman"/>
        </w:rPr>
      </w:pPr>
      <w:r>
        <w:t xml:space="preserve">Z výsledku vyplývá, že p </w:t>
      </w:r>
      <w:r w:rsidR="008160E4">
        <w:rPr>
          <w:rFonts w:cs="Times New Roman"/>
        </w:rPr>
        <w:t>≥</w:t>
      </w:r>
      <w:r>
        <w:rPr>
          <w:rFonts w:cs="Times New Roman"/>
        </w:rPr>
        <w:t xml:space="preserve"> α, H</w:t>
      </w:r>
      <w:r>
        <w:rPr>
          <w:rFonts w:cs="Times New Roman"/>
          <w:vertAlign w:val="subscript"/>
        </w:rPr>
        <w:t>0</w:t>
      </w:r>
      <w:r>
        <w:rPr>
          <w:rFonts w:cs="Times New Roman"/>
        </w:rPr>
        <w:t xml:space="preserve"> tedy nelze zamítnout.</w:t>
      </w:r>
    </w:p>
    <w:p w:rsidR="00C460F8" w:rsidRDefault="00AF7B88" w:rsidP="00C460F8">
      <w:pPr>
        <w:rPr>
          <w:rFonts w:cs="Times New Roman"/>
          <w:b/>
        </w:rPr>
      </w:pPr>
      <w:r>
        <w:rPr>
          <w:rFonts w:cs="Times New Roman"/>
        </w:rPr>
        <w:t xml:space="preserve">Antidepresiva IV. a III generace se tedy v subjektivním posouzení míry deprese u respondentů </w:t>
      </w:r>
      <w:r w:rsidRPr="00AF7B88">
        <w:rPr>
          <w:rFonts w:cs="Times New Roman"/>
          <w:b/>
        </w:rPr>
        <w:t xml:space="preserve">významně neliší. </w:t>
      </w:r>
      <w:r w:rsidR="002D3859">
        <w:rPr>
          <w:rFonts w:cs="Times New Roman"/>
          <w:b/>
        </w:rPr>
        <w:t> </w:t>
      </w:r>
    </w:p>
    <w:p w:rsidR="00FB1508" w:rsidRDefault="00FB1508" w:rsidP="00C460F8">
      <w:pPr>
        <w:rPr>
          <w:rFonts w:cs="Times New Roman"/>
          <w:b/>
        </w:rPr>
      </w:pPr>
    </w:p>
    <w:p w:rsidR="00A0565C" w:rsidRDefault="00A0565C" w:rsidP="00C460F8">
      <w:pPr>
        <w:rPr>
          <w:rFonts w:cs="Times New Roman"/>
          <w:b/>
        </w:rPr>
      </w:pPr>
    </w:p>
    <w:p w:rsidR="00A0565C" w:rsidRDefault="00A0565C" w:rsidP="00C460F8">
      <w:pPr>
        <w:rPr>
          <w:rFonts w:cs="Times New Roman"/>
          <w:b/>
        </w:rPr>
      </w:pPr>
    </w:p>
    <w:p w:rsidR="00442706" w:rsidRPr="004B6DB4" w:rsidRDefault="002D3859" w:rsidP="002D3859">
      <w:pPr>
        <w:pStyle w:val="Nadpis4"/>
        <w:numPr>
          <w:ilvl w:val="0"/>
          <w:numId w:val="0"/>
        </w:numPr>
        <w:rPr>
          <w:rFonts w:cs="Times New Roman"/>
        </w:rPr>
      </w:pPr>
      <w:r>
        <w:rPr>
          <w:rFonts w:eastAsiaTheme="minorHAnsi" w:cs="Times New Roman"/>
          <w:bCs w:val="0"/>
          <w:iCs w:val="0"/>
          <w:sz w:val="24"/>
        </w:rPr>
        <w:lastRenderedPageBreak/>
        <w:t> </w:t>
      </w:r>
      <w:bookmarkStart w:id="92" w:name="_Toc353433209"/>
      <w:r w:rsidR="00442706">
        <w:t>7.2.2. Subjektivní posouzení míry deprese u respondentů vzhledem k délce užívaných antidepresiv</w:t>
      </w:r>
      <w:bookmarkEnd w:id="92"/>
    </w:p>
    <w:p w:rsidR="00AF7B88" w:rsidRDefault="00E55909" w:rsidP="00635367">
      <w:r>
        <w:rPr>
          <w:b/>
        </w:rPr>
        <w:t>Tabulka 15</w:t>
      </w:r>
      <w:r w:rsidR="00F80AC9" w:rsidRPr="00F80AC9">
        <w:rPr>
          <w:b/>
        </w:rPr>
        <w:t>:</w:t>
      </w:r>
      <w:r w:rsidR="00F80AC9">
        <w:t xml:space="preserve"> Délka užívání antidepresiv</w:t>
      </w:r>
    </w:p>
    <w:tbl>
      <w:tblPr>
        <w:tblW w:w="8853" w:type="dxa"/>
        <w:tblInd w:w="65" w:type="dxa"/>
        <w:tblCellMar>
          <w:left w:w="70" w:type="dxa"/>
          <w:right w:w="70" w:type="dxa"/>
        </w:tblCellMar>
        <w:tblLook w:val="04A0" w:firstRow="1" w:lastRow="0" w:firstColumn="1" w:lastColumn="0" w:noHBand="0" w:noVBand="1"/>
      </w:tblPr>
      <w:tblGrid>
        <w:gridCol w:w="3286"/>
        <w:gridCol w:w="2724"/>
        <w:gridCol w:w="2843"/>
      </w:tblGrid>
      <w:tr w:rsidR="00F80AC9" w:rsidRPr="00F80AC9" w:rsidTr="00A0565C">
        <w:trPr>
          <w:trHeight w:val="606"/>
        </w:trPr>
        <w:tc>
          <w:tcPr>
            <w:tcW w:w="328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F80AC9" w:rsidRPr="00F80AC9" w:rsidRDefault="00F80AC9" w:rsidP="00F80AC9">
            <w:pPr>
              <w:spacing w:line="240" w:lineRule="auto"/>
              <w:jc w:val="center"/>
              <w:rPr>
                <w:rFonts w:eastAsia="Times New Roman" w:cs="Times New Roman"/>
                <w:b/>
                <w:bCs/>
                <w:color w:val="000000"/>
                <w:szCs w:val="24"/>
                <w:lang w:eastAsia="cs-CZ"/>
              </w:rPr>
            </w:pPr>
            <w:r w:rsidRPr="00F80AC9">
              <w:rPr>
                <w:rFonts w:eastAsia="Times New Roman" w:cs="Times New Roman"/>
                <w:b/>
                <w:bCs/>
                <w:color w:val="000000"/>
                <w:szCs w:val="24"/>
                <w:lang w:eastAsia="cs-CZ"/>
              </w:rPr>
              <w:t>Délka užívání</w:t>
            </w:r>
          </w:p>
        </w:tc>
        <w:tc>
          <w:tcPr>
            <w:tcW w:w="2724"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F80AC9" w:rsidRPr="00F80AC9" w:rsidRDefault="00F80AC9" w:rsidP="00F80AC9">
            <w:pPr>
              <w:spacing w:line="240" w:lineRule="auto"/>
              <w:jc w:val="center"/>
              <w:rPr>
                <w:rFonts w:eastAsia="Times New Roman" w:cs="Times New Roman"/>
                <w:b/>
                <w:bCs/>
                <w:color w:val="000000"/>
                <w:szCs w:val="24"/>
                <w:lang w:eastAsia="cs-CZ"/>
              </w:rPr>
            </w:pPr>
            <w:r w:rsidRPr="00F80AC9">
              <w:rPr>
                <w:rFonts w:eastAsia="Times New Roman" w:cs="Times New Roman"/>
                <w:b/>
                <w:bCs/>
                <w:color w:val="000000"/>
                <w:szCs w:val="24"/>
                <w:lang w:eastAsia="cs-CZ"/>
              </w:rPr>
              <w:t>Absolutní četnost</w:t>
            </w:r>
          </w:p>
        </w:tc>
        <w:tc>
          <w:tcPr>
            <w:tcW w:w="2843"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F80AC9" w:rsidRPr="00F80AC9" w:rsidRDefault="00F80AC9" w:rsidP="00F80AC9">
            <w:pPr>
              <w:spacing w:line="240" w:lineRule="auto"/>
              <w:jc w:val="center"/>
              <w:rPr>
                <w:rFonts w:eastAsia="Times New Roman" w:cs="Times New Roman"/>
                <w:b/>
                <w:bCs/>
                <w:color w:val="000000"/>
                <w:szCs w:val="24"/>
                <w:lang w:eastAsia="cs-CZ"/>
              </w:rPr>
            </w:pPr>
            <w:r w:rsidRPr="00F80AC9">
              <w:rPr>
                <w:rFonts w:eastAsia="Times New Roman" w:cs="Times New Roman"/>
                <w:b/>
                <w:bCs/>
                <w:color w:val="000000"/>
                <w:szCs w:val="24"/>
                <w:lang w:eastAsia="cs-CZ"/>
              </w:rPr>
              <w:t>Relativní četnost</w:t>
            </w:r>
          </w:p>
        </w:tc>
      </w:tr>
      <w:tr w:rsidR="00F80AC9" w:rsidRPr="00F80AC9" w:rsidTr="00F80AC9">
        <w:trPr>
          <w:trHeight w:val="606"/>
        </w:trPr>
        <w:tc>
          <w:tcPr>
            <w:tcW w:w="3286" w:type="dxa"/>
            <w:tcBorders>
              <w:top w:val="nil"/>
              <w:left w:val="single" w:sz="4" w:space="0" w:color="auto"/>
              <w:bottom w:val="single" w:sz="4" w:space="0" w:color="auto"/>
              <w:right w:val="single" w:sz="4" w:space="0" w:color="auto"/>
            </w:tcBorders>
            <w:shd w:val="clear" w:color="auto" w:fill="auto"/>
            <w:noWrap/>
            <w:vAlign w:val="bottom"/>
            <w:hideMark/>
          </w:tcPr>
          <w:p w:rsidR="00F80AC9" w:rsidRPr="00F80AC9" w:rsidRDefault="00FB1508" w:rsidP="00F80AC9">
            <w:pPr>
              <w:spacing w:line="240" w:lineRule="auto"/>
              <w:jc w:val="center"/>
              <w:rPr>
                <w:rFonts w:eastAsia="Times New Roman" w:cs="Times New Roman"/>
                <w:b/>
                <w:bCs/>
                <w:color w:val="000000"/>
                <w:szCs w:val="24"/>
                <w:lang w:eastAsia="cs-CZ"/>
              </w:rPr>
            </w:pPr>
            <w:r>
              <w:rPr>
                <w:rFonts w:eastAsia="Times New Roman" w:cs="Times New Roman"/>
                <w:b/>
                <w:bCs/>
                <w:color w:val="000000"/>
                <w:szCs w:val="24"/>
                <w:lang w:eastAsia="cs-CZ"/>
              </w:rPr>
              <w:t>9 měsíců a méně</w:t>
            </w:r>
          </w:p>
        </w:tc>
        <w:tc>
          <w:tcPr>
            <w:tcW w:w="2724"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color w:val="000000"/>
                <w:szCs w:val="24"/>
                <w:lang w:eastAsia="cs-CZ"/>
              </w:rPr>
            </w:pPr>
            <w:r w:rsidRPr="00F80AC9">
              <w:rPr>
                <w:rFonts w:eastAsia="Times New Roman" w:cs="Times New Roman"/>
                <w:color w:val="000000"/>
                <w:szCs w:val="24"/>
                <w:lang w:eastAsia="cs-CZ"/>
              </w:rPr>
              <w:t>10</w:t>
            </w:r>
          </w:p>
        </w:tc>
        <w:tc>
          <w:tcPr>
            <w:tcW w:w="2843"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color w:val="000000"/>
                <w:szCs w:val="24"/>
                <w:lang w:eastAsia="cs-CZ"/>
              </w:rPr>
            </w:pPr>
            <w:r w:rsidRPr="00F80AC9">
              <w:rPr>
                <w:rFonts w:eastAsia="Times New Roman" w:cs="Times New Roman"/>
                <w:color w:val="000000"/>
                <w:szCs w:val="24"/>
                <w:lang w:eastAsia="cs-CZ"/>
              </w:rPr>
              <w:t>11,5</w:t>
            </w:r>
            <w:r w:rsidR="000F3632">
              <w:rPr>
                <w:rFonts w:eastAsia="Times New Roman" w:cs="Times New Roman"/>
                <w:color w:val="000000"/>
                <w:szCs w:val="24"/>
                <w:lang w:eastAsia="cs-CZ"/>
              </w:rPr>
              <w:t xml:space="preserve"> </w:t>
            </w:r>
            <w:r w:rsidRPr="00F80AC9">
              <w:rPr>
                <w:rFonts w:eastAsia="Times New Roman" w:cs="Times New Roman"/>
                <w:color w:val="000000"/>
                <w:szCs w:val="24"/>
                <w:lang w:eastAsia="cs-CZ"/>
              </w:rPr>
              <w:t>%</w:t>
            </w:r>
          </w:p>
        </w:tc>
      </w:tr>
      <w:tr w:rsidR="00F80AC9" w:rsidRPr="00F80AC9" w:rsidTr="00F80AC9">
        <w:trPr>
          <w:trHeight w:val="606"/>
        </w:trPr>
        <w:tc>
          <w:tcPr>
            <w:tcW w:w="3286" w:type="dxa"/>
            <w:tcBorders>
              <w:top w:val="nil"/>
              <w:left w:val="single" w:sz="4" w:space="0" w:color="auto"/>
              <w:bottom w:val="single" w:sz="4" w:space="0" w:color="auto"/>
              <w:right w:val="single" w:sz="4" w:space="0" w:color="auto"/>
            </w:tcBorders>
            <w:shd w:val="clear" w:color="auto" w:fill="auto"/>
            <w:noWrap/>
            <w:vAlign w:val="bottom"/>
            <w:hideMark/>
          </w:tcPr>
          <w:p w:rsidR="00F80AC9" w:rsidRPr="00F80AC9" w:rsidRDefault="00FB1508" w:rsidP="00F80AC9">
            <w:pPr>
              <w:spacing w:line="240" w:lineRule="auto"/>
              <w:jc w:val="center"/>
              <w:rPr>
                <w:rFonts w:eastAsia="Times New Roman" w:cs="Times New Roman"/>
                <w:b/>
                <w:bCs/>
                <w:color w:val="000000"/>
                <w:szCs w:val="24"/>
                <w:lang w:eastAsia="cs-CZ"/>
              </w:rPr>
            </w:pPr>
            <w:r>
              <w:rPr>
                <w:rFonts w:eastAsia="Times New Roman" w:cs="Times New Roman"/>
                <w:b/>
                <w:bCs/>
                <w:color w:val="000000"/>
                <w:szCs w:val="24"/>
                <w:lang w:eastAsia="cs-CZ"/>
              </w:rPr>
              <w:t>10</w:t>
            </w:r>
            <w:r w:rsidR="00F80AC9" w:rsidRPr="00F80AC9">
              <w:rPr>
                <w:rFonts w:eastAsia="Times New Roman" w:cs="Times New Roman"/>
                <w:b/>
                <w:bCs/>
                <w:color w:val="000000"/>
                <w:szCs w:val="24"/>
                <w:lang w:eastAsia="cs-CZ"/>
              </w:rPr>
              <w:t xml:space="preserve"> měsíců-2 roky</w:t>
            </w:r>
          </w:p>
        </w:tc>
        <w:tc>
          <w:tcPr>
            <w:tcW w:w="2724"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color w:val="000000"/>
                <w:szCs w:val="24"/>
                <w:lang w:eastAsia="cs-CZ"/>
              </w:rPr>
            </w:pPr>
            <w:r w:rsidRPr="00F80AC9">
              <w:rPr>
                <w:rFonts w:eastAsia="Times New Roman" w:cs="Times New Roman"/>
                <w:color w:val="000000"/>
                <w:szCs w:val="24"/>
                <w:lang w:eastAsia="cs-CZ"/>
              </w:rPr>
              <w:t>24</w:t>
            </w:r>
          </w:p>
        </w:tc>
        <w:tc>
          <w:tcPr>
            <w:tcW w:w="2843"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color w:val="000000"/>
                <w:szCs w:val="24"/>
                <w:lang w:eastAsia="cs-CZ"/>
              </w:rPr>
            </w:pPr>
            <w:r w:rsidRPr="00F80AC9">
              <w:rPr>
                <w:rFonts w:eastAsia="Times New Roman" w:cs="Times New Roman"/>
                <w:color w:val="000000"/>
                <w:szCs w:val="24"/>
                <w:lang w:eastAsia="cs-CZ"/>
              </w:rPr>
              <w:t>27,6</w:t>
            </w:r>
            <w:r w:rsidR="000F3632">
              <w:rPr>
                <w:rFonts w:eastAsia="Times New Roman" w:cs="Times New Roman"/>
                <w:color w:val="000000"/>
                <w:szCs w:val="24"/>
                <w:lang w:eastAsia="cs-CZ"/>
              </w:rPr>
              <w:t xml:space="preserve"> </w:t>
            </w:r>
            <w:r w:rsidRPr="00F80AC9">
              <w:rPr>
                <w:rFonts w:eastAsia="Times New Roman" w:cs="Times New Roman"/>
                <w:color w:val="000000"/>
                <w:szCs w:val="24"/>
                <w:lang w:eastAsia="cs-CZ"/>
              </w:rPr>
              <w:t>%</w:t>
            </w:r>
          </w:p>
        </w:tc>
      </w:tr>
      <w:tr w:rsidR="00F80AC9" w:rsidRPr="00F80AC9" w:rsidTr="00F80AC9">
        <w:trPr>
          <w:trHeight w:val="606"/>
        </w:trPr>
        <w:tc>
          <w:tcPr>
            <w:tcW w:w="3286" w:type="dxa"/>
            <w:tcBorders>
              <w:top w:val="nil"/>
              <w:left w:val="single" w:sz="4" w:space="0" w:color="auto"/>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b/>
                <w:bCs/>
                <w:color w:val="000000"/>
                <w:szCs w:val="24"/>
                <w:lang w:eastAsia="cs-CZ"/>
              </w:rPr>
            </w:pPr>
            <w:r w:rsidRPr="00F80AC9">
              <w:rPr>
                <w:rFonts w:eastAsia="Times New Roman" w:cs="Times New Roman"/>
                <w:b/>
                <w:bCs/>
                <w:color w:val="000000"/>
                <w:szCs w:val="24"/>
                <w:lang w:eastAsia="cs-CZ"/>
              </w:rPr>
              <w:t>3-5 let</w:t>
            </w:r>
          </w:p>
        </w:tc>
        <w:tc>
          <w:tcPr>
            <w:tcW w:w="2724"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color w:val="000000"/>
                <w:szCs w:val="24"/>
                <w:lang w:eastAsia="cs-CZ"/>
              </w:rPr>
            </w:pPr>
            <w:r w:rsidRPr="00F80AC9">
              <w:rPr>
                <w:rFonts w:eastAsia="Times New Roman" w:cs="Times New Roman"/>
                <w:color w:val="000000"/>
                <w:szCs w:val="24"/>
                <w:lang w:eastAsia="cs-CZ"/>
              </w:rPr>
              <w:t>23</w:t>
            </w:r>
          </w:p>
        </w:tc>
        <w:tc>
          <w:tcPr>
            <w:tcW w:w="2843"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color w:val="000000"/>
                <w:szCs w:val="24"/>
                <w:lang w:eastAsia="cs-CZ"/>
              </w:rPr>
            </w:pPr>
            <w:r w:rsidRPr="00F80AC9">
              <w:rPr>
                <w:rFonts w:eastAsia="Times New Roman" w:cs="Times New Roman"/>
                <w:color w:val="000000"/>
                <w:szCs w:val="24"/>
                <w:lang w:eastAsia="cs-CZ"/>
              </w:rPr>
              <w:t>26,4</w:t>
            </w:r>
            <w:r w:rsidR="000F3632">
              <w:rPr>
                <w:rFonts w:eastAsia="Times New Roman" w:cs="Times New Roman"/>
                <w:color w:val="000000"/>
                <w:szCs w:val="24"/>
                <w:lang w:eastAsia="cs-CZ"/>
              </w:rPr>
              <w:t xml:space="preserve"> </w:t>
            </w:r>
            <w:r w:rsidRPr="00F80AC9">
              <w:rPr>
                <w:rFonts w:eastAsia="Times New Roman" w:cs="Times New Roman"/>
                <w:color w:val="000000"/>
                <w:szCs w:val="24"/>
                <w:lang w:eastAsia="cs-CZ"/>
              </w:rPr>
              <w:t>%</w:t>
            </w:r>
          </w:p>
        </w:tc>
      </w:tr>
      <w:tr w:rsidR="00F80AC9" w:rsidRPr="00F80AC9" w:rsidTr="00F80AC9">
        <w:trPr>
          <w:trHeight w:val="606"/>
        </w:trPr>
        <w:tc>
          <w:tcPr>
            <w:tcW w:w="3286" w:type="dxa"/>
            <w:tcBorders>
              <w:top w:val="nil"/>
              <w:left w:val="single" w:sz="4" w:space="0" w:color="auto"/>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b/>
                <w:bCs/>
                <w:color w:val="000000"/>
                <w:szCs w:val="24"/>
                <w:lang w:eastAsia="cs-CZ"/>
              </w:rPr>
            </w:pPr>
            <w:r w:rsidRPr="00F80AC9">
              <w:rPr>
                <w:rFonts w:eastAsia="Times New Roman" w:cs="Times New Roman"/>
                <w:b/>
                <w:bCs/>
                <w:color w:val="000000"/>
                <w:szCs w:val="24"/>
                <w:lang w:eastAsia="cs-CZ"/>
              </w:rPr>
              <w:t>Více než 5 let</w:t>
            </w:r>
          </w:p>
        </w:tc>
        <w:tc>
          <w:tcPr>
            <w:tcW w:w="2724"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color w:val="000000"/>
                <w:szCs w:val="24"/>
                <w:lang w:eastAsia="cs-CZ"/>
              </w:rPr>
            </w:pPr>
            <w:r w:rsidRPr="00F80AC9">
              <w:rPr>
                <w:rFonts w:eastAsia="Times New Roman" w:cs="Times New Roman"/>
                <w:color w:val="000000"/>
                <w:szCs w:val="24"/>
                <w:lang w:eastAsia="cs-CZ"/>
              </w:rPr>
              <w:t>29</w:t>
            </w:r>
          </w:p>
        </w:tc>
        <w:tc>
          <w:tcPr>
            <w:tcW w:w="2843"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color w:val="000000"/>
                <w:szCs w:val="24"/>
                <w:lang w:eastAsia="cs-CZ"/>
              </w:rPr>
            </w:pPr>
            <w:r w:rsidRPr="00F80AC9">
              <w:rPr>
                <w:rFonts w:eastAsia="Times New Roman" w:cs="Times New Roman"/>
                <w:color w:val="000000"/>
                <w:szCs w:val="24"/>
                <w:lang w:eastAsia="cs-CZ"/>
              </w:rPr>
              <w:t>33,3</w:t>
            </w:r>
            <w:r w:rsidR="000F3632">
              <w:rPr>
                <w:rFonts w:eastAsia="Times New Roman" w:cs="Times New Roman"/>
                <w:color w:val="000000"/>
                <w:szCs w:val="24"/>
                <w:lang w:eastAsia="cs-CZ"/>
              </w:rPr>
              <w:t xml:space="preserve"> </w:t>
            </w:r>
            <w:r w:rsidRPr="00F80AC9">
              <w:rPr>
                <w:rFonts w:eastAsia="Times New Roman" w:cs="Times New Roman"/>
                <w:color w:val="000000"/>
                <w:szCs w:val="24"/>
                <w:lang w:eastAsia="cs-CZ"/>
              </w:rPr>
              <w:t>%</w:t>
            </w:r>
          </w:p>
        </w:tc>
      </w:tr>
      <w:tr w:rsidR="00F80AC9" w:rsidRPr="00F80AC9" w:rsidTr="00F80AC9">
        <w:trPr>
          <w:trHeight w:val="606"/>
        </w:trPr>
        <w:tc>
          <w:tcPr>
            <w:tcW w:w="3286" w:type="dxa"/>
            <w:tcBorders>
              <w:top w:val="nil"/>
              <w:left w:val="single" w:sz="4" w:space="0" w:color="auto"/>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b/>
                <w:bCs/>
                <w:color w:val="000000"/>
                <w:szCs w:val="24"/>
                <w:lang w:eastAsia="cs-CZ"/>
              </w:rPr>
            </w:pPr>
            <w:r w:rsidRPr="00F80AC9">
              <w:rPr>
                <w:rFonts w:eastAsia="Times New Roman" w:cs="Times New Roman"/>
                <w:b/>
                <w:bCs/>
                <w:color w:val="000000"/>
                <w:szCs w:val="24"/>
                <w:lang w:eastAsia="cs-CZ"/>
              </w:rPr>
              <w:t>Nevím</w:t>
            </w:r>
          </w:p>
        </w:tc>
        <w:tc>
          <w:tcPr>
            <w:tcW w:w="2724"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color w:val="000000"/>
                <w:szCs w:val="24"/>
                <w:lang w:eastAsia="cs-CZ"/>
              </w:rPr>
            </w:pPr>
            <w:r w:rsidRPr="00F80AC9">
              <w:rPr>
                <w:rFonts w:eastAsia="Times New Roman" w:cs="Times New Roman"/>
                <w:color w:val="000000"/>
                <w:szCs w:val="24"/>
                <w:lang w:eastAsia="cs-CZ"/>
              </w:rPr>
              <w:t>1</w:t>
            </w:r>
          </w:p>
        </w:tc>
        <w:tc>
          <w:tcPr>
            <w:tcW w:w="2843"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color w:val="000000"/>
                <w:szCs w:val="24"/>
                <w:lang w:eastAsia="cs-CZ"/>
              </w:rPr>
            </w:pPr>
            <w:r w:rsidRPr="00F80AC9">
              <w:rPr>
                <w:rFonts w:eastAsia="Times New Roman" w:cs="Times New Roman"/>
                <w:color w:val="000000"/>
                <w:szCs w:val="24"/>
                <w:lang w:eastAsia="cs-CZ"/>
              </w:rPr>
              <w:t>1,1</w:t>
            </w:r>
            <w:r w:rsidR="000F3632">
              <w:rPr>
                <w:rFonts w:eastAsia="Times New Roman" w:cs="Times New Roman"/>
                <w:color w:val="000000"/>
                <w:szCs w:val="24"/>
                <w:lang w:eastAsia="cs-CZ"/>
              </w:rPr>
              <w:t xml:space="preserve"> </w:t>
            </w:r>
            <w:r w:rsidRPr="00F80AC9">
              <w:rPr>
                <w:rFonts w:eastAsia="Times New Roman" w:cs="Times New Roman"/>
                <w:color w:val="000000"/>
                <w:szCs w:val="24"/>
                <w:lang w:eastAsia="cs-CZ"/>
              </w:rPr>
              <w:t>%</w:t>
            </w:r>
          </w:p>
        </w:tc>
      </w:tr>
      <w:tr w:rsidR="00F80AC9" w:rsidRPr="00F80AC9" w:rsidTr="00F80AC9">
        <w:trPr>
          <w:trHeight w:val="606"/>
        </w:trPr>
        <w:tc>
          <w:tcPr>
            <w:tcW w:w="3286" w:type="dxa"/>
            <w:tcBorders>
              <w:top w:val="nil"/>
              <w:left w:val="single" w:sz="4" w:space="0" w:color="auto"/>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b/>
                <w:bCs/>
                <w:color w:val="000000"/>
                <w:szCs w:val="24"/>
                <w:lang w:eastAsia="cs-CZ"/>
              </w:rPr>
            </w:pPr>
            <w:r w:rsidRPr="00F80AC9">
              <w:rPr>
                <w:rFonts w:eastAsia="Times New Roman" w:cs="Times New Roman"/>
                <w:b/>
                <w:bCs/>
                <w:color w:val="000000"/>
                <w:szCs w:val="24"/>
                <w:lang w:eastAsia="cs-CZ"/>
              </w:rPr>
              <w:t>Celkem</w:t>
            </w:r>
          </w:p>
        </w:tc>
        <w:tc>
          <w:tcPr>
            <w:tcW w:w="2724"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b/>
                <w:bCs/>
                <w:color w:val="000000"/>
                <w:szCs w:val="24"/>
                <w:lang w:eastAsia="cs-CZ"/>
              </w:rPr>
            </w:pPr>
            <w:r w:rsidRPr="00F80AC9">
              <w:rPr>
                <w:rFonts w:eastAsia="Times New Roman" w:cs="Times New Roman"/>
                <w:b/>
                <w:bCs/>
                <w:color w:val="000000"/>
                <w:szCs w:val="24"/>
                <w:lang w:eastAsia="cs-CZ"/>
              </w:rPr>
              <w:t>87</w:t>
            </w:r>
          </w:p>
        </w:tc>
        <w:tc>
          <w:tcPr>
            <w:tcW w:w="2843" w:type="dxa"/>
            <w:tcBorders>
              <w:top w:val="nil"/>
              <w:left w:val="nil"/>
              <w:bottom w:val="single" w:sz="4" w:space="0" w:color="auto"/>
              <w:right w:val="single" w:sz="4" w:space="0" w:color="auto"/>
            </w:tcBorders>
            <w:shd w:val="clear" w:color="auto" w:fill="auto"/>
            <w:noWrap/>
            <w:vAlign w:val="bottom"/>
            <w:hideMark/>
          </w:tcPr>
          <w:p w:rsidR="00F80AC9" w:rsidRPr="00F80AC9" w:rsidRDefault="00F80AC9" w:rsidP="00F80AC9">
            <w:pPr>
              <w:spacing w:line="240" w:lineRule="auto"/>
              <w:jc w:val="center"/>
              <w:rPr>
                <w:rFonts w:eastAsia="Times New Roman" w:cs="Times New Roman"/>
                <w:b/>
                <w:bCs/>
                <w:color w:val="000000"/>
                <w:szCs w:val="24"/>
                <w:lang w:eastAsia="cs-CZ"/>
              </w:rPr>
            </w:pPr>
            <w:r w:rsidRPr="00F80AC9">
              <w:rPr>
                <w:rFonts w:eastAsia="Times New Roman" w:cs="Times New Roman"/>
                <w:b/>
                <w:bCs/>
                <w:color w:val="000000"/>
                <w:szCs w:val="24"/>
                <w:lang w:eastAsia="cs-CZ"/>
              </w:rPr>
              <w:t>100,0</w:t>
            </w:r>
            <w:r w:rsidR="000F3632">
              <w:rPr>
                <w:rFonts w:eastAsia="Times New Roman" w:cs="Times New Roman"/>
                <w:b/>
                <w:bCs/>
                <w:color w:val="000000"/>
                <w:szCs w:val="24"/>
                <w:lang w:eastAsia="cs-CZ"/>
              </w:rPr>
              <w:t xml:space="preserve"> </w:t>
            </w:r>
            <w:r w:rsidRPr="00F80AC9">
              <w:rPr>
                <w:rFonts w:eastAsia="Times New Roman" w:cs="Times New Roman"/>
                <w:b/>
                <w:bCs/>
                <w:color w:val="000000"/>
                <w:szCs w:val="24"/>
                <w:lang w:eastAsia="cs-CZ"/>
              </w:rPr>
              <w:t>%</w:t>
            </w:r>
          </w:p>
        </w:tc>
      </w:tr>
    </w:tbl>
    <w:p w:rsidR="0022144D" w:rsidRDefault="0022144D" w:rsidP="00635367"/>
    <w:p w:rsidR="004B6DB4" w:rsidRDefault="004B6DB4" w:rsidP="00635367"/>
    <w:p w:rsidR="004B6DB4" w:rsidRDefault="004B6DB4" w:rsidP="00635367"/>
    <w:p w:rsidR="00AF7B88" w:rsidRDefault="004B6DB4" w:rsidP="00635367">
      <w:r>
        <w:rPr>
          <w:noProof/>
          <w:lang w:eastAsia="cs-CZ"/>
        </w:rPr>
        <w:drawing>
          <wp:inline distT="0" distB="0" distL="0" distR="0" wp14:anchorId="1845A938" wp14:editId="437982F7">
            <wp:extent cx="5507990" cy="3037286"/>
            <wp:effectExtent l="0" t="0" r="0" b="0"/>
            <wp:docPr id="13" name="Graf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80AC9" w:rsidRDefault="00F80AC9" w:rsidP="00635367">
      <w:r>
        <w:t xml:space="preserve"> </w:t>
      </w:r>
      <w:r w:rsidR="00F507EF">
        <w:rPr>
          <w:b/>
        </w:rPr>
        <w:t>Graf 5</w:t>
      </w:r>
      <w:r>
        <w:t>: Délka užívání antidepresiv</w:t>
      </w:r>
    </w:p>
    <w:p w:rsidR="004B6DB4" w:rsidRDefault="004B6DB4" w:rsidP="00635367"/>
    <w:p w:rsidR="00A0565C" w:rsidRDefault="00F80AC9" w:rsidP="00635367">
      <w:r>
        <w:t xml:space="preserve">Z grafu je zřejmé, že nejvíce respondentů se řadí do skupiny, která užívá antidepresiva více než 5 let. </w:t>
      </w:r>
      <w:r w:rsidR="00094668">
        <w:t xml:space="preserve">Celkem je to 33,3 % pacientů. Respondentů, kteří užívají antidepresiva 7 </w:t>
      </w:r>
      <w:r w:rsidR="00094668">
        <w:lastRenderedPageBreak/>
        <w:t xml:space="preserve">měsíců až dva roky je 27,6 %. Tři až pět let užívá antidepresiva 26,4 % respondentů. Méně než půl roku uvedlo 11,5 % respondentů. Jeden respondent nevěděl, jak dlouho antidepresiva užívá (1 %). </w:t>
      </w:r>
    </w:p>
    <w:p w:rsidR="00A0565C" w:rsidRDefault="00A0565C" w:rsidP="00635367"/>
    <w:p w:rsidR="004B6DB4" w:rsidRDefault="00E55909" w:rsidP="00635367">
      <w:r>
        <w:rPr>
          <w:b/>
        </w:rPr>
        <w:t>Tabulka 16</w:t>
      </w:r>
      <w:r w:rsidR="004B6DB4" w:rsidRPr="004B6DB4">
        <w:rPr>
          <w:b/>
        </w:rPr>
        <w:t>:</w:t>
      </w:r>
      <w:r w:rsidR="004B6DB4">
        <w:t xml:space="preserve"> Hodnocení BDI vzhledem k délce užívání antidepresiv</w:t>
      </w:r>
    </w:p>
    <w:tbl>
      <w:tblPr>
        <w:tblW w:w="8805" w:type="dxa"/>
        <w:tblInd w:w="55" w:type="dxa"/>
        <w:tblCellMar>
          <w:left w:w="70" w:type="dxa"/>
          <w:right w:w="70" w:type="dxa"/>
        </w:tblCellMar>
        <w:tblLook w:val="04A0" w:firstRow="1" w:lastRow="0" w:firstColumn="1" w:lastColumn="0" w:noHBand="0" w:noVBand="1"/>
      </w:tblPr>
      <w:tblGrid>
        <w:gridCol w:w="2894"/>
        <w:gridCol w:w="1901"/>
        <w:gridCol w:w="1985"/>
        <w:gridCol w:w="2025"/>
      </w:tblGrid>
      <w:tr w:rsidR="004B6DB4" w:rsidRPr="004B6DB4" w:rsidTr="00A0565C">
        <w:trPr>
          <w:trHeight w:val="585"/>
        </w:trPr>
        <w:tc>
          <w:tcPr>
            <w:tcW w:w="2894"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4B6DB4" w:rsidRPr="004B6DB4" w:rsidRDefault="004B6DB4" w:rsidP="004B6DB4">
            <w:pPr>
              <w:spacing w:line="240" w:lineRule="auto"/>
              <w:jc w:val="center"/>
              <w:rPr>
                <w:rFonts w:eastAsia="Times New Roman" w:cs="Times New Roman"/>
                <w:b/>
                <w:color w:val="000000"/>
                <w:szCs w:val="24"/>
                <w:lang w:eastAsia="cs-CZ"/>
              </w:rPr>
            </w:pPr>
            <w:r w:rsidRPr="004B6DB4">
              <w:rPr>
                <w:rFonts w:eastAsia="Times New Roman" w:cs="Times New Roman"/>
                <w:b/>
                <w:color w:val="000000"/>
                <w:szCs w:val="24"/>
                <w:lang w:eastAsia="cs-CZ"/>
              </w:rPr>
              <w:t>Délka užívání AD</w:t>
            </w:r>
          </w:p>
        </w:tc>
        <w:tc>
          <w:tcPr>
            <w:tcW w:w="1901"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4B6DB4" w:rsidRPr="004B6DB4" w:rsidRDefault="004B6DB4" w:rsidP="004B6DB4">
            <w:pPr>
              <w:spacing w:line="240" w:lineRule="auto"/>
              <w:jc w:val="center"/>
              <w:rPr>
                <w:rFonts w:eastAsia="Times New Roman" w:cs="Times New Roman"/>
                <w:b/>
                <w:color w:val="000000"/>
                <w:szCs w:val="24"/>
                <w:lang w:eastAsia="cs-CZ"/>
              </w:rPr>
            </w:pPr>
            <w:r w:rsidRPr="004B6DB4">
              <w:rPr>
                <w:rFonts w:eastAsia="Times New Roman" w:cs="Times New Roman"/>
                <w:b/>
                <w:color w:val="000000"/>
                <w:szCs w:val="24"/>
                <w:lang w:eastAsia="cs-CZ"/>
              </w:rPr>
              <w:t>Absolutní četnost</w:t>
            </w:r>
          </w:p>
        </w:tc>
        <w:tc>
          <w:tcPr>
            <w:tcW w:w="1985"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4B6DB4" w:rsidRPr="004B6DB4" w:rsidRDefault="004B6DB4" w:rsidP="004B6DB4">
            <w:pPr>
              <w:spacing w:line="240" w:lineRule="auto"/>
              <w:jc w:val="center"/>
              <w:rPr>
                <w:rFonts w:eastAsia="Times New Roman" w:cs="Times New Roman"/>
                <w:b/>
                <w:color w:val="000000"/>
                <w:szCs w:val="24"/>
                <w:lang w:eastAsia="cs-CZ"/>
              </w:rPr>
            </w:pPr>
            <w:r w:rsidRPr="004B6DB4">
              <w:rPr>
                <w:rFonts w:eastAsia="Times New Roman" w:cs="Times New Roman"/>
                <w:b/>
                <w:color w:val="000000"/>
                <w:szCs w:val="24"/>
                <w:lang w:eastAsia="cs-CZ"/>
              </w:rPr>
              <w:t xml:space="preserve">Počet </w:t>
            </w:r>
            <w:r>
              <w:rPr>
                <w:rFonts w:eastAsia="Times New Roman" w:cs="Times New Roman"/>
                <w:b/>
                <w:color w:val="000000"/>
                <w:szCs w:val="24"/>
                <w:lang w:eastAsia="cs-CZ"/>
              </w:rPr>
              <w:t>bodů</w:t>
            </w:r>
            <w:r w:rsidRPr="004B6DB4">
              <w:rPr>
                <w:rFonts w:eastAsia="Times New Roman" w:cs="Times New Roman"/>
                <w:b/>
                <w:color w:val="000000"/>
                <w:szCs w:val="24"/>
                <w:lang w:eastAsia="cs-CZ"/>
              </w:rPr>
              <w:t xml:space="preserve"> BDI</w:t>
            </w:r>
          </w:p>
        </w:tc>
        <w:tc>
          <w:tcPr>
            <w:tcW w:w="2025"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4B6DB4" w:rsidRPr="004B6DB4" w:rsidRDefault="004B6DB4" w:rsidP="004B6DB4">
            <w:pPr>
              <w:spacing w:line="240" w:lineRule="auto"/>
              <w:jc w:val="center"/>
              <w:rPr>
                <w:rFonts w:eastAsia="Times New Roman" w:cs="Times New Roman"/>
                <w:b/>
                <w:color w:val="000000"/>
                <w:szCs w:val="24"/>
                <w:lang w:eastAsia="cs-CZ"/>
              </w:rPr>
            </w:pPr>
            <w:r w:rsidRPr="004B6DB4">
              <w:rPr>
                <w:rFonts w:eastAsia="Times New Roman" w:cs="Times New Roman"/>
                <w:b/>
                <w:color w:val="000000"/>
                <w:szCs w:val="24"/>
                <w:lang w:eastAsia="cs-CZ"/>
              </w:rPr>
              <w:t>Průměrná hodnota</w:t>
            </w:r>
          </w:p>
        </w:tc>
      </w:tr>
      <w:tr w:rsidR="004B6DB4" w:rsidRPr="004B6DB4" w:rsidTr="002468BF">
        <w:trPr>
          <w:trHeight w:val="585"/>
        </w:trPr>
        <w:tc>
          <w:tcPr>
            <w:tcW w:w="2894" w:type="dxa"/>
            <w:tcBorders>
              <w:top w:val="nil"/>
              <w:left w:val="single" w:sz="4" w:space="0" w:color="auto"/>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b/>
                <w:color w:val="000000"/>
                <w:szCs w:val="24"/>
                <w:lang w:eastAsia="cs-CZ"/>
              </w:rPr>
            </w:pPr>
            <w:r w:rsidRPr="004B6DB4">
              <w:rPr>
                <w:rFonts w:eastAsia="Times New Roman" w:cs="Times New Roman"/>
                <w:b/>
                <w:color w:val="000000"/>
                <w:szCs w:val="24"/>
                <w:lang w:eastAsia="cs-CZ"/>
              </w:rPr>
              <w:t>9 měsíců a méně</w:t>
            </w:r>
          </w:p>
        </w:tc>
        <w:tc>
          <w:tcPr>
            <w:tcW w:w="1901"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10</w:t>
            </w:r>
          </w:p>
        </w:tc>
        <w:tc>
          <w:tcPr>
            <w:tcW w:w="1985"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80</w:t>
            </w:r>
          </w:p>
        </w:tc>
        <w:tc>
          <w:tcPr>
            <w:tcW w:w="2025"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8</w:t>
            </w:r>
          </w:p>
        </w:tc>
      </w:tr>
      <w:tr w:rsidR="004B6DB4" w:rsidRPr="004B6DB4" w:rsidTr="002468BF">
        <w:trPr>
          <w:trHeight w:val="585"/>
        </w:trPr>
        <w:tc>
          <w:tcPr>
            <w:tcW w:w="2894" w:type="dxa"/>
            <w:tcBorders>
              <w:top w:val="nil"/>
              <w:left w:val="single" w:sz="4" w:space="0" w:color="auto"/>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b/>
                <w:color w:val="000000"/>
                <w:szCs w:val="24"/>
                <w:lang w:eastAsia="cs-CZ"/>
              </w:rPr>
            </w:pPr>
            <w:r w:rsidRPr="004B6DB4">
              <w:rPr>
                <w:rFonts w:eastAsia="Times New Roman" w:cs="Times New Roman"/>
                <w:b/>
                <w:color w:val="000000"/>
                <w:szCs w:val="24"/>
                <w:lang w:eastAsia="cs-CZ"/>
              </w:rPr>
              <w:t>10 měsíců až 2 roky</w:t>
            </w:r>
          </w:p>
        </w:tc>
        <w:tc>
          <w:tcPr>
            <w:tcW w:w="1901"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24</w:t>
            </w:r>
          </w:p>
        </w:tc>
        <w:tc>
          <w:tcPr>
            <w:tcW w:w="1985"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236</w:t>
            </w:r>
          </w:p>
        </w:tc>
        <w:tc>
          <w:tcPr>
            <w:tcW w:w="2025"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Pr>
                <w:rFonts w:eastAsia="Times New Roman" w:cs="Times New Roman"/>
                <w:color w:val="000000"/>
                <w:szCs w:val="24"/>
                <w:lang w:eastAsia="cs-CZ"/>
              </w:rPr>
              <w:t>10</w:t>
            </w:r>
          </w:p>
        </w:tc>
      </w:tr>
      <w:tr w:rsidR="004B6DB4" w:rsidRPr="004B6DB4" w:rsidTr="002468BF">
        <w:trPr>
          <w:trHeight w:val="585"/>
        </w:trPr>
        <w:tc>
          <w:tcPr>
            <w:tcW w:w="2894" w:type="dxa"/>
            <w:tcBorders>
              <w:top w:val="nil"/>
              <w:left w:val="single" w:sz="4" w:space="0" w:color="auto"/>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b/>
                <w:color w:val="000000"/>
                <w:szCs w:val="24"/>
                <w:lang w:eastAsia="cs-CZ"/>
              </w:rPr>
            </w:pPr>
            <w:r w:rsidRPr="004B6DB4">
              <w:rPr>
                <w:rFonts w:eastAsia="Times New Roman" w:cs="Times New Roman"/>
                <w:b/>
                <w:color w:val="000000"/>
                <w:szCs w:val="24"/>
                <w:lang w:eastAsia="cs-CZ"/>
              </w:rPr>
              <w:t>3 roky až 5 let</w:t>
            </w:r>
          </w:p>
        </w:tc>
        <w:tc>
          <w:tcPr>
            <w:tcW w:w="1901"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23</w:t>
            </w:r>
          </w:p>
        </w:tc>
        <w:tc>
          <w:tcPr>
            <w:tcW w:w="1985"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284</w:t>
            </w:r>
          </w:p>
        </w:tc>
        <w:tc>
          <w:tcPr>
            <w:tcW w:w="2025"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Pr>
                <w:rFonts w:eastAsia="Times New Roman" w:cs="Times New Roman"/>
                <w:color w:val="000000"/>
                <w:szCs w:val="24"/>
                <w:lang w:eastAsia="cs-CZ"/>
              </w:rPr>
              <w:t>12</w:t>
            </w:r>
          </w:p>
        </w:tc>
      </w:tr>
      <w:tr w:rsidR="004B6DB4" w:rsidRPr="004B6DB4" w:rsidTr="002468BF">
        <w:trPr>
          <w:trHeight w:val="585"/>
        </w:trPr>
        <w:tc>
          <w:tcPr>
            <w:tcW w:w="2894" w:type="dxa"/>
            <w:tcBorders>
              <w:top w:val="nil"/>
              <w:left w:val="single" w:sz="4" w:space="0" w:color="auto"/>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b/>
                <w:color w:val="000000"/>
                <w:szCs w:val="24"/>
                <w:lang w:eastAsia="cs-CZ"/>
              </w:rPr>
            </w:pPr>
            <w:r w:rsidRPr="004B6DB4">
              <w:rPr>
                <w:rFonts w:eastAsia="Times New Roman" w:cs="Times New Roman"/>
                <w:b/>
                <w:color w:val="000000"/>
                <w:szCs w:val="24"/>
                <w:lang w:eastAsia="cs-CZ"/>
              </w:rPr>
              <w:t>Více než 5 let</w:t>
            </w:r>
          </w:p>
        </w:tc>
        <w:tc>
          <w:tcPr>
            <w:tcW w:w="1901"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29</w:t>
            </w:r>
          </w:p>
        </w:tc>
        <w:tc>
          <w:tcPr>
            <w:tcW w:w="1985"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268</w:t>
            </w:r>
          </w:p>
        </w:tc>
        <w:tc>
          <w:tcPr>
            <w:tcW w:w="2025"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Pr>
                <w:rFonts w:eastAsia="Times New Roman" w:cs="Times New Roman"/>
                <w:color w:val="000000"/>
                <w:szCs w:val="24"/>
                <w:lang w:eastAsia="cs-CZ"/>
              </w:rPr>
              <w:t>9</w:t>
            </w:r>
          </w:p>
        </w:tc>
      </w:tr>
      <w:tr w:rsidR="004B6DB4" w:rsidRPr="004B6DB4" w:rsidTr="002468BF">
        <w:trPr>
          <w:trHeight w:val="585"/>
        </w:trPr>
        <w:tc>
          <w:tcPr>
            <w:tcW w:w="2894" w:type="dxa"/>
            <w:tcBorders>
              <w:top w:val="nil"/>
              <w:left w:val="single" w:sz="4" w:space="0" w:color="auto"/>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b/>
                <w:color w:val="000000"/>
                <w:szCs w:val="24"/>
                <w:lang w:eastAsia="cs-CZ"/>
              </w:rPr>
            </w:pPr>
            <w:r w:rsidRPr="004B6DB4">
              <w:rPr>
                <w:rFonts w:eastAsia="Times New Roman" w:cs="Times New Roman"/>
                <w:b/>
                <w:color w:val="000000"/>
                <w:szCs w:val="24"/>
                <w:lang w:eastAsia="cs-CZ"/>
              </w:rPr>
              <w:t>Nevím</w:t>
            </w:r>
          </w:p>
        </w:tc>
        <w:tc>
          <w:tcPr>
            <w:tcW w:w="1901"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1</w:t>
            </w:r>
          </w:p>
        </w:tc>
        <w:tc>
          <w:tcPr>
            <w:tcW w:w="1985"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16</w:t>
            </w:r>
          </w:p>
        </w:tc>
        <w:tc>
          <w:tcPr>
            <w:tcW w:w="2025" w:type="dxa"/>
            <w:tcBorders>
              <w:top w:val="nil"/>
              <w:left w:val="nil"/>
              <w:bottom w:val="single" w:sz="4" w:space="0" w:color="auto"/>
              <w:right w:val="single" w:sz="4" w:space="0" w:color="auto"/>
            </w:tcBorders>
            <w:shd w:val="clear" w:color="auto" w:fill="auto"/>
            <w:noWrap/>
            <w:vAlign w:val="bottom"/>
            <w:hideMark/>
          </w:tcPr>
          <w:p w:rsidR="004B6DB4" w:rsidRPr="004B6DB4" w:rsidRDefault="004B6DB4" w:rsidP="004B6DB4">
            <w:pPr>
              <w:spacing w:line="240" w:lineRule="auto"/>
              <w:jc w:val="center"/>
              <w:rPr>
                <w:rFonts w:eastAsia="Times New Roman" w:cs="Times New Roman"/>
                <w:color w:val="000000"/>
                <w:szCs w:val="24"/>
                <w:lang w:eastAsia="cs-CZ"/>
              </w:rPr>
            </w:pPr>
            <w:r w:rsidRPr="004B6DB4">
              <w:rPr>
                <w:rFonts w:eastAsia="Times New Roman" w:cs="Times New Roman"/>
                <w:color w:val="000000"/>
                <w:szCs w:val="24"/>
                <w:lang w:eastAsia="cs-CZ"/>
              </w:rPr>
              <w:t>16</w:t>
            </w:r>
          </w:p>
        </w:tc>
      </w:tr>
    </w:tbl>
    <w:p w:rsidR="004B6DB4" w:rsidRDefault="004B6DB4" w:rsidP="004B6DB4">
      <w:pPr>
        <w:rPr>
          <w:rFonts w:cs="Times New Roman"/>
          <w:szCs w:val="24"/>
        </w:rPr>
      </w:pPr>
    </w:p>
    <w:p w:rsidR="00094668" w:rsidRDefault="004B6DB4" w:rsidP="00635367">
      <w:pPr>
        <w:rPr>
          <w:rFonts w:cs="Times New Roman"/>
          <w:szCs w:val="24"/>
        </w:rPr>
      </w:pPr>
      <w:r>
        <w:rPr>
          <w:rFonts w:cs="Times New Roman"/>
          <w:szCs w:val="24"/>
        </w:rPr>
        <w:t>Z tabulky vyplývá, že nejlépe hodnotili antidepresiva respondenti užívajíc</w:t>
      </w:r>
      <w:r w:rsidR="007B2379">
        <w:rPr>
          <w:rFonts w:cs="Times New Roman"/>
          <w:szCs w:val="24"/>
        </w:rPr>
        <w:t>í antidepresiva 9 měsíců a méně. V </w:t>
      </w:r>
      <w:r>
        <w:rPr>
          <w:rFonts w:cs="Times New Roman"/>
          <w:szCs w:val="24"/>
        </w:rPr>
        <w:t xml:space="preserve">BDI </w:t>
      </w:r>
      <w:r w:rsidR="007B2379">
        <w:rPr>
          <w:rFonts w:cs="Times New Roman"/>
          <w:szCs w:val="24"/>
        </w:rPr>
        <w:t xml:space="preserve">měli průměrnou hodnotu </w:t>
      </w:r>
      <w:r>
        <w:rPr>
          <w:rFonts w:cs="Times New Roman"/>
          <w:szCs w:val="24"/>
        </w:rPr>
        <w:t>8 bodů.</w:t>
      </w:r>
      <w:r w:rsidR="007B2379">
        <w:rPr>
          <w:rFonts w:cs="Times New Roman"/>
          <w:szCs w:val="24"/>
        </w:rPr>
        <w:t xml:space="preserve"> V rozmezí deseti měsíců až dvou let měli respondenti průměrně 10 bodů.</w:t>
      </w:r>
      <w:r>
        <w:rPr>
          <w:rFonts w:cs="Times New Roman"/>
          <w:szCs w:val="24"/>
        </w:rPr>
        <w:t xml:space="preserve"> </w:t>
      </w:r>
      <w:r w:rsidR="007B2379">
        <w:rPr>
          <w:rFonts w:cs="Times New Roman"/>
          <w:szCs w:val="24"/>
        </w:rPr>
        <w:t>Respondenti užívajíc</w:t>
      </w:r>
      <w:r w:rsidR="000F3632">
        <w:rPr>
          <w:rFonts w:cs="Times New Roman"/>
          <w:szCs w:val="24"/>
        </w:rPr>
        <w:t>í antidepresiva 3 roky až 5 let</w:t>
      </w:r>
      <w:r w:rsidR="007B2379">
        <w:rPr>
          <w:rFonts w:cs="Times New Roman"/>
          <w:szCs w:val="24"/>
        </w:rPr>
        <w:t xml:space="preserve"> měli průměrnou hodnotu BDI 12. Pacienti, kteří užívají antidepresiva více než 5 let měli průměrnou hodnotu 9.  Jeden respondent nevěděl, jak dlouho antidepresiva užívá, v BDI měl 16 bodů.  </w:t>
      </w:r>
    </w:p>
    <w:p w:rsidR="007B2379" w:rsidRPr="007B2379" w:rsidRDefault="007B2379" w:rsidP="00635367">
      <w:pPr>
        <w:rPr>
          <w:rFonts w:cs="Times New Roman"/>
          <w:szCs w:val="24"/>
        </w:rPr>
      </w:pPr>
    </w:p>
    <w:p w:rsidR="00094668" w:rsidRDefault="00094668" w:rsidP="00635367">
      <w:r>
        <w:t>Na základ</w:t>
      </w:r>
      <w:r w:rsidR="000F3632">
        <w:t>ě výzkumné otázky č. 2</w:t>
      </w:r>
      <w:r>
        <w:t xml:space="preserve"> byla stanovena hypotéza.</w:t>
      </w:r>
    </w:p>
    <w:p w:rsidR="00094668" w:rsidRPr="00FB1508" w:rsidRDefault="00094668" w:rsidP="00635367">
      <w:pPr>
        <w:rPr>
          <w:b/>
        </w:rPr>
      </w:pPr>
      <w:r w:rsidRPr="00094668">
        <w:rPr>
          <w:b/>
        </w:rPr>
        <w:t>H2</w:t>
      </w:r>
      <w:r>
        <w:t xml:space="preserve">: </w:t>
      </w:r>
      <w:r w:rsidRPr="00FB1508">
        <w:rPr>
          <w:b/>
        </w:rPr>
        <w:t>Respondenti užívající antidepresiva déle než 5 let subjektivně lépe posuzují míru deprese než respondenti užívající antidepresiva méně než 2 roky.</w:t>
      </w:r>
    </w:p>
    <w:p w:rsidR="00EA77E1" w:rsidRDefault="00EA77E1" w:rsidP="00635367"/>
    <w:p w:rsidR="00EA77E1" w:rsidRDefault="00EA77E1" w:rsidP="00EA77E1">
      <w:r>
        <w:t xml:space="preserve">Ke zjišťování této hypotézy byla zvolena statistická metoda Wilcoxonova neparametrického testu. </w:t>
      </w:r>
    </w:p>
    <w:p w:rsidR="00EA77E1" w:rsidRDefault="00EA77E1" w:rsidP="00EA77E1">
      <w:r>
        <w:rPr>
          <w:rFonts w:cs="Times New Roman"/>
        </w:rPr>
        <w:t>α</w:t>
      </w:r>
      <w:r>
        <w:t>= 0,05</w:t>
      </w:r>
    </w:p>
    <w:p w:rsidR="00133CB4" w:rsidRDefault="00133CB4" w:rsidP="00133CB4">
      <w:r>
        <w:t>pokud: p ≥ α, pak H0 nelze zamítnout</w:t>
      </w:r>
    </w:p>
    <w:p w:rsidR="00EA77E1" w:rsidRDefault="00133CB4" w:rsidP="00133CB4">
      <w:r>
        <w:t xml:space="preserve">            p &lt; α, pak H0 zamítáme</w:t>
      </w:r>
    </w:p>
    <w:p w:rsidR="00133CB4" w:rsidRDefault="00133CB4" w:rsidP="00133CB4"/>
    <w:p w:rsidR="00133CB4" w:rsidRDefault="00133CB4" w:rsidP="00133CB4">
      <w:pPr>
        <w:rPr>
          <w:rFonts w:cs="Times New Roman"/>
        </w:rPr>
      </w:pPr>
    </w:p>
    <w:p w:rsidR="00EA77E1" w:rsidRDefault="00EA77E1" w:rsidP="00EA77E1">
      <w:pPr>
        <w:rPr>
          <w:rFonts w:cs="Times New Roman"/>
        </w:rPr>
      </w:pPr>
      <w:r>
        <w:rPr>
          <w:rFonts w:cs="Times New Roman"/>
        </w:rPr>
        <w:lastRenderedPageBreak/>
        <w:t xml:space="preserve">Za využití Shapiro-Wilk testu bylo zjištěno, že data nemají normální rozdělení. Rozdělení je vyobrazeno na grafu č. 5. Pro stanovení hypotézy nemohl být použit T test ani F test. </w:t>
      </w:r>
    </w:p>
    <w:p w:rsidR="00EA77E1" w:rsidRDefault="00EA77E1" w:rsidP="00EA77E1">
      <w:pPr>
        <w:rPr>
          <w:rFonts w:cs="Times New Roman"/>
        </w:rPr>
      </w:pPr>
    </w:p>
    <w:p w:rsidR="00EA77E1" w:rsidRDefault="00133CB4" w:rsidP="00EA77E1">
      <w:pPr>
        <w:rPr>
          <w:rFonts w:cs="Times New Roman"/>
        </w:rPr>
      </w:pPr>
      <w:r w:rsidRPr="00EA77E1">
        <w:rPr>
          <w:rFonts w:cs="Times New Roman"/>
          <w:noProof/>
          <w:lang w:eastAsia="cs-CZ"/>
        </w:rPr>
        <w:drawing>
          <wp:anchor distT="0" distB="0" distL="114300" distR="114300" simplePos="0" relativeHeight="251667456" behindDoc="0" locked="0" layoutInCell="1" allowOverlap="1" wp14:anchorId="27A2225C" wp14:editId="120CFB17">
            <wp:simplePos x="0" y="0"/>
            <wp:positionH relativeFrom="column">
              <wp:align>left</wp:align>
            </wp:positionH>
            <wp:positionV relativeFrom="paragraph">
              <wp:align>top</wp:align>
            </wp:positionV>
            <wp:extent cx="3200400" cy="3195320"/>
            <wp:effectExtent l="0" t="0" r="0" b="0"/>
            <wp:wrapSquare wrapText="bothSides"/>
            <wp:docPr id="7"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00400" cy="3195320"/>
                    </a:xfrm>
                    <a:prstGeom prst="rect">
                      <a:avLst/>
                    </a:prstGeom>
                    <a:noFill/>
                    <a:ln>
                      <a:noFill/>
                    </a:ln>
                  </pic:spPr>
                </pic:pic>
              </a:graphicData>
            </a:graphic>
          </wp:anchor>
        </w:drawing>
      </w:r>
      <w:r>
        <w:rPr>
          <w:rFonts w:cs="Times New Roman"/>
        </w:rPr>
        <w:br w:type="textWrapping" w:clear="all"/>
      </w:r>
    </w:p>
    <w:p w:rsidR="00094668" w:rsidRDefault="00F507EF" w:rsidP="00635367">
      <w:r>
        <w:rPr>
          <w:b/>
        </w:rPr>
        <w:t>Graf 6</w:t>
      </w:r>
      <w:r w:rsidR="00EA77E1" w:rsidRPr="00DD5D48">
        <w:rPr>
          <w:b/>
        </w:rPr>
        <w:t>:</w:t>
      </w:r>
      <w:r w:rsidR="00EA77E1">
        <w:t xml:space="preserve"> Rozdělení respondentů užívající</w:t>
      </w:r>
      <w:r w:rsidR="00133CB4">
        <w:t>ch</w:t>
      </w:r>
      <w:r w:rsidR="00EA77E1">
        <w:t xml:space="preserve"> antidepresiva méně než dva roky a více než 5 let</w:t>
      </w:r>
    </w:p>
    <w:p w:rsidR="000F3632" w:rsidRDefault="000F3632" w:rsidP="00635367"/>
    <w:p w:rsidR="00EA77E1" w:rsidRDefault="00EA77E1" w:rsidP="00635367">
      <w:r>
        <w:t>Z grafu je zřejmé, že u respondentů, kteří</w:t>
      </w:r>
      <w:r w:rsidR="00DD5D48">
        <w:t xml:space="preserve"> užívají antidepresiva méně než dva roky a u respondentů užívajících antidepresiva více než 5 let není normální rozdělení. </w:t>
      </w:r>
    </w:p>
    <w:p w:rsidR="00E55909" w:rsidRDefault="00E55909" w:rsidP="00635367"/>
    <w:p w:rsidR="007C6D95" w:rsidRDefault="00E55909" w:rsidP="00635367">
      <w:r>
        <w:rPr>
          <w:b/>
        </w:rPr>
        <w:t>Tabulka 17</w:t>
      </w:r>
      <w:r w:rsidR="007C6D95">
        <w:t>: Wilcoxonův párový test</w:t>
      </w:r>
      <w:r>
        <w:t>-délka užívání antidepresiv</w:t>
      </w:r>
    </w:p>
    <w:tbl>
      <w:tblPr>
        <w:tblStyle w:val="Mkatabulky"/>
        <w:tblW w:w="93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39"/>
        <w:gridCol w:w="1565"/>
        <w:gridCol w:w="2134"/>
        <w:gridCol w:w="2419"/>
      </w:tblGrid>
      <w:tr w:rsidR="002D3859" w:rsidTr="007C6D95">
        <w:trPr>
          <w:trHeight w:val="518"/>
        </w:trPr>
        <w:tc>
          <w:tcPr>
            <w:tcW w:w="3239" w:type="dxa"/>
            <w:tcBorders>
              <w:top w:val="single" w:sz="12" w:space="0" w:color="auto"/>
              <w:left w:val="single" w:sz="12" w:space="0" w:color="auto"/>
              <w:bottom w:val="single" w:sz="12" w:space="0" w:color="auto"/>
              <w:right w:val="single" w:sz="12" w:space="0" w:color="auto"/>
            </w:tcBorders>
            <w:shd w:val="clear" w:color="auto" w:fill="EEECE1" w:themeFill="background2"/>
            <w:hideMark/>
          </w:tcPr>
          <w:p w:rsidR="002D3859" w:rsidRDefault="002D3859">
            <w:pPr>
              <w:tabs>
                <w:tab w:val="left" w:pos="5706"/>
              </w:tabs>
              <w:rPr>
                <w:b/>
              </w:rPr>
            </w:pPr>
            <w:r>
              <w:rPr>
                <w:b/>
              </w:rPr>
              <w:t>Dvojice proměnných</w:t>
            </w:r>
          </w:p>
        </w:tc>
        <w:tc>
          <w:tcPr>
            <w:tcW w:w="1565" w:type="dxa"/>
            <w:tcBorders>
              <w:top w:val="single" w:sz="12" w:space="0" w:color="auto"/>
              <w:left w:val="single" w:sz="12" w:space="0" w:color="auto"/>
              <w:bottom w:val="single" w:sz="12" w:space="0" w:color="auto"/>
              <w:right w:val="single" w:sz="4" w:space="0" w:color="auto"/>
            </w:tcBorders>
            <w:shd w:val="clear" w:color="auto" w:fill="EEECE1" w:themeFill="background2"/>
            <w:hideMark/>
          </w:tcPr>
          <w:p w:rsidR="002D3859" w:rsidRDefault="002D3859">
            <w:pPr>
              <w:tabs>
                <w:tab w:val="left" w:pos="5706"/>
              </w:tabs>
              <w:rPr>
                <w:b/>
              </w:rPr>
            </w:pPr>
            <w:r>
              <w:rPr>
                <w:b/>
              </w:rPr>
              <w:t>Počet pac.</w:t>
            </w:r>
          </w:p>
        </w:tc>
        <w:tc>
          <w:tcPr>
            <w:tcW w:w="2134" w:type="dxa"/>
            <w:tcBorders>
              <w:top w:val="single" w:sz="12" w:space="0" w:color="auto"/>
              <w:left w:val="single" w:sz="4" w:space="0" w:color="auto"/>
              <w:bottom w:val="single" w:sz="12" w:space="0" w:color="auto"/>
              <w:right w:val="single" w:sz="4" w:space="0" w:color="auto"/>
            </w:tcBorders>
            <w:shd w:val="clear" w:color="auto" w:fill="EEECE1" w:themeFill="background2"/>
            <w:hideMark/>
          </w:tcPr>
          <w:p w:rsidR="002D3859" w:rsidRDefault="002D3859">
            <w:pPr>
              <w:tabs>
                <w:tab w:val="left" w:pos="5706"/>
              </w:tabs>
              <w:rPr>
                <w:b/>
              </w:rPr>
            </w:pPr>
            <w:r>
              <w:rPr>
                <w:b/>
              </w:rPr>
              <w:t>W</w:t>
            </w:r>
          </w:p>
        </w:tc>
        <w:tc>
          <w:tcPr>
            <w:tcW w:w="2419" w:type="dxa"/>
            <w:tcBorders>
              <w:top w:val="single" w:sz="12" w:space="0" w:color="auto"/>
              <w:left w:val="single" w:sz="4" w:space="0" w:color="auto"/>
              <w:bottom w:val="single" w:sz="12" w:space="0" w:color="auto"/>
              <w:right w:val="single" w:sz="12" w:space="0" w:color="auto"/>
            </w:tcBorders>
            <w:shd w:val="clear" w:color="auto" w:fill="EEECE1" w:themeFill="background2"/>
            <w:hideMark/>
          </w:tcPr>
          <w:p w:rsidR="002D3859" w:rsidRDefault="002D3859">
            <w:pPr>
              <w:tabs>
                <w:tab w:val="left" w:pos="5706"/>
              </w:tabs>
              <w:rPr>
                <w:b/>
              </w:rPr>
            </w:pPr>
            <w:r>
              <w:rPr>
                <w:b/>
              </w:rPr>
              <w:t>Úroveň p</w:t>
            </w:r>
          </w:p>
        </w:tc>
      </w:tr>
      <w:tr w:rsidR="002D3859" w:rsidTr="007C6D95">
        <w:trPr>
          <w:trHeight w:val="540"/>
        </w:trPr>
        <w:tc>
          <w:tcPr>
            <w:tcW w:w="3239" w:type="dxa"/>
            <w:tcBorders>
              <w:top w:val="single" w:sz="4" w:space="0" w:color="auto"/>
              <w:left w:val="single" w:sz="12" w:space="0" w:color="auto"/>
              <w:bottom w:val="single" w:sz="4" w:space="0" w:color="auto"/>
              <w:right w:val="single" w:sz="12" w:space="0" w:color="auto"/>
            </w:tcBorders>
            <w:hideMark/>
          </w:tcPr>
          <w:p w:rsidR="002D3859" w:rsidRDefault="002D3859">
            <w:pPr>
              <w:tabs>
                <w:tab w:val="left" w:pos="5706"/>
              </w:tabs>
            </w:pPr>
            <w:r>
              <w:t>5 a vice let / 2 a méně let</w:t>
            </w:r>
          </w:p>
        </w:tc>
        <w:tc>
          <w:tcPr>
            <w:tcW w:w="1565" w:type="dxa"/>
            <w:tcBorders>
              <w:top w:val="single" w:sz="4" w:space="0" w:color="auto"/>
              <w:left w:val="single" w:sz="12" w:space="0" w:color="auto"/>
              <w:bottom w:val="single" w:sz="4" w:space="0" w:color="auto"/>
              <w:right w:val="single" w:sz="4" w:space="0" w:color="auto"/>
            </w:tcBorders>
            <w:hideMark/>
          </w:tcPr>
          <w:p w:rsidR="002D3859" w:rsidRDefault="002D3859">
            <w:pPr>
              <w:tabs>
                <w:tab w:val="left" w:pos="5706"/>
              </w:tabs>
            </w:pPr>
            <w:r>
              <w:t>28 / 32</w:t>
            </w:r>
          </w:p>
        </w:tc>
        <w:tc>
          <w:tcPr>
            <w:tcW w:w="2134" w:type="dxa"/>
            <w:tcBorders>
              <w:top w:val="single" w:sz="4" w:space="0" w:color="auto"/>
              <w:left w:val="single" w:sz="4" w:space="0" w:color="auto"/>
              <w:bottom w:val="single" w:sz="4" w:space="0" w:color="auto"/>
              <w:right w:val="single" w:sz="4" w:space="0" w:color="auto"/>
            </w:tcBorders>
            <w:hideMark/>
          </w:tcPr>
          <w:p w:rsidR="002D3859" w:rsidRDefault="002D3859">
            <w:pPr>
              <w:tabs>
                <w:tab w:val="left" w:pos="5706"/>
              </w:tabs>
            </w:pPr>
            <w:r>
              <w:t>438</w:t>
            </w:r>
          </w:p>
        </w:tc>
        <w:tc>
          <w:tcPr>
            <w:tcW w:w="2419" w:type="dxa"/>
            <w:tcBorders>
              <w:top w:val="single" w:sz="4" w:space="0" w:color="auto"/>
              <w:left w:val="single" w:sz="4" w:space="0" w:color="auto"/>
              <w:bottom w:val="single" w:sz="4" w:space="0" w:color="auto"/>
              <w:right w:val="single" w:sz="12" w:space="0" w:color="auto"/>
            </w:tcBorders>
            <w:hideMark/>
          </w:tcPr>
          <w:p w:rsidR="002D3859" w:rsidRDefault="002D3859">
            <w:pPr>
              <w:tabs>
                <w:tab w:val="left" w:pos="5706"/>
              </w:tabs>
              <w:rPr>
                <w:b/>
                <w:color w:val="000000" w:themeColor="text1"/>
              </w:rPr>
            </w:pPr>
            <w:r>
              <w:rPr>
                <w:b/>
                <w:color w:val="000000" w:themeColor="text1"/>
              </w:rPr>
              <w:t>0,8878</w:t>
            </w:r>
          </w:p>
        </w:tc>
      </w:tr>
    </w:tbl>
    <w:p w:rsidR="002D3859" w:rsidRDefault="002D3859" w:rsidP="002D3859">
      <w:r>
        <w:rPr>
          <w:sz w:val="16"/>
          <w:szCs w:val="16"/>
        </w:rPr>
        <w:t>Legenda: Počet  pac. – počet pacientů v testovaném souboru; p – hladina významnosti; W – testovací kritérium</w:t>
      </w:r>
    </w:p>
    <w:p w:rsidR="00DD5D48" w:rsidRPr="00DD5D48" w:rsidRDefault="00DD5D48" w:rsidP="00635367">
      <w:pPr>
        <w:rPr>
          <w:b/>
        </w:rPr>
      </w:pPr>
    </w:p>
    <w:p w:rsidR="00DD5D48" w:rsidRDefault="00DD5D48" w:rsidP="00DD5D48">
      <w:pPr>
        <w:rPr>
          <w:rFonts w:cs="Times New Roman"/>
        </w:rPr>
      </w:pPr>
      <w:r>
        <w:t>Z výsledku vyplývá, že p</w:t>
      </w:r>
      <w:r w:rsidR="008160E4">
        <w:t xml:space="preserve"> </w:t>
      </w:r>
      <w:r w:rsidR="008160E4">
        <w:rPr>
          <w:rFonts w:cs="Times New Roman"/>
        </w:rPr>
        <w:t>≥</w:t>
      </w:r>
      <w:r>
        <w:rPr>
          <w:rFonts w:cs="Times New Roman"/>
        </w:rPr>
        <w:t>α, H</w:t>
      </w:r>
      <w:r>
        <w:rPr>
          <w:rFonts w:cs="Times New Roman"/>
          <w:vertAlign w:val="subscript"/>
        </w:rPr>
        <w:t>0</w:t>
      </w:r>
      <w:r>
        <w:rPr>
          <w:rFonts w:cs="Times New Roman"/>
        </w:rPr>
        <w:t xml:space="preserve"> tedy nelze zamítnout.</w:t>
      </w:r>
    </w:p>
    <w:p w:rsidR="00DD5D48" w:rsidRDefault="00DD5D48" w:rsidP="00635367">
      <w:pPr>
        <w:rPr>
          <w:rFonts w:cs="Times New Roman"/>
          <w:b/>
        </w:rPr>
      </w:pPr>
      <w:r w:rsidRPr="00DD5D48">
        <w:rPr>
          <w:rFonts w:cs="Times New Roman"/>
        </w:rPr>
        <w:t>Subjektivní posouzení míry deprese u respondentů užívajících antidepresiva méně než dva roky a více než 5 let</w:t>
      </w:r>
      <w:r>
        <w:rPr>
          <w:rFonts w:cs="Times New Roman"/>
          <w:b/>
        </w:rPr>
        <w:t xml:space="preserve"> se významně nelišilo.</w:t>
      </w:r>
      <w:r w:rsidR="007C6D95">
        <w:rPr>
          <w:rFonts w:cs="Times New Roman"/>
          <w:b/>
        </w:rPr>
        <w:t> </w:t>
      </w:r>
    </w:p>
    <w:p w:rsidR="00FB1508" w:rsidRDefault="00FB1508" w:rsidP="00635367">
      <w:pPr>
        <w:rPr>
          <w:rFonts w:cs="Times New Roman"/>
          <w:b/>
        </w:rPr>
      </w:pPr>
    </w:p>
    <w:p w:rsidR="00A0565C" w:rsidRDefault="00A0565C" w:rsidP="00635367">
      <w:pPr>
        <w:rPr>
          <w:rFonts w:cs="Times New Roman"/>
          <w:b/>
        </w:rPr>
      </w:pPr>
    </w:p>
    <w:p w:rsidR="00A0565C" w:rsidRDefault="00A0565C" w:rsidP="00635367">
      <w:pPr>
        <w:rPr>
          <w:rFonts w:cs="Times New Roman"/>
          <w:b/>
        </w:rPr>
      </w:pPr>
    </w:p>
    <w:p w:rsidR="00C460F8" w:rsidRPr="007C6D95" w:rsidRDefault="008160E4" w:rsidP="008160E4">
      <w:pPr>
        <w:pStyle w:val="Nadpis4"/>
        <w:numPr>
          <w:ilvl w:val="0"/>
          <w:numId w:val="0"/>
        </w:numPr>
      </w:pPr>
      <w:r>
        <w:rPr>
          <w:rFonts w:eastAsiaTheme="minorHAnsi" w:cs="Times New Roman"/>
          <w:bCs w:val="0"/>
          <w:iCs w:val="0"/>
          <w:sz w:val="24"/>
        </w:rPr>
        <w:lastRenderedPageBreak/>
        <w:t> </w:t>
      </w:r>
      <w:bookmarkStart w:id="93" w:name="_Toc353433210"/>
      <w:r w:rsidR="00C460F8">
        <w:t xml:space="preserve">7.2.3 Subjektivní posouzení míry deprese u </w:t>
      </w:r>
      <w:r w:rsidR="00FB1508">
        <w:t>respondentů vzhledem k pohlaví</w:t>
      </w:r>
      <w:bookmarkEnd w:id="93"/>
      <w:r w:rsidR="00FB1508">
        <w:t xml:space="preserve"> </w:t>
      </w:r>
    </w:p>
    <w:p w:rsidR="00DD5D48" w:rsidRDefault="00E55909" w:rsidP="00635367">
      <w:pPr>
        <w:rPr>
          <w:rFonts w:cs="Times New Roman"/>
        </w:rPr>
      </w:pPr>
      <w:r>
        <w:rPr>
          <w:rFonts w:cs="Times New Roman"/>
          <w:b/>
        </w:rPr>
        <w:t>Tabulka 18</w:t>
      </w:r>
      <w:r w:rsidR="00DD5D48" w:rsidRPr="00DD5D48">
        <w:rPr>
          <w:rFonts w:cs="Times New Roman"/>
          <w:b/>
        </w:rPr>
        <w:t>:</w:t>
      </w:r>
      <w:r w:rsidR="00DD5D48">
        <w:rPr>
          <w:rFonts w:cs="Times New Roman"/>
        </w:rPr>
        <w:t xml:space="preserve"> Pohlaví respondentů</w:t>
      </w:r>
    </w:p>
    <w:tbl>
      <w:tblPr>
        <w:tblW w:w="8684" w:type="dxa"/>
        <w:tblInd w:w="60" w:type="dxa"/>
        <w:tblCellMar>
          <w:left w:w="70" w:type="dxa"/>
          <w:right w:w="70" w:type="dxa"/>
        </w:tblCellMar>
        <w:tblLook w:val="04A0" w:firstRow="1" w:lastRow="0" w:firstColumn="1" w:lastColumn="0" w:noHBand="0" w:noVBand="1"/>
      </w:tblPr>
      <w:tblGrid>
        <w:gridCol w:w="3224"/>
        <w:gridCol w:w="2672"/>
        <w:gridCol w:w="2788"/>
      </w:tblGrid>
      <w:tr w:rsidR="00DD5D48" w:rsidRPr="00DD5D48" w:rsidTr="00A0565C">
        <w:trPr>
          <w:trHeight w:val="537"/>
        </w:trPr>
        <w:tc>
          <w:tcPr>
            <w:tcW w:w="3224" w:type="dxa"/>
            <w:tcBorders>
              <w:top w:val="single" w:sz="8" w:space="0" w:color="auto"/>
              <w:left w:val="single" w:sz="8" w:space="0" w:color="auto"/>
              <w:bottom w:val="single" w:sz="4" w:space="0" w:color="auto"/>
              <w:right w:val="single" w:sz="4" w:space="0" w:color="auto"/>
            </w:tcBorders>
            <w:shd w:val="clear" w:color="auto" w:fill="EEECE1" w:themeFill="background2"/>
            <w:noWrap/>
            <w:vAlign w:val="bottom"/>
            <w:hideMark/>
          </w:tcPr>
          <w:p w:rsidR="00DD5D48" w:rsidRPr="005D7E26" w:rsidRDefault="00DD5D48" w:rsidP="00DD5D48">
            <w:pPr>
              <w:spacing w:line="240" w:lineRule="auto"/>
              <w:jc w:val="center"/>
              <w:rPr>
                <w:rFonts w:eastAsia="Times New Roman" w:cs="Times New Roman"/>
                <w:b/>
                <w:color w:val="000000"/>
                <w:szCs w:val="24"/>
                <w:lang w:eastAsia="cs-CZ"/>
              </w:rPr>
            </w:pPr>
            <w:r w:rsidRPr="005D7E26">
              <w:rPr>
                <w:rFonts w:eastAsia="Times New Roman" w:cs="Times New Roman"/>
                <w:b/>
                <w:color w:val="000000"/>
                <w:szCs w:val="24"/>
                <w:lang w:eastAsia="cs-CZ"/>
              </w:rPr>
              <w:t>Pohlaví</w:t>
            </w:r>
          </w:p>
        </w:tc>
        <w:tc>
          <w:tcPr>
            <w:tcW w:w="2672" w:type="dxa"/>
            <w:tcBorders>
              <w:top w:val="single" w:sz="8" w:space="0" w:color="auto"/>
              <w:left w:val="nil"/>
              <w:bottom w:val="single" w:sz="4" w:space="0" w:color="auto"/>
              <w:right w:val="single" w:sz="4" w:space="0" w:color="auto"/>
            </w:tcBorders>
            <w:shd w:val="clear" w:color="auto" w:fill="EEECE1" w:themeFill="background2"/>
            <w:noWrap/>
            <w:vAlign w:val="bottom"/>
            <w:hideMark/>
          </w:tcPr>
          <w:p w:rsidR="00DD5D48" w:rsidRPr="005D7E26" w:rsidRDefault="00DD5D48" w:rsidP="00DD5D48">
            <w:pPr>
              <w:spacing w:line="240" w:lineRule="auto"/>
              <w:jc w:val="center"/>
              <w:rPr>
                <w:rFonts w:eastAsia="Times New Roman" w:cs="Times New Roman"/>
                <w:b/>
                <w:color w:val="000000"/>
                <w:szCs w:val="24"/>
                <w:lang w:eastAsia="cs-CZ"/>
              </w:rPr>
            </w:pPr>
            <w:r w:rsidRPr="005D7E26">
              <w:rPr>
                <w:rFonts w:eastAsia="Times New Roman" w:cs="Times New Roman"/>
                <w:b/>
                <w:color w:val="000000"/>
                <w:szCs w:val="24"/>
                <w:lang w:eastAsia="cs-CZ"/>
              </w:rPr>
              <w:t>Absolutní četnost</w:t>
            </w:r>
          </w:p>
        </w:tc>
        <w:tc>
          <w:tcPr>
            <w:tcW w:w="2788" w:type="dxa"/>
            <w:tcBorders>
              <w:top w:val="single" w:sz="8" w:space="0" w:color="auto"/>
              <w:left w:val="nil"/>
              <w:bottom w:val="single" w:sz="4" w:space="0" w:color="auto"/>
              <w:right w:val="single" w:sz="8" w:space="0" w:color="auto"/>
            </w:tcBorders>
            <w:shd w:val="clear" w:color="auto" w:fill="EEECE1" w:themeFill="background2"/>
            <w:noWrap/>
            <w:vAlign w:val="bottom"/>
            <w:hideMark/>
          </w:tcPr>
          <w:p w:rsidR="00DD5D48" w:rsidRPr="005D7E26" w:rsidRDefault="00DD5D48" w:rsidP="00DD5D48">
            <w:pPr>
              <w:spacing w:line="240" w:lineRule="auto"/>
              <w:jc w:val="center"/>
              <w:rPr>
                <w:rFonts w:eastAsia="Times New Roman" w:cs="Times New Roman"/>
                <w:b/>
                <w:color w:val="000000"/>
                <w:szCs w:val="24"/>
                <w:lang w:eastAsia="cs-CZ"/>
              </w:rPr>
            </w:pPr>
            <w:r w:rsidRPr="005D7E26">
              <w:rPr>
                <w:rFonts w:eastAsia="Times New Roman" w:cs="Times New Roman"/>
                <w:b/>
                <w:color w:val="000000"/>
                <w:szCs w:val="24"/>
                <w:lang w:eastAsia="cs-CZ"/>
              </w:rPr>
              <w:t>Relativní četnost</w:t>
            </w:r>
          </w:p>
        </w:tc>
      </w:tr>
      <w:tr w:rsidR="00DD5D48" w:rsidRPr="00DD5D48" w:rsidTr="00DD5D48">
        <w:trPr>
          <w:trHeight w:val="537"/>
        </w:trPr>
        <w:tc>
          <w:tcPr>
            <w:tcW w:w="3224" w:type="dxa"/>
            <w:tcBorders>
              <w:top w:val="nil"/>
              <w:left w:val="single" w:sz="8" w:space="0" w:color="auto"/>
              <w:bottom w:val="single" w:sz="4" w:space="0" w:color="auto"/>
              <w:right w:val="single" w:sz="4" w:space="0" w:color="auto"/>
            </w:tcBorders>
            <w:shd w:val="clear" w:color="auto" w:fill="auto"/>
            <w:noWrap/>
            <w:vAlign w:val="bottom"/>
            <w:hideMark/>
          </w:tcPr>
          <w:p w:rsidR="00DD5D48" w:rsidRPr="005D7E26" w:rsidRDefault="00DD5D48" w:rsidP="00DD5D48">
            <w:pPr>
              <w:spacing w:line="240" w:lineRule="auto"/>
              <w:jc w:val="center"/>
              <w:rPr>
                <w:rFonts w:eastAsia="Times New Roman" w:cs="Times New Roman"/>
                <w:b/>
                <w:color w:val="000000"/>
                <w:szCs w:val="24"/>
                <w:lang w:eastAsia="cs-CZ"/>
              </w:rPr>
            </w:pPr>
            <w:r w:rsidRPr="005D7E26">
              <w:rPr>
                <w:rFonts w:eastAsia="Times New Roman" w:cs="Times New Roman"/>
                <w:b/>
                <w:color w:val="000000"/>
                <w:szCs w:val="24"/>
                <w:lang w:eastAsia="cs-CZ"/>
              </w:rPr>
              <w:t>Ženské</w:t>
            </w:r>
          </w:p>
        </w:tc>
        <w:tc>
          <w:tcPr>
            <w:tcW w:w="2672" w:type="dxa"/>
            <w:tcBorders>
              <w:top w:val="nil"/>
              <w:left w:val="nil"/>
              <w:bottom w:val="single" w:sz="4" w:space="0" w:color="auto"/>
              <w:right w:val="single" w:sz="4" w:space="0" w:color="auto"/>
            </w:tcBorders>
            <w:shd w:val="clear" w:color="auto" w:fill="auto"/>
            <w:noWrap/>
            <w:vAlign w:val="bottom"/>
            <w:hideMark/>
          </w:tcPr>
          <w:p w:rsidR="00DD5D48" w:rsidRPr="00DD5D48" w:rsidRDefault="00DD5D48" w:rsidP="00DD5D48">
            <w:pPr>
              <w:spacing w:line="240" w:lineRule="auto"/>
              <w:jc w:val="center"/>
              <w:rPr>
                <w:rFonts w:eastAsia="Times New Roman" w:cs="Times New Roman"/>
                <w:color w:val="000000"/>
                <w:szCs w:val="24"/>
                <w:lang w:eastAsia="cs-CZ"/>
              </w:rPr>
            </w:pPr>
            <w:r w:rsidRPr="00DD5D48">
              <w:rPr>
                <w:rFonts w:eastAsia="Times New Roman" w:cs="Times New Roman"/>
                <w:color w:val="000000"/>
                <w:szCs w:val="24"/>
                <w:lang w:eastAsia="cs-CZ"/>
              </w:rPr>
              <w:t>62</w:t>
            </w:r>
          </w:p>
        </w:tc>
        <w:tc>
          <w:tcPr>
            <w:tcW w:w="2788" w:type="dxa"/>
            <w:tcBorders>
              <w:top w:val="nil"/>
              <w:left w:val="nil"/>
              <w:bottom w:val="single" w:sz="4" w:space="0" w:color="auto"/>
              <w:right w:val="single" w:sz="8" w:space="0" w:color="auto"/>
            </w:tcBorders>
            <w:shd w:val="clear" w:color="auto" w:fill="auto"/>
            <w:noWrap/>
            <w:vAlign w:val="bottom"/>
            <w:hideMark/>
          </w:tcPr>
          <w:p w:rsidR="00DD5D48" w:rsidRPr="00DD5D48" w:rsidRDefault="00DD5D48" w:rsidP="00DD5D48">
            <w:pPr>
              <w:spacing w:line="240" w:lineRule="auto"/>
              <w:jc w:val="center"/>
              <w:rPr>
                <w:rFonts w:eastAsia="Times New Roman" w:cs="Times New Roman"/>
                <w:color w:val="000000"/>
                <w:szCs w:val="24"/>
                <w:lang w:eastAsia="cs-CZ"/>
              </w:rPr>
            </w:pPr>
            <w:r w:rsidRPr="00DD5D48">
              <w:rPr>
                <w:rFonts w:eastAsia="Times New Roman" w:cs="Times New Roman"/>
                <w:color w:val="000000"/>
                <w:szCs w:val="24"/>
                <w:lang w:eastAsia="cs-CZ"/>
              </w:rPr>
              <w:t>71,3</w:t>
            </w:r>
            <w:r w:rsidR="000F3632">
              <w:rPr>
                <w:rFonts w:eastAsia="Times New Roman" w:cs="Times New Roman"/>
                <w:color w:val="000000"/>
                <w:szCs w:val="24"/>
                <w:lang w:eastAsia="cs-CZ"/>
              </w:rPr>
              <w:t xml:space="preserve"> </w:t>
            </w:r>
            <w:r w:rsidRPr="00DD5D48">
              <w:rPr>
                <w:rFonts w:eastAsia="Times New Roman" w:cs="Times New Roman"/>
                <w:color w:val="000000"/>
                <w:szCs w:val="24"/>
                <w:lang w:eastAsia="cs-CZ"/>
              </w:rPr>
              <w:t>%</w:t>
            </w:r>
          </w:p>
        </w:tc>
      </w:tr>
      <w:tr w:rsidR="00DD5D48" w:rsidRPr="00DD5D48" w:rsidTr="00DD5D48">
        <w:trPr>
          <w:trHeight w:val="537"/>
        </w:trPr>
        <w:tc>
          <w:tcPr>
            <w:tcW w:w="3224" w:type="dxa"/>
            <w:tcBorders>
              <w:top w:val="nil"/>
              <w:left w:val="single" w:sz="8" w:space="0" w:color="auto"/>
              <w:bottom w:val="single" w:sz="4" w:space="0" w:color="auto"/>
              <w:right w:val="single" w:sz="4" w:space="0" w:color="auto"/>
            </w:tcBorders>
            <w:shd w:val="clear" w:color="auto" w:fill="auto"/>
            <w:noWrap/>
            <w:vAlign w:val="bottom"/>
            <w:hideMark/>
          </w:tcPr>
          <w:p w:rsidR="00DD5D48" w:rsidRPr="005D7E26" w:rsidRDefault="00DD5D48" w:rsidP="00DD5D48">
            <w:pPr>
              <w:spacing w:line="240" w:lineRule="auto"/>
              <w:jc w:val="center"/>
              <w:rPr>
                <w:rFonts w:eastAsia="Times New Roman" w:cs="Times New Roman"/>
                <w:b/>
                <w:color w:val="000000"/>
                <w:szCs w:val="24"/>
                <w:lang w:eastAsia="cs-CZ"/>
              </w:rPr>
            </w:pPr>
            <w:r w:rsidRPr="005D7E26">
              <w:rPr>
                <w:rFonts w:eastAsia="Times New Roman" w:cs="Times New Roman"/>
                <w:b/>
                <w:color w:val="000000"/>
                <w:szCs w:val="24"/>
                <w:lang w:eastAsia="cs-CZ"/>
              </w:rPr>
              <w:t>Mužské</w:t>
            </w:r>
          </w:p>
        </w:tc>
        <w:tc>
          <w:tcPr>
            <w:tcW w:w="2672" w:type="dxa"/>
            <w:tcBorders>
              <w:top w:val="nil"/>
              <w:left w:val="nil"/>
              <w:bottom w:val="single" w:sz="4" w:space="0" w:color="auto"/>
              <w:right w:val="single" w:sz="4" w:space="0" w:color="auto"/>
            </w:tcBorders>
            <w:shd w:val="clear" w:color="auto" w:fill="auto"/>
            <w:noWrap/>
            <w:vAlign w:val="bottom"/>
            <w:hideMark/>
          </w:tcPr>
          <w:p w:rsidR="00DD5D48" w:rsidRPr="00DD5D48" w:rsidRDefault="00DD5D48" w:rsidP="00DD5D48">
            <w:pPr>
              <w:spacing w:line="240" w:lineRule="auto"/>
              <w:jc w:val="center"/>
              <w:rPr>
                <w:rFonts w:eastAsia="Times New Roman" w:cs="Times New Roman"/>
                <w:color w:val="000000"/>
                <w:szCs w:val="24"/>
                <w:lang w:eastAsia="cs-CZ"/>
              </w:rPr>
            </w:pPr>
            <w:r w:rsidRPr="00DD5D48">
              <w:rPr>
                <w:rFonts w:eastAsia="Times New Roman" w:cs="Times New Roman"/>
                <w:color w:val="000000"/>
                <w:szCs w:val="24"/>
                <w:lang w:eastAsia="cs-CZ"/>
              </w:rPr>
              <w:t>25</w:t>
            </w:r>
          </w:p>
        </w:tc>
        <w:tc>
          <w:tcPr>
            <w:tcW w:w="2788" w:type="dxa"/>
            <w:tcBorders>
              <w:top w:val="nil"/>
              <w:left w:val="nil"/>
              <w:bottom w:val="single" w:sz="4" w:space="0" w:color="auto"/>
              <w:right w:val="single" w:sz="8" w:space="0" w:color="auto"/>
            </w:tcBorders>
            <w:shd w:val="clear" w:color="auto" w:fill="auto"/>
            <w:noWrap/>
            <w:vAlign w:val="bottom"/>
            <w:hideMark/>
          </w:tcPr>
          <w:p w:rsidR="00DD5D48" w:rsidRPr="00DD5D48" w:rsidRDefault="00DD5D48" w:rsidP="00DD5D48">
            <w:pPr>
              <w:spacing w:line="240" w:lineRule="auto"/>
              <w:jc w:val="center"/>
              <w:rPr>
                <w:rFonts w:eastAsia="Times New Roman" w:cs="Times New Roman"/>
                <w:color w:val="000000"/>
                <w:szCs w:val="24"/>
                <w:lang w:eastAsia="cs-CZ"/>
              </w:rPr>
            </w:pPr>
            <w:r w:rsidRPr="00DD5D48">
              <w:rPr>
                <w:rFonts w:eastAsia="Times New Roman" w:cs="Times New Roman"/>
                <w:color w:val="000000"/>
                <w:szCs w:val="24"/>
                <w:lang w:eastAsia="cs-CZ"/>
              </w:rPr>
              <w:t>28,7</w:t>
            </w:r>
            <w:r w:rsidR="000F3632">
              <w:rPr>
                <w:rFonts w:eastAsia="Times New Roman" w:cs="Times New Roman"/>
                <w:color w:val="000000"/>
                <w:szCs w:val="24"/>
                <w:lang w:eastAsia="cs-CZ"/>
              </w:rPr>
              <w:t xml:space="preserve"> </w:t>
            </w:r>
            <w:r w:rsidRPr="00DD5D48">
              <w:rPr>
                <w:rFonts w:eastAsia="Times New Roman" w:cs="Times New Roman"/>
                <w:color w:val="000000"/>
                <w:szCs w:val="24"/>
                <w:lang w:eastAsia="cs-CZ"/>
              </w:rPr>
              <w:t>%</w:t>
            </w:r>
          </w:p>
        </w:tc>
      </w:tr>
      <w:tr w:rsidR="00DD5D48" w:rsidRPr="00DD5D48" w:rsidTr="00DD5D48">
        <w:trPr>
          <w:trHeight w:val="562"/>
        </w:trPr>
        <w:tc>
          <w:tcPr>
            <w:tcW w:w="3224" w:type="dxa"/>
            <w:tcBorders>
              <w:top w:val="nil"/>
              <w:left w:val="single" w:sz="8" w:space="0" w:color="auto"/>
              <w:bottom w:val="single" w:sz="8" w:space="0" w:color="auto"/>
              <w:right w:val="single" w:sz="4" w:space="0" w:color="auto"/>
            </w:tcBorders>
            <w:shd w:val="clear" w:color="auto" w:fill="auto"/>
            <w:noWrap/>
            <w:vAlign w:val="bottom"/>
            <w:hideMark/>
          </w:tcPr>
          <w:p w:rsidR="00DD5D48" w:rsidRPr="005D7E26" w:rsidRDefault="00DD5D48" w:rsidP="00DD5D48">
            <w:pPr>
              <w:spacing w:line="240" w:lineRule="auto"/>
              <w:jc w:val="center"/>
              <w:rPr>
                <w:rFonts w:eastAsia="Times New Roman" w:cs="Times New Roman"/>
                <w:b/>
                <w:color w:val="000000"/>
                <w:szCs w:val="24"/>
                <w:lang w:eastAsia="cs-CZ"/>
              </w:rPr>
            </w:pPr>
            <w:r w:rsidRPr="005D7E26">
              <w:rPr>
                <w:rFonts w:eastAsia="Times New Roman" w:cs="Times New Roman"/>
                <w:b/>
                <w:color w:val="000000"/>
                <w:szCs w:val="24"/>
                <w:lang w:eastAsia="cs-CZ"/>
              </w:rPr>
              <w:t>Celkem</w:t>
            </w:r>
          </w:p>
        </w:tc>
        <w:tc>
          <w:tcPr>
            <w:tcW w:w="2672" w:type="dxa"/>
            <w:tcBorders>
              <w:top w:val="nil"/>
              <w:left w:val="nil"/>
              <w:bottom w:val="single" w:sz="8" w:space="0" w:color="auto"/>
              <w:right w:val="single" w:sz="4" w:space="0" w:color="auto"/>
            </w:tcBorders>
            <w:shd w:val="clear" w:color="auto" w:fill="auto"/>
            <w:noWrap/>
            <w:vAlign w:val="bottom"/>
            <w:hideMark/>
          </w:tcPr>
          <w:p w:rsidR="00DD5D48" w:rsidRPr="005D7E26" w:rsidRDefault="00DD5D48" w:rsidP="00DD5D48">
            <w:pPr>
              <w:spacing w:line="240" w:lineRule="auto"/>
              <w:jc w:val="center"/>
              <w:rPr>
                <w:rFonts w:eastAsia="Times New Roman" w:cs="Times New Roman"/>
                <w:b/>
                <w:color w:val="000000"/>
                <w:szCs w:val="24"/>
                <w:lang w:eastAsia="cs-CZ"/>
              </w:rPr>
            </w:pPr>
            <w:r w:rsidRPr="005D7E26">
              <w:rPr>
                <w:rFonts w:eastAsia="Times New Roman" w:cs="Times New Roman"/>
                <w:b/>
                <w:color w:val="000000"/>
                <w:szCs w:val="24"/>
                <w:lang w:eastAsia="cs-CZ"/>
              </w:rPr>
              <w:t>87</w:t>
            </w:r>
          </w:p>
        </w:tc>
        <w:tc>
          <w:tcPr>
            <w:tcW w:w="2788" w:type="dxa"/>
            <w:tcBorders>
              <w:top w:val="nil"/>
              <w:left w:val="nil"/>
              <w:bottom w:val="single" w:sz="8" w:space="0" w:color="auto"/>
              <w:right w:val="single" w:sz="8" w:space="0" w:color="auto"/>
            </w:tcBorders>
            <w:shd w:val="clear" w:color="auto" w:fill="auto"/>
            <w:noWrap/>
            <w:vAlign w:val="bottom"/>
            <w:hideMark/>
          </w:tcPr>
          <w:p w:rsidR="00DD5D48" w:rsidRPr="005D7E26" w:rsidRDefault="00DD5D48" w:rsidP="00DD5D48">
            <w:pPr>
              <w:spacing w:line="240" w:lineRule="auto"/>
              <w:jc w:val="center"/>
              <w:rPr>
                <w:rFonts w:eastAsia="Times New Roman" w:cs="Times New Roman"/>
                <w:b/>
                <w:color w:val="000000"/>
                <w:szCs w:val="24"/>
                <w:lang w:eastAsia="cs-CZ"/>
              </w:rPr>
            </w:pPr>
            <w:r w:rsidRPr="005D7E26">
              <w:rPr>
                <w:rFonts w:eastAsia="Times New Roman" w:cs="Times New Roman"/>
                <w:b/>
                <w:color w:val="000000"/>
                <w:szCs w:val="24"/>
                <w:lang w:eastAsia="cs-CZ"/>
              </w:rPr>
              <w:t>100,0</w:t>
            </w:r>
            <w:r w:rsidR="000F3632">
              <w:rPr>
                <w:rFonts w:eastAsia="Times New Roman" w:cs="Times New Roman"/>
                <w:b/>
                <w:color w:val="000000"/>
                <w:szCs w:val="24"/>
                <w:lang w:eastAsia="cs-CZ"/>
              </w:rPr>
              <w:t xml:space="preserve"> </w:t>
            </w:r>
            <w:r w:rsidRPr="005D7E26">
              <w:rPr>
                <w:rFonts w:eastAsia="Times New Roman" w:cs="Times New Roman"/>
                <w:b/>
                <w:color w:val="000000"/>
                <w:szCs w:val="24"/>
                <w:lang w:eastAsia="cs-CZ"/>
              </w:rPr>
              <w:t>%</w:t>
            </w:r>
          </w:p>
        </w:tc>
      </w:tr>
    </w:tbl>
    <w:p w:rsidR="00DD5D48" w:rsidRDefault="00DD5D48" w:rsidP="00635367">
      <w:pPr>
        <w:rPr>
          <w:rFonts w:cs="Times New Roman"/>
        </w:rPr>
      </w:pPr>
    </w:p>
    <w:p w:rsidR="004479C2" w:rsidRDefault="00DD5D48" w:rsidP="00635367">
      <w:pPr>
        <w:rPr>
          <w:rFonts w:cs="Times New Roman"/>
        </w:rPr>
      </w:pPr>
      <w:r>
        <w:rPr>
          <w:rFonts w:cs="Times New Roman"/>
        </w:rPr>
        <w:t xml:space="preserve">Z tabulky </w:t>
      </w:r>
      <w:r w:rsidR="004479C2">
        <w:rPr>
          <w:rFonts w:cs="Times New Roman"/>
        </w:rPr>
        <w:t xml:space="preserve">vyplývá, že se výzkumného šetření zúčastnilo 62 žen a 25 mužů. </w:t>
      </w:r>
    </w:p>
    <w:p w:rsidR="00FB1508" w:rsidRDefault="00FB1508" w:rsidP="00635367">
      <w:pPr>
        <w:rPr>
          <w:rFonts w:cs="Times New Roman"/>
        </w:rPr>
      </w:pPr>
    </w:p>
    <w:p w:rsidR="004479C2" w:rsidRDefault="004479C2" w:rsidP="00635367">
      <w:pPr>
        <w:rPr>
          <w:rFonts w:cs="Times New Roman"/>
        </w:rPr>
      </w:pPr>
      <w:r w:rsidRPr="004479C2">
        <w:rPr>
          <w:rFonts w:cs="Times New Roman"/>
          <w:noProof/>
          <w:lang w:eastAsia="cs-CZ"/>
        </w:rPr>
        <w:drawing>
          <wp:inline distT="0" distB="0" distL="0" distR="0" wp14:anchorId="170968C4" wp14:editId="5F04DEA6">
            <wp:extent cx="5475767" cy="2604977"/>
            <wp:effectExtent l="0" t="0" r="0" b="5080"/>
            <wp:docPr id="8" name="Graf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479C2" w:rsidRDefault="00F507EF" w:rsidP="00635367">
      <w:pPr>
        <w:rPr>
          <w:rFonts w:cs="Times New Roman"/>
        </w:rPr>
      </w:pPr>
      <w:r>
        <w:rPr>
          <w:rFonts w:cs="Times New Roman"/>
          <w:b/>
        </w:rPr>
        <w:t>Graf 7</w:t>
      </w:r>
      <w:r w:rsidR="004479C2">
        <w:rPr>
          <w:rFonts w:cs="Times New Roman"/>
        </w:rPr>
        <w:t>: Pohlaví respondentů</w:t>
      </w:r>
    </w:p>
    <w:p w:rsidR="007B2379" w:rsidRDefault="00A44428" w:rsidP="00635367">
      <w:pPr>
        <w:rPr>
          <w:rFonts w:cs="Times New Roman"/>
        </w:rPr>
      </w:pPr>
      <w:r w:rsidRPr="00A44428">
        <w:rPr>
          <w:rFonts w:cs="Times New Roman"/>
        </w:rPr>
        <w:t>Z grafu je zřejmé, že ve výzkumném šetření byla převaha žen. Žen</w:t>
      </w:r>
      <w:r w:rsidR="000F3632">
        <w:rPr>
          <w:rFonts w:cs="Times New Roman"/>
        </w:rPr>
        <w:t>y měly zastoupení        71,3 %,  z</w:t>
      </w:r>
      <w:r w:rsidRPr="00A44428">
        <w:rPr>
          <w:rFonts w:cs="Times New Roman"/>
        </w:rPr>
        <w:t>atímco muži pouze 28,7 %.</w:t>
      </w:r>
    </w:p>
    <w:p w:rsidR="007C6D95" w:rsidRDefault="007C6D95" w:rsidP="00635367">
      <w:pPr>
        <w:rPr>
          <w:rFonts w:cs="Times New Roman"/>
        </w:rPr>
      </w:pPr>
    </w:p>
    <w:p w:rsidR="007B2379" w:rsidRDefault="00E55909" w:rsidP="00635367">
      <w:pPr>
        <w:rPr>
          <w:rFonts w:cs="Times New Roman"/>
          <w:b/>
        </w:rPr>
      </w:pPr>
      <w:r>
        <w:rPr>
          <w:rFonts w:cs="Times New Roman"/>
          <w:b/>
        </w:rPr>
        <w:t>Tabulka 19</w:t>
      </w:r>
      <w:r w:rsidR="007B2379" w:rsidRPr="007B2379">
        <w:rPr>
          <w:rFonts w:cs="Times New Roman"/>
          <w:b/>
        </w:rPr>
        <w:t xml:space="preserve">: </w:t>
      </w:r>
      <w:r w:rsidR="007B2379">
        <w:rPr>
          <w:rFonts w:cs="Times New Roman"/>
          <w:b/>
        </w:rPr>
        <w:t>Hodnocení BDI vzhledem k pohlaví respondentů</w:t>
      </w:r>
    </w:p>
    <w:tbl>
      <w:tblPr>
        <w:tblW w:w="8805" w:type="dxa"/>
        <w:tblInd w:w="55" w:type="dxa"/>
        <w:tblCellMar>
          <w:left w:w="70" w:type="dxa"/>
          <w:right w:w="70" w:type="dxa"/>
        </w:tblCellMar>
        <w:tblLook w:val="04A0" w:firstRow="1" w:lastRow="0" w:firstColumn="1" w:lastColumn="0" w:noHBand="0" w:noVBand="1"/>
      </w:tblPr>
      <w:tblGrid>
        <w:gridCol w:w="2895"/>
        <w:gridCol w:w="1901"/>
        <w:gridCol w:w="1984"/>
        <w:gridCol w:w="2025"/>
      </w:tblGrid>
      <w:tr w:rsidR="007B2379" w:rsidRPr="007B2379" w:rsidTr="00A0565C">
        <w:trPr>
          <w:trHeight w:val="605"/>
        </w:trPr>
        <w:tc>
          <w:tcPr>
            <w:tcW w:w="2895"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7B2379" w:rsidRPr="007B2379" w:rsidRDefault="007B2379" w:rsidP="00A0565C">
            <w:pPr>
              <w:spacing w:line="240" w:lineRule="auto"/>
              <w:jc w:val="center"/>
              <w:rPr>
                <w:rFonts w:eastAsia="Times New Roman" w:cs="Times New Roman"/>
                <w:b/>
                <w:color w:val="000000"/>
                <w:szCs w:val="24"/>
                <w:lang w:eastAsia="cs-CZ"/>
              </w:rPr>
            </w:pPr>
            <w:r w:rsidRPr="007B2379">
              <w:rPr>
                <w:rFonts w:eastAsia="Times New Roman" w:cs="Times New Roman"/>
                <w:b/>
                <w:color w:val="000000"/>
                <w:szCs w:val="24"/>
                <w:lang w:eastAsia="cs-CZ"/>
              </w:rPr>
              <w:t>Pohlaví respondentů</w:t>
            </w:r>
          </w:p>
        </w:tc>
        <w:tc>
          <w:tcPr>
            <w:tcW w:w="1901"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7B2379" w:rsidRPr="007B2379" w:rsidRDefault="007B2379" w:rsidP="00A0565C">
            <w:pPr>
              <w:spacing w:line="240" w:lineRule="auto"/>
              <w:jc w:val="center"/>
              <w:rPr>
                <w:rFonts w:eastAsia="Times New Roman" w:cs="Times New Roman"/>
                <w:b/>
                <w:color w:val="000000"/>
                <w:szCs w:val="24"/>
                <w:lang w:eastAsia="cs-CZ"/>
              </w:rPr>
            </w:pPr>
            <w:r w:rsidRPr="007B2379">
              <w:rPr>
                <w:rFonts w:eastAsia="Times New Roman" w:cs="Times New Roman"/>
                <w:b/>
                <w:color w:val="000000"/>
                <w:szCs w:val="24"/>
                <w:lang w:eastAsia="cs-CZ"/>
              </w:rPr>
              <w:t>Absolutní četnost</w:t>
            </w:r>
          </w:p>
        </w:tc>
        <w:tc>
          <w:tcPr>
            <w:tcW w:w="1984"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7B2379" w:rsidRPr="007B2379" w:rsidRDefault="00A0565C" w:rsidP="00A0565C">
            <w:pPr>
              <w:spacing w:line="240" w:lineRule="auto"/>
              <w:jc w:val="center"/>
              <w:rPr>
                <w:rFonts w:eastAsia="Times New Roman" w:cs="Times New Roman"/>
                <w:b/>
                <w:color w:val="000000"/>
                <w:szCs w:val="24"/>
                <w:lang w:eastAsia="cs-CZ"/>
              </w:rPr>
            </w:pPr>
            <w:r>
              <w:rPr>
                <w:rFonts w:eastAsia="Times New Roman" w:cs="Times New Roman"/>
                <w:b/>
                <w:color w:val="000000"/>
                <w:szCs w:val="24"/>
                <w:lang w:eastAsia="cs-CZ"/>
              </w:rPr>
              <w:t xml:space="preserve">Počet bodů </w:t>
            </w:r>
            <w:r w:rsidR="007B2379" w:rsidRPr="007B2379">
              <w:rPr>
                <w:rFonts w:eastAsia="Times New Roman" w:cs="Times New Roman"/>
                <w:b/>
                <w:color w:val="000000"/>
                <w:szCs w:val="24"/>
                <w:lang w:eastAsia="cs-CZ"/>
              </w:rPr>
              <w:t xml:space="preserve"> BDI</w:t>
            </w:r>
          </w:p>
        </w:tc>
        <w:tc>
          <w:tcPr>
            <w:tcW w:w="2025"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7B2379" w:rsidRPr="007B2379" w:rsidRDefault="007B2379" w:rsidP="00A0565C">
            <w:pPr>
              <w:spacing w:line="240" w:lineRule="auto"/>
              <w:jc w:val="center"/>
              <w:rPr>
                <w:rFonts w:eastAsia="Times New Roman" w:cs="Times New Roman"/>
                <w:b/>
                <w:color w:val="000000"/>
                <w:szCs w:val="24"/>
                <w:lang w:eastAsia="cs-CZ"/>
              </w:rPr>
            </w:pPr>
            <w:r w:rsidRPr="007B2379">
              <w:rPr>
                <w:rFonts w:eastAsia="Times New Roman" w:cs="Times New Roman"/>
                <w:b/>
                <w:color w:val="000000"/>
                <w:szCs w:val="24"/>
                <w:lang w:eastAsia="cs-CZ"/>
              </w:rPr>
              <w:t>Průměrná hodnota</w:t>
            </w:r>
          </w:p>
        </w:tc>
      </w:tr>
      <w:tr w:rsidR="007B2379" w:rsidRPr="007B2379" w:rsidTr="00A44428">
        <w:trPr>
          <w:trHeight w:val="605"/>
        </w:trPr>
        <w:tc>
          <w:tcPr>
            <w:tcW w:w="2895" w:type="dxa"/>
            <w:tcBorders>
              <w:top w:val="nil"/>
              <w:left w:val="single" w:sz="4" w:space="0" w:color="auto"/>
              <w:bottom w:val="single" w:sz="4" w:space="0" w:color="auto"/>
              <w:right w:val="single" w:sz="4" w:space="0" w:color="auto"/>
            </w:tcBorders>
            <w:shd w:val="clear" w:color="auto" w:fill="auto"/>
            <w:noWrap/>
            <w:vAlign w:val="bottom"/>
            <w:hideMark/>
          </w:tcPr>
          <w:p w:rsidR="007B2379" w:rsidRPr="007B2379" w:rsidRDefault="007B2379" w:rsidP="007B2379">
            <w:pPr>
              <w:spacing w:line="240" w:lineRule="auto"/>
              <w:jc w:val="center"/>
              <w:rPr>
                <w:rFonts w:eastAsia="Times New Roman" w:cs="Times New Roman"/>
                <w:b/>
                <w:color w:val="000000"/>
                <w:szCs w:val="24"/>
                <w:lang w:eastAsia="cs-CZ"/>
              </w:rPr>
            </w:pPr>
            <w:r w:rsidRPr="007B2379">
              <w:rPr>
                <w:rFonts w:eastAsia="Times New Roman" w:cs="Times New Roman"/>
                <w:b/>
                <w:color w:val="000000"/>
                <w:szCs w:val="24"/>
                <w:lang w:eastAsia="cs-CZ"/>
              </w:rPr>
              <w:t>Ženy</w:t>
            </w:r>
          </w:p>
        </w:tc>
        <w:tc>
          <w:tcPr>
            <w:tcW w:w="1901" w:type="dxa"/>
            <w:tcBorders>
              <w:top w:val="nil"/>
              <w:left w:val="nil"/>
              <w:bottom w:val="single" w:sz="4" w:space="0" w:color="auto"/>
              <w:right w:val="single" w:sz="4" w:space="0" w:color="auto"/>
            </w:tcBorders>
            <w:shd w:val="clear" w:color="auto" w:fill="auto"/>
            <w:noWrap/>
            <w:vAlign w:val="bottom"/>
            <w:hideMark/>
          </w:tcPr>
          <w:p w:rsidR="007B2379" w:rsidRPr="007B2379" w:rsidRDefault="007B2379" w:rsidP="00A0565C">
            <w:pPr>
              <w:spacing w:line="240" w:lineRule="auto"/>
              <w:jc w:val="center"/>
              <w:rPr>
                <w:rFonts w:eastAsia="Times New Roman" w:cs="Times New Roman"/>
                <w:color w:val="000000"/>
                <w:szCs w:val="24"/>
                <w:lang w:eastAsia="cs-CZ"/>
              </w:rPr>
            </w:pPr>
            <w:r w:rsidRPr="007B2379">
              <w:rPr>
                <w:rFonts w:eastAsia="Times New Roman" w:cs="Times New Roman"/>
                <w:color w:val="000000"/>
                <w:szCs w:val="24"/>
                <w:lang w:eastAsia="cs-CZ"/>
              </w:rPr>
              <w:t>62</w:t>
            </w:r>
          </w:p>
        </w:tc>
        <w:tc>
          <w:tcPr>
            <w:tcW w:w="1984" w:type="dxa"/>
            <w:tcBorders>
              <w:top w:val="nil"/>
              <w:left w:val="nil"/>
              <w:bottom w:val="single" w:sz="4" w:space="0" w:color="auto"/>
              <w:right w:val="single" w:sz="4" w:space="0" w:color="auto"/>
            </w:tcBorders>
            <w:shd w:val="clear" w:color="auto" w:fill="auto"/>
            <w:noWrap/>
            <w:vAlign w:val="bottom"/>
            <w:hideMark/>
          </w:tcPr>
          <w:p w:rsidR="007B2379" w:rsidRPr="007B2379" w:rsidRDefault="007B2379" w:rsidP="00A0565C">
            <w:pPr>
              <w:spacing w:line="240" w:lineRule="auto"/>
              <w:jc w:val="center"/>
              <w:rPr>
                <w:rFonts w:eastAsia="Times New Roman" w:cs="Times New Roman"/>
                <w:color w:val="000000"/>
                <w:szCs w:val="24"/>
                <w:lang w:eastAsia="cs-CZ"/>
              </w:rPr>
            </w:pPr>
            <w:r w:rsidRPr="007B2379">
              <w:rPr>
                <w:rFonts w:eastAsia="Times New Roman" w:cs="Times New Roman"/>
                <w:color w:val="000000"/>
                <w:szCs w:val="24"/>
                <w:lang w:eastAsia="cs-CZ"/>
              </w:rPr>
              <w:t>624</w:t>
            </w:r>
          </w:p>
        </w:tc>
        <w:tc>
          <w:tcPr>
            <w:tcW w:w="2025" w:type="dxa"/>
            <w:tcBorders>
              <w:top w:val="nil"/>
              <w:left w:val="nil"/>
              <w:bottom w:val="single" w:sz="4" w:space="0" w:color="auto"/>
              <w:right w:val="single" w:sz="4" w:space="0" w:color="auto"/>
            </w:tcBorders>
            <w:shd w:val="clear" w:color="auto" w:fill="auto"/>
            <w:noWrap/>
            <w:vAlign w:val="bottom"/>
            <w:hideMark/>
          </w:tcPr>
          <w:p w:rsidR="007B2379" w:rsidRPr="007B2379" w:rsidRDefault="007B2379" w:rsidP="00A0565C">
            <w:pPr>
              <w:spacing w:line="240" w:lineRule="auto"/>
              <w:jc w:val="center"/>
              <w:rPr>
                <w:rFonts w:eastAsia="Times New Roman" w:cs="Times New Roman"/>
                <w:color w:val="000000"/>
                <w:szCs w:val="24"/>
                <w:lang w:eastAsia="cs-CZ"/>
              </w:rPr>
            </w:pPr>
            <w:r w:rsidRPr="007B2379">
              <w:rPr>
                <w:rFonts w:eastAsia="Times New Roman" w:cs="Times New Roman"/>
                <w:color w:val="000000"/>
                <w:szCs w:val="24"/>
                <w:lang w:eastAsia="cs-CZ"/>
              </w:rPr>
              <w:t>10</w:t>
            </w:r>
          </w:p>
        </w:tc>
      </w:tr>
      <w:tr w:rsidR="007B2379" w:rsidRPr="007B2379" w:rsidTr="00A44428">
        <w:trPr>
          <w:trHeight w:val="605"/>
        </w:trPr>
        <w:tc>
          <w:tcPr>
            <w:tcW w:w="2895" w:type="dxa"/>
            <w:tcBorders>
              <w:top w:val="nil"/>
              <w:left w:val="single" w:sz="4" w:space="0" w:color="auto"/>
              <w:bottom w:val="single" w:sz="4" w:space="0" w:color="auto"/>
              <w:right w:val="single" w:sz="4" w:space="0" w:color="auto"/>
            </w:tcBorders>
            <w:shd w:val="clear" w:color="auto" w:fill="auto"/>
            <w:noWrap/>
            <w:vAlign w:val="bottom"/>
            <w:hideMark/>
          </w:tcPr>
          <w:p w:rsidR="007B2379" w:rsidRPr="007B2379" w:rsidRDefault="007B2379" w:rsidP="007B2379">
            <w:pPr>
              <w:spacing w:line="240" w:lineRule="auto"/>
              <w:jc w:val="center"/>
              <w:rPr>
                <w:rFonts w:eastAsia="Times New Roman" w:cs="Times New Roman"/>
                <w:b/>
                <w:color w:val="000000"/>
                <w:szCs w:val="24"/>
                <w:lang w:eastAsia="cs-CZ"/>
              </w:rPr>
            </w:pPr>
            <w:r w:rsidRPr="007B2379">
              <w:rPr>
                <w:rFonts w:eastAsia="Times New Roman" w:cs="Times New Roman"/>
                <w:b/>
                <w:color w:val="000000"/>
                <w:szCs w:val="24"/>
                <w:lang w:eastAsia="cs-CZ"/>
              </w:rPr>
              <w:t>Muži</w:t>
            </w:r>
          </w:p>
        </w:tc>
        <w:tc>
          <w:tcPr>
            <w:tcW w:w="1901" w:type="dxa"/>
            <w:tcBorders>
              <w:top w:val="nil"/>
              <w:left w:val="nil"/>
              <w:bottom w:val="single" w:sz="4" w:space="0" w:color="auto"/>
              <w:right w:val="single" w:sz="4" w:space="0" w:color="auto"/>
            </w:tcBorders>
            <w:shd w:val="clear" w:color="auto" w:fill="auto"/>
            <w:noWrap/>
            <w:vAlign w:val="bottom"/>
            <w:hideMark/>
          </w:tcPr>
          <w:p w:rsidR="007B2379" w:rsidRPr="007B2379" w:rsidRDefault="007B2379" w:rsidP="00A0565C">
            <w:pPr>
              <w:spacing w:line="240" w:lineRule="auto"/>
              <w:jc w:val="center"/>
              <w:rPr>
                <w:rFonts w:eastAsia="Times New Roman" w:cs="Times New Roman"/>
                <w:color w:val="000000"/>
                <w:szCs w:val="24"/>
                <w:lang w:eastAsia="cs-CZ"/>
              </w:rPr>
            </w:pPr>
            <w:r w:rsidRPr="007B2379">
              <w:rPr>
                <w:rFonts w:eastAsia="Times New Roman" w:cs="Times New Roman"/>
                <w:color w:val="000000"/>
                <w:szCs w:val="24"/>
                <w:lang w:eastAsia="cs-CZ"/>
              </w:rPr>
              <w:t>25</w:t>
            </w:r>
          </w:p>
        </w:tc>
        <w:tc>
          <w:tcPr>
            <w:tcW w:w="1984" w:type="dxa"/>
            <w:tcBorders>
              <w:top w:val="nil"/>
              <w:left w:val="nil"/>
              <w:bottom w:val="single" w:sz="4" w:space="0" w:color="auto"/>
              <w:right w:val="single" w:sz="4" w:space="0" w:color="auto"/>
            </w:tcBorders>
            <w:shd w:val="clear" w:color="auto" w:fill="auto"/>
            <w:noWrap/>
            <w:vAlign w:val="bottom"/>
            <w:hideMark/>
          </w:tcPr>
          <w:p w:rsidR="007B2379" w:rsidRPr="007B2379" w:rsidRDefault="007B2379" w:rsidP="00A0565C">
            <w:pPr>
              <w:spacing w:line="240" w:lineRule="auto"/>
              <w:jc w:val="center"/>
              <w:rPr>
                <w:rFonts w:eastAsia="Times New Roman" w:cs="Times New Roman"/>
                <w:color w:val="000000"/>
                <w:szCs w:val="24"/>
                <w:lang w:eastAsia="cs-CZ"/>
              </w:rPr>
            </w:pPr>
            <w:r w:rsidRPr="007B2379">
              <w:rPr>
                <w:rFonts w:eastAsia="Times New Roman" w:cs="Times New Roman"/>
                <w:color w:val="000000"/>
                <w:szCs w:val="24"/>
                <w:lang w:eastAsia="cs-CZ"/>
              </w:rPr>
              <w:t>255</w:t>
            </w:r>
          </w:p>
        </w:tc>
        <w:tc>
          <w:tcPr>
            <w:tcW w:w="2025" w:type="dxa"/>
            <w:tcBorders>
              <w:top w:val="nil"/>
              <w:left w:val="nil"/>
              <w:bottom w:val="single" w:sz="4" w:space="0" w:color="auto"/>
              <w:right w:val="single" w:sz="4" w:space="0" w:color="auto"/>
            </w:tcBorders>
            <w:shd w:val="clear" w:color="auto" w:fill="auto"/>
            <w:noWrap/>
            <w:vAlign w:val="bottom"/>
            <w:hideMark/>
          </w:tcPr>
          <w:p w:rsidR="007B2379" w:rsidRPr="007B2379" w:rsidRDefault="007B2379" w:rsidP="00A0565C">
            <w:pPr>
              <w:spacing w:line="240" w:lineRule="auto"/>
              <w:jc w:val="center"/>
              <w:rPr>
                <w:rFonts w:eastAsia="Times New Roman" w:cs="Times New Roman"/>
                <w:color w:val="000000"/>
                <w:szCs w:val="24"/>
                <w:lang w:eastAsia="cs-CZ"/>
              </w:rPr>
            </w:pPr>
            <w:r w:rsidRPr="007B2379">
              <w:rPr>
                <w:rFonts w:eastAsia="Times New Roman" w:cs="Times New Roman"/>
                <w:color w:val="000000"/>
                <w:szCs w:val="24"/>
                <w:lang w:eastAsia="cs-CZ"/>
              </w:rPr>
              <w:t>10</w:t>
            </w:r>
          </w:p>
        </w:tc>
      </w:tr>
    </w:tbl>
    <w:p w:rsidR="007B2379" w:rsidRDefault="007B2379" w:rsidP="00635367">
      <w:pPr>
        <w:rPr>
          <w:rFonts w:cs="Times New Roman"/>
          <w:b/>
        </w:rPr>
      </w:pPr>
    </w:p>
    <w:p w:rsidR="00A44428" w:rsidRPr="00A44428" w:rsidRDefault="00A44428" w:rsidP="00635367">
      <w:pPr>
        <w:rPr>
          <w:rFonts w:cs="Times New Roman"/>
        </w:rPr>
      </w:pPr>
      <w:r>
        <w:rPr>
          <w:rFonts w:cs="Times New Roman"/>
        </w:rPr>
        <w:lastRenderedPageBreak/>
        <w:t>Z tabulky vyplývá, že průměrná hodnota u mužů i žen v Beckově sebeposuzovací škále je 10 bodů.</w:t>
      </w:r>
    </w:p>
    <w:p w:rsidR="00FB1508" w:rsidRDefault="00FB1508" w:rsidP="00635367">
      <w:pPr>
        <w:rPr>
          <w:rFonts w:cs="Times New Roman"/>
        </w:rPr>
      </w:pPr>
    </w:p>
    <w:p w:rsidR="004479C2" w:rsidRDefault="000F3632" w:rsidP="00635367">
      <w:pPr>
        <w:rPr>
          <w:rFonts w:cs="Times New Roman"/>
        </w:rPr>
      </w:pPr>
      <w:r>
        <w:rPr>
          <w:rFonts w:cs="Times New Roman"/>
        </w:rPr>
        <w:t>Na základě výzkumné otázky č. 3</w:t>
      </w:r>
      <w:r w:rsidR="004479C2">
        <w:rPr>
          <w:rFonts w:cs="Times New Roman"/>
        </w:rPr>
        <w:t xml:space="preserve"> byla stanovena hypotéza.</w:t>
      </w:r>
    </w:p>
    <w:p w:rsidR="004479C2" w:rsidRDefault="004479C2" w:rsidP="00635367">
      <w:pPr>
        <w:rPr>
          <w:b/>
        </w:rPr>
      </w:pPr>
      <w:r w:rsidRPr="004479C2">
        <w:rPr>
          <w:rFonts w:cs="Times New Roman"/>
          <w:b/>
        </w:rPr>
        <w:t>H3:</w:t>
      </w:r>
      <w:r>
        <w:rPr>
          <w:rFonts w:cs="Times New Roman"/>
        </w:rPr>
        <w:t xml:space="preserve"> </w:t>
      </w:r>
      <w:r w:rsidRPr="00FB1508">
        <w:rPr>
          <w:b/>
        </w:rPr>
        <w:t>Muži subjektivně hůře posuzují míru deprese než ženy.</w:t>
      </w:r>
    </w:p>
    <w:p w:rsidR="00FB1508" w:rsidRDefault="00FB1508" w:rsidP="00635367"/>
    <w:p w:rsidR="004479C2" w:rsidRDefault="004479C2" w:rsidP="004479C2">
      <w:r>
        <w:t xml:space="preserve">Ke zjišťování této hypotézy byla zvolena statistická metoda Wilcoxonova neparametrického testu. </w:t>
      </w:r>
    </w:p>
    <w:p w:rsidR="004479C2" w:rsidRDefault="004479C2" w:rsidP="004479C2">
      <w:r>
        <w:rPr>
          <w:rFonts w:cs="Times New Roman"/>
        </w:rPr>
        <w:t>α</w:t>
      </w:r>
      <w:r>
        <w:t>= 0,05</w:t>
      </w:r>
    </w:p>
    <w:p w:rsidR="00133CB4" w:rsidRDefault="004479C2" w:rsidP="00133CB4">
      <w:r>
        <w:t xml:space="preserve">pokud: </w:t>
      </w:r>
      <w:r w:rsidR="00133CB4">
        <w:t>p ≥ α, pak H0 nelze zamítnout</w:t>
      </w:r>
    </w:p>
    <w:p w:rsidR="004479C2" w:rsidRDefault="00133CB4" w:rsidP="00133CB4">
      <w:r>
        <w:t xml:space="preserve">            p &lt; α, pak H0 zamítáme</w:t>
      </w:r>
    </w:p>
    <w:p w:rsidR="00385286" w:rsidRDefault="00385286" w:rsidP="00133CB4">
      <w:pPr>
        <w:rPr>
          <w:rFonts w:cs="Times New Roman"/>
        </w:rPr>
      </w:pPr>
    </w:p>
    <w:p w:rsidR="004479C2" w:rsidRDefault="004479C2" w:rsidP="00635367">
      <w:pPr>
        <w:rPr>
          <w:rFonts w:cs="Times New Roman"/>
        </w:rPr>
      </w:pPr>
      <w:r>
        <w:rPr>
          <w:rFonts w:cs="Times New Roman"/>
        </w:rPr>
        <w:t>Za použití Shapiro-Wilk normality testu bylo zjištěno, že respondenti nemají normální rozdělení. Toto rozdělení je zobrazeno na grafu č. 7. Pro stan</w:t>
      </w:r>
      <w:r w:rsidR="00385286">
        <w:rPr>
          <w:rFonts w:cs="Times New Roman"/>
        </w:rPr>
        <w:t>ovení této hypotézy tedy nemohl</w:t>
      </w:r>
      <w:r>
        <w:rPr>
          <w:rFonts w:cs="Times New Roman"/>
        </w:rPr>
        <w:t xml:space="preserve"> být užit T test ani F test.</w:t>
      </w:r>
      <w:r w:rsidR="00FB1508">
        <w:rPr>
          <w:rFonts w:cs="Times New Roman"/>
        </w:rPr>
        <w:t xml:space="preserve"> </w:t>
      </w:r>
    </w:p>
    <w:p w:rsidR="004479C2" w:rsidRDefault="004479C2" w:rsidP="00635367">
      <w:pPr>
        <w:rPr>
          <w:rFonts w:cs="Times New Roman"/>
        </w:rPr>
      </w:pPr>
      <w:r>
        <w:rPr>
          <w:rFonts w:cs="Times New Roman"/>
        </w:rPr>
        <w:t xml:space="preserve"> </w:t>
      </w:r>
      <w:r w:rsidRPr="004479C2">
        <w:rPr>
          <w:rFonts w:cs="Times New Roman"/>
          <w:noProof/>
          <w:lang w:eastAsia="cs-CZ"/>
        </w:rPr>
        <w:drawing>
          <wp:inline distT="0" distB="0" distL="0" distR="0" wp14:anchorId="58DE7007" wp14:editId="687CA1B2">
            <wp:extent cx="3274828" cy="3072809"/>
            <wp:effectExtent l="0" t="0" r="0" b="0"/>
            <wp:docPr id="9"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76505" cy="3074383"/>
                    </a:xfrm>
                    <a:prstGeom prst="rect">
                      <a:avLst/>
                    </a:prstGeom>
                    <a:noFill/>
                    <a:ln>
                      <a:noFill/>
                    </a:ln>
                  </pic:spPr>
                </pic:pic>
              </a:graphicData>
            </a:graphic>
          </wp:inline>
        </w:drawing>
      </w:r>
    </w:p>
    <w:p w:rsidR="004479C2" w:rsidRDefault="00E55909" w:rsidP="00635367">
      <w:pPr>
        <w:rPr>
          <w:rFonts w:cs="Times New Roman"/>
        </w:rPr>
      </w:pPr>
      <w:r>
        <w:rPr>
          <w:rFonts w:cs="Times New Roman"/>
          <w:b/>
        </w:rPr>
        <w:t>Graf 8</w:t>
      </w:r>
      <w:r w:rsidR="004479C2">
        <w:rPr>
          <w:rFonts w:cs="Times New Roman"/>
        </w:rPr>
        <w:t xml:space="preserve">: </w:t>
      </w:r>
      <w:r w:rsidR="003236E7">
        <w:rPr>
          <w:rFonts w:cs="Times New Roman"/>
        </w:rPr>
        <w:t>Rozdělení respondentů dle pohlaví</w:t>
      </w:r>
    </w:p>
    <w:p w:rsidR="003236E7" w:rsidRDefault="003236E7" w:rsidP="00635367">
      <w:pPr>
        <w:rPr>
          <w:rFonts w:cs="Times New Roman"/>
        </w:rPr>
      </w:pPr>
      <w:r>
        <w:rPr>
          <w:rFonts w:cs="Times New Roman"/>
        </w:rPr>
        <w:t>Z grafu je patrné, že data nemají normální rozdělení.</w:t>
      </w:r>
    </w:p>
    <w:p w:rsidR="007C6D95" w:rsidRDefault="007C6D95" w:rsidP="00635367">
      <w:pPr>
        <w:rPr>
          <w:rFonts w:cs="Times New Roman"/>
        </w:rPr>
      </w:pPr>
    </w:p>
    <w:p w:rsidR="007C6D95" w:rsidRDefault="00E55909" w:rsidP="00635367">
      <w:pPr>
        <w:rPr>
          <w:rFonts w:cs="Times New Roman"/>
        </w:rPr>
      </w:pPr>
      <w:r>
        <w:rPr>
          <w:rFonts w:cs="Times New Roman"/>
          <w:b/>
        </w:rPr>
        <w:t>Tabulka 20</w:t>
      </w:r>
      <w:r w:rsidR="007C6D95" w:rsidRPr="007C6D95">
        <w:rPr>
          <w:rFonts w:cs="Times New Roman"/>
          <w:b/>
        </w:rPr>
        <w:t>:</w:t>
      </w:r>
      <w:r w:rsidR="007C6D95">
        <w:rPr>
          <w:rFonts w:cs="Times New Roman"/>
        </w:rPr>
        <w:t xml:space="preserve"> Wilcoxonův párový test</w:t>
      </w:r>
      <w:r>
        <w:rPr>
          <w:rFonts w:cs="Times New Roman"/>
        </w:rPr>
        <w:t>-pohlaví respondentů</w:t>
      </w:r>
    </w:p>
    <w:tbl>
      <w:tblPr>
        <w:tblStyle w:val="Mkatabulky"/>
        <w:tblW w:w="932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27"/>
        <w:gridCol w:w="1559"/>
        <w:gridCol w:w="2126"/>
        <w:gridCol w:w="2410"/>
      </w:tblGrid>
      <w:tr w:rsidR="007C6D95" w:rsidTr="007C6D95">
        <w:tc>
          <w:tcPr>
            <w:tcW w:w="3227" w:type="dxa"/>
            <w:tcBorders>
              <w:top w:val="single" w:sz="12" w:space="0" w:color="auto"/>
              <w:left w:val="single" w:sz="12" w:space="0" w:color="auto"/>
              <w:bottom w:val="single" w:sz="12" w:space="0" w:color="auto"/>
              <w:right w:val="single" w:sz="12" w:space="0" w:color="auto"/>
            </w:tcBorders>
            <w:shd w:val="clear" w:color="auto" w:fill="EEECE1" w:themeFill="background2"/>
            <w:hideMark/>
          </w:tcPr>
          <w:p w:rsidR="007C6D95" w:rsidRDefault="007C6D95">
            <w:pPr>
              <w:tabs>
                <w:tab w:val="left" w:pos="5706"/>
              </w:tabs>
              <w:rPr>
                <w:b/>
              </w:rPr>
            </w:pPr>
            <w:r>
              <w:rPr>
                <w:b/>
              </w:rPr>
              <w:t>Dvojice proměnných</w:t>
            </w:r>
          </w:p>
        </w:tc>
        <w:tc>
          <w:tcPr>
            <w:tcW w:w="1559" w:type="dxa"/>
            <w:tcBorders>
              <w:top w:val="single" w:sz="12" w:space="0" w:color="auto"/>
              <w:left w:val="single" w:sz="12" w:space="0" w:color="auto"/>
              <w:bottom w:val="single" w:sz="12" w:space="0" w:color="auto"/>
              <w:right w:val="single" w:sz="4" w:space="0" w:color="auto"/>
            </w:tcBorders>
            <w:shd w:val="clear" w:color="auto" w:fill="EEECE1" w:themeFill="background2"/>
            <w:hideMark/>
          </w:tcPr>
          <w:p w:rsidR="007C6D95" w:rsidRDefault="007C6D95">
            <w:pPr>
              <w:tabs>
                <w:tab w:val="left" w:pos="5706"/>
              </w:tabs>
              <w:rPr>
                <w:b/>
              </w:rPr>
            </w:pPr>
            <w:r>
              <w:rPr>
                <w:b/>
              </w:rPr>
              <w:t>Počet pac.</w:t>
            </w:r>
          </w:p>
        </w:tc>
        <w:tc>
          <w:tcPr>
            <w:tcW w:w="2126" w:type="dxa"/>
            <w:tcBorders>
              <w:top w:val="single" w:sz="12" w:space="0" w:color="auto"/>
              <w:left w:val="single" w:sz="4" w:space="0" w:color="auto"/>
              <w:bottom w:val="single" w:sz="12" w:space="0" w:color="auto"/>
              <w:right w:val="single" w:sz="4" w:space="0" w:color="auto"/>
            </w:tcBorders>
            <w:shd w:val="clear" w:color="auto" w:fill="EEECE1" w:themeFill="background2"/>
            <w:hideMark/>
          </w:tcPr>
          <w:p w:rsidR="007C6D95" w:rsidRDefault="007C6D95">
            <w:pPr>
              <w:tabs>
                <w:tab w:val="left" w:pos="5706"/>
              </w:tabs>
              <w:rPr>
                <w:b/>
              </w:rPr>
            </w:pPr>
            <w:r>
              <w:rPr>
                <w:b/>
              </w:rPr>
              <w:t>W</w:t>
            </w:r>
          </w:p>
        </w:tc>
        <w:tc>
          <w:tcPr>
            <w:tcW w:w="2410" w:type="dxa"/>
            <w:tcBorders>
              <w:top w:val="single" w:sz="12" w:space="0" w:color="auto"/>
              <w:left w:val="single" w:sz="4" w:space="0" w:color="auto"/>
              <w:bottom w:val="single" w:sz="12" w:space="0" w:color="auto"/>
              <w:right w:val="single" w:sz="12" w:space="0" w:color="auto"/>
            </w:tcBorders>
            <w:shd w:val="clear" w:color="auto" w:fill="EEECE1" w:themeFill="background2"/>
            <w:hideMark/>
          </w:tcPr>
          <w:p w:rsidR="007C6D95" w:rsidRDefault="007C6D95">
            <w:pPr>
              <w:tabs>
                <w:tab w:val="left" w:pos="5706"/>
              </w:tabs>
              <w:rPr>
                <w:b/>
              </w:rPr>
            </w:pPr>
            <w:r>
              <w:rPr>
                <w:b/>
              </w:rPr>
              <w:t>Úroveň p</w:t>
            </w:r>
          </w:p>
        </w:tc>
      </w:tr>
      <w:tr w:rsidR="007C6D95" w:rsidTr="007C6D95">
        <w:tc>
          <w:tcPr>
            <w:tcW w:w="3227" w:type="dxa"/>
            <w:tcBorders>
              <w:top w:val="single" w:sz="4" w:space="0" w:color="auto"/>
              <w:left w:val="single" w:sz="12" w:space="0" w:color="auto"/>
              <w:bottom w:val="single" w:sz="4" w:space="0" w:color="auto"/>
              <w:right w:val="single" w:sz="12" w:space="0" w:color="auto"/>
            </w:tcBorders>
            <w:hideMark/>
          </w:tcPr>
          <w:p w:rsidR="007C6D95" w:rsidRDefault="007C6D95">
            <w:pPr>
              <w:tabs>
                <w:tab w:val="left" w:pos="5706"/>
              </w:tabs>
            </w:pPr>
            <w:r>
              <w:t>Muži / ženy</w:t>
            </w:r>
          </w:p>
        </w:tc>
        <w:tc>
          <w:tcPr>
            <w:tcW w:w="1559" w:type="dxa"/>
            <w:tcBorders>
              <w:top w:val="single" w:sz="4" w:space="0" w:color="auto"/>
              <w:left w:val="single" w:sz="12" w:space="0" w:color="auto"/>
              <w:bottom w:val="single" w:sz="4" w:space="0" w:color="auto"/>
              <w:right w:val="single" w:sz="4" w:space="0" w:color="auto"/>
            </w:tcBorders>
            <w:hideMark/>
          </w:tcPr>
          <w:p w:rsidR="007C6D95" w:rsidRDefault="007C6D95">
            <w:pPr>
              <w:tabs>
                <w:tab w:val="left" w:pos="5706"/>
              </w:tabs>
            </w:pPr>
            <w:r>
              <w:t>25 / 61</w:t>
            </w:r>
          </w:p>
        </w:tc>
        <w:tc>
          <w:tcPr>
            <w:tcW w:w="2126" w:type="dxa"/>
            <w:tcBorders>
              <w:top w:val="single" w:sz="4" w:space="0" w:color="auto"/>
              <w:left w:val="single" w:sz="4" w:space="0" w:color="auto"/>
              <w:bottom w:val="single" w:sz="4" w:space="0" w:color="auto"/>
              <w:right w:val="single" w:sz="4" w:space="0" w:color="auto"/>
            </w:tcBorders>
            <w:hideMark/>
          </w:tcPr>
          <w:p w:rsidR="007C6D95" w:rsidRDefault="007C6D95">
            <w:pPr>
              <w:tabs>
                <w:tab w:val="left" w:pos="5706"/>
              </w:tabs>
            </w:pPr>
            <w:r>
              <w:t>742</w:t>
            </w:r>
          </w:p>
        </w:tc>
        <w:tc>
          <w:tcPr>
            <w:tcW w:w="2410" w:type="dxa"/>
            <w:tcBorders>
              <w:top w:val="single" w:sz="4" w:space="0" w:color="auto"/>
              <w:left w:val="single" w:sz="4" w:space="0" w:color="auto"/>
              <w:bottom w:val="single" w:sz="4" w:space="0" w:color="auto"/>
              <w:right w:val="single" w:sz="12" w:space="0" w:color="auto"/>
            </w:tcBorders>
            <w:hideMark/>
          </w:tcPr>
          <w:p w:rsidR="007C6D95" w:rsidRDefault="007C6D95">
            <w:pPr>
              <w:tabs>
                <w:tab w:val="left" w:pos="5706"/>
              </w:tabs>
              <w:rPr>
                <w:b/>
                <w:color w:val="000000" w:themeColor="text1"/>
              </w:rPr>
            </w:pPr>
            <w:r>
              <w:rPr>
                <w:b/>
                <w:color w:val="000000" w:themeColor="text1"/>
              </w:rPr>
              <w:t>0,8489</w:t>
            </w:r>
          </w:p>
        </w:tc>
      </w:tr>
    </w:tbl>
    <w:p w:rsidR="007C6D95" w:rsidRDefault="007C6D95" w:rsidP="007C6D95">
      <w:r>
        <w:rPr>
          <w:sz w:val="16"/>
          <w:szCs w:val="16"/>
        </w:rPr>
        <w:t>Legenda: Počet  pac. – počet pacientů v testovaném souboru; p – hladina významnosti; W – testovací kritérium</w:t>
      </w:r>
    </w:p>
    <w:p w:rsidR="003236E7" w:rsidRDefault="00E55909" w:rsidP="003236E7">
      <w:pPr>
        <w:rPr>
          <w:rFonts w:cs="Times New Roman"/>
        </w:rPr>
      </w:pPr>
      <w:r>
        <w:rPr>
          <w:rFonts w:cs="Times New Roman"/>
        </w:rPr>
        <w:lastRenderedPageBreak/>
        <w:t> </w:t>
      </w:r>
      <w:r w:rsidR="003236E7">
        <w:t xml:space="preserve">Z výsledku vyplývá, že p </w:t>
      </w:r>
      <w:r w:rsidR="008160E4">
        <w:rPr>
          <w:rFonts w:cs="Times New Roman"/>
        </w:rPr>
        <w:t>≥</w:t>
      </w:r>
      <w:r w:rsidR="003236E7">
        <w:rPr>
          <w:rFonts w:cs="Times New Roman"/>
        </w:rPr>
        <w:t xml:space="preserve"> α, H</w:t>
      </w:r>
      <w:r w:rsidR="003236E7">
        <w:rPr>
          <w:rFonts w:cs="Times New Roman"/>
          <w:vertAlign w:val="subscript"/>
        </w:rPr>
        <w:t>0</w:t>
      </w:r>
      <w:r w:rsidR="003236E7">
        <w:rPr>
          <w:rFonts w:cs="Times New Roman"/>
        </w:rPr>
        <w:t xml:space="preserve"> tedy nelze zamítnout.</w:t>
      </w:r>
    </w:p>
    <w:p w:rsidR="00FB1508" w:rsidRDefault="003236E7" w:rsidP="00FB1508">
      <w:pPr>
        <w:rPr>
          <w:rFonts w:cs="Times New Roman"/>
          <w:b/>
        </w:rPr>
      </w:pPr>
      <w:r>
        <w:rPr>
          <w:rFonts w:cs="Times New Roman"/>
        </w:rPr>
        <w:t xml:space="preserve">V subjektivním posouzení míry deprese mezi ženami a muži byl zjištěn </w:t>
      </w:r>
      <w:r w:rsidRPr="003236E7">
        <w:rPr>
          <w:rFonts w:cs="Times New Roman"/>
          <w:b/>
        </w:rPr>
        <w:t>bezvýznamný rozdíl.</w:t>
      </w:r>
    </w:p>
    <w:p w:rsidR="00A44428" w:rsidRDefault="00A44428" w:rsidP="00FB1508">
      <w:pPr>
        <w:rPr>
          <w:rFonts w:cs="Times New Roman"/>
          <w:b/>
        </w:rPr>
      </w:pPr>
    </w:p>
    <w:p w:rsidR="003236E7" w:rsidRPr="00FB1508" w:rsidRDefault="00FB1508" w:rsidP="00FB1508">
      <w:pPr>
        <w:pStyle w:val="Nadpis3"/>
        <w:rPr>
          <w:rFonts w:cs="Times New Roman"/>
        </w:rPr>
      </w:pPr>
      <w:r>
        <w:t> </w:t>
      </w:r>
      <w:bookmarkStart w:id="94" w:name="_Toc353433211"/>
      <w:r w:rsidR="003236E7">
        <w:t>7.2 Výskyt nežádoucích účinků u respondentů užívajících antidepresiva</w:t>
      </w:r>
      <w:bookmarkEnd w:id="94"/>
    </w:p>
    <w:p w:rsidR="003236E7" w:rsidRDefault="00385286" w:rsidP="00041EFD">
      <w:pPr>
        <w:ind w:firstLine="284"/>
        <w:rPr>
          <w:rFonts w:cs="Times New Roman"/>
        </w:rPr>
      </w:pPr>
      <w:r>
        <w:rPr>
          <w:rFonts w:cs="Times New Roman"/>
        </w:rPr>
        <w:t>Výskyt nežádoucích účinků</w:t>
      </w:r>
      <w:r w:rsidR="003236E7">
        <w:rPr>
          <w:rFonts w:cs="Times New Roman"/>
        </w:rPr>
        <w:t xml:space="preserve"> bývá považován za důležitý fak</w:t>
      </w:r>
      <w:r w:rsidR="00041EFD">
        <w:rPr>
          <w:rFonts w:cs="Times New Roman"/>
        </w:rPr>
        <w:t>tor ovlivňující léčbu antidepresivy. Zde budeme zjišťovat nejčastější nežádoucí účinky, které se u respondentů objevily a zároveň analyzovat, u kte</w:t>
      </w:r>
      <w:r w:rsidR="00CE58E3">
        <w:rPr>
          <w:rFonts w:cs="Times New Roman"/>
        </w:rPr>
        <w:t>rého typu antidepresiv byly nežádoucí účinky nejčastěji</w:t>
      </w:r>
      <w:r w:rsidR="00041EFD">
        <w:rPr>
          <w:rFonts w:cs="Times New Roman"/>
        </w:rPr>
        <w:t xml:space="preserve"> vyjádřeny.</w:t>
      </w:r>
      <w:r w:rsidR="005515E8">
        <w:rPr>
          <w:rFonts w:cs="Times New Roman"/>
        </w:rPr>
        <w:t xml:space="preserve"> Dále bude</w:t>
      </w:r>
      <w:r w:rsidR="00CE58E3">
        <w:rPr>
          <w:rFonts w:cs="Times New Roman"/>
        </w:rPr>
        <w:t xml:space="preserve"> zobrazeno, jakým zp</w:t>
      </w:r>
      <w:r w:rsidR="005515E8">
        <w:rPr>
          <w:rFonts w:cs="Times New Roman"/>
        </w:rPr>
        <w:t xml:space="preserve">ůsobem byla léčba vlivem nežádoucích účinků ovlivněna. </w:t>
      </w:r>
      <w:r w:rsidR="00041EFD">
        <w:rPr>
          <w:rFonts w:cs="Times New Roman"/>
        </w:rPr>
        <w:t xml:space="preserve"> </w:t>
      </w:r>
      <w:r w:rsidR="00CE58E3">
        <w:rPr>
          <w:rFonts w:cs="Times New Roman"/>
        </w:rPr>
        <w:t>Na začátku zahájení terapie antidepresivy by měli být pacienti lékařem edukováni o možnosti výskytu těchto účinků, proto byla do dotazníkového šetření zakomponována položka, která tuto informovanost zjišťuje.</w:t>
      </w:r>
    </w:p>
    <w:p w:rsidR="00041EFD" w:rsidRDefault="00041EFD" w:rsidP="00041EFD">
      <w:pPr>
        <w:ind w:firstLine="284"/>
        <w:rPr>
          <w:rFonts w:cs="Times New Roman"/>
        </w:rPr>
      </w:pPr>
    </w:p>
    <w:p w:rsidR="00CE58E3" w:rsidRDefault="00041EFD" w:rsidP="00041EFD">
      <w:pPr>
        <w:rPr>
          <w:b/>
        </w:rPr>
      </w:pPr>
      <w:r w:rsidRPr="00041EFD">
        <w:rPr>
          <w:rFonts w:cs="Times New Roman"/>
          <w:b/>
        </w:rPr>
        <w:t>Výzkumná otázka č. 4</w:t>
      </w:r>
      <w:r w:rsidRPr="00FB1508">
        <w:rPr>
          <w:rFonts w:cs="Times New Roman"/>
          <w:b/>
        </w:rPr>
        <w:t xml:space="preserve">: </w:t>
      </w:r>
      <w:r w:rsidRPr="00FB1508">
        <w:rPr>
          <w:b/>
        </w:rPr>
        <w:t>Uvádějí respondenti výskyt nežádoucích účinků při užívání antidepresiv?</w:t>
      </w:r>
    </w:p>
    <w:p w:rsidR="00FB1508" w:rsidRPr="00FB1508" w:rsidRDefault="00FB1508" w:rsidP="00041EFD">
      <w:pPr>
        <w:rPr>
          <w:b/>
        </w:rPr>
      </w:pPr>
    </w:p>
    <w:p w:rsidR="005C2CEB" w:rsidRDefault="00E55909" w:rsidP="00041EFD">
      <w:r>
        <w:rPr>
          <w:b/>
        </w:rPr>
        <w:t>Tabulka 21</w:t>
      </w:r>
      <w:r w:rsidR="005C2CEB" w:rsidRPr="005C2CEB">
        <w:rPr>
          <w:b/>
        </w:rPr>
        <w:t>:</w:t>
      </w:r>
      <w:r w:rsidR="005C2CEB">
        <w:t xml:space="preserve"> Výskyt nežádoucích účinků</w:t>
      </w:r>
    </w:p>
    <w:tbl>
      <w:tblPr>
        <w:tblW w:w="8625" w:type="dxa"/>
        <w:tblInd w:w="60" w:type="dxa"/>
        <w:shd w:val="clear" w:color="auto" w:fill="F2DBDB" w:themeFill="accent2" w:themeFillTint="33"/>
        <w:tblCellMar>
          <w:left w:w="70" w:type="dxa"/>
          <w:right w:w="70" w:type="dxa"/>
        </w:tblCellMar>
        <w:tblLook w:val="04A0" w:firstRow="1" w:lastRow="0" w:firstColumn="1" w:lastColumn="0" w:noHBand="0" w:noVBand="1"/>
      </w:tblPr>
      <w:tblGrid>
        <w:gridCol w:w="3202"/>
        <w:gridCol w:w="2654"/>
        <w:gridCol w:w="2769"/>
      </w:tblGrid>
      <w:tr w:rsidR="005C2CEB" w:rsidRPr="005C2CEB" w:rsidTr="00801899">
        <w:trPr>
          <w:trHeight w:val="491"/>
        </w:trPr>
        <w:tc>
          <w:tcPr>
            <w:tcW w:w="3202" w:type="dxa"/>
            <w:tcBorders>
              <w:top w:val="single" w:sz="8" w:space="0" w:color="auto"/>
              <w:left w:val="single" w:sz="8" w:space="0" w:color="auto"/>
              <w:bottom w:val="nil"/>
              <w:right w:val="single" w:sz="4" w:space="0" w:color="auto"/>
            </w:tcBorders>
            <w:shd w:val="clear" w:color="auto" w:fill="EEECE1" w:themeFill="background2"/>
            <w:noWrap/>
            <w:vAlign w:val="bottom"/>
            <w:hideMark/>
          </w:tcPr>
          <w:p w:rsidR="005C2CEB" w:rsidRPr="005C2CEB" w:rsidRDefault="005C2CEB" w:rsidP="005C2CEB">
            <w:pPr>
              <w:spacing w:line="240" w:lineRule="auto"/>
              <w:jc w:val="center"/>
              <w:rPr>
                <w:rFonts w:eastAsia="Times New Roman" w:cs="Times New Roman"/>
                <w:b/>
                <w:color w:val="000000"/>
                <w:szCs w:val="24"/>
                <w:lang w:eastAsia="cs-CZ"/>
              </w:rPr>
            </w:pPr>
            <w:r w:rsidRPr="005C2CEB">
              <w:rPr>
                <w:rFonts w:eastAsia="Times New Roman" w:cs="Times New Roman"/>
                <w:b/>
                <w:color w:val="000000"/>
                <w:szCs w:val="24"/>
                <w:lang w:eastAsia="cs-CZ"/>
              </w:rPr>
              <w:t>Nežádoucí účinky</w:t>
            </w:r>
          </w:p>
        </w:tc>
        <w:tc>
          <w:tcPr>
            <w:tcW w:w="2654" w:type="dxa"/>
            <w:tcBorders>
              <w:top w:val="single" w:sz="8" w:space="0" w:color="auto"/>
              <w:left w:val="nil"/>
              <w:bottom w:val="nil"/>
              <w:right w:val="single" w:sz="4" w:space="0" w:color="auto"/>
            </w:tcBorders>
            <w:shd w:val="clear" w:color="auto" w:fill="EEECE1" w:themeFill="background2"/>
            <w:noWrap/>
            <w:vAlign w:val="bottom"/>
            <w:hideMark/>
          </w:tcPr>
          <w:p w:rsidR="005C2CEB" w:rsidRPr="005C2CEB" w:rsidRDefault="005C2CEB" w:rsidP="005C2CEB">
            <w:pPr>
              <w:spacing w:line="240" w:lineRule="auto"/>
              <w:jc w:val="center"/>
              <w:rPr>
                <w:rFonts w:eastAsia="Times New Roman" w:cs="Times New Roman"/>
                <w:b/>
                <w:color w:val="000000"/>
                <w:szCs w:val="24"/>
                <w:lang w:eastAsia="cs-CZ"/>
              </w:rPr>
            </w:pPr>
            <w:r w:rsidRPr="005C2CEB">
              <w:rPr>
                <w:rFonts w:eastAsia="Times New Roman" w:cs="Times New Roman"/>
                <w:b/>
                <w:color w:val="000000"/>
                <w:szCs w:val="24"/>
                <w:lang w:eastAsia="cs-CZ"/>
              </w:rPr>
              <w:t>Absolutní četnost</w:t>
            </w:r>
          </w:p>
        </w:tc>
        <w:tc>
          <w:tcPr>
            <w:tcW w:w="2769" w:type="dxa"/>
            <w:tcBorders>
              <w:top w:val="single" w:sz="8" w:space="0" w:color="auto"/>
              <w:left w:val="nil"/>
              <w:bottom w:val="nil"/>
              <w:right w:val="single" w:sz="8" w:space="0" w:color="auto"/>
            </w:tcBorders>
            <w:shd w:val="clear" w:color="auto" w:fill="EEECE1" w:themeFill="background2"/>
            <w:noWrap/>
            <w:vAlign w:val="bottom"/>
            <w:hideMark/>
          </w:tcPr>
          <w:p w:rsidR="005C2CEB" w:rsidRPr="005C2CEB" w:rsidRDefault="005C2CEB" w:rsidP="005C2CEB">
            <w:pPr>
              <w:spacing w:line="240" w:lineRule="auto"/>
              <w:jc w:val="center"/>
              <w:rPr>
                <w:rFonts w:eastAsia="Times New Roman" w:cs="Times New Roman"/>
                <w:b/>
                <w:color w:val="000000"/>
                <w:szCs w:val="24"/>
                <w:lang w:eastAsia="cs-CZ"/>
              </w:rPr>
            </w:pPr>
            <w:r w:rsidRPr="005C2CEB">
              <w:rPr>
                <w:rFonts w:eastAsia="Times New Roman" w:cs="Times New Roman"/>
                <w:b/>
                <w:color w:val="000000"/>
                <w:szCs w:val="24"/>
                <w:lang w:eastAsia="cs-CZ"/>
              </w:rPr>
              <w:t>Relativní četnost</w:t>
            </w:r>
          </w:p>
        </w:tc>
      </w:tr>
      <w:tr w:rsidR="005C2CEB" w:rsidRPr="005C2CEB" w:rsidTr="005C2CEB">
        <w:trPr>
          <w:trHeight w:val="469"/>
        </w:trPr>
        <w:tc>
          <w:tcPr>
            <w:tcW w:w="3202"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5C2CEB" w:rsidRPr="005C2CEB" w:rsidRDefault="005C2CEB" w:rsidP="005C2CEB">
            <w:pPr>
              <w:spacing w:line="240" w:lineRule="auto"/>
              <w:jc w:val="center"/>
              <w:rPr>
                <w:rFonts w:eastAsia="Times New Roman" w:cs="Times New Roman"/>
                <w:b/>
                <w:color w:val="000000"/>
                <w:szCs w:val="24"/>
                <w:lang w:eastAsia="cs-CZ"/>
              </w:rPr>
            </w:pPr>
            <w:r w:rsidRPr="005C2CEB">
              <w:rPr>
                <w:rFonts w:eastAsia="Times New Roman" w:cs="Times New Roman"/>
                <w:b/>
                <w:color w:val="000000"/>
                <w:szCs w:val="24"/>
                <w:lang w:eastAsia="cs-CZ"/>
              </w:rPr>
              <w:t>Ano, vyskytly se</w:t>
            </w:r>
          </w:p>
        </w:tc>
        <w:tc>
          <w:tcPr>
            <w:tcW w:w="2654"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5C2CEB" w:rsidRPr="005C2CEB" w:rsidRDefault="005C2CEB" w:rsidP="005C2CEB">
            <w:pPr>
              <w:spacing w:line="240" w:lineRule="auto"/>
              <w:jc w:val="center"/>
              <w:rPr>
                <w:rFonts w:eastAsia="Times New Roman" w:cs="Times New Roman"/>
                <w:color w:val="000000"/>
                <w:szCs w:val="24"/>
                <w:lang w:eastAsia="cs-CZ"/>
              </w:rPr>
            </w:pPr>
            <w:r w:rsidRPr="005C2CEB">
              <w:rPr>
                <w:rFonts w:eastAsia="Times New Roman" w:cs="Times New Roman"/>
                <w:color w:val="000000"/>
                <w:szCs w:val="24"/>
                <w:lang w:eastAsia="cs-CZ"/>
              </w:rPr>
              <w:t>53</w:t>
            </w:r>
          </w:p>
        </w:tc>
        <w:tc>
          <w:tcPr>
            <w:tcW w:w="2769"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5C2CEB" w:rsidRPr="005C2CEB" w:rsidRDefault="005C2CEB" w:rsidP="005C2CEB">
            <w:pPr>
              <w:spacing w:line="240" w:lineRule="auto"/>
              <w:jc w:val="center"/>
              <w:rPr>
                <w:rFonts w:eastAsia="Times New Roman" w:cs="Times New Roman"/>
                <w:color w:val="000000"/>
                <w:szCs w:val="24"/>
                <w:lang w:eastAsia="cs-CZ"/>
              </w:rPr>
            </w:pPr>
            <w:r w:rsidRPr="005C2CEB">
              <w:rPr>
                <w:rFonts w:eastAsia="Times New Roman" w:cs="Times New Roman"/>
                <w:color w:val="000000"/>
                <w:szCs w:val="24"/>
                <w:lang w:eastAsia="cs-CZ"/>
              </w:rPr>
              <w:t>60,9</w:t>
            </w:r>
            <w:r w:rsidR="00385286">
              <w:rPr>
                <w:rFonts w:eastAsia="Times New Roman" w:cs="Times New Roman"/>
                <w:color w:val="000000"/>
                <w:szCs w:val="24"/>
                <w:lang w:eastAsia="cs-CZ"/>
              </w:rPr>
              <w:t xml:space="preserve"> </w:t>
            </w:r>
            <w:r w:rsidRPr="005C2CEB">
              <w:rPr>
                <w:rFonts w:eastAsia="Times New Roman" w:cs="Times New Roman"/>
                <w:color w:val="000000"/>
                <w:szCs w:val="24"/>
                <w:lang w:eastAsia="cs-CZ"/>
              </w:rPr>
              <w:t>%</w:t>
            </w:r>
          </w:p>
        </w:tc>
      </w:tr>
      <w:tr w:rsidR="005C2CEB" w:rsidRPr="005C2CEB" w:rsidTr="005C2CEB">
        <w:trPr>
          <w:trHeight w:val="469"/>
        </w:trPr>
        <w:tc>
          <w:tcPr>
            <w:tcW w:w="3202" w:type="dxa"/>
            <w:tcBorders>
              <w:top w:val="nil"/>
              <w:left w:val="single" w:sz="8" w:space="0" w:color="auto"/>
              <w:bottom w:val="single" w:sz="4" w:space="0" w:color="auto"/>
              <w:right w:val="single" w:sz="4" w:space="0" w:color="auto"/>
            </w:tcBorders>
            <w:shd w:val="clear" w:color="auto" w:fill="FFFFFF" w:themeFill="background1"/>
            <w:noWrap/>
            <w:vAlign w:val="bottom"/>
            <w:hideMark/>
          </w:tcPr>
          <w:p w:rsidR="005C2CEB" w:rsidRPr="005C2CEB" w:rsidRDefault="005C2CEB" w:rsidP="005C2CEB">
            <w:pPr>
              <w:spacing w:line="240" w:lineRule="auto"/>
              <w:jc w:val="center"/>
              <w:rPr>
                <w:rFonts w:eastAsia="Times New Roman" w:cs="Times New Roman"/>
                <w:b/>
                <w:color w:val="000000"/>
                <w:szCs w:val="24"/>
                <w:lang w:eastAsia="cs-CZ"/>
              </w:rPr>
            </w:pPr>
            <w:r w:rsidRPr="005C2CEB">
              <w:rPr>
                <w:rFonts w:eastAsia="Times New Roman" w:cs="Times New Roman"/>
                <w:b/>
                <w:color w:val="000000"/>
                <w:szCs w:val="24"/>
                <w:lang w:eastAsia="cs-CZ"/>
              </w:rPr>
              <w:t>Ne, nevyskytly se</w:t>
            </w:r>
          </w:p>
        </w:tc>
        <w:tc>
          <w:tcPr>
            <w:tcW w:w="2654" w:type="dxa"/>
            <w:tcBorders>
              <w:top w:val="nil"/>
              <w:left w:val="nil"/>
              <w:bottom w:val="single" w:sz="4" w:space="0" w:color="auto"/>
              <w:right w:val="single" w:sz="4" w:space="0" w:color="auto"/>
            </w:tcBorders>
            <w:shd w:val="clear" w:color="auto" w:fill="FFFFFF" w:themeFill="background1"/>
            <w:noWrap/>
            <w:vAlign w:val="bottom"/>
            <w:hideMark/>
          </w:tcPr>
          <w:p w:rsidR="005C2CEB" w:rsidRPr="005C2CEB" w:rsidRDefault="005C2CEB" w:rsidP="005C2CEB">
            <w:pPr>
              <w:spacing w:line="240" w:lineRule="auto"/>
              <w:jc w:val="center"/>
              <w:rPr>
                <w:rFonts w:eastAsia="Times New Roman" w:cs="Times New Roman"/>
                <w:color w:val="000000"/>
                <w:szCs w:val="24"/>
                <w:lang w:eastAsia="cs-CZ"/>
              </w:rPr>
            </w:pPr>
            <w:r w:rsidRPr="005C2CEB">
              <w:rPr>
                <w:rFonts w:eastAsia="Times New Roman" w:cs="Times New Roman"/>
                <w:color w:val="000000"/>
                <w:szCs w:val="24"/>
                <w:lang w:eastAsia="cs-CZ"/>
              </w:rPr>
              <w:t>34</w:t>
            </w:r>
          </w:p>
        </w:tc>
        <w:tc>
          <w:tcPr>
            <w:tcW w:w="2769" w:type="dxa"/>
            <w:tcBorders>
              <w:top w:val="nil"/>
              <w:left w:val="nil"/>
              <w:bottom w:val="single" w:sz="4" w:space="0" w:color="auto"/>
              <w:right w:val="single" w:sz="8" w:space="0" w:color="auto"/>
            </w:tcBorders>
            <w:shd w:val="clear" w:color="auto" w:fill="FFFFFF" w:themeFill="background1"/>
            <w:noWrap/>
            <w:vAlign w:val="bottom"/>
            <w:hideMark/>
          </w:tcPr>
          <w:p w:rsidR="005C2CEB" w:rsidRPr="005C2CEB" w:rsidRDefault="005C2CEB" w:rsidP="005C2CEB">
            <w:pPr>
              <w:spacing w:line="240" w:lineRule="auto"/>
              <w:jc w:val="center"/>
              <w:rPr>
                <w:rFonts w:eastAsia="Times New Roman" w:cs="Times New Roman"/>
                <w:color w:val="000000"/>
                <w:szCs w:val="24"/>
                <w:lang w:eastAsia="cs-CZ"/>
              </w:rPr>
            </w:pPr>
            <w:r w:rsidRPr="005C2CEB">
              <w:rPr>
                <w:rFonts w:eastAsia="Times New Roman" w:cs="Times New Roman"/>
                <w:color w:val="000000"/>
                <w:szCs w:val="24"/>
                <w:lang w:eastAsia="cs-CZ"/>
              </w:rPr>
              <w:t>39,1</w:t>
            </w:r>
            <w:r w:rsidR="00385286">
              <w:rPr>
                <w:rFonts w:eastAsia="Times New Roman" w:cs="Times New Roman"/>
                <w:color w:val="000000"/>
                <w:szCs w:val="24"/>
                <w:lang w:eastAsia="cs-CZ"/>
              </w:rPr>
              <w:t xml:space="preserve"> </w:t>
            </w:r>
            <w:r w:rsidRPr="005C2CEB">
              <w:rPr>
                <w:rFonts w:eastAsia="Times New Roman" w:cs="Times New Roman"/>
                <w:color w:val="000000"/>
                <w:szCs w:val="24"/>
                <w:lang w:eastAsia="cs-CZ"/>
              </w:rPr>
              <w:t>%</w:t>
            </w:r>
          </w:p>
        </w:tc>
      </w:tr>
      <w:tr w:rsidR="005C2CEB" w:rsidRPr="005C2CEB" w:rsidTr="005C2CEB">
        <w:trPr>
          <w:trHeight w:val="491"/>
        </w:trPr>
        <w:tc>
          <w:tcPr>
            <w:tcW w:w="3202" w:type="dxa"/>
            <w:tcBorders>
              <w:top w:val="nil"/>
              <w:left w:val="single" w:sz="8" w:space="0" w:color="auto"/>
              <w:bottom w:val="single" w:sz="8" w:space="0" w:color="auto"/>
              <w:right w:val="single" w:sz="4" w:space="0" w:color="auto"/>
            </w:tcBorders>
            <w:shd w:val="clear" w:color="auto" w:fill="FFFFFF" w:themeFill="background1"/>
            <w:noWrap/>
            <w:vAlign w:val="bottom"/>
            <w:hideMark/>
          </w:tcPr>
          <w:p w:rsidR="005C2CEB" w:rsidRPr="005C2CEB" w:rsidRDefault="005C2CEB" w:rsidP="005C2CEB">
            <w:pPr>
              <w:spacing w:line="240" w:lineRule="auto"/>
              <w:jc w:val="center"/>
              <w:rPr>
                <w:rFonts w:eastAsia="Times New Roman" w:cs="Times New Roman"/>
                <w:b/>
                <w:color w:val="000000"/>
                <w:szCs w:val="24"/>
                <w:lang w:eastAsia="cs-CZ"/>
              </w:rPr>
            </w:pPr>
            <w:r w:rsidRPr="005C2CEB">
              <w:rPr>
                <w:rFonts w:eastAsia="Times New Roman" w:cs="Times New Roman"/>
                <w:b/>
                <w:color w:val="000000"/>
                <w:szCs w:val="24"/>
                <w:lang w:eastAsia="cs-CZ"/>
              </w:rPr>
              <w:t>Celkem</w:t>
            </w:r>
          </w:p>
        </w:tc>
        <w:tc>
          <w:tcPr>
            <w:tcW w:w="2654" w:type="dxa"/>
            <w:tcBorders>
              <w:top w:val="nil"/>
              <w:left w:val="nil"/>
              <w:bottom w:val="single" w:sz="8" w:space="0" w:color="auto"/>
              <w:right w:val="single" w:sz="4" w:space="0" w:color="auto"/>
            </w:tcBorders>
            <w:shd w:val="clear" w:color="auto" w:fill="FFFFFF" w:themeFill="background1"/>
            <w:noWrap/>
            <w:vAlign w:val="bottom"/>
            <w:hideMark/>
          </w:tcPr>
          <w:p w:rsidR="005C2CEB" w:rsidRPr="005D7E26" w:rsidRDefault="005C2CEB" w:rsidP="005C2CEB">
            <w:pPr>
              <w:spacing w:line="240" w:lineRule="auto"/>
              <w:jc w:val="center"/>
              <w:rPr>
                <w:rFonts w:eastAsia="Times New Roman" w:cs="Times New Roman"/>
                <w:b/>
                <w:color w:val="000000"/>
                <w:szCs w:val="24"/>
                <w:lang w:eastAsia="cs-CZ"/>
              </w:rPr>
            </w:pPr>
            <w:r w:rsidRPr="005D7E26">
              <w:rPr>
                <w:rFonts w:eastAsia="Times New Roman" w:cs="Times New Roman"/>
                <w:b/>
                <w:color w:val="000000"/>
                <w:szCs w:val="24"/>
                <w:lang w:eastAsia="cs-CZ"/>
              </w:rPr>
              <w:t>87</w:t>
            </w:r>
          </w:p>
        </w:tc>
        <w:tc>
          <w:tcPr>
            <w:tcW w:w="2769" w:type="dxa"/>
            <w:tcBorders>
              <w:top w:val="nil"/>
              <w:left w:val="nil"/>
              <w:bottom w:val="single" w:sz="8" w:space="0" w:color="auto"/>
              <w:right w:val="single" w:sz="8" w:space="0" w:color="auto"/>
            </w:tcBorders>
            <w:shd w:val="clear" w:color="auto" w:fill="FFFFFF" w:themeFill="background1"/>
            <w:noWrap/>
            <w:vAlign w:val="bottom"/>
            <w:hideMark/>
          </w:tcPr>
          <w:p w:rsidR="005C2CEB" w:rsidRPr="005D7E26" w:rsidRDefault="005C2CEB" w:rsidP="005C2CEB">
            <w:pPr>
              <w:spacing w:line="240" w:lineRule="auto"/>
              <w:jc w:val="center"/>
              <w:rPr>
                <w:rFonts w:eastAsia="Times New Roman" w:cs="Times New Roman"/>
                <w:b/>
                <w:color w:val="000000"/>
                <w:szCs w:val="24"/>
                <w:lang w:eastAsia="cs-CZ"/>
              </w:rPr>
            </w:pPr>
            <w:r w:rsidRPr="005D7E26">
              <w:rPr>
                <w:rFonts w:eastAsia="Times New Roman" w:cs="Times New Roman"/>
                <w:b/>
                <w:color w:val="000000"/>
                <w:szCs w:val="24"/>
                <w:lang w:eastAsia="cs-CZ"/>
              </w:rPr>
              <w:t>100,0</w:t>
            </w:r>
            <w:r w:rsidR="00385286">
              <w:rPr>
                <w:rFonts w:eastAsia="Times New Roman" w:cs="Times New Roman"/>
                <w:b/>
                <w:color w:val="000000"/>
                <w:szCs w:val="24"/>
                <w:lang w:eastAsia="cs-CZ"/>
              </w:rPr>
              <w:t xml:space="preserve"> </w:t>
            </w:r>
            <w:r w:rsidRPr="005D7E26">
              <w:rPr>
                <w:rFonts w:eastAsia="Times New Roman" w:cs="Times New Roman"/>
                <w:b/>
                <w:color w:val="000000"/>
                <w:szCs w:val="24"/>
                <w:lang w:eastAsia="cs-CZ"/>
              </w:rPr>
              <w:t>%</w:t>
            </w:r>
          </w:p>
        </w:tc>
      </w:tr>
    </w:tbl>
    <w:p w:rsidR="005C2CEB" w:rsidRDefault="005C2CEB" w:rsidP="00041EFD"/>
    <w:p w:rsidR="005C2CEB" w:rsidRDefault="005C2CEB" w:rsidP="00041EFD">
      <w:r>
        <w:t xml:space="preserve">Z tabulky je zřejmé, že u 53 respondentů se vyskytly nežádoucí účinky. Pouze 34 respondentů uvedlo, že se žádné nežádoucí účinky během léčby antidepresivy neobjevily. </w:t>
      </w:r>
    </w:p>
    <w:p w:rsidR="005C2CEB" w:rsidRDefault="005C2CEB" w:rsidP="00041EFD">
      <w:r w:rsidRPr="005C2CEB">
        <w:rPr>
          <w:noProof/>
          <w:lang w:eastAsia="cs-CZ"/>
        </w:rPr>
        <w:lastRenderedPageBreak/>
        <w:drawing>
          <wp:inline distT="0" distB="0" distL="0" distR="0" wp14:anchorId="10540BC0" wp14:editId="03536F50">
            <wp:extent cx="5362299" cy="2355012"/>
            <wp:effectExtent l="19050" t="0" r="9801" b="7188"/>
            <wp:docPr id="10" name="Graf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E55909">
        <w:rPr>
          <w:b/>
        </w:rPr>
        <w:t>Graf 9</w:t>
      </w:r>
      <w:r w:rsidRPr="005C2CEB">
        <w:rPr>
          <w:b/>
        </w:rPr>
        <w:t>:</w:t>
      </w:r>
      <w:r>
        <w:t xml:space="preserve"> Výskyt nežádoucích účinků</w:t>
      </w:r>
    </w:p>
    <w:p w:rsidR="00CE58E3" w:rsidRDefault="00CE58E3" w:rsidP="00041EFD"/>
    <w:p w:rsidR="00EB28D4" w:rsidRDefault="00EB28D4" w:rsidP="00041EFD">
      <w:r>
        <w:t xml:space="preserve">Z grafu vyplývá, že u 60,9 % respondentů se během léčby antidepresivy vyskytly nežádoucí účinky. U 39,1 % se žádné nežádoucí účinky neobjevily. </w:t>
      </w:r>
    </w:p>
    <w:p w:rsidR="00801899" w:rsidRDefault="00801899" w:rsidP="00041EFD"/>
    <w:p w:rsidR="005C2CEB" w:rsidRDefault="00E55909" w:rsidP="00041EFD">
      <w:r>
        <w:rPr>
          <w:b/>
        </w:rPr>
        <w:t>Tabulka 22</w:t>
      </w:r>
      <w:r w:rsidR="005C2CEB" w:rsidRPr="00EB28D4">
        <w:rPr>
          <w:b/>
        </w:rPr>
        <w:t>:</w:t>
      </w:r>
      <w:r w:rsidR="005C2CEB">
        <w:t xml:space="preserve"> Nežádoucí účinky</w:t>
      </w:r>
    </w:p>
    <w:tbl>
      <w:tblPr>
        <w:tblW w:w="8625" w:type="dxa"/>
        <w:tblInd w:w="60" w:type="dxa"/>
        <w:tblCellMar>
          <w:left w:w="70" w:type="dxa"/>
          <w:right w:w="70" w:type="dxa"/>
        </w:tblCellMar>
        <w:tblLook w:val="04A0" w:firstRow="1" w:lastRow="0" w:firstColumn="1" w:lastColumn="0" w:noHBand="0" w:noVBand="1"/>
      </w:tblPr>
      <w:tblGrid>
        <w:gridCol w:w="3202"/>
        <w:gridCol w:w="2654"/>
        <w:gridCol w:w="2769"/>
      </w:tblGrid>
      <w:tr w:rsidR="00041EFD" w:rsidRPr="00041EFD" w:rsidTr="00801899">
        <w:trPr>
          <w:trHeight w:val="393"/>
        </w:trPr>
        <w:tc>
          <w:tcPr>
            <w:tcW w:w="3202" w:type="dxa"/>
            <w:tcBorders>
              <w:top w:val="single" w:sz="8" w:space="0" w:color="auto"/>
              <w:left w:val="single" w:sz="8" w:space="0" w:color="auto"/>
              <w:bottom w:val="single" w:sz="4" w:space="0" w:color="auto"/>
              <w:right w:val="single" w:sz="4" w:space="0" w:color="auto"/>
            </w:tcBorders>
            <w:shd w:val="clear" w:color="auto" w:fill="EEECE1" w:themeFill="background2"/>
            <w:noWrap/>
            <w:vAlign w:val="bottom"/>
            <w:hideMark/>
          </w:tcPr>
          <w:p w:rsidR="00041EFD" w:rsidRPr="00041EFD" w:rsidRDefault="00041EFD" w:rsidP="00041EFD">
            <w:pPr>
              <w:spacing w:line="240" w:lineRule="auto"/>
              <w:jc w:val="center"/>
              <w:rPr>
                <w:rFonts w:eastAsia="Times New Roman" w:cs="Times New Roman"/>
                <w:b/>
                <w:szCs w:val="24"/>
                <w:lang w:eastAsia="cs-CZ"/>
              </w:rPr>
            </w:pPr>
            <w:r w:rsidRPr="00041EFD">
              <w:rPr>
                <w:rFonts w:eastAsia="Times New Roman" w:cs="Times New Roman"/>
                <w:b/>
                <w:szCs w:val="24"/>
                <w:lang w:eastAsia="cs-CZ"/>
              </w:rPr>
              <w:t>Nežádoucí účinky</w:t>
            </w:r>
          </w:p>
        </w:tc>
        <w:tc>
          <w:tcPr>
            <w:tcW w:w="2654" w:type="dxa"/>
            <w:tcBorders>
              <w:top w:val="single" w:sz="8" w:space="0" w:color="auto"/>
              <w:left w:val="nil"/>
              <w:bottom w:val="single" w:sz="4" w:space="0" w:color="auto"/>
              <w:right w:val="single" w:sz="4" w:space="0" w:color="auto"/>
            </w:tcBorders>
            <w:shd w:val="clear" w:color="auto" w:fill="EEECE1" w:themeFill="background2"/>
            <w:noWrap/>
            <w:vAlign w:val="bottom"/>
            <w:hideMark/>
          </w:tcPr>
          <w:p w:rsidR="00041EFD" w:rsidRPr="00041EFD" w:rsidRDefault="00041EFD" w:rsidP="00041EFD">
            <w:pPr>
              <w:spacing w:line="240" w:lineRule="auto"/>
              <w:jc w:val="center"/>
              <w:rPr>
                <w:rFonts w:eastAsia="Times New Roman" w:cs="Times New Roman"/>
                <w:b/>
                <w:szCs w:val="24"/>
                <w:lang w:eastAsia="cs-CZ"/>
              </w:rPr>
            </w:pPr>
            <w:r w:rsidRPr="00041EFD">
              <w:rPr>
                <w:rFonts w:eastAsia="Times New Roman" w:cs="Times New Roman"/>
                <w:b/>
                <w:szCs w:val="24"/>
                <w:lang w:eastAsia="cs-CZ"/>
              </w:rPr>
              <w:t>Absolutní četnost</w:t>
            </w:r>
          </w:p>
        </w:tc>
        <w:tc>
          <w:tcPr>
            <w:tcW w:w="2769" w:type="dxa"/>
            <w:tcBorders>
              <w:top w:val="single" w:sz="8" w:space="0" w:color="auto"/>
              <w:left w:val="nil"/>
              <w:bottom w:val="single" w:sz="4" w:space="0" w:color="auto"/>
              <w:right w:val="single" w:sz="8" w:space="0" w:color="auto"/>
            </w:tcBorders>
            <w:shd w:val="clear" w:color="auto" w:fill="EEECE1" w:themeFill="background2"/>
            <w:noWrap/>
            <w:vAlign w:val="bottom"/>
            <w:hideMark/>
          </w:tcPr>
          <w:p w:rsidR="00041EFD" w:rsidRPr="00041EFD" w:rsidRDefault="00041EFD" w:rsidP="00041EFD">
            <w:pPr>
              <w:spacing w:line="240" w:lineRule="auto"/>
              <w:jc w:val="center"/>
              <w:rPr>
                <w:rFonts w:eastAsia="Times New Roman" w:cs="Times New Roman"/>
                <w:b/>
                <w:szCs w:val="24"/>
                <w:lang w:eastAsia="cs-CZ"/>
              </w:rPr>
            </w:pPr>
            <w:r w:rsidRPr="00041EFD">
              <w:rPr>
                <w:rFonts w:eastAsia="Times New Roman" w:cs="Times New Roman"/>
                <w:b/>
                <w:szCs w:val="24"/>
                <w:lang w:eastAsia="cs-CZ"/>
              </w:rPr>
              <w:t>Relativní četnost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Třes</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7</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5,7</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Snížený krevní tlak</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2</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1,6</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Zrychlení tepu</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2</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1,6</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Poruchy paměti</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7</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5,7</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Zmatenost</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2</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1,6</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Sucho v ústech</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17</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13,9</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Zácpa</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8</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6,6</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r w:rsidR="00385286">
              <w:rPr>
                <w:rFonts w:eastAsia="Times New Roman" w:cs="Times New Roman"/>
                <w:color w:val="000000"/>
                <w:szCs w:val="24"/>
                <w:lang w:eastAsia="cs-CZ"/>
              </w:rPr>
              <w:t xml:space="preserve"> </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Zvýšení hmotnosti</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18</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14,8</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Poruchy močení</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0,8</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Závratě</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3</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2,5</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Průjem</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3</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2,5</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Sexuální poruchy</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13</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10,7</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Nevolnost</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7</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5,7</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r w:rsidR="00385286">
              <w:rPr>
                <w:rFonts w:eastAsia="Times New Roman" w:cs="Times New Roman"/>
                <w:color w:val="000000"/>
                <w:szCs w:val="24"/>
                <w:lang w:eastAsia="cs-CZ"/>
              </w:rPr>
              <w:t xml:space="preserve"> </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Zvýšené pocení</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13</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10,7</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Bolesti zubů a kloubů</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3</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2,5</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Zvracení</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0</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0,0</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Bolesti hlavy</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5</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4,1</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385286">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Úzkostnost</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7</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5,7</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385286">
        <w:trPr>
          <w:trHeight w:val="393"/>
        </w:trPr>
        <w:tc>
          <w:tcPr>
            <w:tcW w:w="3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lastRenderedPageBreak/>
              <w:t>Vyrážka, svědění</w:t>
            </w:r>
          </w:p>
        </w:tc>
        <w:tc>
          <w:tcPr>
            <w:tcW w:w="2654" w:type="dxa"/>
            <w:tcBorders>
              <w:top w:val="single" w:sz="4" w:space="0" w:color="auto"/>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2</w:t>
            </w:r>
          </w:p>
        </w:tc>
        <w:tc>
          <w:tcPr>
            <w:tcW w:w="2769" w:type="dxa"/>
            <w:tcBorders>
              <w:top w:val="single" w:sz="4" w:space="0" w:color="auto"/>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1,6</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Ospalost</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0,8</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393"/>
        </w:trPr>
        <w:tc>
          <w:tcPr>
            <w:tcW w:w="3202" w:type="dxa"/>
            <w:tcBorders>
              <w:top w:val="nil"/>
              <w:left w:val="single" w:sz="8" w:space="0" w:color="auto"/>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Únava</w:t>
            </w:r>
          </w:p>
        </w:tc>
        <w:tc>
          <w:tcPr>
            <w:tcW w:w="2654" w:type="dxa"/>
            <w:tcBorders>
              <w:top w:val="nil"/>
              <w:left w:val="nil"/>
              <w:bottom w:val="single" w:sz="4"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1</w:t>
            </w:r>
          </w:p>
        </w:tc>
        <w:tc>
          <w:tcPr>
            <w:tcW w:w="2769" w:type="dxa"/>
            <w:tcBorders>
              <w:top w:val="nil"/>
              <w:left w:val="nil"/>
              <w:bottom w:val="single" w:sz="4"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color w:val="000000"/>
                <w:szCs w:val="24"/>
                <w:lang w:eastAsia="cs-CZ"/>
              </w:rPr>
            </w:pPr>
            <w:r w:rsidRPr="00041EFD">
              <w:rPr>
                <w:rFonts w:eastAsia="Times New Roman" w:cs="Times New Roman"/>
                <w:color w:val="000000"/>
                <w:szCs w:val="24"/>
                <w:lang w:eastAsia="cs-CZ"/>
              </w:rPr>
              <w:t>0,8</w:t>
            </w:r>
            <w:r w:rsidR="00385286">
              <w:rPr>
                <w:rFonts w:eastAsia="Times New Roman" w:cs="Times New Roman"/>
                <w:color w:val="000000"/>
                <w:szCs w:val="24"/>
                <w:lang w:eastAsia="cs-CZ"/>
              </w:rPr>
              <w:t xml:space="preserve"> </w:t>
            </w:r>
            <w:r w:rsidRPr="00041EFD">
              <w:rPr>
                <w:rFonts w:eastAsia="Times New Roman" w:cs="Times New Roman"/>
                <w:color w:val="000000"/>
                <w:szCs w:val="24"/>
                <w:lang w:eastAsia="cs-CZ"/>
              </w:rPr>
              <w:t>%</w:t>
            </w:r>
          </w:p>
        </w:tc>
      </w:tr>
      <w:tr w:rsidR="00041EFD" w:rsidRPr="00041EFD" w:rsidTr="00041EFD">
        <w:trPr>
          <w:trHeight w:val="412"/>
        </w:trPr>
        <w:tc>
          <w:tcPr>
            <w:tcW w:w="3202" w:type="dxa"/>
            <w:tcBorders>
              <w:top w:val="nil"/>
              <w:left w:val="single" w:sz="8" w:space="0" w:color="auto"/>
              <w:bottom w:val="single" w:sz="8"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Celkem</w:t>
            </w:r>
          </w:p>
        </w:tc>
        <w:tc>
          <w:tcPr>
            <w:tcW w:w="2654" w:type="dxa"/>
            <w:tcBorders>
              <w:top w:val="nil"/>
              <w:left w:val="nil"/>
              <w:bottom w:val="single" w:sz="8" w:space="0" w:color="auto"/>
              <w:right w:val="single" w:sz="4"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122</w:t>
            </w:r>
          </w:p>
        </w:tc>
        <w:tc>
          <w:tcPr>
            <w:tcW w:w="2769" w:type="dxa"/>
            <w:tcBorders>
              <w:top w:val="nil"/>
              <w:left w:val="nil"/>
              <w:bottom w:val="single" w:sz="8" w:space="0" w:color="auto"/>
              <w:right w:val="single" w:sz="8" w:space="0" w:color="auto"/>
            </w:tcBorders>
            <w:shd w:val="clear" w:color="auto" w:fill="auto"/>
            <w:noWrap/>
            <w:vAlign w:val="bottom"/>
            <w:hideMark/>
          </w:tcPr>
          <w:p w:rsidR="00041EFD" w:rsidRPr="00041EFD" w:rsidRDefault="00041EFD" w:rsidP="00041EFD">
            <w:pPr>
              <w:spacing w:line="240" w:lineRule="auto"/>
              <w:jc w:val="center"/>
              <w:rPr>
                <w:rFonts w:eastAsia="Times New Roman" w:cs="Times New Roman"/>
                <w:b/>
                <w:color w:val="000000"/>
                <w:szCs w:val="24"/>
                <w:lang w:eastAsia="cs-CZ"/>
              </w:rPr>
            </w:pPr>
            <w:r w:rsidRPr="00041EFD">
              <w:rPr>
                <w:rFonts w:eastAsia="Times New Roman" w:cs="Times New Roman"/>
                <w:b/>
                <w:color w:val="000000"/>
                <w:szCs w:val="24"/>
                <w:lang w:eastAsia="cs-CZ"/>
              </w:rPr>
              <w:t>100,0</w:t>
            </w:r>
            <w:r w:rsidR="00385286">
              <w:rPr>
                <w:rFonts w:eastAsia="Times New Roman" w:cs="Times New Roman"/>
                <w:b/>
                <w:color w:val="000000"/>
                <w:szCs w:val="24"/>
                <w:lang w:eastAsia="cs-CZ"/>
              </w:rPr>
              <w:t xml:space="preserve"> </w:t>
            </w:r>
            <w:r w:rsidRPr="00041EFD">
              <w:rPr>
                <w:rFonts w:eastAsia="Times New Roman" w:cs="Times New Roman"/>
                <w:b/>
                <w:color w:val="000000"/>
                <w:szCs w:val="24"/>
                <w:lang w:eastAsia="cs-CZ"/>
              </w:rPr>
              <w:t>%</w:t>
            </w:r>
          </w:p>
        </w:tc>
      </w:tr>
    </w:tbl>
    <w:p w:rsidR="00041EFD" w:rsidRDefault="00041EFD" w:rsidP="00041EFD"/>
    <w:p w:rsidR="00041EFD" w:rsidRDefault="00041EFD" w:rsidP="005C2CEB">
      <w:pPr>
        <w:ind w:firstLine="284"/>
      </w:pPr>
      <w:r>
        <w:t>Z tabulky je zřejmé, že n</w:t>
      </w:r>
      <w:r w:rsidR="00801899">
        <w:t>ejvíce se u respondentů objevuje</w:t>
      </w:r>
      <w:r>
        <w:t xml:space="preserve"> zvýšení hmotnosti. Zvýšení hmotnosti v dotazníku uvedlo 18 respondentů. Sedmnáct respondentů uvedlo, že pociťují sucho v úst</w:t>
      </w:r>
      <w:r w:rsidR="00801899">
        <w:t>ech</w:t>
      </w:r>
      <w:r>
        <w:t xml:space="preserve">. Sexuální poruchy a zvýšené pocení uvedlo 13 respondentů. </w:t>
      </w:r>
      <w:r w:rsidR="005C2CEB">
        <w:t xml:space="preserve">Osm respondentů uvedlo jako nežádoucí účinek antidepresiv zácpu. </w:t>
      </w:r>
      <w:r>
        <w:t xml:space="preserve">Třes, poruchy paměti a úzkostnost se u respondentů objevily sedmkrát. </w:t>
      </w:r>
      <w:r w:rsidR="005C2CEB">
        <w:t xml:space="preserve">Bolesti hlavy se objevily u pěti respondentů. Závratě, průjem a bolesti zubů a kloubů uvedli 3 respondenti. Nežádoucí účinky typu sníženého krevního tlaku, zrychlení tepu a zmatenosti byly uvedeny dvakrát. Jedenkrát byla v dotazníku uvedena přítomnost nežádoucích účinků, jako je ospalost a únava. Žádný z respondentů neuvedl, že po antidepresivech trpí zvracením. </w:t>
      </w:r>
    </w:p>
    <w:p w:rsidR="00EB28D4" w:rsidRPr="00041EFD" w:rsidRDefault="00EB28D4" w:rsidP="00041EFD">
      <w:pPr>
        <w:rPr>
          <w:rFonts w:cs="Times New Roman"/>
          <w:b/>
        </w:rPr>
      </w:pPr>
    </w:p>
    <w:p w:rsidR="00041EFD" w:rsidRDefault="00EB28D4" w:rsidP="00635367">
      <w:pPr>
        <w:rPr>
          <w:rFonts w:cs="Times New Roman"/>
        </w:rPr>
      </w:pPr>
      <w:r w:rsidRPr="00EB28D4">
        <w:rPr>
          <w:rFonts w:cs="Times New Roman"/>
          <w:noProof/>
          <w:lang w:eastAsia="cs-CZ"/>
        </w:rPr>
        <w:drawing>
          <wp:inline distT="0" distB="0" distL="0" distR="0" wp14:anchorId="32E20A22" wp14:editId="24AB8B6E">
            <wp:extent cx="5507990" cy="3679556"/>
            <wp:effectExtent l="19050" t="0" r="16510" b="0"/>
            <wp:docPr id="12"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41EFD" w:rsidRDefault="00E55909" w:rsidP="00635367">
      <w:pPr>
        <w:rPr>
          <w:rFonts w:cs="Times New Roman"/>
        </w:rPr>
      </w:pPr>
      <w:r>
        <w:rPr>
          <w:rFonts w:cs="Times New Roman"/>
          <w:b/>
        </w:rPr>
        <w:t>Graf 10</w:t>
      </w:r>
      <w:r w:rsidR="00EB28D4">
        <w:rPr>
          <w:rFonts w:cs="Times New Roman"/>
        </w:rPr>
        <w:t>: Nežádoucí účinky</w:t>
      </w:r>
    </w:p>
    <w:p w:rsidR="00A44428" w:rsidRDefault="00EB28D4" w:rsidP="00801899">
      <w:pPr>
        <w:ind w:firstLine="284"/>
        <w:rPr>
          <w:rFonts w:cs="Times New Roman"/>
        </w:rPr>
      </w:pPr>
      <w:r>
        <w:rPr>
          <w:rFonts w:cs="Times New Roman"/>
        </w:rPr>
        <w:t xml:space="preserve">Z grafu je zřejmé, že nejvíce vyjádřeným nežádoucím účinkem u užívání antidepresiv je zvýšení hmotnosti, 14,8 %. Sucho v ústech bylo uvedeno z 13,9 %. Dále to byly sexuální poruchy a zvýšené pocení, 10,7 %. Zácpa jako nežádoucí účinek antidepresiv </w:t>
      </w:r>
      <w:r>
        <w:rPr>
          <w:rFonts w:cs="Times New Roman"/>
        </w:rPr>
        <w:lastRenderedPageBreak/>
        <w:t xml:space="preserve">byla zastoupena z 8,8 %.  Třes, poruchy paměti a úzkostnost uvedlo 5,7 % respondentů. Bolesti byly </w:t>
      </w:r>
      <w:r w:rsidR="00D678A5">
        <w:rPr>
          <w:rFonts w:cs="Times New Roman"/>
        </w:rPr>
        <w:t>v šetření zastoupeny ze</w:t>
      </w:r>
      <w:r>
        <w:rPr>
          <w:rFonts w:cs="Times New Roman"/>
        </w:rPr>
        <w:t> 4,1 %. Z 2,5 % se vyskytly nežádoucí účinky</w:t>
      </w:r>
      <w:r w:rsidR="00D678A5">
        <w:rPr>
          <w:rFonts w:cs="Times New Roman"/>
        </w:rPr>
        <w:t>,</w:t>
      </w:r>
      <w:r>
        <w:rPr>
          <w:rFonts w:cs="Times New Roman"/>
        </w:rPr>
        <w:t xml:space="preserve"> jako je průjem, závratě a bolesti zubů a kloubů. </w:t>
      </w:r>
      <w:r w:rsidR="00D678A5">
        <w:rPr>
          <w:rFonts w:cs="Times New Roman"/>
        </w:rPr>
        <w:t xml:space="preserve">Únava a ospalost byly zastoupeny ze 0,8 %. </w:t>
      </w:r>
    </w:p>
    <w:p w:rsidR="00801899" w:rsidRPr="00801899" w:rsidRDefault="00801899" w:rsidP="00801899">
      <w:pPr>
        <w:ind w:firstLine="284"/>
        <w:rPr>
          <w:rFonts w:cs="Times New Roman"/>
        </w:rPr>
      </w:pPr>
    </w:p>
    <w:p w:rsidR="00F42AE2" w:rsidRDefault="00D678A5" w:rsidP="00801899">
      <w:pPr>
        <w:ind w:firstLine="284"/>
        <w:rPr>
          <w:rFonts w:cs="Times New Roman"/>
        </w:rPr>
      </w:pPr>
      <w:r w:rsidRPr="00D678A5">
        <w:rPr>
          <w:rFonts w:cs="Times New Roman"/>
          <w:b/>
        </w:rPr>
        <w:t>Výzkumná otázka č. 5:</w:t>
      </w:r>
      <w:r>
        <w:rPr>
          <w:rFonts w:cs="Times New Roman"/>
        </w:rPr>
        <w:t xml:space="preserve"> </w:t>
      </w:r>
      <w:r w:rsidRPr="00FB1508">
        <w:rPr>
          <w:rFonts w:cs="Times New Roman"/>
          <w:b/>
        </w:rPr>
        <w:t>U kterého typu antide</w:t>
      </w:r>
      <w:r w:rsidR="00F42AE2" w:rsidRPr="00FB1508">
        <w:rPr>
          <w:rFonts w:cs="Times New Roman"/>
          <w:b/>
        </w:rPr>
        <w:t>presiv budou respondenti nejčastěji</w:t>
      </w:r>
      <w:r w:rsidRPr="00FB1508">
        <w:rPr>
          <w:rFonts w:cs="Times New Roman"/>
          <w:b/>
        </w:rPr>
        <w:t xml:space="preserve"> udávat nežádoucí účinky?</w:t>
      </w:r>
    </w:p>
    <w:p w:rsidR="00801899" w:rsidRDefault="00801899" w:rsidP="00801899">
      <w:pPr>
        <w:ind w:firstLine="284"/>
        <w:rPr>
          <w:rFonts w:cs="Times New Roman"/>
        </w:rPr>
      </w:pPr>
    </w:p>
    <w:p w:rsidR="00F42AE2" w:rsidRDefault="00E55909" w:rsidP="00EB28D4">
      <w:pPr>
        <w:ind w:firstLine="284"/>
        <w:rPr>
          <w:rFonts w:cs="Times New Roman"/>
        </w:rPr>
      </w:pPr>
      <w:r>
        <w:rPr>
          <w:rFonts w:cs="Times New Roman"/>
          <w:b/>
        </w:rPr>
        <w:t>Tabulka 23</w:t>
      </w:r>
      <w:r w:rsidR="00F42AE2">
        <w:rPr>
          <w:rFonts w:cs="Times New Roman"/>
        </w:rPr>
        <w:t>: Výskyt nežádoucích účinků u jednotlivých typů antidepresiv</w:t>
      </w:r>
    </w:p>
    <w:tbl>
      <w:tblPr>
        <w:tblW w:w="8540" w:type="dxa"/>
        <w:tblInd w:w="65" w:type="dxa"/>
        <w:tblCellMar>
          <w:left w:w="70" w:type="dxa"/>
          <w:right w:w="70" w:type="dxa"/>
        </w:tblCellMar>
        <w:tblLook w:val="04A0" w:firstRow="1" w:lastRow="0" w:firstColumn="1" w:lastColumn="0" w:noHBand="0" w:noVBand="1"/>
      </w:tblPr>
      <w:tblGrid>
        <w:gridCol w:w="4225"/>
        <w:gridCol w:w="2169"/>
        <w:gridCol w:w="2146"/>
      </w:tblGrid>
      <w:tr w:rsidR="00F42AE2" w:rsidRPr="00F42AE2" w:rsidTr="00801899">
        <w:trPr>
          <w:trHeight w:val="422"/>
        </w:trPr>
        <w:tc>
          <w:tcPr>
            <w:tcW w:w="4225"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F42AE2" w:rsidRPr="00F42AE2" w:rsidRDefault="00F42AE2" w:rsidP="00F42AE2">
            <w:pPr>
              <w:spacing w:line="240" w:lineRule="auto"/>
              <w:jc w:val="center"/>
              <w:rPr>
                <w:rFonts w:eastAsia="Times New Roman" w:cs="Times New Roman"/>
                <w:b/>
                <w:bCs/>
                <w:color w:val="000000"/>
                <w:szCs w:val="24"/>
                <w:lang w:eastAsia="cs-CZ"/>
              </w:rPr>
            </w:pPr>
            <w:r w:rsidRPr="00F42AE2">
              <w:rPr>
                <w:rFonts w:eastAsia="Times New Roman" w:cs="Times New Roman"/>
                <w:b/>
                <w:bCs/>
                <w:color w:val="000000"/>
                <w:szCs w:val="24"/>
                <w:lang w:eastAsia="cs-CZ"/>
              </w:rPr>
              <w:t>Nežádoucí účinky dle generace AD</w:t>
            </w:r>
          </w:p>
        </w:tc>
        <w:tc>
          <w:tcPr>
            <w:tcW w:w="2169"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F42AE2" w:rsidRPr="00F42AE2" w:rsidRDefault="00F42AE2" w:rsidP="00F42AE2">
            <w:pPr>
              <w:spacing w:line="240" w:lineRule="auto"/>
              <w:jc w:val="center"/>
              <w:rPr>
                <w:rFonts w:eastAsia="Times New Roman" w:cs="Times New Roman"/>
                <w:b/>
                <w:bCs/>
                <w:color w:val="000000"/>
                <w:szCs w:val="24"/>
                <w:lang w:eastAsia="cs-CZ"/>
              </w:rPr>
            </w:pPr>
            <w:r w:rsidRPr="00F42AE2">
              <w:rPr>
                <w:rFonts w:eastAsia="Times New Roman" w:cs="Times New Roman"/>
                <w:b/>
                <w:bCs/>
                <w:color w:val="000000"/>
                <w:szCs w:val="24"/>
                <w:lang w:eastAsia="cs-CZ"/>
              </w:rPr>
              <w:t>Absolutní četnost</w:t>
            </w:r>
          </w:p>
        </w:tc>
        <w:tc>
          <w:tcPr>
            <w:tcW w:w="2146"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F42AE2" w:rsidRPr="00F42AE2" w:rsidRDefault="00F42AE2" w:rsidP="00F42AE2">
            <w:pPr>
              <w:spacing w:line="240" w:lineRule="auto"/>
              <w:jc w:val="center"/>
              <w:rPr>
                <w:rFonts w:eastAsia="Times New Roman" w:cs="Times New Roman"/>
                <w:b/>
                <w:bCs/>
                <w:color w:val="000000"/>
                <w:szCs w:val="24"/>
                <w:lang w:eastAsia="cs-CZ"/>
              </w:rPr>
            </w:pPr>
            <w:r w:rsidRPr="00F42AE2">
              <w:rPr>
                <w:rFonts w:eastAsia="Times New Roman" w:cs="Times New Roman"/>
                <w:b/>
                <w:bCs/>
                <w:color w:val="000000"/>
                <w:szCs w:val="24"/>
                <w:lang w:eastAsia="cs-CZ"/>
              </w:rPr>
              <w:t>Relativní četnost</w:t>
            </w:r>
          </w:p>
        </w:tc>
      </w:tr>
      <w:tr w:rsidR="00F42AE2" w:rsidRPr="00F42AE2" w:rsidTr="00F42AE2">
        <w:trPr>
          <w:trHeight w:val="422"/>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b/>
                <w:bCs/>
                <w:color w:val="000000"/>
                <w:szCs w:val="24"/>
                <w:lang w:eastAsia="cs-CZ"/>
              </w:rPr>
            </w:pPr>
            <w:r>
              <w:rPr>
                <w:rFonts w:eastAsia="Times New Roman" w:cs="Times New Roman"/>
                <w:b/>
                <w:bCs/>
                <w:color w:val="000000"/>
                <w:szCs w:val="24"/>
                <w:lang w:eastAsia="cs-CZ"/>
              </w:rPr>
              <w:t>II. g</w:t>
            </w:r>
            <w:r w:rsidRPr="00F42AE2">
              <w:rPr>
                <w:rFonts w:eastAsia="Times New Roman" w:cs="Times New Roman"/>
                <w:b/>
                <w:bCs/>
                <w:color w:val="000000"/>
                <w:szCs w:val="24"/>
                <w:lang w:eastAsia="cs-CZ"/>
              </w:rPr>
              <w:t>enerace</w:t>
            </w:r>
          </w:p>
        </w:tc>
        <w:tc>
          <w:tcPr>
            <w:tcW w:w="2169"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1</w:t>
            </w:r>
          </w:p>
        </w:tc>
        <w:tc>
          <w:tcPr>
            <w:tcW w:w="2146"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1,9</w:t>
            </w:r>
            <w:r w:rsidR="00385286">
              <w:rPr>
                <w:rFonts w:eastAsia="Times New Roman" w:cs="Times New Roman"/>
                <w:color w:val="000000"/>
                <w:szCs w:val="24"/>
                <w:lang w:eastAsia="cs-CZ"/>
              </w:rPr>
              <w:t xml:space="preserve"> </w:t>
            </w:r>
            <w:r w:rsidRPr="00F42AE2">
              <w:rPr>
                <w:rFonts w:eastAsia="Times New Roman" w:cs="Times New Roman"/>
                <w:color w:val="000000"/>
                <w:szCs w:val="24"/>
                <w:lang w:eastAsia="cs-CZ"/>
              </w:rPr>
              <w:t>%</w:t>
            </w:r>
          </w:p>
        </w:tc>
      </w:tr>
      <w:tr w:rsidR="00F42AE2" w:rsidRPr="00F42AE2" w:rsidTr="00F42AE2">
        <w:trPr>
          <w:trHeight w:val="422"/>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b/>
                <w:bCs/>
                <w:color w:val="000000"/>
                <w:szCs w:val="24"/>
                <w:lang w:eastAsia="cs-CZ"/>
              </w:rPr>
            </w:pPr>
            <w:r w:rsidRPr="00F42AE2">
              <w:rPr>
                <w:rFonts w:eastAsia="Times New Roman" w:cs="Times New Roman"/>
                <w:b/>
                <w:bCs/>
                <w:color w:val="000000"/>
                <w:szCs w:val="24"/>
                <w:lang w:eastAsia="cs-CZ"/>
              </w:rPr>
              <w:t>III.</w:t>
            </w:r>
            <w:r>
              <w:rPr>
                <w:rFonts w:eastAsia="Times New Roman" w:cs="Times New Roman"/>
                <w:b/>
                <w:bCs/>
                <w:color w:val="000000"/>
                <w:szCs w:val="24"/>
                <w:lang w:eastAsia="cs-CZ"/>
              </w:rPr>
              <w:t xml:space="preserve"> </w:t>
            </w:r>
            <w:r w:rsidRPr="00F42AE2">
              <w:rPr>
                <w:rFonts w:eastAsia="Times New Roman" w:cs="Times New Roman"/>
                <w:b/>
                <w:bCs/>
                <w:color w:val="000000"/>
                <w:szCs w:val="24"/>
                <w:lang w:eastAsia="cs-CZ"/>
              </w:rPr>
              <w:t>generace</w:t>
            </w:r>
          </w:p>
        </w:tc>
        <w:tc>
          <w:tcPr>
            <w:tcW w:w="2169"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34</w:t>
            </w:r>
          </w:p>
        </w:tc>
        <w:tc>
          <w:tcPr>
            <w:tcW w:w="2146"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64,2</w:t>
            </w:r>
            <w:r w:rsidR="00385286">
              <w:rPr>
                <w:rFonts w:eastAsia="Times New Roman" w:cs="Times New Roman"/>
                <w:color w:val="000000"/>
                <w:szCs w:val="24"/>
                <w:lang w:eastAsia="cs-CZ"/>
              </w:rPr>
              <w:t xml:space="preserve"> </w:t>
            </w:r>
            <w:r w:rsidRPr="00F42AE2">
              <w:rPr>
                <w:rFonts w:eastAsia="Times New Roman" w:cs="Times New Roman"/>
                <w:color w:val="000000"/>
                <w:szCs w:val="24"/>
                <w:lang w:eastAsia="cs-CZ"/>
              </w:rPr>
              <w:t>%</w:t>
            </w:r>
          </w:p>
        </w:tc>
      </w:tr>
      <w:tr w:rsidR="00F42AE2" w:rsidRPr="00F42AE2" w:rsidTr="00F42AE2">
        <w:trPr>
          <w:trHeight w:val="422"/>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rsidR="00F42AE2" w:rsidRPr="00F42AE2" w:rsidRDefault="00CB7516" w:rsidP="00F42AE2">
            <w:pPr>
              <w:spacing w:line="240" w:lineRule="auto"/>
              <w:jc w:val="center"/>
              <w:rPr>
                <w:rFonts w:eastAsia="Times New Roman" w:cs="Times New Roman"/>
                <w:b/>
                <w:bCs/>
                <w:color w:val="000000"/>
                <w:szCs w:val="24"/>
                <w:lang w:eastAsia="cs-CZ"/>
              </w:rPr>
            </w:pPr>
            <w:r>
              <w:rPr>
                <w:rFonts w:eastAsia="Times New Roman" w:cs="Times New Roman"/>
                <w:b/>
                <w:bCs/>
                <w:color w:val="000000"/>
                <w:szCs w:val="24"/>
                <w:lang w:eastAsia="cs-CZ"/>
              </w:rPr>
              <w:t>IV</w:t>
            </w:r>
            <w:r w:rsidR="00F42AE2">
              <w:rPr>
                <w:rFonts w:eastAsia="Times New Roman" w:cs="Times New Roman"/>
                <w:b/>
                <w:bCs/>
                <w:color w:val="000000"/>
                <w:szCs w:val="24"/>
                <w:lang w:eastAsia="cs-CZ"/>
              </w:rPr>
              <w:t>. g</w:t>
            </w:r>
            <w:r w:rsidR="00F42AE2" w:rsidRPr="00F42AE2">
              <w:rPr>
                <w:rFonts w:eastAsia="Times New Roman" w:cs="Times New Roman"/>
                <w:b/>
                <w:bCs/>
                <w:color w:val="000000"/>
                <w:szCs w:val="24"/>
                <w:lang w:eastAsia="cs-CZ"/>
              </w:rPr>
              <w:t>enerace</w:t>
            </w:r>
          </w:p>
        </w:tc>
        <w:tc>
          <w:tcPr>
            <w:tcW w:w="2169"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11</w:t>
            </w:r>
          </w:p>
        </w:tc>
        <w:tc>
          <w:tcPr>
            <w:tcW w:w="2146"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20,8</w:t>
            </w:r>
            <w:r w:rsidR="00385286">
              <w:rPr>
                <w:rFonts w:eastAsia="Times New Roman" w:cs="Times New Roman"/>
                <w:color w:val="000000"/>
                <w:szCs w:val="24"/>
                <w:lang w:eastAsia="cs-CZ"/>
              </w:rPr>
              <w:t xml:space="preserve"> </w:t>
            </w:r>
            <w:r w:rsidRPr="00F42AE2">
              <w:rPr>
                <w:rFonts w:eastAsia="Times New Roman" w:cs="Times New Roman"/>
                <w:color w:val="000000"/>
                <w:szCs w:val="24"/>
                <w:lang w:eastAsia="cs-CZ"/>
              </w:rPr>
              <w:t>%</w:t>
            </w:r>
          </w:p>
        </w:tc>
      </w:tr>
      <w:tr w:rsidR="00F42AE2" w:rsidRPr="00F42AE2" w:rsidTr="00F42AE2">
        <w:trPr>
          <w:trHeight w:val="422"/>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b/>
                <w:bCs/>
                <w:color w:val="000000"/>
                <w:szCs w:val="24"/>
                <w:lang w:eastAsia="cs-CZ"/>
              </w:rPr>
            </w:pPr>
            <w:r w:rsidRPr="00F42AE2">
              <w:rPr>
                <w:rFonts w:eastAsia="Times New Roman" w:cs="Times New Roman"/>
                <w:b/>
                <w:bCs/>
                <w:color w:val="000000"/>
                <w:szCs w:val="24"/>
                <w:lang w:eastAsia="cs-CZ"/>
              </w:rPr>
              <w:t>IMAO</w:t>
            </w:r>
          </w:p>
        </w:tc>
        <w:tc>
          <w:tcPr>
            <w:tcW w:w="2169"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3</w:t>
            </w:r>
          </w:p>
        </w:tc>
        <w:tc>
          <w:tcPr>
            <w:tcW w:w="2146"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5,7</w:t>
            </w:r>
            <w:r w:rsidR="00385286">
              <w:rPr>
                <w:rFonts w:eastAsia="Times New Roman" w:cs="Times New Roman"/>
                <w:color w:val="000000"/>
                <w:szCs w:val="24"/>
                <w:lang w:eastAsia="cs-CZ"/>
              </w:rPr>
              <w:t xml:space="preserve"> </w:t>
            </w:r>
            <w:r w:rsidRPr="00F42AE2">
              <w:rPr>
                <w:rFonts w:eastAsia="Times New Roman" w:cs="Times New Roman"/>
                <w:color w:val="000000"/>
                <w:szCs w:val="24"/>
                <w:lang w:eastAsia="cs-CZ"/>
              </w:rPr>
              <w:t>%</w:t>
            </w:r>
          </w:p>
        </w:tc>
      </w:tr>
      <w:tr w:rsidR="00F42AE2" w:rsidRPr="00F42AE2" w:rsidTr="00F42AE2">
        <w:trPr>
          <w:trHeight w:val="422"/>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b/>
                <w:bCs/>
                <w:color w:val="000000"/>
                <w:szCs w:val="24"/>
                <w:lang w:eastAsia="cs-CZ"/>
              </w:rPr>
            </w:pPr>
            <w:r w:rsidRPr="00F42AE2">
              <w:rPr>
                <w:rFonts w:eastAsia="Times New Roman" w:cs="Times New Roman"/>
                <w:b/>
                <w:bCs/>
                <w:color w:val="000000"/>
                <w:szCs w:val="24"/>
                <w:lang w:eastAsia="cs-CZ"/>
              </w:rPr>
              <w:t>Kombinace AD</w:t>
            </w:r>
          </w:p>
        </w:tc>
        <w:tc>
          <w:tcPr>
            <w:tcW w:w="2169"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4</w:t>
            </w:r>
          </w:p>
        </w:tc>
        <w:tc>
          <w:tcPr>
            <w:tcW w:w="2146"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7,5</w:t>
            </w:r>
            <w:r w:rsidR="00385286">
              <w:rPr>
                <w:rFonts w:eastAsia="Times New Roman" w:cs="Times New Roman"/>
                <w:color w:val="000000"/>
                <w:szCs w:val="24"/>
                <w:lang w:eastAsia="cs-CZ"/>
              </w:rPr>
              <w:t xml:space="preserve"> </w:t>
            </w:r>
            <w:r w:rsidRPr="00F42AE2">
              <w:rPr>
                <w:rFonts w:eastAsia="Times New Roman" w:cs="Times New Roman"/>
                <w:color w:val="000000"/>
                <w:szCs w:val="24"/>
                <w:lang w:eastAsia="cs-CZ"/>
              </w:rPr>
              <w:t>%</w:t>
            </w:r>
          </w:p>
        </w:tc>
      </w:tr>
      <w:tr w:rsidR="00F42AE2" w:rsidRPr="00F42AE2" w:rsidTr="00F42AE2">
        <w:trPr>
          <w:trHeight w:val="422"/>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b/>
                <w:bCs/>
                <w:color w:val="000000"/>
                <w:szCs w:val="24"/>
                <w:lang w:eastAsia="cs-CZ"/>
              </w:rPr>
            </w:pPr>
            <w:r w:rsidRPr="00F42AE2">
              <w:rPr>
                <w:rFonts w:eastAsia="Times New Roman" w:cs="Times New Roman"/>
                <w:b/>
                <w:bCs/>
                <w:color w:val="000000"/>
                <w:szCs w:val="24"/>
                <w:lang w:eastAsia="cs-CZ"/>
              </w:rPr>
              <w:t>Jiná AD</w:t>
            </w:r>
          </w:p>
        </w:tc>
        <w:tc>
          <w:tcPr>
            <w:tcW w:w="2169"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0</w:t>
            </w:r>
          </w:p>
        </w:tc>
        <w:tc>
          <w:tcPr>
            <w:tcW w:w="2146"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color w:val="000000"/>
                <w:szCs w:val="24"/>
                <w:lang w:eastAsia="cs-CZ"/>
              </w:rPr>
            </w:pPr>
            <w:r w:rsidRPr="00F42AE2">
              <w:rPr>
                <w:rFonts w:eastAsia="Times New Roman" w:cs="Times New Roman"/>
                <w:color w:val="000000"/>
                <w:szCs w:val="24"/>
                <w:lang w:eastAsia="cs-CZ"/>
              </w:rPr>
              <w:t>0,0</w:t>
            </w:r>
            <w:r w:rsidR="00385286">
              <w:rPr>
                <w:rFonts w:eastAsia="Times New Roman" w:cs="Times New Roman"/>
                <w:color w:val="000000"/>
                <w:szCs w:val="24"/>
                <w:lang w:eastAsia="cs-CZ"/>
              </w:rPr>
              <w:t xml:space="preserve"> </w:t>
            </w:r>
            <w:r w:rsidRPr="00F42AE2">
              <w:rPr>
                <w:rFonts w:eastAsia="Times New Roman" w:cs="Times New Roman"/>
                <w:color w:val="000000"/>
                <w:szCs w:val="24"/>
                <w:lang w:eastAsia="cs-CZ"/>
              </w:rPr>
              <w:t>%</w:t>
            </w:r>
          </w:p>
        </w:tc>
      </w:tr>
      <w:tr w:rsidR="00F42AE2" w:rsidRPr="00F42AE2" w:rsidTr="00F42AE2">
        <w:trPr>
          <w:trHeight w:val="422"/>
        </w:trPr>
        <w:tc>
          <w:tcPr>
            <w:tcW w:w="4225" w:type="dxa"/>
            <w:tcBorders>
              <w:top w:val="nil"/>
              <w:left w:val="single" w:sz="4" w:space="0" w:color="auto"/>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b/>
                <w:bCs/>
                <w:color w:val="000000"/>
                <w:szCs w:val="24"/>
                <w:lang w:eastAsia="cs-CZ"/>
              </w:rPr>
            </w:pPr>
            <w:r w:rsidRPr="00F42AE2">
              <w:rPr>
                <w:rFonts w:eastAsia="Times New Roman" w:cs="Times New Roman"/>
                <w:b/>
                <w:bCs/>
                <w:color w:val="000000"/>
                <w:szCs w:val="24"/>
                <w:lang w:eastAsia="cs-CZ"/>
              </w:rPr>
              <w:t>Celkem</w:t>
            </w:r>
          </w:p>
        </w:tc>
        <w:tc>
          <w:tcPr>
            <w:tcW w:w="2169"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b/>
                <w:bCs/>
                <w:color w:val="000000"/>
                <w:szCs w:val="24"/>
                <w:lang w:eastAsia="cs-CZ"/>
              </w:rPr>
            </w:pPr>
            <w:r w:rsidRPr="00F42AE2">
              <w:rPr>
                <w:rFonts w:eastAsia="Times New Roman" w:cs="Times New Roman"/>
                <w:b/>
                <w:bCs/>
                <w:color w:val="000000"/>
                <w:szCs w:val="24"/>
                <w:lang w:eastAsia="cs-CZ"/>
              </w:rPr>
              <w:t>53</w:t>
            </w:r>
          </w:p>
        </w:tc>
        <w:tc>
          <w:tcPr>
            <w:tcW w:w="2146" w:type="dxa"/>
            <w:tcBorders>
              <w:top w:val="nil"/>
              <w:left w:val="nil"/>
              <w:bottom w:val="single" w:sz="4" w:space="0" w:color="auto"/>
              <w:right w:val="single" w:sz="4" w:space="0" w:color="auto"/>
            </w:tcBorders>
            <w:shd w:val="clear" w:color="auto" w:fill="auto"/>
            <w:noWrap/>
            <w:vAlign w:val="bottom"/>
            <w:hideMark/>
          </w:tcPr>
          <w:p w:rsidR="00F42AE2" w:rsidRPr="00F42AE2" w:rsidRDefault="00F42AE2" w:rsidP="00F42AE2">
            <w:pPr>
              <w:spacing w:line="240" w:lineRule="auto"/>
              <w:jc w:val="center"/>
              <w:rPr>
                <w:rFonts w:eastAsia="Times New Roman" w:cs="Times New Roman"/>
                <w:b/>
                <w:bCs/>
                <w:color w:val="000000"/>
                <w:szCs w:val="24"/>
                <w:lang w:eastAsia="cs-CZ"/>
              </w:rPr>
            </w:pPr>
            <w:r w:rsidRPr="00F42AE2">
              <w:rPr>
                <w:rFonts w:eastAsia="Times New Roman" w:cs="Times New Roman"/>
                <w:b/>
                <w:bCs/>
                <w:color w:val="000000"/>
                <w:szCs w:val="24"/>
                <w:lang w:eastAsia="cs-CZ"/>
              </w:rPr>
              <w:t>100,0</w:t>
            </w:r>
            <w:r w:rsidR="00385286">
              <w:rPr>
                <w:rFonts w:eastAsia="Times New Roman" w:cs="Times New Roman"/>
                <w:b/>
                <w:bCs/>
                <w:color w:val="000000"/>
                <w:szCs w:val="24"/>
                <w:lang w:eastAsia="cs-CZ"/>
              </w:rPr>
              <w:t xml:space="preserve"> </w:t>
            </w:r>
            <w:r w:rsidRPr="00F42AE2">
              <w:rPr>
                <w:rFonts w:eastAsia="Times New Roman" w:cs="Times New Roman"/>
                <w:b/>
                <w:bCs/>
                <w:color w:val="000000"/>
                <w:szCs w:val="24"/>
                <w:lang w:eastAsia="cs-CZ"/>
              </w:rPr>
              <w:t>%</w:t>
            </w:r>
          </w:p>
        </w:tc>
      </w:tr>
    </w:tbl>
    <w:p w:rsidR="00F42AE2" w:rsidRDefault="00F42AE2" w:rsidP="00EB28D4">
      <w:pPr>
        <w:ind w:firstLine="284"/>
        <w:rPr>
          <w:rFonts w:cs="Times New Roman"/>
        </w:rPr>
      </w:pPr>
    </w:p>
    <w:p w:rsidR="00F42AE2" w:rsidRDefault="00F42AE2" w:rsidP="00EB28D4">
      <w:pPr>
        <w:ind w:firstLine="284"/>
        <w:rPr>
          <w:rFonts w:cs="Times New Roman"/>
        </w:rPr>
      </w:pPr>
      <w:r>
        <w:rPr>
          <w:rFonts w:cs="Times New Roman"/>
        </w:rPr>
        <w:t xml:space="preserve">Z tabulky vyplývá, že </w:t>
      </w:r>
      <w:r w:rsidR="000242E4">
        <w:rPr>
          <w:rFonts w:cs="Times New Roman"/>
        </w:rPr>
        <w:t>nežádoucí účinky</w:t>
      </w:r>
      <w:r w:rsidR="00385286">
        <w:rPr>
          <w:rFonts w:cs="Times New Roman"/>
        </w:rPr>
        <w:t xml:space="preserve"> uváděli nejčastěji respondenti</w:t>
      </w:r>
      <w:r w:rsidR="000242E4">
        <w:rPr>
          <w:rFonts w:cs="Times New Roman"/>
        </w:rPr>
        <w:t xml:space="preserve"> užívající antidepresiva III. generace. Celkem se jednalo o 34 respondentů. </w:t>
      </w:r>
      <w:r w:rsidR="005803FF">
        <w:rPr>
          <w:rFonts w:cs="Times New Roman"/>
        </w:rPr>
        <w:t xml:space="preserve">Nejčastěji uváděli respondenti užívající III. generaci antidepresiv zvýšení hmotnosti vlivem léčby antidepresivy. </w:t>
      </w:r>
      <w:r w:rsidR="000242E4">
        <w:rPr>
          <w:rFonts w:cs="Times New Roman"/>
        </w:rPr>
        <w:t xml:space="preserve">Jedenáct respondentů uvedlo výskyt nežádoucích účinků u antidepresiv IV. generace. </w:t>
      </w:r>
      <w:r w:rsidR="005803FF">
        <w:rPr>
          <w:rFonts w:cs="Times New Roman"/>
        </w:rPr>
        <w:t xml:space="preserve">Nejčastěji tito respondenti uváděli zvýšené pocení. U </w:t>
      </w:r>
      <w:r w:rsidR="000242E4">
        <w:rPr>
          <w:rFonts w:cs="Times New Roman"/>
        </w:rPr>
        <w:t>kombinace antidepresiv se vyskytly nežádoucí účinky u 4 respondentů. Tři respondenti uvedly výskyt nežádoucích účinků u antidepresiv typu IMAO. U antidepresiv II. generace uvedl</w:t>
      </w:r>
      <w:r w:rsidR="00385286">
        <w:rPr>
          <w:rFonts w:cs="Times New Roman"/>
        </w:rPr>
        <w:t>i</w:t>
      </w:r>
      <w:r w:rsidR="000242E4">
        <w:rPr>
          <w:rFonts w:cs="Times New Roman"/>
        </w:rPr>
        <w:t xml:space="preserve"> výskyt nežádoucích účinků jeden respondent. U jiného typu antidepresiv neuvedl žádný respondent výskyt nežádoucích účinků.</w:t>
      </w:r>
    </w:p>
    <w:p w:rsidR="005803FF" w:rsidRDefault="005803FF" w:rsidP="00EB28D4">
      <w:pPr>
        <w:ind w:firstLine="284"/>
        <w:rPr>
          <w:rFonts w:cs="Times New Roman"/>
        </w:rPr>
      </w:pPr>
    </w:p>
    <w:p w:rsidR="00CB7516" w:rsidRDefault="00CB7516" w:rsidP="00801899">
      <w:pPr>
        <w:rPr>
          <w:rFonts w:cs="Times New Roman"/>
        </w:rPr>
      </w:pPr>
      <w:r w:rsidRPr="00CB7516">
        <w:rPr>
          <w:rFonts w:cs="Times New Roman"/>
          <w:noProof/>
          <w:lang w:eastAsia="cs-CZ"/>
        </w:rPr>
        <w:lastRenderedPageBreak/>
        <w:drawing>
          <wp:inline distT="0" distB="0" distL="0" distR="0" wp14:anchorId="6410B39B" wp14:editId="6FC7276F">
            <wp:extent cx="5139175" cy="2769079"/>
            <wp:effectExtent l="19050" t="0" r="23375" b="0"/>
            <wp:docPr id="14" name="Graf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242E4" w:rsidRDefault="000242E4" w:rsidP="00EB28D4">
      <w:pPr>
        <w:ind w:firstLine="284"/>
        <w:rPr>
          <w:rFonts w:cs="Times New Roman"/>
        </w:rPr>
      </w:pPr>
    </w:p>
    <w:p w:rsidR="000242E4" w:rsidRDefault="00E55909" w:rsidP="00EB28D4">
      <w:pPr>
        <w:ind w:firstLine="284"/>
        <w:rPr>
          <w:rFonts w:cs="Times New Roman"/>
        </w:rPr>
      </w:pPr>
      <w:r>
        <w:rPr>
          <w:rFonts w:cs="Times New Roman"/>
          <w:b/>
        </w:rPr>
        <w:t>Graf 11</w:t>
      </w:r>
      <w:r w:rsidR="000242E4">
        <w:rPr>
          <w:rFonts w:cs="Times New Roman"/>
        </w:rPr>
        <w:t>: Výskyt nežádoucích účinků u jednotlivých typů antidepresiv</w:t>
      </w:r>
    </w:p>
    <w:p w:rsidR="00385286" w:rsidRDefault="00385286" w:rsidP="00EB28D4">
      <w:pPr>
        <w:ind w:firstLine="284"/>
        <w:rPr>
          <w:rFonts w:cs="Times New Roman"/>
        </w:rPr>
      </w:pPr>
    </w:p>
    <w:p w:rsidR="00CB7516" w:rsidRDefault="00CB7516" w:rsidP="00801899">
      <w:pPr>
        <w:ind w:firstLine="284"/>
        <w:rPr>
          <w:rFonts w:cs="Times New Roman"/>
        </w:rPr>
      </w:pPr>
      <w:r>
        <w:rPr>
          <w:rFonts w:cs="Times New Roman"/>
        </w:rPr>
        <w:t xml:space="preserve">Z grafu je zřejmé, že nejvíce nežádoucích účinků uváděli respondenti, kteří užívají antidepresiva III. generace (64,2 %). Antidepresiva IV. generace a výskyt nežádoucích účinků při jejich užívání uvedlo 20,8 %. U kombinace antidepresiv uvedlo nežádoucí účinky 7,5 % respondentů. U antidepresiv typu IMAO uvedlo výskyt nežádoucích účinků 5,7 % respondentů. U antidepresiv I. generace uvedlo výskyt nežádoucích účinků 1,9 % a u jiných antidepresiv 0 % respondentů. </w:t>
      </w:r>
      <w:r w:rsidR="00801899">
        <w:rPr>
          <w:rFonts w:cs="Times New Roman"/>
        </w:rPr>
        <w:t> </w:t>
      </w: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801899" w:rsidRDefault="00801899" w:rsidP="00801899">
      <w:pPr>
        <w:ind w:firstLine="284"/>
        <w:rPr>
          <w:rFonts w:cs="Times New Roman"/>
        </w:rPr>
      </w:pPr>
    </w:p>
    <w:p w:rsidR="00385286" w:rsidRDefault="00801899" w:rsidP="007C6D95">
      <w:pPr>
        <w:rPr>
          <w:rFonts w:cs="Times New Roman"/>
        </w:rPr>
      </w:pPr>
      <w:r>
        <w:rPr>
          <w:rFonts w:cs="Times New Roman"/>
        </w:rPr>
        <w:lastRenderedPageBreak/>
        <w:t xml:space="preserve">     </w:t>
      </w:r>
      <w:r w:rsidR="00CB1844">
        <w:rPr>
          <w:rFonts w:cs="Times New Roman"/>
        </w:rPr>
        <w:t xml:space="preserve">V souvislosti s výskytem nežádoucích účinků bylo v dotazníkovém šetření zjišťováno, </w:t>
      </w:r>
      <w:r w:rsidR="005515E8">
        <w:rPr>
          <w:rFonts w:cs="Times New Roman"/>
        </w:rPr>
        <w:t>zda nežádoucí účinky ovlivnily léčbu antidepresivy. Ovlivnění užívání antidepresiv vlivem nežádoucích účinků je zobrazeno na grafu 12. O tom, zda byli respondenti o možnosti výskytu nežádoucích účinků dopředu informováni</w:t>
      </w:r>
      <w:r w:rsidR="002D3859">
        <w:rPr>
          <w:rFonts w:cs="Times New Roman"/>
        </w:rPr>
        <w:t>,</w:t>
      </w:r>
      <w:r w:rsidR="005515E8">
        <w:rPr>
          <w:rFonts w:cs="Times New Roman"/>
        </w:rPr>
        <w:t xml:space="preserve"> pojednává graf 13.</w:t>
      </w:r>
    </w:p>
    <w:p w:rsidR="00385286" w:rsidRDefault="00385286" w:rsidP="007C6D95">
      <w:pPr>
        <w:rPr>
          <w:rFonts w:cs="Times New Roman"/>
        </w:rPr>
      </w:pPr>
    </w:p>
    <w:p w:rsidR="005515E8" w:rsidRDefault="005515E8" w:rsidP="007C6D95">
      <w:pPr>
        <w:rPr>
          <w:rFonts w:cs="Times New Roman"/>
        </w:rPr>
      </w:pPr>
      <w:r w:rsidRPr="005515E8">
        <w:rPr>
          <w:rFonts w:cs="Times New Roman"/>
          <w:noProof/>
          <w:lang w:eastAsia="cs-CZ"/>
        </w:rPr>
        <w:drawing>
          <wp:inline distT="0" distB="0" distL="0" distR="0" wp14:anchorId="4640BD44" wp14:editId="3CA9C1C7">
            <wp:extent cx="5752214" cy="3051544"/>
            <wp:effectExtent l="0" t="0" r="1270" b="0"/>
            <wp:docPr id="17" name="Graf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515E8" w:rsidRDefault="00E55909" w:rsidP="005515E8">
      <w:pPr>
        <w:ind w:firstLine="284"/>
        <w:rPr>
          <w:rFonts w:cs="Times New Roman"/>
        </w:rPr>
      </w:pPr>
      <w:r>
        <w:rPr>
          <w:rFonts w:cs="Times New Roman"/>
          <w:b/>
        </w:rPr>
        <w:t>Graf 12</w:t>
      </w:r>
      <w:r w:rsidR="005515E8" w:rsidRPr="00E35E20">
        <w:rPr>
          <w:rFonts w:cs="Times New Roman"/>
          <w:b/>
        </w:rPr>
        <w:t>:</w:t>
      </w:r>
      <w:r w:rsidR="005515E8">
        <w:rPr>
          <w:rFonts w:cs="Times New Roman"/>
          <w:b/>
        </w:rPr>
        <w:t xml:space="preserve"> </w:t>
      </w:r>
      <w:r w:rsidR="005515E8">
        <w:rPr>
          <w:rFonts w:cs="Times New Roman"/>
        </w:rPr>
        <w:t>Ovlivnění užívání antidepresiv vlivem nežádoucích účinků</w:t>
      </w:r>
    </w:p>
    <w:p w:rsidR="005515E8" w:rsidRDefault="005515E8" w:rsidP="005515E8">
      <w:pPr>
        <w:ind w:firstLine="284"/>
        <w:rPr>
          <w:rFonts w:cs="Times New Roman"/>
        </w:rPr>
      </w:pPr>
    </w:p>
    <w:p w:rsidR="005515E8" w:rsidRDefault="005515E8" w:rsidP="005515E8">
      <w:pPr>
        <w:ind w:firstLine="284"/>
        <w:rPr>
          <w:rFonts w:cs="Times New Roman"/>
        </w:rPr>
      </w:pPr>
      <w:r>
        <w:rPr>
          <w:rFonts w:cs="Times New Roman"/>
        </w:rPr>
        <w:t xml:space="preserve">Z grafu vyplývá, že nežádoucí účinky spíše neovlivnily užívání antidepresiv. Takto odpovědělo 53,7 % respondentů. Odpověď </w:t>
      </w:r>
      <w:r w:rsidR="00385286">
        <w:rPr>
          <w:rFonts w:cs="Times New Roman"/>
        </w:rPr>
        <w:t>„</w:t>
      </w:r>
      <w:r>
        <w:rPr>
          <w:rFonts w:cs="Times New Roman"/>
        </w:rPr>
        <w:t>rozhodně ne</w:t>
      </w:r>
      <w:r w:rsidR="00385286">
        <w:rPr>
          <w:rFonts w:cs="Times New Roman"/>
        </w:rPr>
        <w:t>“</w:t>
      </w:r>
      <w:r>
        <w:rPr>
          <w:rFonts w:cs="Times New Roman"/>
        </w:rPr>
        <w:t xml:space="preserve"> zvolilo 29,6 % respondentů.             11,1 % respondentů uvedlo, že museli změnit antidepresivum z důvodu výskytu nežádoucích účinků. Dále 3,7 % respondentů uvedlo, že z důvodu nežádoucích účinků musí užívat i jiné léky. Odpověď nevím zvolilo 1,9 % respondentů. </w:t>
      </w:r>
    </w:p>
    <w:p w:rsidR="0001007E" w:rsidRDefault="0001007E" w:rsidP="00EB28D4">
      <w:pPr>
        <w:ind w:firstLine="284"/>
        <w:rPr>
          <w:rFonts w:cs="Times New Roman"/>
        </w:rPr>
      </w:pPr>
    </w:p>
    <w:p w:rsidR="0001007E" w:rsidRDefault="0001007E" w:rsidP="00EB28D4">
      <w:pPr>
        <w:ind w:firstLine="284"/>
        <w:rPr>
          <w:rFonts w:cs="Times New Roman"/>
        </w:rPr>
      </w:pPr>
      <w:r w:rsidRPr="0001007E">
        <w:rPr>
          <w:rFonts w:cs="Times New Roman"/>
          <w:noProof/>
          <w:lang w:eastAsia="cs-CZ"/>
        </w:rPr>
        <w:lastRenderedPageBreak/>
        <w:drawing>
          <wp:inline distT="0" distB="0" distL="0" distR="0" wp14:anchorId="577BD498" wp14:editId="4497BB3D">
            <wp:extent cx="4638675" cy="2838450"/>
            <wp:effectExtent l="19050" t="0" r="9525" b="0"/>
            <wp:docPr id="15" name="Graf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01007E" w:rsidRDefault="0001007E" w:rsidP="00EB28D4">
      <w:pPr>
        <w:ind w:firstLine="284"/>
        <w:rPr>
          <w:rFonts w:cs="Times New Roman"/>
        </w:rPr>
      </w:pPr>
      <w:r w:rsidRPr="0001007E">
        <w:rPr>
          <w:rFonts w:cs="Times New Roman"/>
          <w:b/>
        </w:rPr>
        <w:t>Graf 1</w:t>
      </w:r>
      <w:r w:rsidR="00E55909">
        <w:rPr>
          <w:rFonts w:cs="Times New Roman"/>
          <w:b/>
        </w:rPr>
        <w:t>3</w:t>
      </w:r>
      <w:r w:rsidRPr="0001007E">
        <w:rPr>
          <w:rFonts w:cs="Times New Roman"/>
          <w:b/>
        </w:rPr>
        <w:t>:</w:t>
      </w:r>
      <w:r>
        <w:rPr>
          <w:rFonts w:cs="Times New Roman"/>
          <w:b/>
        </w:rPr>
        <w:t xml:space="preserve"> </w:t>
      </w:r>
      <w:r>
        <w:rPr>
          <w:rFonts w:cs="Times New Roman"/>
        </w:rPr>
        <w:t>Informovanost o nežádoucích účincích antidepresiv před zahájením léčby</w:t>
      </w:r>
    </w:p>
    <w:p w:rsidR="0001007E" w:rsidRDefault="0001007E" w:rsidP="00EB28D4">
      <w:pPr>
        <w:ind w:firstLine="284"/>
        <w:rPr>
          <w:rFonts w:cs="Times New Roman"/>
        </w:rPr>
      </w:pPr>
    </w:p>
    <w:p w:rsidR="00E35E20" w:rsidRDefault="0001007E" w:rsidP="00EB28D4">
      <w:pPr>
        <w:ind w:firstLine="284"/>
        <w:rPr>
          <w:rFonts w:cs="Times New Roman"/>
        </w:rPr>
      </w:pPr>
      <w:r>
        <w:rPr>
          <w:rFonts w:cs="Times New Roman"/>
        </w:rPr>
        <w:t>Z grafu je patrné, že většina respondentů v dotazníkovém šetření uvedla, že byla před zahájením léčby informována o možnosti výskytu nežádoucích účinků. Celkem 66,7 % respondentů uvedlo jako odpověď určitě ano. Odpověď spíše ano</w:t>
      </w:r>
      <w:r w:rsidR="00E35E20">
        <w:rPr>
          <w:rFonts w:cs="Times New Roman"/>
        </w:rPr>
        <w:t>,</w:t>
      </w:r>
      <w:r>
        <w:rPr>
          <w:rFonts w:cs="Times New Roman"/>
        </w:rPr>
        <w:t xml:space="preserve"> zvolilo 24,1 % respondentů. </w:t>
      </w:r>
      <w:r w:rsidR="00E35E20">
        <w:rPr>
          <w:rFonts w:cs="Times New Roman"/>
        </w:rPr>
        <w:t>Respondentů, kteří uvedli odpověď spíše ne</w:t>
      </w:r>
      <w:r w:rsidR="00322B81">
        <w:rPr>
          <w:rFonts w:cs="Times New Roman"/>
        </w:rPr>
        <w:t>,</w:t>
      </w:r>
      <w:r w:rsidR="00E35E20">
        <w:rPr>
          <w:rFonts w:cs="Times New Roman"/>
        </w:rPr>
        <w:t xml:space="preserve"> bylo 6,9 %. Žádný z respondentů neuvedl jako odpověď rozhodně ne (0</w:t>
      </w:r>
      <w:r w:rsidR="00385286">
        <w:rPr>
          <w:rFonts w:cs="Times New Roman"/>
        </w:rPr>
        <w:t xml:space="preserve"> </w:t>
      </w:r>
      <w:r w:rsidR="00E35E20">
        <w:rPr>
          <w:rFonts w:cs="Times New Roman"/>
        </w:rPr>
        <w:t xml:space="preserve">%). A 2,3 % dotazovaných nevěděla, zda byla informována o výskytu nežádoucích účinků. </w:t>
      </w:r>
    </w:p>
    <w:p w:rsidR="00E35E20" w:rsidRDefault="00E35E20" w:rsidP="00EB28D4">
      <w:pPr>
        <w:ind w:firstLine="284"/>
        <w:rPr>
          <w:rFonts w:cs="Times New Roman"/>
        </w:rPr>
      </w:pPr>
    </w:p>
    <w:p w:rsidR="00E35E20" w:rsidRDefault="00E35E20" w:rsidP="00EB28D4">
      <w:pPr>
        <w:ind w:firstLine="284"/>
        <w:rPr>
          <w:rFonts w:cs="Times New Roman"/>
        </w:rPr>
      </w:pPr>
    </w:p>
    <w:p w:rsidR="0001007E" w:rsidRDefault="00E35E20" w:rsidP="00EB28D4">
      <w:pPr>
        <w:ind w:firstLine="284"/>
        <w:rPr>
          <w:rFonts w:cs="Times New Roman"/>
        </w:rPr>
      </w:pPr>
      <w:r>
        <w:rPr>
          <w:rFonts w:cs="Times New Roman"/>
        </w:rPr>
        <w:t xml:space="preserve"> </w:t>
      </w:r>
    </w:p>
    <w:p w:rsidR="00767467" w:rsidRDefault="00767467" w:rsidP="00EB28D4">
      <w:pPr>
        <w:ind w:firstLine="284"/>
        <w:rPr>
          <w:rFonts w:cs="Times New Roman"/>
        </w:rPr>
      </w:pPr>
    </w:p>
    <w:p w:rsidR="00767467" w:rsidRDefault="00767467" w:rsidP="00EB28D4">
      <w:pPr>
        <w:ind w:firstLine="284"/>
        <w:rPr>
          <w:rFonts w:cs="Times New Roman"/>
        </w:rPr>
      </w:pPr>
    </w:p>
    <w:p w:rsidR="00767467" w:rsidRDefault="00767467" w:rsidP="00EB28D4">
      <w:pPr>
        <w:ind w:firstLine="284"/>
        <w:rPr>
          <w:rFonts w:cs="Times New Roman"/>
        </w:rPr>
      </w:pPr>
    </w:p>
    <w:p w:rsidR="00767467" w:rsidRDefault="00767467" w:rsidP="00EB28D4">
      <w:pPr>
        <w:ind w:firstLine="284"/>
        <w:rPr>
          <w:rFonts w:cs="Times New Roman"/>
        </w:rPr>
      </w:pPr>
    </w:p>
    <w:p w:rsidR="00767467" w:rsidRDefault="00767467" w:rsidP="00EB28D4">
      <w:pPr>
        <w:ind w:firstLine="284"/>
        <w:rPr>
          <w:rFonts w:cs="Times New Roman"/>
        </w:rPr>
      </w:pPr>
    </w:p>
    <w:p w:rsidR="00767467" w:rsidRDefault="00767467" w:rsidP="00EB28D4">
      <w:pPr>
        <w:ind w:firstLine="284"/>
        <w:rPr>
          <w:rFonts w:cs="Times New Roman"/>
        </w:rPr>
      </w:pPr>
    </w:p>
    <w:p w:rsidR="00767467" w:rsidRDefault="00767467" w:rsidP="00EB28D4">
      <w:pPr>
        <w:ind w:firstLine="284"/>
        <w:rPr>
          <w:rFonts w:cs="Times New Roman"/>
        </w:rPr>
      </w:pPr>
    </w:p>
    <w:p w:rsidR="00767467" w:rsidRDefault="00767467" w:rsidP="00EB28D4">
      <w:pPr>
        <w:ind w:firstLine="284"/>
        <w:rPr>
          <w:rFonts w:cs="Times New Roman"/>
        </w:rPr>
      </w:pPr>
    </w:p>
    <w:p w:rsidR="00767467" w:rsidRDefault="00767467" w:rsidP="00EB28D4">
      <w:pPr>
        <w:ind w:firstLine="284"/>
        <w:rPr>
          <w:rFonts w:cs="Times New Roman"/>
        </w:rPr>
      </w:pPr>
    </w:p>
    <w:p w:rsidR="00767467" w:rsidRDefault="00767467" w:rsidP="00EB28D4">
      <w:pPr>
        <w:ind w:firstLine="284"/>
        <w:rPr>
          <w:rFonts w:cs="Times New Roman"/>
        </w:rPr>
      </w:pPr>
    </w:p>
    <w:p w:rsidR="00767467" w:rsidRDefault="00767467" w:rsidP="00EB28D4">
      <w:pPr>
        <w:ind w:firstLine="284"/>
        <w:rPr>
          <w:rFonts w:cs="Times New Roman"/>
        </w:rPr>
      </w:pPr>
    </w:p>
    <w:p w:rsidR="00767467" w:rsidRDefault="00767467" w:rsidP="005515E8">
      <w:pPr>
        <w:pStyle w:val="Nadpis3"/>
        <w:numPr>
          <w:ilvl w:val="0"/>
          <w:numId w:val="0"/>
        </w:numPr>
      </w:pPr>
      <w:bookmarkStart w:id="95" w:name="_Toc353433212"/>
      <w:r>
        <w:lastRenderedPageBreak/>
        <w:t>7.3. Svévolné vysazení antidepresiv</w:t>
      </w:r>
      <w:bookmarkEnd w:id="95"/>
    </w:p>
    <w:p w:rsidR="00767467" w:rsidRDefault="00CE58E3" w:rsidP="000F3B0F">
      <w:pPr>
        <w:ind w:firstLine="284"/>
      </w:pPr>
      <w:r>
        <w:t>Svévolné vysazení antidepresiv bez předchozí konzultace s lékařem</w:t>
      </w:r>
      <w:r w:rsidR="005515E8">
        <w:t>,</w:t>
      </w:r>
      <w:r>
        <w:t xml:space="preserve"> </w:t>
      </w:r>
      <w:r w:rsidR="00322B81">
        <w:t>je vždy velkým</w:t>
      </w:r>
      <w:r w:rsidR="005515E8">
        <w:t xml:space="preserve"> rizikem pro další průběh a prognózu onemocnění</w:t>
      </w:r>
      <w:r w:rsidR="00591203">
        <w:t>. U antidepresiv je předčasné vysazení poměrně frekventované. Podíl na tom může mít jak pacient, medikace</w:t>
      </w:r>
      <w:r w:rsidR="00385286">
        <w:t>,</w:t>
      </w:r>
      <w:r w:rsidR="00591203">
        <w:t xml:space="preserve"> tak i lékař </w:t>
      </w:r>
      <w:r w:rsidR="005515E8">
        <w:t>(Kosová,</w:t>
      </w:r>
      <w:r w:rsidR="00591203">
        <w:t xml:space="preserve"> </w:t>
      </w:r>
      <w:r w:rsidR="005515E8">
        <w:t xml:space="preserve">2004). </w:t>
      </w:r>
    </w:p>
    <w:p w:rsidR="003F3667" w:rsidRDefault="00591203" w:rsidP="000F3B0F">
      <w:pPr>
        <w:ind w:firstLine="284"/>
      </w:pPr>
      <w:r>
        <w:t>V této části se zaměříme na výskyt svévolného vysazení antidepresiv u respondentů, dále na možnou příčinu</w:t>
      </w:r>
      <w:r w:rsidR="00385286">
        <w:t>,</w:t>
      </w:r>
      <w:r>
        <w:t xml:space="preserve"> a také na to, zda vysazení medikace vedlo k relapsu onemocnění. Pro tuto problematiku byly zvoleny dvě výzkumné otázky. </w:t>
      </w:r>
    </w:p>
    <w:p w:rsidR="003F3667" w:rsidRPr="009971C8" w:rsidRDefault="003F3667" w:rsidP="003F3667">
      <w:pPr>
        <w:rPr>
          <w:b/>
        </w:rPr>
      </w:pPr>
    </w:p>
    <w:p w:rsidR="003F3667" w:rsidRPr="009971C8" w:rsidRDefault="003F3667" w:rsidP="003F3667">
      <w:pPr>
        <w:rPr>
          <w:b/>
        </w:rPr>
      </w:pPr>
      <w:r w:rsidRPr="009971C8">
        <w:rPr>
          <w:b/>
        </w:rPr>
        <w:t>Výzkumná otázka č. 6: Došlo u respondentů během léčby antidepresivy k svévolnému vysazení léků?</w:t>
      </w:r>
    </w:p>
    <w:p w:rsidR="00E95C4D" w:rsidRPr="009971C8" w:rsidRDefault="00E95C4D" w:rsidP="003F3667">
      <w:pPr>
        <w:rPr>
          <w:b/>
        </w:rPr>
      </w:pPr>
    </w:p>
    <w:p w:rsidR="00E95C4D" w:rsidRPr="00E95C4D" w:rsidRDefault="00E55909" w:rsidP="003F3667">
      <w:r>
        <w:rPr>
          <w:b/>
        </w:rPr>
        <w:t>Tabulka 24</w:t>
      </w:r>
      <w:r w:rsidR="00E95C4D" w:rsidRPr="00E95C4D">
        <w:rPr>
          <w:b/>
        </w:rPr>
        <w:t>:</w:t>
      </w:r>
      <w:r w:rsidR="00E95C4D">
        <w:rPr>
          <w:b/>
        </w:rPr>
        <w:t xml:space="preserve"> </w:t>
      </w:r>
      <w:r w:rsidR="00E95C4D">
        <w:t>Svévolné vysazení antidepresiva</w:t>
      </w:r>
    </w:p>
    <w:tbl>
      <w:tblPr>
        <w:tblW w:w="8513" w:type="dxa"/>
        <w:tblInd w:w="65" w:type="dxa"/>
        <w:tblCellMar>
          <w:left w:w="70" w:type="dxa"/>
          <w:right w:w="70" w:type="dxa"/>
        </w:tblCellMar>
        <w:tblLook w:val="04A0" w:firstRow="1" w:lastRow="0" w:firstColumn="1" w:lastColumn="0" w:noHBand="0" w:noVBand="1"/>
      </w:tblPr>
      <w:tblGrid>
        <w:gridCol w:w="3314"/>
        <w:gridCol w:w="2572"/>
        <w:gridCol w:w="2627"/>
      </w:tblGrid>
      <w:tr w:rsidR="00E95C4D" w:rsidRPr="00E95C4D" w:rsidTr="002D3859">
        <w:trPr>
          <w:trHeight w:val="391"/>
        </w:trPr>
        <w:tc>
          <w:tcPr>
            <w:tcW w:w="3314"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E95C4D" w:rsidRPr="00E95C4D" w:rsidRDefault="00E95C4D" w:rsidP="00E95C4D">
            <w:pPr>
              <w:spacing w:line="240" w:lineRule="auto"/>
              <w:jc w:val="center"/>
              <w:rPr>
                <w:rFonts w:eastAsia="Times New Roman" w:cs="Times New Roman"/>
                <w:b/>
                <w:color w:val="000000"/>
                <w:szCs w:val="24"/>
                <w:lang w:eastAsia="cs-CZ"/>
              </w:rPr>
            </w:pPr>
            <w:r w:rsidRPr="00E95C4D">
              <w:rPr>
                <w:rFonts w:eastAsia="Times New Roman" w:cs="Times New Roman"/>
                <w:b/>
                <w:color w:val="000000"/>
                <w:szCs w:val="24"/>
                <w:lang w:eastAsia="cs-CZ"/>
              </w:rPr>
              <w:t>Vysazení AD</w:t>
            </w:r>
          </w:p>
        </w:tc>
        <w:tc>
          <w:tcPr>
            <w:tcW w:w="2572"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E95C4D" w:rsidRPr="00E95C4D" w:rsidRDefault="00E95C4D" w:rsidP="00E95C4D">
            <w:pPr>
              <w:spacing w:line="240" w:lineRule="auto"/>
              <w:jc w:val="center"/>
              <w:rPr>
                <w:rFonts w:eastAsia="Times New Roman" w:cs="Times New Roman"/>
                <w:b/>
                <w:color w:val="000000"/>
                <w:szCs w:val="24"/>
                <w:lang w:eastAsia="cs-CZ"/>
              </w:rPr>
            </w:pPr>
            <w:r>
              <w:rPr>
                <w:rFonts w:eastAsia="Times New Roman" w:cs="Times New Roman"/>
                <w:b/>
                <w:color w:val="000000"/>
                <w:szCs w:val="24"/>
                <w:lang w:eastAsia="cs-CZ"/>
              </w:rPr>
              <w:t>Absolutní četnost</w:t>
            </w:r>
          </w:p>
        </w:tc>
        <w:tc>
          <w:tcPr>
            <w:tcW w:w="2627"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E95C4D" w:rsidRPr="00E95C4D" w:rsidRDefault="00E95C4D" w:rsidP="00E95C4D">
            <w:pPr>
              <w:spacing w:line="240" w:lineRule="auto"/>
              <w:jc w:val="center"/>
              <w:rPr>
                <w:rFonts w:eastAsia="Times New Roman" w:cs="Times New Roman"/>
                <w:b/>
                <w:color w:val="000000"/>
                <w:szCs w:val="24"/>
                <w:lang w:eastAsia="cs-CZ"/>
              </w:rPr>
            </w:pPr>
            <w:r>
              <w:rPr>
                <w:rFonts w:eastAsia="Times New Roman" w:cs="Times New Roman"/>
                <w:b/>
                <w:color w:val="000000"/>
                <w:szCs w:val="24"/>
                <w:lang w:eastAsia="cs-CZ"/>
              </w:rPr>
              <w:t>Relativní četnost</w:t>
            </w:r>
          </w:p>
        </w:tc>
      </w:tr>
      <w:tr w:rsidR="00E95C4D" w:rsidRPr="00E95C4D" w:rsidTr="00E95C4D">
        <w:trPr>
          <w:trHeight w:val="391"/>
        </w:trPr>
        <w:tc>
          <w:tcPr>
            <w:tcW w:w="3314" w:type="dxa"/>
            <w:tcBorders>
              <w:top w:val="nil"/>
              <w:left w:val="single" w:sz="4" w:space="0" w:color="auto"/>
              <w:bottom w:val="single" w:sz="4" w:space="0" w:color="auto"/>
              <w:right w:val="single" w:sz="4" w:space="0" w:color="auto"/>
            </w:tcBorders>
            <w:shd w:val="clear" w:color="auto" w:fill="auto"/>
            <w:noWrap/>
            <w:vAlign w:val="bottom"/>
            <w:hideMark/>
          </w:tcPr>
          <w:p w:rsidR="00E95C4D" w:rsidRPr="00E95C4D" w:rsidRDefault="00E95C4D" w:rsidP="00E95C4D">
            <w:pPr>
              <w:spacing w:line="240" w:lineRule="auto"/>
              <w:jc w:val="center"/>
              <w:rPr>
                <w:rFonts w:eastAsia="Times New Roman" w:cs="Times New Roman"/>
                <w:b/>
                <w:color w:val="000000"/>
                <w:szCs w:val="24"/>
                <w:lang w:eastAsia="cs-CZ"/>
              </w:rPr>
            </w:pPr>
            <w:r w:rsidRPr="00E95C4D">
              <w:rPr>
                <w:rFonts w:eastAsia="Times New Roman" w:cs="Times New Roman"/>
                <w:b/>
                <w:color w:val="000000"/>
                <w:szCs w:val="24"/>
                <w:lang w:eastAsia="cs-CZ"/>
              </w:rPr>
              <w:t>Ano, vysadil/a jsem léky</w:t>
            </w:r>
          </w:p>
        </w:tc>
        <w:tc>
          <w:tcPr>
            <w:tcW w:w="2572" w:type="dxa"/>
            <w:tcBorders>
              <w:top w:val="nil"/>
              <w:left w:val="nil"/>
              <w:bottom w:val="single" w:sz="4" w:space="0" w:color="auto"/>
              <w:right w:val="single" w:sz="4" w:space="0" w:color="auto"/>
            </w:tcBorders>
            <w:shd w:val="clear" w:color="auto" w:fill="auto"/>
            <w:noWrap/>
            <w:vAlign w:val="bottom"/>
            <w:hideMark/>
          </w:tcPr>
          <w:p w:rsidR="00E95C4D" w:rsidRPr="00E95C4D" w:rsidRDefault="00E95C4D" w:rsidP="00E95C4D">
            <w:pPr>
              <w:spacing w:line="240" w:lineRule="auto"/>
              <w:jc w:val="center"/>
              <w:rPr>
                <w:rFonts w:eastAsia="Times New Roman" w:cs="Times New Roman"/>
                <w:color w:val="000000"/>
                <w:szCs w:val="24"/>
                <w:lang w:eastAsia="cs-CZ"/>
              </w:rPr>
            </w:pPr>
            <w:r w:rsidRPr="00E95C4D">
              <w:rPr>
                <w:rFonts w:eastAsia="Times New Roman" w:cs="Times New Roman"/>
                <w:color w:val="000000"/>
                <w:szCs w:val="24"/>
                <w:lang w:eastAsia="cs-CZ"/>
              </w:rPr>
              <w:t>15</w:t>
            </w:r>
          </w:p>
        </w:tc>
        <w:tc>
          <w:tcPr>
            <w:tcW w:w="2627" w:type="dxa"/>
            <w:tcBorders>
              <w:top w:val="nil"/>
              <w:left w:val="nil"/>
              <w:bottom w:val="single" w:sz="4" w:space="0" w:color="auto"/>
              <w:right w:val="single" w:sz="4" w:space="0" w:color="auto"/>
            </w:tcBorders>
            <w:shd w:val="clear" w:color="auto" w:fill="auto"/>
            <w:noWrap/>
            <w:vAlign w:val="bottom"/>
            <w:hideMark/>
          </w:tcPr>
          <w:p w:rsidR="00E95C4D" w:rsidRPr="00E95C4D" w:rsidRDefault="00E95C4D" w:rsidP="00E95C4D">
            <w:pPr>
              <w:spacing w:line="240" w:lineRule="auto"/>
              <w:jc w:val="center"/>
              <w:rPr>
                <w:rFonts w:eastAsia="Times New Roman" w:cs="Times New Roman"/>
                <w:color w:val="000000"/>
                <w:szCs w:val="24"/>
                <w:lang w:eastAsia="cs-CZ"/>
              </w:rPr>
            </w:pPr>
            <w:r w:rsidRPr="00E95C4D">
              <w:rPr>
                <w:rFonts w:eastAsia="Times New Roman" w:cs="Times New Roman"/>
                <w:color w:val="000000"/>
                <w:szCs w:val="24"/>
                <w:lang w:eastAsia="cs-CZ"/>
              </w:rPr>
              <w:t>17,2</w:t>
            </w:r>
            <w:r w:rsidR="00385286">
              <w:rPr>
                <w:rFonts w:eastAsia="Times New Roman" w:cs="Times New Roman"/>
                <w:color w:val="000000"/>
                <w:szCs w:val="24"/>
                <w:lang w:eastAsia="cs-CZ"/>
              </w:rPr>
              <w:t xml:space="preserve"> </w:t>
            </w:r>
            <w:r w:rsidRPr="00E95C4D">
              <w:rPr>
                <w:rFonts w:eastAsia="Times New Roman" w:cs="Times New Roman"/>
                <w:color w:val="000000"/>
                <w:szCs w:val="24"/>
                <w:lang w:eastAsia="cs-CZ"/>
              </w:rPr>
              <w:t>%</w:t>
            </w:r>
          </w:p>
        </w:tc>
      </w:tr>
      <w:tr w:rsidR="00E95C4D" w:rsidRPr="00E95C4D" w:rsidTr="00E95C4D">
        <w:trPr>
          <w:trHeight w:val="783"/>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E95C4D" w:rsidRPr="00E95C4D" w:rsidRDefault="00E95C4D" w:rsidP="00E95C4D">
            <w:pPr>
              <w:spacing w:line="240" w:lineRule="auto"/>
              <w:jc w:val="center"/>
              <w:rPr>
                <w:rFonts w:eastAsia="Times New Roman" w:cs="Times New Roman"/>
                <w:b/>
                <w:color w:val="000000"/>
                <w:szCs w:val="24"/>
                <w:lang w:eastAsia="cs-CZ"/>
              </w:rPr>
            </w:pPr>
            <w:r w:rsidRPr="00E95C4D">
              <w:rPr>
                <w:rFonts w:eastAsia="Times New Roman" w:cs="Times New Roman"/>
                <w:b/>
                <w:color w:val="000000"/>
                <w:szCs w:val="24"/>
                <w:lang w:eastAsia="cs-CZ"/>
              </w:rPr>
              <w:t>Záměrně jsem si snížil/a dávku</w:t>
            </w:r>
            <w:r>
              <w:rPr>
                <w:rFonts w:eastAsia="Times New Roman" w:cs="Times New Roman"/>
                <w:b/>
                <w:color w:val="000000"/>
                <w:szCs w:val="24"/>
                <w:lang w:eastAsia="cs-CZ"/>
              </w:rPr>
              <w:t xml:space="preserve">  </w:t>
            </w:r>
            <w:r w:rsidRPr="00E95C4D">
              <w:rPr>
                <w:rFonts w:eastAsia="Times New Roman" w:cs="Times New Roman"/>
                <w:b/>
                <w:color w:val="000000"/>
                <w:szCs w:val="24"/>
                <w:lang w:eastAsia="cs-CZ"/>
              </w:rPr>
              <w:t>antidepresiva</w:t>
            </w:r>
          </w:p>
        </w:tc>
        <w:tc>
          <w:tcPr>
            <w:tcW w:w="2572" w:type="dxa"/>
            <w:tcBorders>
              <w:top w:val="nil"/>
              <w:left w:val="nil"/>
              <w:bottom w:val="single" w:sz="4" w:space="0" w:color="auto"/>
              <w:right w:val="single" w:sz="4" w:space="0" w:color="auto"/>
            </w:tcBorders>
            <w:shd w:val="clear" w:color="auto" w:fill="auto"/>
            <w:noWrap/>
            <w:vAlign w:val="bottom"/>
            <w:hideMark/>
          </w:tcPr>
          <w:p w:rsidR="00E95C4D" w:rsidRPr="00E95C4D" w:rsidRDefault="00E95C4D" w:rsidP="00E95C4D">
            <w:pPr>
              <w:spacing w:line="240" w:lineRule="auto"/>
              <w:jc w:val="center"/>
              <w:rPr>
                <w:rFonts w:eastAsia="Times New Roman" w:cs="Times New Roman"/>
                <w:color w:val="000000"/>
                <w:szCs w:val="24"/>
                <w:lang w:eastAsia="cs-CZ"/>
              </w:rPr>
            </w:pPr>
            <w:r w:rsidRPr="00E95C4D">
              <w:rPr>
                <w:rFonts w:eastAsia="Times New Roman" w:cs="Times New Roman"/>
                <w:color w:val="000000"/>
                <w:szCs w:val="24"/>
                <w:lang w:eastAsia="cs-CZ"/>
              </w:rPr>
              <w:t>5</w:t>
            </w:r>
          </w:p>
        </w:tc>
        <w:tc>
          <w:tcPr>
            <w:tcW w:w="2627" w:type="dxa"/>
            <w:tcBorders>
              <w:top w:val="nil"/>
              <w:left w:val="nil"/>
              <w:bottom w:val="single" w:sz="4" w:space="0" w:color="auto"/>
              <w:right w:val="single" w:sz="4" w:space="0" w:color="auto"/>
            </w:tcBorders>
            <w:shd w:val="clear" w:color="auto" w:fill="auto"/>
            <w:noWrap/>
            <w:vAlign w:val="bottom"/>
            <w:hideMark/>
          </w:tcPr>
          <w:p w:rsidR="00E95C4D" w:rsidRPr="00E95C4D" w:rsidRDefault="00E95C4D" w:rsidP="00E95C4D">
            <w:pPr>
              <w:spacing w:line="240" w:lineRule="auto"/>
              <w:jc w:val="center"/>
              <w:rPr>
                <w:rFonts w:eastAsia="Times New Roman" w:cs="Times New Roman"/>
                <w:color w:val="000000"/>
                <w:szCs w:val="24"/>
                <w:lang w:eastAsia="cs-CZ"/>
              </w:rPr>
            </w:pPr>
            <w:r w:rsidRPr="00E95C4D">
              <w:rPr>
                <w:rFonts w:eastAsia="Times New Roman" w:cs="Times New Roman"/>
                <w:color w:val="000000"/>
                <w:szCs w:val="24"/>
                <w:lang w:eastAsia="cs-CZ"/>
              </w:rPr>
              <w:t>5,7</w:t>
            </w:r>
            <w:r w:rsidR="00385286">
              <w:rPr>
                <w:rFonts w:eastAsia="Times New Roman" w:cs="Times New Roman"/>
                <w:color w:val="000000"/>
                <w:szCs w:val="24"/>
                <w:lang w:eastAsia="cs-CZ"/>
              </w:rPr>
              <w:t xml:space="preserve"> </w:t>
            </w:r>
            <w:r w:rsidRPr="00E95C4D">
              <w:rPr>
                <w:rFonts w:eastAsia="Times New Roman" w:cs="Times New Roman"/>
                <w:color w:val="000000"/>
                <w:szCs w:val="24"/>
                <w:lang w:eastAsia="cs-CZ"/>
              </w:rPr>
              <w:t>%</w:t>
            </w:r>
          </w:p>
        </w:tc>
      </w:tr>
      <w:tr w:rsidR="00E95C4D" w:rsidRPr="00E95C4D" w:rsidTr="00E95C4D">
        <w:trPr>
          <w:trHeight w:val="783"/>
        </w:trPr>
        <w:tc>
          <w:tcPr>
            <w:tcW w:w="3314" w:type="dxa"/>
            <w:tcBorders>
              <w:top w:val="nil"/>
              <w:left w:val="single" w:sz="4" w:space="0" w:color="auto"/>
              <w:bottom w:val="single" w:sz="4" w:space="0" w:color="auto"/>
              <w:right w:val="single" w:sz="4" w:space="0" w:color="auto"/>
            </w:tcBorders>
            <w:shd w:val="clear" w:color="auto" w:fill="auto"/>
            <w:vAlign w:val="bottom"/>
            <w:hideMark/>
          </w:tcPr>
          <w:p w:rsidR="00E95C4D" w:rsidRPr="00E95C4D" w:rsidRDefault="00E95C4D" w:rsidP="00E95C4D">
            <w:pPr>
              <w:spacing w:line="240" w:lineRule="auto"/>
              <w:jc w:val="center"/>
              <w:rPr>
                <w:rFonts w:eastAsia="Times New Roman" w:cs="Times New Roman"/>
                <w:b/>
                <w:color w:val="000000"/>
                <w:szCs w:val="24"/>
                <w:lang w:eastAsia="cs-CZ"/>
              </w:rPr>
            </w:pPr>
            <w:r w:rsidRPr="00E95C4D">
              <w:rPr>
                <w:rFonts w:eastAsia="Times New Roman" w:cs="Times New Roman"/>
                <w:b/>
                <w:color w:val="000000"/>
                <w:szCs w:val="24"/>
                <w:lang w:eastAsia="cs-CZ"/>
              </w:rPr>
              <w:t>Ne, nevysadil/a jsem nikdy léky</w:t>
            </w:r>
          </w:p>
        </w:tc>
        <w:tc>
          <w:tcPr>
            <w:tcW w:w="2572" w:type="dxa"/>
            <w:tcBorders>
              <w:top w:val="nil"/>
              <w:left w:val="nil"/>
              <w:bottom w:val="single" w:sz="4" w:space="0" w:color="auto"/>
              <w:right w:val="single" w:sz="4" w:space="0" w:color="auto"/>
            </w:tcBorders>
            <w:shd w:val="clear" w:color="auto" w:fill="auto"/>
            <w:noWrap/>
            <w:vAlign w:val="bottom"/>
            <w:hideMark/>
          </w:tcPr>
          <w:p w:rsidR="00E95C4D" w:rsidRPr="00E95C4D" w:rsidRDefault="00E95C4D" w:rsidP="00E95C4D">
            <w:pPr>
              <w:spacing w:line="240" w:lineRule="auto"/>
              <w:jc w:val="center"/>
              <w:rPr>
                <w:rFonts w:eastAsia="Times New Roman" w:cs="Times New Roman"/>
                <w:color w:val="000000"/>
                <w:szCs w:val="24"/>
                <w:lang w:eastAsia="cs-CZ"/>
              </w:rPr>
            </w:pPr>
            <w:r w:rsidRPr="00E95C4D">
              <w:rPr>
                <w:rFonts w:eastAsia="Times New Roman" w:cs="Times New Roman"/>
                <w:color w:val="000000"/>
                <w:szCs w:val="24"/>
                <w:lang w:eastAsia="cs-CZ"/>
              </w:rPr>
              <w:t>67</w:t>
            </w:r>
          </w:p>
        </w:tc>
        <w:tc>
          <w:tcPr>
            <w:tcW w:w="2627" w:type="dxa"/>
            <w:tcBorders>
              <w:top w:val="nil"/>
              <w:left w:val="nil"/>
              <w:bottom w:val="single" w:sz="4" w:space="0" w:color="auto"/>
              <w:right w:val="single" w:sz="4" w:space="0" w:color="auto"/>
            </w:tcBorders>
            <w:shd w:val="clear" w:color="auto" w:fill="auto"/>
            <w:noWrap/>
            <w:vAlign w:val="bottom"/>
            <w:hideMark/>
          </w:tcPr>
          <w:p w:rsidR="00E95C4D" w:rsidRPr="00E95C4D" w:rsidRDefault="00E95C4D" w:rsidP="00E95C4D">
            <w:pPr>
              <w:spacing w:line="240" w:lineRule="auto"/>
              <w:jc w:val="center"/>
              <w:rPr>
                <w:rFonts w:eastAsia="Times New Roman" w:cs="Times New Roman"/>
                <w:color w:val="000000"/>
                <w:szCs w:val="24"/>
                <w:lang w:eastAsia="cs-CZ"/>
              </w:rPr>
            </w:pPr>
            <w:r w:rsidRPr="00E95C4D">
              <w:rPr>
                <w:rFonts w:eastAsia="Times New Roman" w:cs="Times New Roman"/>
                <w:color w:val="000000"/>
                <w:szCs w:val="24"/>
                <w:lang w:eastAsia="cs-CZ"/>
              </w:rPr>
              <w:t>77,0</w:t>
            </w:r>
            <w:r w:rsidR="00385286">
              <w:rPr>
                <w:rFonts w:eastAsia="Times New Roman" w:cs="Times New Roman"/>
                <w:color w:val="000000"/>
                <w:szCs w:val="24"/>
                <w:lang w:eastAsia="cs-CZ"/>
              </w:rPr>
              <w:t xml:space="preserve"> </w:t>
            </w:r>
            <w:r w:rsidRPr="00E95C4D">
              <w:rPr>
                <w:rFonts w:eastAsia="Times New Roman" w:cs="Times New Roman"/>
                <w:color w:val="000000"/>
                <w:szCs w:val="24"/>
                <w:lang w:eastAsia="cs-CZ"/>
              </w:rPr>
              <w:t>%</w:t>
            </w:r>
          </w:p>
        </w:tc>
      </w:tr>
      <w:tr w:rsidR="00E95C4D" w:rsidRPr="00E95C4D" w:rsidTr="00E95C4D">
        <w:trPr>
          <w:trHeight w:val="391"/>
        </w:trPr>
        <w:tc>
          <w:tcPr>
            <w:tcW w:w="3314" w:type="dxa"/>
            <w:tcBorders>
              <w:top w:val="nil"/>
              <w:left w:val="single" w:sz="4" w:space="0" w:color="auto"/>
              <w:bottom w:val="single" w:sz="4" w:space="0" w:color="auto"/>
              <w:right w:val="single" w:sz="4" w:space="0" w:color="auto"/>
            </w:tcBorders>
            <w:shd w:val="clear" w:color="auto" w:fill="auto"/>
            <w:noWrap/>
            <w:vAlign w:val="bottom"/>
            <w:hideMark/>
          </w:tcPr>
          <w:p w:rsidR="00E95C4D" w:rsidRPr="00E95C4D" w:rsidRDefault="00E95C4D" w:rsidP="00E95C4D">
            <w:pPr>
              <w:spacing w:line="240" w:lineRule="auto"/>
              <w:jc w:val="center"/>
              <w:rPr>
                <w:rFonts w:eastAsia="Times New Roman" w:cs="Times New Roman"/>
                <w:b/>
                <w:color w:val="000000"/>
                <w:szCs w:val="24"/>
                <w:lang w:eastAsia="cs-CZ"/>
              </w:rPr>
            </w:pPr>
            <w:r w:rsidRPr="00E95C4D">
              <w:rPr>
                <w:rFonts w:eastAsia="Times New Roman" w:cs="Times New Roman"/>
                <w:b/>
                <w:color w:val="000000"/>
                <w:szCs w:val="24"/>
                <w:lang w:eastAsia="cs-CZ"/>
              </w:rPr>
              <w:t>Celkem</w:t>
            </w:r>
          </w:p>
        </w:tc>
        <w:tc>
          <w:tcPr>
            <w:tcW w:w="2572" w:type="dxa"/>
            <w:tcBorders>
              <w:top w:val="nil"/>
              <w:left w:val="nil"/>
              <w:bottom w:val="single" w:sz="4" w:space="0" w:color="auto"/>
              <w:right w:val="single" w:sz="4" w:space="0" w:color="auto"/>
            </w:tcBorders>
            <w:shd w:val="clear" w:color="auto" w:fill="auto"/>
            <w:noWrap/>
            <w:vAlign w:val="bottom"/>
            <w:hideMark/>
          </w:tcPr>
          <w:p w:rsidR="00E95C4D" w:rsidRPr="00E95C4D" w:rsidRDefault="00E95C4D" w:rsidP="00E95C4D">
            <w:pPr>
              <w:spacing w:line="240" w:lineRule="auto"/>
              <w:jc w:val="center"/>
              <w:rPr>
                <w:rFonts w:eastAsia="Times New Roman" w:cs="Times New Roman"/>
                <w:b/>
                <w:color w:val="000000"/>
                <w:szCs w:val="24"/>
                <w:lang w:eastAsia="cs-CZ"/>
              </w:rPr>
            </w:pPr>
            <w:r w:rsidRPr="00E95C4D">
              <w:rPr>
                <w:rFonts w:eastAsia="Times New Roman" w:cs="Times New Roman"/>
                <w:b/>
                <w:color w:val="000000"/>
                <w:szCs w:val="24"/>
                <w:lang w:eastAsia="cs-CZ"/>
              </w:rPr>
              <w:t>87</w:t>
            </w:r>
          </w:p>
        </w:tc>
        <w:tc>
          <w:tcPr>
            <w:tcW w:w="2627" w:type="dxa"/>
            <w:tcBorders>
              <w:top w:val="nil"/>
              <w:left w:val="nil"/>
              <w:bottom w:val="single" w:sz="4" w:space="0" w:color="auto"/>
              <w:right w:val="single" w:sz="4" w:space="0" w:color="auto"/>
            </w:tcBorders>
            <w:shd w:val="clear" w:color="auto" w:fill="auto"/>
            <w:noWrap/>
            <w:vAlign w:val="bottom"/>
            <w:hideMark/>
          </w:tcPr>
          <w:p w:rsidR="00E95C4D" w:rsidRPr="00E95C4D" w:rsidRDefault="00E95C4D" w:rsidP="00E95C4D">
            <w:pPr>
              <w:spacing w:line="240" w:lineRule="auto"/>
              <w:jc w:val="center"/>
              <w:rPr>
                <w:rFonts w:eastAsia="Times New Roman" w:cs="Times New Roman"/>
                <w:b/>
                <w:color w:val="000000"/>
                <w:szCs w:val="24"/>
                <w:lang w:eastAsia="cs-CZ"/>
              </w:rPr>
            </w:pPr>
            <w:r w:rsidRPr="00E95C4D">
              <w:rPr>
                <w:rFonts w:eastAsia="Times New Roman" w:cs="Times New Roman"/>
                <w:b/>
                <w:color w:val="000000"/>
                <w:szCs w:val="24"/>
                <w:lang w:eastAsia="cs-CZ"/>
              </w:rPr>
              <w:t>100,0</w:t>
            </w:r>
            <w:r w:rsidR="00385286">
              <w:rPr>
                <w:rFonts w:eastAsia="Times New Roman" w:cs="Times New Roman"/>
                <w:b/>
                <w:color w:val="000000"/>
                <w:szCs w:val="24"/>
                <w:lang w:eastAsia="cs-CZ"/>
              </w:rPr>
              <w:t xml:space="preserve"> </w:t>
            </w:r>
            <w:r w:rsidRPr="00E95C4D">
              <w:rPr>
                <w:rFonts w:eastAsia="Times New Roman" w:cs="Times New Roman"/>
                <w:b/>
                <w:color w:val="000000"/>
                <w:szCs w:val="24"/>
                <w:lang w:eastAsia="cs-CZ"/>
              </w:rPr>
              <w:t>%</w:t>
            </w:r>
          </w:p>
        </w:tc>
      </w:tr>
    </w:tbl>
    <w:p w:rsidR="00591203" w:rsidRDefault="00591203" w:rsidP="00767467"/>
    <w:p w:rsidR="00E95C4D" w:rsidRDefault="00E95C4D" w:rsidP="00767467">
      <w:r>
        <w:t xml:space="preserve">Z tabulky je patrné, že většina respondentů nikdy antidepresiva nevysadila. V šetření to potvrdilo 67 respondentů. Antidepresiva vysadilo 15 respondentů a 5 respondentů si záměrně snížilo dávku antidepresiva. </w:t>
      </w:r>
    </w:p>
    <w:p w:rsidR="008C0F86" w:rsidRDefault="008C0F86" w:rsidP="00767467"/>
    <w:p w:rsidR="008C0F86" w:rsidRDefault="008C0F86" w:rsidP="00767467"/>
    <w:p w:rsidR="008C0F86" w:rsidRDefault="008C0F86" w:rsidP="00767467"/>
    <w:p w:rsidR="008C0F86" w:rsidRDefault="008C0F86" w:rsidP="00767467"/>
    <w:p w:rsidR="008C0F86" w:rsidRDefault="008C0F86" w:rsidP="00767467"/>
    <w:p w:rsidR="008C0F86" w:rsidRDefault="008C0F86" w:rsidP="00767467"/>
    <w:p w:rsidR="008C0F86" w:rsidRDefault="008C0F86" w:rsidP="00767467"/>
    <w:p w:rsidR="008C0F86" w:rsidRDefault="008C0F86" w:rsidP="00767467"/>
    <w:p w:rsidR="00E95C4D" w:rsidRDefault="00E95C4D" w:rsidP="00767467"/>
    <w:p w:rsidR="004C6D45" w:rsidRDefault="004C6D45" w:rsidP="00767467"/>
    <w:p w:rsidR="00E95C4D" w:rsidRDefault="00E95C4D" w:rsidP="00767467">
      <w:r w:rsidRPr="00E95C4D">
        <w:rPr>
          <w:noProof/>
          <w:lang w:eastAsia="cs-CZ"/>
        </w:rPr>
        <w:drawing>
          <wp:inline distT="0" distB="0" distL="0" distR="0" wp14:anchorId="0BF6DBD8" wp14:editId="185CA84A">
            <wp:extent cx="5415591" cy="2665562"/>
            <wp:effectExtent l="19050" t="0" r="13659" b="1438"/>
            <wp:docPr id="18"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95C4D" w:rsidRDefault="00E55909" w:rsidP="00767467">
      <w:r>
        <w:rPr>
          <w:b/>
        </w:rPr>
        <w:t>Graf 14</w:t>
      </w:r>
      <w:r w:rsidR="00E95C4D" w:rsidRPr="00E95C4D">
        <w:rPr>
          <w:b/>
        </w:rPr>
        <w:t>:</w:t>
      </w:r>
      <w:r w:rsidR="00E95C4D">
        <w:t xml:space="preserve"> Svévolné vysazení antidepresiva</w:t>
      </w:r>
    </w:p>
    <w:p w:rsidR="00E95C4D" w:rsidRDefault="00E95C4D" w:rsidP="00767467"/>
    <w:p w:rsidR="00E95C4D" w:rsidRDefault="00E95C4D" w:rsidP="00E95C4D">
      <w:r>
        <w:t>Z grafu vyplývá, že 77 % respondentů nikdy nevysadila</w:t>
      </w:r>
      <w:r w:rsidR="00385286">
        <w:t>o</w:t>
      </w:r>
      <w:r>
        <w:t xml:space="preserve"> léky bez konzultace s lékařem. Léky vysadilo 17,2 % respondentů a 5,7 % respondentů uvedlo, že si záměrně snížili dávku antidepresiva. </w:t>
      </w:r>
    </w:p>
    <w:p w:rsidR="00E95C4D" w:rsidRDefault="00E95C4D" w:rsidP="00E95C4D"/>
    <w:p w:rsidR="00E95C4D" w:rsidRDefault="00E95C4D" w:rsidP="00E95C4D">
      <w:pPr>
        <w:rPr>
          <w:b/>
        </w:rPr>
      </w:pPr>
      <w:r w:rsidRPr="00E95C4D">
        <w:rPr>
          <w:b/>
        </w:rPr>
        <w:t>Výzkumná otázka č. 7:</w:t>
      </w:r>
      <w:r>
        <w:t xml:space="preserve"> </w:t>
      </w:r>
      <w:r w:rsidRPr="009971C8">
        <w:rPr>
          <w:b/>
        </w:rPr>
        <w:t>Jaký byl nejčastěji uváděný důvod k </w:t>
      </w:r>
      <w:r w:rsidR="008C0F86" w:rsidRPr="009971C8">
        <w:rPr>
          <w:b/>
        </w:rPr>
        <w:t xml:space="preserve"> svévolnému </w:t>
      </w:r>
      <w:r w:rsidRPr="009971C8">
        <w:rPr>
          <w:b/>
        </w:rPr>
        <w:t>vysazení antidepresiv?</w:t>
      </w:r>
    </w:p>
    <w:p w:rsidR="009971C8" w:rsidRPr="009971C8" w:rsidRDefault="009971C8" w:rsidP="00E95C4D">
      <w:pPr>
        <w:rPr>
          <w:b/>
        </w:rPr>
      </w:pPr>
    </w:p>
    <w:p w:rsidR="008C0F86" w:rsidRDefault="00E55909" w:rsidP="00E95C4D">
      <w:r>
        <w:rPr>
          <w:b/>
        </w:rPr>
        <w:t>Tabulka 25</w:t>
      </w:r>
      <w:r w:rsidR="008C0F86" w:rsidRPr="008C0F86">
        <w:rPr>
          <w:b/>
        </w:rPr>
        <w:t>:</w:t>
      </w:r>
      <w:r w:rsidR="00E9525C">
        <w:t xml:space="preserve"> Nejčastěji uváděné důvody</w:t>
      </w:r>
      <w:r w:rsidR="008C0F86">
        <w:t xml:space="preserve"> k vysazení antidepresiv</w:t>
      </w:r>
    </w:p>
    <w:tbl>
      <w:tblPr>
        <w:tblW w:w="8424" w:type="dxa"/>
        <w:tblInd w:w="65" w:type="dxa"/>
        <w:tblCellMar>
          <w:left w:w="70" w:type="dxa"/>
          <w:right w:w="70" w:type="dxa"/>
        </w:tblCellMar>
        <w:tblLook w:val="04A0" w:firstRow="1" w:lastRow="0" w:firstColumn="1" w:lastColumn="0" w:noHBand="0" w:noVBand="1"/>
      </w:tblPr>
      <w:tblGrid>
        <w:gridCol w:w="3214"/>
        <w:gridCol w:w="2577"/>
        <w:gridCol w:w="2633"/>
      </w:tblGrid>
      <w:tr w:rsidR="008C0F86" w:rsidRPr="004C6D45" w:rsidTr="007C6D95">
        <w:trPr>
          <w:trHeight w:val="333"/>
        </w:trPr>
        <w:tc>
          <w:tcPr>
            <w:tcW w:w="3214"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8C0F86" w:rsidRPr="004C6D45" w:rsidRDefault="008C0F86" w:rsidP="00322B81">
            <w:pPr>
              <w:spacing w:line="240" w:lineRule="auto"/>
              <w:jc w:val="center"/>
              <w:rPr>
                <w:rFonts w:eastAsia="Times New Roman" w:cs="Times New Roman"/>
                <w:b/>
                <w:color w:val="000000"/>
                <w:szCs w:val="24"/>
                <w:lang w:eastAsia="cs-CZ"/>
              </w:rPr>
            </w:pPr>
            <w:r w:rsidRPr="004C6D45">
              <w:rPr>
                <w:rFonts w:eastAsia="Times New Roman" w:cs="Times New Roman"/>
                <w:b/>
                <w:color w:val="000000"/>
                <w:szCs w:val="24"/>
                <w:lang w:eastAsia="cs-CZ"/>
              </w:rPr>
              <w:t>Důvod k vysazení AD</w:t>
            </w:r>
          </w:p>
        </w:tc>
        <w:tc>
          <w:tcPr>
            <w:tcW w:w="2577"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8C0F86" w:rsidRPr="004C6D45" w:rsidRDefault="008C0F86" w:rsidP="00322B81">
            <w:pPr>
              <w:spacing w:line="240" w:lineRule="auto"/>
              <w:jc w:val="center"/>
              <w:rPr>
                <w:rFonts w:eastAsia="Times New Roman" w:cs="Times New Roman"/>
                <w:b/>
                <w:color w:val="000000"/>
                <w:szCs w:val="24"/>
                <w:lang w:eastAsia="cs-CZ"/>
              </w:rPr>
            </w:pPr>
            <w:r w:rsidRPr="004C6D45">
              <w:rPr>
                <w:rFonts w:eastAsia="Times New Roman" w:cs="Times New Roman"/>
                <w:b/>
                <w:color w:val="000000"/>
                <w:szCs w:val="24"/>
                <w:lang w:eastAsia="cs-CZ"/>
              </w:rPr>
              <w:t>Absolutní četnost</w:t>
            </w:r>
          </w:p>
        </w:tc>
        <w:tc>
          <w:tcPr>
            <w:tcW w:w="2633"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8C0F86" w:rsidRPr="004C6D45" w:rsidRDefault="008C0F86" w:rsidP="00322B81">
            <w:pPr>
              <w:spacing w:line="240" w:lineRule="auto"/>
              <w:jc w:val="center"/>
              <w:rPr>
                <w:rFonts w:eastAsia="Times New Roman" w:cs="Times New Roman"/>
                <w:b/>
                <w:color w:val="000000"/>
                <w:szCs w:val="24"/>
                <w:lang w:eastAsia="cs-CZ"/>
              </w:rPr>
            </w:pPr>
            <w:r w:rsidRPr="004C6D45">
              <w:rPr>
                <w:rFonts w:eastAsia="Times New Roman" w:cs="Times New Roman"/>
                <w:b/>
                <w:color w:val="000000"/>
                <w:szCs w:val="24"/>
                <w:lang w:eastAsia="cs-CZ"/>
              </w:rPr>
              <w:t>Relativní četnost</w:t>
            </w:r>
          </w:p>
        </w:tc>
      </w:tr>
      <w:tr w:rsidR="008C0F86" w:rsidRPr="004C6D45" w:rsidTr="008C0F86">
        <w:trPr>
          <w:trHeight w:val="333"/>
        </w:trPr>
        <w:tc>
          <w:tcPr>
            <w:tcW w:w="3214" w:type="dxa"/>
            <w:tcBorders>
              <w:top w:val="nil"/>
              <w:left w:val="single" w:sz="4" w:space="0" w:color="auto"/>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b/>
                <w:color w:val="000000"/>
                <w:szCs w:val="24"/>
                <w:lang w:eastAsia="cs-CZ"/>
              </w:rPr>
            </w:pPr>
            <w:r w:rsidRPr="004C6D45">
              <w:rPr>
                <w:rFonts w:eastAsia="Times New Roman" w:cs="Times New Roman"/>
                <w:b/>
                <w:color w:val="000000"/>
                <w:szCs w:val="24"/>
                <w:lang w:eastAsia="cs-CZ"/>
              </w:rPr>
              <w:t>Zlepšení stavu</w:t>
            </w:r>
          </w:p>
        </w:tc>
        <w:tc>
          <w:tcPr>
            <w:tcW w:w="2577"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color w:val="000000"/>
                <w:szCs w:val="24"/>
                <w:lang w:eastAsia="cs-CZ"/>
              </w:rPr>
            </w:pPr>
            <w:r w:rsidRPr="004C6D45">
              <w:rPr>
                <w:rFonts w:eastAsia="Times New Roman" w:cs="Times New Roman"/>
                <w:color w:val="000000"/>
                <w:szCs w:val="24"/>
                <w:lang w:eastAsia="cs-CZ"/>
              </w:rPr>
              <w:t>12</w:t>
            </w:r>
          </w:p>
        </w:tc>
        <w:tc>
          <w:tcPr>
            <w:tcW w:w="2633"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color w:val="000000"/>
                <w:szCs w:val="24"/>
                <w:lang w:eastAsia="cs-CZ"/>
              </w:rPr>
            </w:pPr>
            <w:r w:rsidRPr="004C6D45">
              <w:rPr>
                <w:rFonts w:eastAsia="Times New Roman" w:cs="Times New Roman"/>
                <w:color w:val="000000"/>
                <w:szCs w:val="24"/>
                <w:lang w:eastAsia="cs-CZ"/>
              </w:rPr>
              <w:t>60,0</w:t>
            </w:r>
            <w:r w:rsidR="00385286">
              <w:rPr>
                <w:rFonts w:eastAsia="Times New Roman" w:cs="Times New Roman"/>
                <w:color w:val="000000"/>
                <w:szCs w:val="24"/>
                <w:lang w:eastAsia="cs-CZ"/>
              </w:rPr>
              <w:t xml:space="preserve"> </w:t>
            </w:r>
            <w:r w:rsidRPr="004C6D45">
              <w:rPr>
                <w:rFonts w:eastAsia="Times New Roman" w:cs="Times New Roman"/>
                <w:color w:val="000000"/>
                <w:szCs w:val="24"/>
                <w:lang w:eastAsia="cs-CZ"/>
              </w:rPr>
              <w:t>%</w:t>
            </w:r>
          </w:p>
        </w:tc>
      </w:tr>
      <w:tr w:rsidR="008C0F86" w:rsidRPr="004C6D45" w:rsidTr="008C0F86">
        <w:trPr>
          <w:trHeight w:val="1331"/>
        </w:trPr>
        <w:tc>
          <w:tcPr>
            <w:tcW w:w="3214" w:type="dxa"/>
            <w:tcBorders>
              <w:top w:val="nil"/>
              <w:left w:val="single" w:sz="4" w:space="0" w:color="auto"/>
              <w:bottom w:val="single" w:sz="4" w:space="0" w:color="auto"/>
              <w:right w:val="single" w:sz="4" w:space="0" w:color="auto"/>
            </w:tcBorders>
            <w:shd w:val="clear" w:color="auto" w:fill="auto"/>
            <w:vAlign w:val="bottom"/>
            <w:hideMark/>
          </w:tcPr>
          <w:p w:rsidR="008C0F86" w:rsidRPr="004C6D45" w:rsidRDefault="008C0F86" w:rsidP="00322B81">
            <w:pPr>
              <w:spacing w:line="240" w:lineRule="auto"/>
              <w:jc w:val="center"/>
              <w:rPr>
                <w:rFonts w:eastAsia="Times New Roman" w:cs="Times New Roman"/>
                <w:b/>
                <w:color w:val="000000"/>
                <w:szCs w:val="24"/>
                <w:lang w:eastAsia="cs-CZ"/>
              </w:rPr>
            </w:pPr>
            <w:r w:rsidRPr="004C6D45">
              <w:rPr>
                <w:rFonts w:eastAsia="Times New Roman" w:cs="Times New Roman"/>
                <w:b/>
                <w:color w:val="000000"/>
                <w:szCs w:val="24"/>
                <w:lang w:eastAsia="cs-CZ"/>
              </w:rPr>
              <w:t>Z důvodu nevyhovujícího léku (nežádoucí účinky, dávkování..)</w:t>
            </w:r>
          </w:p>
        </w:tc>
        <w:tc>
          <w:tcPr>
            <w:tcW w:w="2577"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color w:val="000000"/>
                <w:szCs w:val="24"/>
                <w:lang w:eastAsia="cs-CZ"/>
              </w:rPr>
            </w:pPr>
            <w:r w:rsidRPr="004C6D45">
              <w:rPr>
                <w:rFonts w:eastAsia="Times New Roman" w:cs="Times New Roman"/>
                <w:color w:val="000000"/>
                <w:szCs w:val="24"/>
                <w:lang w:eastAsia="cs-CZ"/>
              </w:rPr>
              <w:t>5</w:t>
            </w:r>
          </w:p>
        </w:tc>
        <w:tc>
          <w:tcPr>
            <w:tcW w:w="2633"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color w:val="000000"/>
                <w:szCs w:val="24"/>
                <w:lang w:eastAsia="cs-CZ"/>
              </w:rPr>
            </w:pPr>
            <w:r w:rsidRPr="004C6D45">
              <w:rPr>
                <w:rFonts w:eastAsia="Times New Roman" w:cs="Times New Roman"/>
                <w:color w:val="000000"/>
                <w:szCs w:val="24"/>
                <w:lang w:eastAsia="cs-CZ"/>
              </w:rPr>
              <w:t>25,0</w:t>
            </w:r>
            <w:r w:rsidR="00385286">
              <w:rPr>
                <w:rFonts w:eastAsia="Times New Roman" w:cs="Times New Roman"/>
                <w:color w:val="000000"/>
                <w:szCs w:val="24"/>
                <w:lang w:eastAsia="cs-CZ"/>
              </w:rPr>
              <w:t xml:space="preserve"> </w:t>
            </w:r>
            <w:r w:rsidRPr="004C6D45">
              <w:rPr>
                <w:rFonts w:eastAsia="Times New Roman" w:cs="Times New Roman"/>
                <w:color w:val="000000"/>
                <w:szCs w:val="24"/>
                <w:lang w:eastAsia="cs-CZ"/>
              </w:rPr>
              <w:t>%</w:t>
            </w:r>
          </w:p>
        </w:tc>
      </w:tr>
      <w:tr w:rsidR="008C0F86" w:rsidRPr="004C6D45" w:rsidTr="008C0F86">
        <w:trPr>
          <w:trHeight w:val="333"/>
        </w:trPr>
        <w:tc>
          <w:tcPr>
            <w:tcW w:w="3214" w:type="dxa"/>
            <w:tcBorders>
              <w:top w:val="nil"/>
              <w:left w:val="single" w:sz="4" w:space="0" w:color="auto"/>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b/>
                <w:color w:val="000000"/>
                <w:szCs w:val="24"/>
                <w:lang w:eastAsia="cs-CZ"/>
              </w:rPr>
            </w:pPr>
            <w:r w:rsidRPr="004C6D45">
              <w:rPr>
                <w:rFonts w:eastAsia="Times New Roman" w:cs="Times New Roman"/>
                <w:b/>
                <w:color w:val="000000"/>
                <w:szCs w:val="24"/>
                <w:lang w:eastAsia="cs-CZ"/>
              </w:rPr>
              <w:t>Nechuť užívat léky</w:t>
            </w:r>
          </w:p>
        </w:tc>
        <w:tc>
          <w:tcPr>
            <w:tcW w:w="2577"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color w:val="000000"/>
                <w:szCs w:val="24"/>
                <w:lang w:eastAsia="cs-CZ"/>
              </w:rPr>
            </w:pPr>
            <w:r w:rsidRPr="004C6D45">
              <w:rPr>
                <w:rFonts w:eastAsia="Times New Roman" w:cs="Times New Roman"/>
                <w:color w:val="000000"/>
                <w:szCs w:val="24"/>
                <w:lang w:eastAsia="cs-CZ"/>
              </w:rPr>
              <w:t>0</w:t>
            </w:r>
          </w:p>
        </w:tc>
        <w:tc>
          <w:tcPr>
            <w:tcW w:w="2633"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color w:val="000000"/>
                <w:szCs w:val="24"/>
                <w:lang w:eastAsia="cs-CZ"/>
              </w:rPr>
            </w:pPr>
            <w:r w:rsidRPr="004C6D45">
              <w:rPr>
                <w:rFonts w:eastAsia="Times New Roman" w:cs="Times New Roman"/>
                <w:color w:val="000000"/>
                <w:szCs w:val="24"/>
                <w:lang w:eastAsia="cs-CZ"/>
              </w:rPr>
              <w:t>0</w:t>
            </w:r>
            <w:r w:rsidR="00385286">
              <w:rPr>
                <w:rFonts w:eastAsia="Times New Roman" w:cs="Times New Roman"/>
                <w:color w:val="000000"/>
                <w:szCs w:val="24"/>
                <w:lang w:eastAsia="cs-CZ"/>
              </w:rPr>
              <w:t xml:space="preserve"> </w:t>
            </w:r>
            <w:r w:rsidRPr="004C6D45">
              <w:rPr>
                <w:rFonts w:eastAsia="Times New Roman" w:cs="Times New Roman"/>
                <w:color w:val="000000"/>
                <w:szCs w:val="24"/>
                <w:lang w:eastAsia="cs-CZ"/>
              </w:rPr>
              <w:t>%</w:t>
            </w:r>
          </w:p>
        </w:tc>
      </w:tr>
      <w:tr w:rsidR="008C0F86" w:rsidRPr="004C6D45" w:rsidTr="008C0F86">
        <w:trPr>
          <w:trHeight w:val="666"/>
        </w:trPr>
        <w:tc>
          <w:tcPr>
            <w:tcW w:w="3214" w:type="dxa"/>
            <w:tcBorders>
              <w:top w:val="nil"/>
              <w:left w:val="single" w:sz="4" w:space="0" w:color="auto"/>
              <w:bottom w:val="single" w:sz="4" w:space="0" w:color="auto"/>
              <w:right w:val="single" w:sz="4" w:space="0" w:color="auto"/>
            </w:tcBorders>
            <w:shd w:val="clear" w:color="auto" w:fill="auto"/>
            <w:vAlign w:val="bottom"/>
            <w:hideMark/>
          </w:tcPr>
          <w:p w:rsidR="008C0F86" w:rsidRPr="004C6D45" w:rsidRDefault="008C0F86" w:rsidP="00322B81">
            <w:pPr>
              <w:spacing w:line="240" w:lineRule="auto"/>
              <w:jc w:val="center"/>
              <w:rPr>
                <w:rFonts w:eastAsia="Times New Roman" w:cs="Times New Roman"/>
                <w:b/>
                <w:color w:val="000000"/>
                <w:szCs w:val="24"/>
                <w:lang w:eastAsia="cs-CZ"/>
              </w:rPr>
            </w:pPr>
            <w:r w:rsidRPr="004C6D45">
              <w:rPr>
                <w:rFonts w:eastAsia="Times New Roman" w:cs="Times New Roman"/>
                <w:b/>
                <w:color w:val="000000"/>
                <w:szCs w:val="24"/>
                <w:lang w:eastAsia="cs-CZ"/>
              </w:rPr>
              <w:t>Nepomáhaly mi zbavit se deprese</w:t>
            </w:r>
          </w:p>
        </w:tc>
        <w:tc>
          <w:tcPr>
            <w:tcW w:w="2577"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color w:val="000000"/>
                <w:szCs w:val="24"/>
                <w:lang w:eastAsia="cs-CZ"/>
              </w:rPr>
            </w:pPr>
            <w:r w:rsidRPr="004C6D45">
              <w:rPr>
                <w:rFonts w:eastAsia="Times New Roman" w:cs="Times New Roman"/>
                <w:color w:val="000000"/>
                <w:szCs w:val="24"/>
                <w:lang w:eastAsia="cs-CZ"/>
              </w:rPr>
              <w:t>2</w:t>
            </w:r>
          </w:p>
        </w:tc>
        <w:tc>
          <w:tcPr>
            <w:tcW w:w="2633"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color w:val="000000"/>
                <w:szCs w:val="24"/>
                <w:lang w:eastAsia="cs-CZ"/>
              </w:rPr>
            </w:pPr>
            <w:r w:rsidRPr="004C6D45">
              <w:rPr>
                <w:rFonts w:eastAsia="Times New Roman" w:cs="Times New Roman"/>
                <w:color w:val="000000"/>
                <w:szCs w:val="24"/>
                <w:lang w:eastAsia="cs-CZ"/>
              </w:rPr>
              <w:t>10,0</w:t>
            </w:r>
            <w:r w:rsidR="00385286">
              <w:rPr>
                <w:rFonts w:eastAsia="Times New Roman" w:cs="Times New Roman"/>
                <w:color w:val="000000"/>
                <w:szCs w:val="24"/>
                <w:lang w:eastAsia="cs-CZ"/>
              </w:rPr>
              <w:t xml:space="preserve"> </w:t>
            </w:r>
            <w:r w:rsidRPr="004C6D45">
              <w:rPr>
                <w:rFonts w:eastAsia="Times New Roman" w:cs="Times New Roman"/>
                <w:color w:val="000000"/>
                <w:szCs w:val="24"/>
                <w:lang w:eastAsia="cs-CZ"/>
              </w:rPr>
              <w:t>%</w:t>
            </w:r>
          </w:p>
        </w:tc>
      </w:tr>
      <w:tr w:rsidR="008C0F86" w:rsidRPr="004C6D45" w:rsidTr="008C0F86">
        <w:trPr>
          <w:trHeight w:val="333"/>
        </w:trPr>
        <w:tc>
          <w:tcPr>
            <w:tcW w:w="3214" w:type="dxa"/>
            <w:tcBorders>
              <w:top w:val="nil"/>
              <w:left w:val="single" w:sz="4" w:space="0" w:color="auto"/>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b/>
                <w:color w:val="000000"/>
                <w:szCs w:val="24"/>
                <w:lang w:eastAsia="cs-CZ"/>
              </w:rPr>
            </w:pPr>
            <w:r w:rsidRPr="004C6D45">
              <w:rPr>
                <w:rFonts w:eastAsia="Times New Roman" w:cs="Times New Roman"/>
                <w:b/>
                <w:color w:val="000000"/>
                <w:szCs w:val="24"/>
                <w:lang w:eastAsia="cs-CZ"/>
              </w:rPr>
              <w:t>Jiné</w:t>
            </w:r>
          </w:p>
        </w:tc>
        <w:tc>
          <w:tcPr>
            <w:tcW w:w="2577"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color w:val="000000"/>
                <w:szCs w:val="24"/>
                <w:lang w:eastAsia="cs-CZ"/>
              </w:rPr>
            </w:pPr>
            <w:r w:rsidRPr="004C6D45">
              <w:rPr>
                <w:rFonts w:eastAsia="Times New Roman" w:cs="Times New Roman"/>
                <w:color w:val="000000"/>
                <w:szCs w:val="24"/>
                <w:lang w:eastAsia="cs-CZ"/>
              </w:rPr>
              <w:t>1</w:t>
            </w:r>
          </w:p>
        </w:tc>
        <w:tc>
          <w:tcPr>
            <w:tcW w:w="2633"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color w:val="000000"/>
                <w:szCs w:val="24"/>
                <w:lang w:eastAsia="cs-CZ"/>
              </w:rPr>
            </w:pPr>
            <w:r w:rsidRPr="004C6D45">
              <w:rPr>
                <w:rFonts w:eastAsia="Times New Roman" w:cs="Times New Roman"/>
                <w:color w:val="000000"/>
                <w:szCs w:val="24"/>
                <w:lang w:eastAsia="cs-CZ"/>
              </w:rPr>
              <w:t>5,0</w:t>
            </w:r>
            <w:r w:rsidR="00385286">
              <w:rPr>
                <w:rFonts w:eastAsia="Times New Roman" w:cs="Times New Roman"/>
                <w:color w:val="000000"/>
                <w:szCs w:val="24"/>
                <w:lang w:eastAsia="cs-CZ"/>
              </w:rPr>
              <w:t xml:space="preserve"> </w:t>
            </w:r>
            <w:r w:rsidRPr="004C6D45">
              <w:rPr>
                <w:rFonts w:eastAsia="Times New Roman" w:cs="Times New Roman"/>
                <w:color w:val="000000"/>
                <w:szCs w:val="24"/>
                <w:lang w:eastAsia="cs-CZ"/>
              </w:rPr>
              <w:t>%</w:t>
            </w:r>
          </w:p>
        </w:tc>
      </w:tr>
      <w:tr w:rsidR="008C0F86" w:rsidRPr="004C6D45" w:rsidTr="008C0F86">
        <w:trPr>
          <w:trHeight w:val="333"/>
        </w:trPr>
        <w:tc>
          <w:tcPr>
            <w:tcW w:w="3214" w:type="dxa"/>
            <w:tcBorders>
              <w:top w:val="nil"/>
              <w:left w:val="single" w:sz="4" w:space="0" w:color="auto"/>
              <w:bottom w:val="single" w:sz="4" w:space="0" w:color="auto"/>
              <w:right w:val="single" w:sz="4" w:space="0" w:color="auto"/>
            </w:tcBorders>
            <w:shd w:val="clear" w:color="auto" w:fill="auto"/>
            <w:vAlign w:val="bottom"/>
            <w:hideMark/>
          </w:tcPr>
          <w:p w:rsidR="008C0F86" w:rsidRPr="004C6D45" w:rsidRDefault="008C0F86" w:rsidP="00322B81">
            <w:pPr>
              <w:spacing w:line="240" w:lineRule="auto"/>
              <w:jc w:val="center"/>
              <w:rPr>
                <w:rFonts w:eastAsia="Times New Roman" w:cs="Times New Roman"/>
                <w:b/>
                <w:color w:val="000000"/>
                <w:szCs w:val="24"/>
                <w:lang w:eastAsia="cs-CZ"/>
              </w:rPr>
            </w:pPr>
            <w:r w:rsidRPr="004C6D45">
              <w:rPr>
                <w:rFonts w:eastAsia="Times New Roman" w:cs="Times New Roman"/>
                <w:b/>
                <w:color w:val="000000"/>
                <w:szCs w:val="24"/>
                <w:lang w:eastAsia="cs-CZ"/>
              </w:rPr>
              <w:t>Celkem</w:t>
            </w:r>
          </w:p>
        </w:tc>
        <w:tc>
          <w:tcPr>
            <w:tcW w:w="2577"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b/>
                <w:color w:val="000000"/>
                <w:szCs w:val="24"/>
                <w:lang w:eastAsia="cs-CZ"/>
              </w:rPr>
            </w:pPr>
            <w:r w:rsidRPr="004C6D45">
              <w:rPr>
                <w:rFonts w:eastAsia="Times New Roman" w:cs="Times New Roman"/>
                <w:b/>
                <w:color w:val="000000"/>
                <w:szCs w:val="24"/>
                <w:lang w:eastAsia="cs-CZ"/>
              </w:rPr>
              <w:t>20</w:t>
            </w:r>
          </w:p>
        </w:tc>
        <w:tc>
          <w:tcPr>
            <w:tcW w:w="2633" w:type="dxa"/>
            <w:tcBorders>
              <w:top w:val="nil"/>
              <w:left w:val="nil"/>
              <w:bottom w:val="single" w:sz="4" w:space="0" w:color="auto"/>
              <w:right w:val="single" w:sz="4" w:space="0" w:color="auto"/>
            </w:tcBorders>
            <w:shd w:val="clear" w:color="auto" w:fill="auto"/>
            <w:noWrap/>
            <w:vAlign w:val="bottom"/>
            <w:hideMark/>
          </w:tcPr>
          <w:p w:rsidR="008C0F86" w:rsidRPr="004C6D45" w:rsidRDefault="008C0F86" w:rsidP="00322B81">
            <w:pPr>
              <w:spacing w:line="240" w:lineRule="auto"/>
              <w:jc w:val="center"/>
              <w:rPr>
                <w:rFonts w:eastAsia="Times New Roman" w:cs="Times New Roman"/>
                <w:b/>
                <w:color w:val="000000"/>
                <w:szCs w:val="24"/>
                <w:lang w:eastAsia="cs-CZ"/>
              </w:rPr>
            </w:pPr>
            <w:r w:rsidRPr="004C6D45">
              <w:rPr>
                <w:rFonts w:eastAsia="Times New Roman" w:cs="Times New Roman"/>
                <w:b/>
                <w:color w:val="000000"/>
                <w:szCs w:val="24"/>
                <w:lang w:eastAsia="cs-CZ"/>
              </w:rPr>
              <w:t>100,0</w:t>
            </w:r>
            <w:r w:rsidR="00385286">
              <w:rPr>
                <w:rFonts w:eastAsia="Times New Roman" w:cs="Times New Roman"/>
                <w:b/>
                <w:color w:val="000000"/>
                <w:szCs w:val="24"/>
                <w:lang w:eastAsia="cs-CZ"/>
              </w:rPr>
              <w:t xml:space="preserve"> </w:t>
            </w:r>
            <w:r w:rsidRPr="004C6D45">
              <w:rPr>
                <w:rFonts w:eastAsia="Times New Roman" w:cs="Times New Roman"/>
                <w:b/>
                <w:color w:val="000000"/>
                <w:szCs w:val="24"/>
                <w:lang w:eastAsia="cs-CZ"/>
              </w:rPr>
              <w:t>%</w:t>
            </w:r>
          </w:p>
        </w:tc>
      </w:tr>
    </w:tbl>
    <w:p w:rsidR="00E95C4D" w:rsidRDefault="00E95C4D" w:rsidP="00767467"/>
    <w:p w:rsidR="008C0F86" w:rsidRDefault="008C0F86" w:rsidP="00767467">
      <w:r>
        <w:t xml:space="preserve">Z tabulky je zřejmé, že nejvíce respondentů vysadilo antidepresiva z důvodu zlepšení stavu. Tuto možnost uvedlo 12 respondentů. Pět respondentů vysadilo svévolně medikaci </w:t>
      </w:r>
      <w:r>
        <w:lastRenderedPageBreak/>
        <w:t>z důvodu nevyhovujícího léku a dva respondent</w:t>
      </w:r>
      <w:r w:rsidR="00385286">
        <w:t>i uvedli, že jim léky nepomáhaly</w:t>
      </w:r>
      <w:r>
        <w:t xml:space="preserve"> zbavit se deprese. Ani jeden respondent neuvedl, že ho k vysazení antidepresiv vedla nechuť léky užívat. </w:t>
      </w:r>
      <w:r w:rsidR="0011740D">
        <w:t>Jeden respondent uvedl jako odpověď jiný důvod, zde uvedl</w:t>
      </w:r>
      <w:r w:rsidR="00385286">
        <w:t>,</w:t>
      </w:r>
      <w:r w:rsidR="0011740D">
        <w:t xml:space="preserve"> že léky vysadil kvůli jinému onemocnění. </w:t>
      </w:r>
    </w:p>
    <w:p w:rsidR="008C0F86" w:rsidRDefault="008C0F86" w:rsidP="00767467"/>
    <w:p w:rsidR="00E9525C" w:rsidRDefault="008C0F86" w:rsidP="00767467">
      <w:r w:rsidRPr="008C0F86">
        <w:rPr>
          <w:noProof/>
          <w:lang w:eastAsia="cs-CZ"/>
        </w:rPr>
        <w:drawing>
          <wp:inline distT="0" distB="0" distL="0" distR="0" wp14:anchorId="35B0E8EA" wp14:editId="5EE41E2A">
            <wp:extent cx="5067300" cy="3019425"/>
            <wp:effectExtent l="19050" t="0" r="19050" b="0"/>
            <wp:docPr id="19" name="Graf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C0F86" w:rsidRDefault="001A39C6" w:rsidP="00E9525C">
      <w:r>
        <w:rPr>
          <w:b/>
        </w:rPr>
        <w:t>Graf 15</w:t>
      </w:r>
      <w:r w:rsidR="00E9525C">
        <w:t>: Nejčastěji uváděné důvody k vysazení antidepresiv</w:t>
      </w:r>
    </w:p>
    <w:p w:rsidR="00385286" w:rsidRDefault="00385286" w:rsidP="00E9525C"/>
    <w:p w:rsidR="00E9525C" w:rsidRDefault="00E9525C" w:rsidP="00E9525C">
      <w:r>
        <w:t xml:space="preserve">Z grafu vyplývá, že 60 % respondentů </w:t>
      </w:r>
      <w:r w:rsidR="00F709A0">
        <w:t>předčasně vysadilo antidepresiva z důvodu subjektivního zlepšení stavu.</w:t>
      </w:r>
      <w:r w:rsidR="0011740D">
        <w:t xml:space="preserve"> Z důvodu nevyhovujícího léku předčasně vysadilo medikaci 25 % respondentů. U 10 % byl důvodem fakt, že jim léky nepomáhaly zbavit se deprese.</w:t>
      </w:r>
      <w:r w:rsidR="00F709A0">
        <w:t xml:space="preserve"> </w:t>
      </w:r>
      <w:r w:rsidR="0011740D">
        <w:t xml:space="preserve">Odpověď jiné zvolilo 5 % respondentů. </w:t>
      </w:r>
    </w:p>
    <w:p w:rsidR="009971C8" w:rsidRDefault="009971C8" w:rsidP="00E9525C"/>
    <w:p w:rsidR="007C6D95" w:rsidRDefault="007C6D95" w:rsidP="00E9525C"/>
    <w:p w:rsidR="007C6D95" w:rsidRDefault="007C6D95" w:rsidP="00E9525C"/>
    <w:p w:rsidR="007C6D95" w:rsidRDefault="007C6D95" w:rsidP="00E9525C"/>
    <w:p w:rsidR="007C6D95" w:rsidRDefault="007C6D95" w:rsidP="00E9525C"/>
    <w:p w:rsidR="007C6D95" w:rsidRDefault="007C6D95" w:rsidP="00E9525C"/>
    <w:p w:rsidR="007C6D95" w:rsidRDefault="007C6D95" w:rsidP="00E9525C"/>
    <w:p w:rsidR="007C6D95" w:rsidRDefault="007C6D95" w:rsidP="00E9525C"/>
    <w:p w:rsidR="007C6D95" w:rsidRDefault="007C6D95" w:rsidP="00E9525C"/>
    <w:p w:rsidR="007C6D95" w:rsidRDefault="007C6D95" w:rsidP="00E9525C"/>
    <w:p w:rsidR="007C6D95" w:rsidRDefault="007C6D95" w:rsidP="00E9525C"/>
    <w:p w:rsidR="007C6D95" w:rsidRDefault="007C6D95" w:rsidP="00E9525C"/>
    <w:p w:rsidR="009971C8" w:rsidRDefault="007C6D95" w:rsidP="00E9525C">
      <w:r>
        <w:t> </w:t>
      </w:r>
      <w:r w:rsidR="009971C8">
        <w:t>Jak už bylo uvedeno, předčasné vysazení medikace bez konzultace s lékařem je poměrně velkým rizikem pro léčbu, zejména z důvodu relapsu onemocnění. Do dotazníkového šetření tedy byla zařazena otázka, která se vztahuje ke vzniku relapsu de</w:t>
      </w:r>
      <w:r>
        <w:t>prese po vysazení antidepresiv.</w:t>
      </w:r>
    </w:p>
    <w:p w:rsidR="007C6D95" w:rsidRDefault="007C6D95" w:rsidP="00E9525C"/>
    <w:p w:rsidR="0011740D" w:rsidRPr="00EE2F4E" w:rsidRDefault="001A39C6" w:rsidP="00E9525C">
      <w:r>
        <w:rPr>
          <w:b/>
        </w:rPr>
        <w:t>Tabulka 26</w:t>
      </w:r>
      <w:r w:rsidR="00EE2F4E" w:rsidRPr="00EE2F4E">
        <w:rPr>
          <w:b/>
        </w:rPr>
        <w:t>:</w:t>
      </w:r>
      <w:r w:rsidR="00EE2F4E">
        <w:rPr>
          <w:b/>
        </w:rPr>
        <w:t xml:space="preserve"> </w:t>
      </w:r>
      <w:r w:rsidR="00EE2F4E">
        <w:t>Relaps deprese po svévolném vysazení léků</w:t>
      </w:r>
    </w:p>
    <w:tbl>
      <w:tblPr>
        <w:tblW w:w="8721" w:type="dxa"/>
        <w:tblInd w:w="65" w:type="dxa"/>
        <w:tblCellMar>
          <w:left w:w="70" w:type="dxa"/>
          <w:right w:w="70" w:type="dxa"/>
        </w:tblCellMar>
        <w:tblLook w:val="04A0" w:firstRow="1" w:lastRow="0" w:firstColumn="1" w:lastColumn="0" w:noHBand="0" w:noVBand="1"/>
      </w:tblPr>
      <w:tblGrid>
        <w:gridCol w:w="3328"/>
        <w:gridCol w:w="2668"/>
        <w:gridCol w:w="2725"/>
      </w:tblGrid>
      <w:tr w:rsidR="0011740D" w:rsidRPr="0011740D" w:rsidTr="007C6D95">
        <w:trPr>
          <w:trHeight w:val="471"/>
        </w:trPr>
        <w:tc>
          <w:tcPr>
            <w:tcW w:w="3328"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11740D" w:rsidRPr="0011740D" w:rsidRDefault="0011740D" w:rsidP="0011740D">
            <w:pPr>
              <w:spacing w:line="240" w:lineRule="auto"/>
              <w:jc w:val="center"/>
              <w:rPr>
                <w:rFonts w:eastAsia="Times New Roman" w:cs="Times New Roman"/>
                <w:b/>
                <w:bCs/>
                <w:color w:val="000000"/>
                <w:szCs w:val="24"/>
                <w:lang w:eastAsia="cs-CZ"/>
              </w:rPr>
            </w:pPr>
            <w:r w:rsidRPr="0011740D">
              <w:rPr>
                <w:rFonts w:eastAsia="Times New Roman" w:cs="Times New Roman"/>
                <w:b/>
                <w:bCs/>
                <w:color w:val="000000"/>
                <w:szCs w:val="24"/>
                <w:lang w:eastAsia="cs-CZ"/>
              </w:rPr>
              <w:t>Relaps deprese</w:t>
            </w:r>
          </w:p>
        </w:tc>
        <w:tc>
          <w:tcPr>
            <w:tcW w:w="2668"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11740D" w:rsidRPr="0011740D" w:rsidRDefault="0011740D" w:rsidP="0011740D">
            <w:pPr>
              <w:spacing w:line="240" w:lineRule="auto"/>
              <w:jc w:val="center"/>
              <w:rPr>
                <w:rFonts w:eastAsia="Times New Roman" w:cs="Times New Roman"/>
                <w:b/>
                <w:bCs/>
                <w:color w:val="000000"/>
                <w:szCs w:val="24"/>
                <w:lang w:eastAsia="cs-CZ"/>
              </w:rPr>
            </w:pPr>
            <w:r w:rsidRPr="0011740D">
              <w:rPr>
                <w:rFonts w:eastAsia="Times New Roman" w:cs="Times New Roman"/>
                <w:b/>
                <w:bCs/>
                <w:color w:val="000000"/>
                <w:szCs w:val="24"/>
                <w:lang w:eastAsia="cs-CZ"/>
              </w:rPr>
              <w:t>Absolutní četnost</w:t>
            </w:r>
          </w:p>
        </w:tc>
        <w:tc>
          <w:tcPr>
            <w:tcW w:w="2725" w:type="dxa"/>
            <w:tcBorders>
              <w:top w:val="single" w:sz="4" w:space="0" w:color="auto"/>
              <w:left w:val="nil"/>
              <w:bottom w:val="single" w:sz="4" w:space="0" w:color="auto"/>
              <w:right w:val="single" w:sz="4" w:space="0" w:color="auto"/>
            </w:tcBorders>
            <w:shd w:val="clear" w:color="auto" w:fill="EEECE1" w:themeFill="background2"/>
            <w:noWrap/>
            <w:vAlign w:val="bottom"/>
            <w:hideMark/>
          </w:tcPr>
          <w:p w:rsidR="0011740D" w:rsidRPr="0011740D" w:rsidRDefault="0011740D" w:rsidP="0011740D">
            <w:pPr>
              <w:spacing w:line="240" w:lineRule="auto"/>
              <w:jc w:val="center"/>
              <w:rPr>
                <w:rFonts w:eastAsia="Times New Roman" w:cs="Times New Roman"/>
                <w:b/>
                <w:bCs/>
                <w:color w:val="000000"/>
                <w:szCs w:val="24"/>
                <w:lang w:eastAsia="cs-CZ"/>
              </w:rPr>
            </w:pPr>
            <w:r w:rsidRPr="0011740D">
              <w:rPr>
                <w:rFonts w:eastAsia="Times New Roman" w:cs="Times New Roman"/>
                <w:b/>
                <w:bCs/>
                <w:color w:val="000000"/>
                <w:szCs w:val="24"/>
                <w:lang w:eastAsia="cs-CZ"/>
              </w:rPr>
              <w:t>Relativní četnost</w:t>
            </w:r>
          </w:p>
        </w:tc>
      </w:tr>
      <w:tr w:rsidR="0011740D" w:rsidRPr="0011740D" w:rsidTr="007C6D95">
        <w:trPr>
          <w:trHeight w:val="471"/>
        </w:trPr>
        <w:tc>
          <w:tcPr>
            <w:tcW w:w="3328" w:type="dxa"/>
            <w:tcBorders>
              <w:top w:val="nil"/>
              <w:left w:val="single" w:sz="4" w:space="0" w:color="auto"/>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b/>
                <w:bCs/>
                <w:color w:val="000000"/>
                <w:szCs w:val="24"/>
                <w:lang w:eastAsia="cs-CZ"/>
              </w:rPr>
            </w:pPr>
            <w:r w:rsidRPr="0011740D">
              <w:rPr>
                <w:rFonts w:eastAsia="Times New Roman" w:cs="Times New Roman"/>
                <w:b/>
                <w:bCs/>
                <w:color w:val="000000"/>
                <w:szCs w:val="24"/>
                <w:lang w:eastAsia="cs-CZ"/>
              </w:rPr>
              <w:t>Určitě ano</w:t>
            </w:r>
          </w:p>
        </w:tc>
        <w:tc>
          <w:tcPr>
            <w:tcW w:w="2668"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color w:val="000000"/>
                <w:szCs w:val="24"/>
                <w:lang w:eastAsia="cs-CZ"/>
              </w:rPr>
            </w:pPr>
            <w:r w:rsidRPr="0011740D">
              <w:rPr>
                <w:rFonts w:eastAsia="Times New Roman" w:cs="Times New Roman"/>
                <w:color w:val="000000"/>
                <w:szCs w:val="24"/>
                <w:lang w:eastAsia="cs-CZ"/>
              </w:rPr>
              <w:t>12</w:t>
            </w:r>
          </w:p>
        </w:tc>
        <w:tc>
          <w:tcPr>
            <w:tcW w:w="2725"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color w:val="000000"/>
                <w:szCs w:val="24"/>
                <w:lang w:eastAsia="cs-CZ"/>
              </w:rPr>
            </w:pPr>
            <w:r w:rsidRPr="0011740D">
              <w:rPr>
                <w:rFonts w:eastAsia="Times New Roman" w:cs="Times New Roman"/>
                <w:color w:val="000000"/>
                <w:szCs w:val="24"/>
                <w:lang w:eastAsia="cs-CZ"/>
              </w:rPr>
              <w:t>60,0</w:t>
            </w:r>
            <w:r w:rsidR="00385286">
              <w:rPr>
                <w:rFonts w:eastAsia="Times New Roman" w:cs="Times New Roman"/>
                <w:color w:val="000000"/>
                <w:szCs w:val="24"/>
                <w:lang w:eastAsia="cs-CZ"/>
              </w:rPr>
              <w:t xml:space="preserve"> </w:t>
            </w:r>
            <w:r w:rsidRPr="0011740D">
              <w:rPr>
                <w:rFonts w:eastAsia="Times New Roman" w:cs="Times New Roman"/>
                <w:color w:val="000000"/>
                <w:szCs w:val="24"/>
                <w:lang w:eastAsia="cs-CZ"/>
              </w:rPr>
              <w:t>%</w:t>
            </w:r>
          </w:p>
        </w:tc>
      </w:tr>
      <w:tr w:rsidR="0011740D" w:rsidRPr="0011740D" w:rsidTr="007C6D95">
        <w:trPr>
          <w:trHeight w:val="471"/>
        </w:trPr>
        <w:tc>
          <w:tcPr>
            <w:tcW w:w="3328" w:type="dxa"/>
            <w:tcBorders>
              <w:top w:val="nil"/>
              <w:left w:val="single" w:sz="4" w:space="0" w:color="auto"/>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b/>
                <w:bCs/>
                <w:color w:val="000000"/>
                <w:szCs w:val="24"/>
                <w:lang w:eastAsia="cs-CZ"/>
              </w:rPr>
            </w:pPr>
            <w:r w:rsidRPr="0011740D">
              <w:rPr>
                <w:rFonts w:eastAsia="Times New Roman" w:cs="Times New Roman"/>
                <w:b/>
                <w:bCs/>
                <w:color w:val="000000"/>
                <w:szCs w:val="24"/>
                <w:lang w:eastAsia="cs-CZ"/>
              </w:rPr>
              <w:t>Spíše ano</w:t>
            </w:r>
          </w:p>
        </w:tc>
        <w:tc>
          <w:tcPr>
            <w:tcW w:w="2668"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color w:val="000000"/>
                <w:szCs w:val="24"/>
                <w:lang w:eastAsia="cs-CZ"/>
              </w:rPr>
            </w:pPr>
            <w:r w:rsidRPr="0011740D">
              <w:rPr>
                <w:rFonts w:eastAsia="Times New Roman" w:cs="Times New Roman"/>
                <w:color w:val="000000"/>
                <w:szCs w:val="24"/>
                <w:lang w:eastAsia="cs-CZ"/>
              </w:rPr>
              <w:t>7</w:t>
            </w:r>
          </w:p>
        </w:tc>
        <w:tc>
          <w:tcPr>
            <w:tcW w:w="2725"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color w:val="000000"/>
                <w:szCs w:val="24"/>
                <w:lang w:eastAsia="cs-CZ"/>
              </w:rPr>
            </w:pPr>
            <w:r w:rsidRPr="0011740D">
              <w:rPr>
                <w:rFonts w:eastAsia="Times New Roman" w:cs="Times New Roman"/>
                <w:color w:val="000000"/>
                <w:szCs w:val="24"/>
                <w:lang w:eastAsia="cs-CZ"/>
              </w:rPr>
              <w:t>35,0</w:t>
            </w:r>
            <w:r w:rsidR="00385286">
              <w:rPr>
                <w:rFonts w:eastAsia="Times New Roman" w:cs="Times New Roman"/>
                <w:color w:val="000000"/>
                <w:szCs w:val="24"/>
                <w:lang w:eastAsia="cs-CZ"/>
              </w:rPr>
              <w:t xml:space="preserve"> </w:t>
            </w:r>
            <w:r w:rsidRPr="0011740D">
              <w:rPr>
                <w:rFonts w:eastAsia="Times New Roman" w:cs="Times New Roman"/>
                <w:color w:val="000000"/>
                <w:szCs w:val="24"/>
                <w:lang w:eastAsia="cs-CZ"/>
              </w:rPr>
              <w:t>%</w:t>
            </w:r>
          </w:p>
        </w:tc>
      </w:tr>
      <w:tr w:rsidR="0011740D" w:rsidRPr="0011740D" w:rsidTr="007C6D95">
        <w:trPr>
          <w:trHeight w:val="471"/>
        </w:trPr>
        <w:tc>
          <w:tcPr>
            <w:tcW w:w="3328" w:type="dxa"/>
            <w:tcBorders>
              <w:top w:val="nil"/>
              <w:left w:val="single" w:sz="4" w:space="0" w:color="auto"/>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b/>
                <w:bCs/>
                <w:color w:val="000000"/>
                <w:szCs w:val="24"/>
                <w:lang w:eastAsia="cs-CZ"/>
              </w:rPr>
            </w:pPr>
            <w:r w:rsidRPr="0011740D">
              <w:rPr>
                <w:rFonts w:eastAsia="Times New Roman" w:cs="Times New Roman"/>
                <w:b/>
                <w:bCs/>
                <w:color w:val="000000"/>
                <w:szCs w:val="24"/>
                <w:lang w:eastAsia="cs-CZ"/>
              </w:rPr>
              <w:t>Spíše ne</w:t>
            </w:r>
          </w:p>
        </w:tc>
        <w:tc>
          <w:tcPr>
            <w:tcW w:w="2668"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color w:val="000000"/>
                <w:szCs w:val="24"/>
                <w:lang w:eastAsia="cs-CZ"/>
              </w:rPr>
            </w:pPr>
            <w:r w:rsidRPr="0011740D">
              <w:rPr>
                <w:rFonts w:eastAsia="Times New Roman" w:cs="Times New Roman"/>
                <w:color w:val="000000"/>
                <w:szCs w:val="24"/>
                <w:lang w:eastAsia="cs-CZ"/>
              </w:rPr>
              <w:t>1</w:t>
            </w:r>
          </w:p>
        </w:tc>
        <w:tc>
          <w:tcPr>
            <w:tcW w:w="2725"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color w:val="000000"/>
                <w:szCs w:val="24"/>
                <w:lang w:eastAsia="cs-CZ"/>
              </w:rPr>
            </w:pPr>
            <w:r w:rsidRPr="0011740D">
              <w:rPr>
                <w:rFonts w:eastAsia="Times New Roman" w:cs="Times New Roman"/>
                <w:color w:val="000000"/>
                <w:szCs w:val="24"/>
                <w:lang w:eastAsia="cs-CZ"/>
              </w:rPr>
              <w:t>5,0</w:t>
            </w:r>
            <w:r w:rsidR="00385286">
              <w:rPr>
                <w:rFonts w:eastAsia="Times New Roman" w:cs="Times New Roman"/>
                <w:color w:val="000000"/>
                <w:szCs w:val="24"/>
                <w:lang w:eastAsia="cs-CZ"/>
              </w:rPr>
              <w:t xml:space="preserve"> </w:t>
            </w:r>
            <w:r w:rsidRPr="0011740D">
              <w:rPr>
                <w:rFonts w:eastAsia="Times New Roman" w:cs="Times New Roman"/>
                <w:color w:val="000000"/>
                <w:szCs w:val="24"/>
                <w:lang w:eastAsia="cs-CZ"/>
              </w:rPr>
              <w:t>%</w:t>
            </w:r>
          </w:p>
        </w:tc>
      </w:tr>
      <w:tr w:rsidR="0011740D" w:rsidRPr="0011740D" w:rsidTr="007C6D95">
        <w:trPr>
          <w:trHeight w:val="471"/>
        </w:trPr>
        <w:tc>
          <w:tcPr>
            <w:tcW w:w="3328" w:type="dxa"/>
            <w:tcBorders>
              <w:top w:val="nil"/>
              <w:left w:val="single" w:sz="4" w:space="0" w:color="auto"/>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b/>
                <w:bCs/>
                <w:color w:val="000000"/>
                <w:szCs w:val="24"/>
                <w:lang w:eastAsia="cs-CZ"/>
              </w:rPr>
            </w:pPr>
            <w:r w:rsidRPr="0011740D">
              <w:rPr>
                <w:rFonts w:eastAsia="Times New Roman" w:cs="Times New Roman"/>
                <w:b/>
                <w:bCs/>
                <w:color w:val="000000"/>
                <w:szCs w:val="24"/>
                <w:lang w:eastAsia="cs-CZ"/>
              </w:rPr>
              <w:t>Určitě ne</w:t>
            </w:r>
          </w:p>
        </w:tc>
        <w:tc>
          <w:tcPr>
            <w:tcW w:w="2668"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color w:val="000000"/>
                <w:szCs w:val="24"/>
                <w:lang w:eastAsia="cs-CZ"/>
              </w:rPr>
            </w:pPr>
            <w:r w:rsidRPr="0011740D">
              <w:rPr>
                <w:rFonts w:eastAsia="Times New Roman" w:cs="Times New Roman"/>
                <w:color w:val="000000"/>
                <w:szCs w:val="24"/>
                <w:lang w:eastAsia="cs-CZ"/>
              </w:rPr>
              <w:t>0</w:t>
            </w:r>
          </w:p>
        </w:tc>
        <w:tc>
          <w:tcPr>
            <w:tcW w:w="2725"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color w:val="000000"/>
                <w:szCs w:val="24"/>
                <w:lang w:eastAsia="cs-CZ"/>
              </w:rPr>
            </w:pPr>
            <w:r w:rsidRPr="0011740D">
              <w:rPr>
                <w:rFonts w:eastAsia="Times New Roman" w:cs="Times New Roman"/>
                <w:color w:val="000000"/>
                <w:szCs w:val="24"/>
                <w:lang w:eastAsia="cs-CZ"/>
              </w:rPr>
              <w:t>0,0</w:t>
            </w:r>
            <w:r w:rsidR="00385286">
              <w:rPr>
                <w:rFonts w:eastAsia="Times New Roman" w:cs="Times New Roman"/>
                <w:color w:val="000000"/>
                <w:szCs w:val="24"/>
                <w:lang w:eastAsia="cs-CZ"/>
              </w:rPr>
              <w:t xml:space="preserve"> </w:t>
            </w:r>
            <w:r w:rsidRPr="0011740D">
              <w:rPr>
                <w:rFonts w:eastAsia="Times New Roman" w:cs="Times New Roman"/>
                <w:color w:val="000000"/>
                <w:szCs w:val="24"/>
                <w:lang w:eastAsia="cs-CZ"/>
              </w:rPr>
              <w:t>%</w:t>
            </w:r>
          </w:p>
        </w:tc>
      </w:tr>
      <w:tr w:rsidR="0011740D" w:rsidRPr="0011740D" w:rsidTr="007C6D95">
        <w:trPr>
          <w:trHeight w:val="471"/>
        </w:trPr>
        <w:tc>
          <w:tcPr>
            <w:tcW w:w="3328" w:type="dxa"/>
            <w:tcBorders>
              <w:top w:val="nil"/>
              <w:left w:val="single" w:sz="4" w:space="0" w:color="auto"/>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b/>
                <w:bCs/>
                <w:color w:val="000000"/>
                <w:szCs w:val="24"/>
                <w:lang w:eastAsia="cs-CZ"/>
              </w:rPr>
            </w:pPr>
            <w:r w:rsidRPr="0011740D">
              <w:rPr>
                <w:rFonts w:eastAsia="Times New Roman" w:cs="Times New Roman"/>
                <w:b/>
                <w:bCs/>
                <w:color w:val="000000"/>
                <w:szCs w:val="24"/>
                <w:lang w:eastAsia="cs-CZ"/>
              </w:rPr>
              <w:t>Nevím</w:t>
            </w:r>
          </w:p>
        </w:tc>
        <w:tc>
          <w:tcPr>
            <w:tcW w:w="2668"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color w:val="000000"/>
                <w:szCs w:val="24"/>
                <w:lang w:eastAsia="cs-CZ"/>
              </w:rPr>
            </w:pPr>
            <w:r w:rsidRPr="0011740D">
              <w:rPr>
                <w:rFonts w:eastAsia="Times New Roman" w:cs="Times New Roman"/>
                <w:color w:val="000000"/>
                <w:szCs w:val="24"/>
                <w:lang w:eastAsia="cs-CZ"/>
              </w:rPr>
              <w:t>0</w:t>
            </w:r>
          </w:p>
        </w:tc>
        <w:tc>
          <w:tcPr>
            <w:tcW w:w="2725"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color w:val="000000"/>
                <w:szCs w:val="24"/>
                <w:lang w:eastAsia="cs-CZ"/>
              </w:rPr>
            </w:pPr>
            <w:r w:rsidRPr="0011740D">
              <w:rPr>
                <w:rFonts w:eastAsia="Times New Roman" w:cs="Times New Roman"/>
                <w:color w:val="000000"/>
                <w:szCs w:val="24"/>
                <w:lang w:eastAsia="cs-CZ"/>
              </w:rPr>
              <w:t>0,0</w:t>
            </w:r>
            <w:r w:rsidR="00385286">
              <w:rPr>
                <w:rFonts w:eastAsia="Times New Roman" w:cs="Times New Roman"/>
                <w:color w:val="000000"/>
                <w:szCs w:val="24"/>
                <w:lang w:eastAsia="cs-CZ"/>
              </w:rPr>
              <w:t xml:space="preserve"> </w:t>
            </w:r>
            <w:r w:rsidRPr="0011740D">
              <w:rPr>
                <w:rFonts w:eastAsia="Times New Roman" w:cs="Times New Roman"/>
                <w:color w:val="000000"/>
                <w:szCs w:val="24"/>
                <w:lang w:eastAsia="cs-CZ"/>
              </w:rPr>
              <w:t>%</w:t>
            </w:r>
          </w:p>
        </w:tc>
      </w:tr>
      <w:tr w:rsidR="0011740D" w:rsidRPr="0011740D" w:rsidTr="007C6D95">
        <w:trPr>
          <w:trHeight w:val="471"/>
        </w:trPr>
        <w:tc>
          <w:tcPr>
            <w:tcW w:w="3328" w:type="dxa"/>
            <w:tcBorders>
              <w:top w:val="nil"/>
              <w:left w:val="single" w:sz="4" w:space="0" w:color="auto"/>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b/>
                <w:bCs/>
                <w:color w:val="000000"/>
                <w:szCs w:val="24"/>
                <w:lang w:eastAsia="cs-CZ"/>
              </w:rPr>
            </w:pPr>
            <w:r w:rsidRPr="0011740D">
              <w:rPr>
                <w:rFonts w:eastAsia="Times New Roman" w:cs="Times New Roman"/>
                <w:b/>
                <w:bCs/>
                <w:color w:val="000000"/>
                <w:szCs w:val="24"/>
                <w:lang w:eastAsia="cs-CZ"/>
              </w:rPr>
              <w:t>Celkem</w:t>
            </w:r>
          </w:p>
        </w:tc>
        <w:tc>
          <w:tcPr>
            <w:tcW w:w="2668"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b/>
                <w:bCs/>
                <w:color w:val="000000"/>
                <w:szCs w:val="24"/>
                <w:lang w:eastAsia="cs-CZ"/>
              </w:rPr>
            </w:pPr>
            <w:r w:rsidRPr="0011740D">
              <w:rPr>
                <w:rFonts w:eastAsia="Times New Roman" w:cs="Times New Roman"/>
                <w:b/>
                <w:bCs/>
                <w:color w:val="000000"/>
                <w:szCs w:val="24"/>
                <w:lang w:eastAsia="cs-CZ"/>
              </w:rPr>
              <w:t>20</w:t>
            </w:r>
          </w:p>
        </w:tc>
        <w:tc>
          <w:tcPr>
            <w:tcW w:w="2725" w:type="dxa"/>
            <w:tcBorders>
              <w:top w:val="nil"/>
              <w:left w:val="nil"/>
              <w:bottom w:val="single" w:sz="4" w:space="0" w:color="auto"/>
              <w:right w:val="single" w:sz="4" w:space="0" w:color="auto"/>
            </w:tcBorders>
            <w:shd w:val="clear" w:color="auto" w:fill="auto"/>
            <w:noWrap/>
            <w:vAlign w:val="bottom"/>
            <w:hideMark/>
          </w:tcPr>
          <w:p w:rsidR="0011740D" w:rsidRPr="0011740D" w:rsidRDefault="0011740D" w:rsidP="0011740D">
            <w:pPr>
              <w:spacing w:line="240" w:lineRule="auto"/>
              <w:jc w:val="center"/>
              <w:rPr>
                <w:rFonts w:eastAsia="Times New Roman" w:cs="Times New Roman"/>
                <w:b/>
                <w:bCs/>
                <w:color w:val="000000"/>
                <w:szCs w:val="24"/>
                <w:lang w:eastAsia="cs-CZ"/>
              </w:rPr>
            </w:pPr>
            <w:r w:rsidRPr="0011740D">
              <w:rPr>
                <w:rFonts w:eastAsia="Times New Roman" w:cs="Times New Roman"/>
                <w:b/>
                <w:bCs/>
                <w:color w:val="000000"/>
                <w:szCs w:val="24"/>
                <w:lang w:eastAsia="cs-CZ"/>
              </w:rPr>
              <w:t>100,0</w:t>
            </w:r>
            <w:r w:rsidR="00385286">
              <w:rPr>
                <w:rFonts w:eastAsia="Times New Roman" w:cs="Times New Roman"/>
                <w:b/>
                <w:bCs/>
                <w:color w:val="000000"/>
                <w:szCs w:val="24"/>
                <w:lang w:eastAsia="cs-CZ"/>
              </w:rPr>
              <w:t xml:space="preserve"> </w:t>
            </w:r>
            <w:r w:rsidRPr="0011740D">
              <w:rPr>
                <w:rFonts w:eastAsia="Times New Roman" w:cs="Times New Roman"/>
                <w:b/>
                <w:bCs/>
                <w:color w:val="000000"/>
                <w:szCs w:val="24"/>
                <w:lang w:eastAsia="cs-CZ"/>
              </w:rPr>
              <w:t>%</w:t>
            </w:r>
          </w:p>
        </w:tc>
      </w:tr>
    </w:tbl>
    <w:p w:rsidR="0011740D" w:rsidRDefault="0011740D" w:rsidP="00E9525C"/>
    <w:p w:rsidR="00EE2F4E" w:rsidRDefault="00EE2F4E" w:rsidP="00E9525C">
      <w:r>
        <w:t>Z tabulky je zřejmé, že po své</w:t>
      </w:r>
      <w:r w:rsidR="009971C8">
        <w:t>volném</w:t>
      </w:r>
      <w:r>
        <w:t xml:space="preserve"> vysazení léků došlo k návratu příznaků deprese u většiny dotazovaných. Odpověď určitě ano zvolilo 12 respondentů. Sedm respondentů v dotazníku uvedlo odpověď spíše ano. Na otázku, zda došlo k návratu příznaků deprese, jeden respondent uvedl, že spíše ne. </w:t>
      </w:r>
      <w:r w:rsidR="004048BF">
        <w:t>Určitě ne a nevím neuvedl ani jeden respondent.</w:t>
      </w:r>
    </w:p>
    <w:p w:rsidR="00EE2F4E" w:rsidRDefault="00EE2F4E" w:rsidP="00E9525C"/>
    <w:p w:rsidR="00385286" w:rsidRDefault="00385286" w:rsidP="00E9525C"/>
    <w:p w:rsidR="00EE2F4E" w:rsidRDefault="00EE2F4E" w:rsidP="00E9525C">
      <w:r w:rsidRPr="00EE2F4E">
        <w:rPr>
          <w:noProof/>
          <w:lang w:eastAsia="cs-CZ"/>
        </w:rPr>
        <w:lastRenderedPageBreak/>
        <w:drawing>
          <wp:inline distT="0" distB="0" distL="0" distR="0" wp14:anchorId="70662432" wp14:editId="1987846F">
            <wp:extent cx="5370027" cy="3114136"/>
            <wp:effectExtent l="0" t="0" r="2540" b="0"/>
            <wp:docPr id="20" name="Graf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EE2F4E" w:rsidRDefault="001A39C6" w:rsidP="00E9525C">
      <w:r>
        <w:rPr>
          <w:b/>
        </w:rPr>
        <w:t>Graf 16</w:t>
      </w:r>
      <w:r w:rsidR="00EE2F4E" w:rsidRPr="00EE2F4E">
        <w:rPr>
          <w:b/>
        </w:rPr>
        <w:t>:</w:t>
      </w:r>
      <w:r w:rsidR="00EE2F4E">
        <w:rPr>
          <w:b/>
        </w:rPr>
        <w:t xml:space="preserve"> </w:t>
      </w:r>
      <w:r w:rsidR="00EE2F4E">
        <w:t>Relaps deprese po svévolném vysazení léků</w:t>
      </w:r>
    </w:p>
    <w:p w:rsidR="00385286" w:rsidRDefault="00385286" w:rsidP="00E9525C"/>
    <w:p w:rsidR="00EE2F4E" w:rsidRDefault="00EE2F4E" w:rsidP="00E9525C">
      <w:r>
        <w:t>Z grafu vyplývá, že 60 % respondentů odpovědělo na otázku, zda došlo k návratu příznaků depre</w:t>
      </w:r>
      <w:r w:rsidR="004048BF">
        <w:t>se, určitě ano. Odpověď spíše ano</w:t>
      </w:r>
      <w:r>
        <w:t xml:space="preserve"> zvolilo 35 % respondentů. </w:t>
      </w:r>
      <w:r w:rsidR="004048BF">
        <w:t xml:space="preserve">Spíše ne jako odpověď uvedlo 5 % respondentů. Odpověď určitě ne a nevím neuvedl ani jeden respondent, 0 %. </w:t>
      </w:r>
    </w:p>
    <w:p w:rsidR="0097239F" w:rsidRDefault="0097239F" w:rsidP="0097239F">
      <w:pPr>
        <w:pStyle w:val="Nadpis6"/>
        <w:numPr>
          <w:ilvl w:val="0"/>
          <w:numId w:val="0"/>
        </w:numPr>
      </w:pPr>
    </w:p>
    <w:p w:rsidR="005803FF" w:rsidRDefault="005803FF" w:rsidP="005803FF"/>
    <w:p w:rsidR="005803FF" w:rsidRDefault="005803FF" w:rsidP="005803FF"/>
    <w:p w:rsidR="005803FF" w:rsidRDefault="005803FF" w:rsidP="005803FF"/>
    <w:p w:rsidR="005803FF" w:rsidRDefault="005803FF" w:rsidP="005803FF"/>
    <w:p w:rsidR="005803FF" w:rsidRDefault="005803FF" w:rsidP="005803FF"/>
    <w:p w:rsidR="005803FF" w:rsidRDefault="005803FF" w:rsidP="005803FF"/>
    <w:p w:rsidR="005803FF" w:rsidRDefault="005803FF" w:rsidP="005803FF"/>
    <w:p w:rsidR="005803FF" w:rsidRDefault="005803FF" w:rsidP="005803FF"/>
    <w:p w:rsidR="005803FF" w:rsidRDefault="005803FF" w:rsidP="005803FF"/>
    <w:p w:rsidR="005803FF" w:rsidRDefault="005803FF" w:rsidP="005803FF"/>
    <w:p w:rsidR="005803FF" w:rsidRDefault="005803FF" w:rsidP="005803FF"/>
    <w:p w:rsidR="00984727" w:rsidRDefault="00984727" w:rsidP="00385286">
      <w:pPr>
        <w:pStyle w:val="Nadpis6"/>
        <w:numPr>
          <w:ilvl w:val="0"/>
          <w:numId w:val="0"/>
        </w:numPr>
      </w:pPr>
      <w:bookmarkStart w:id="96" w:name="_Toc353433213"/>
      <w:r>
        <w:lastRenderedPageBreak/>
        <w:t>8 D</w:t>
      </w:r>
      <w:r w:rsidR="00E06772">
        <w:t>iskuze</w:t>
      </w:r>
      <w:bookmarkEnd w:id="96"/>
    </w:p>
    <w:p w:rsidR="00B10A64" w:rsidRPr="00984727" w:rsidRDefault="00B10A64" w:rsidP="0044518A">
      <w:pPr>
        <w:ind w:firstLine="284"/>
      </w:pPr>
      <w:r w:rsidRPr="00984727">
        <w:t xml:space="preserve">Prezentovaný soubor o celkovém počtu 87 respondentů se </w:t>
      </w:r>
      <w:r w:rsidR="00981B14" w:rsidRPr="00984727">
        <w:t xml:space="preserve">skládal z 60 </w:t>
      </w:r>
      <w:r w:rsidR="0068264F" w:rsidRPr="00984727">
        <w:t xml:space="preserve">(71,3 %) </w:t>
      </w:r>
      <w:r w:rsidR="00981B14" w:rsidRPr="00984727">
        <w:t xml:space="preserve">žen a 25 </w:t>
      </w:r>
      <w:r w:rsidR="0068264F" w:rsidRPr="00984727">
        <w:t xml:space="preserve">(28,7 %) </w:t>
      </w:r>
      <w:r w:rsidR="00981B14" w:rsidRPr="00984727">
        <w:t xml:space="preserve">mužů. </w:t>
      </w:r>
      <w:r w:rsidR="00D34B53" w:rsidRPr="00984727">
        <w:t>Rozdíl mezi pohlavími bývá zjištěním u mnoha epidemiologických studií depresivní poruchy. Praško a kol. (2003) udávají, že deprese se vyskytuje u žen 2x častěji než u mužů. Vzhledem k rozložení mužů a žen v našem výzkumném souboru,</w:t>
      </w:r>
      <w:r w:rsidR="00385286">
        <w:t xml:space="preserve"> lze tento výskyt potvrdit</w:t>
      </w:r>
      <w:r w:rsidR="00D34B53" w:rsidRPr="00984727">
        <w:t>. K hlavním rozdílům ve výskytu deprese mezi pohlavími patří množství teorií, jako jsou neuroendokrinní teorie, psychické a psychosociální, sociologické teorie až po teorie genderu (Turbová, Cagaš, 2004).</w:t>
      </w:r>
      <w:r w:rsidR="00E8387C" w:rsidRPr="00984727">
        <w:t xml:space="preserve"> Čéšková (2010) udává, že řada depresivních mužů, nebývá </w:t>
      </w:r>
      <w:r w:rsidR="00385286">
        <w:t>postihnuta</w:t>
      </w:r>
      <w:r w:rsidR="00E8387C" w:rsidRPr="00984727">
        <w:t xml:space="preserve"> zdravotnickým systémem. Jako důvody udává například neschopnost požádat o pomoc, atypičnost depresivních symptomů, nebo i špatné postavení diagnózy. </w:t>
      </w:r>
    </w:p>
    <w:p w:rsidR="00141C7F" w:rsidRPr="00984727" w:rsidRDefault="00560221" w:rsidP="0044518A">
      <w:pPr>
        <w:ind w:firstLine="284"/>
      </w:pPr>
      <w:r w:rsidRPr="00984727">
        <w:t xml:space="preserve">Věkové rozložení respondentů prokázalo, že nejčastěji </w:t>
      </w:r>
      <w:r w:rsidR="0047012C" w:rsidRPr="00984727">
        <w:t xml:space="preserve">se antidepresivy léčí osoby </w:t>
      </w:r>
      <w:r w:rsidRPr="00984727">
        <w:t xml:space="preserve">mezi 46-65 lety. Ve výzkumném souboru se do této skupiny zařadilo 52,9 % respondentů. </w:t>
      </w:r>
      <w:r w:rsidR="008750DC" w:rsidRPr="00984727">
        <w:t xml:space="preserve">Dle studie EHIS se průměrný věk pacientů s depresemi </w:t>
      </w:r>
      <w:r w:rsidR="002468BF" w:rsidRPr="00984727">
        <w:t xml:space="preserve">nejčastěji </w:t>
      </w:r>
      <w:r w:rsidR="008750DC" w:rsidRPr="00984727">
        <w:t xml:space="preserve">pohyboval od 45 do 64 let. Naopak dle výsledků Strineho (2008) </w:t>
      </w:r>
      <w:r w:rsidR="00ED4150" w:rsidRPr="00984727">
        <w:t>se deprese objevovala nejč</w:t>
      </w:r>
      <w:r w:rsidR="002468BF" w:rsidRPr="00984727">
        <w:t>astěji u osob mezi 18-24 lety (Šon</w:t>
      </w:r>
      <w:r w:rsidR="00ED4150" w:rsidRPr="00984727">
        <w:t xml:space="preserve">ka, Raboch, 2009). Ve výsledcích našeho výzkumného šetření byla věková kategorie od 15 do 24 let zastoupena pouze 3,5 % respondentů. </w:t>
      </w:r>
      <w:r w:rsidR="000573A3" w:rsidRPr="00984727">
        <w:t xml:space="preserve"> Je možné se domnívat, že se u osob v této věkové skupině deprese objev</w:t>
      </w:r>
      <w:r w:rsidR="00EC025A" w:rsidRPr="00984727">
        <w:t xml:space="preserve">ují, ale </w:t>
      </w:r>
      <w:r w:rsidR="002468BF" w:rsidRPr="00984727">
        <w:t>neléčí</w:t>
      </w:r>
      <w:r w:rsidR="000573A3" w:rsidRPr="00984727">
        <w:t xml:space="preserve">. Švestka (2000) dokonce udává, že až 50 % osob trpících depresí se nedostaví k lékaři. </w:t>
      </w:r>
      <w:r w:rsidR="00017B15" w:rsidRPr="00984727">
        <w:t xml:space="preserve">Dle studie HUNT se deprese velmi často vyskytují ve stáří, v této studii to bylo 20 % osob nad 80 let </w:t>
      </w:r>
      <w:r w:rsidR="002468BF" w:rsidRPr="00984727">
        <w:t>(</w:t>
      </w:r>
      <w:r w:rsidR="00017B15" w:rsidRPr="00984727">
        <w:t xml:space="preserve">Holmerová, Jurašková, Vaňková, 2007). V našem výzkumném šetření bylo osob nad 66 let a více pouze 4,6 %. </w:t>
      </w:r>
    </w:p>
    <w:p w:rsidR="00EC025A" w:rsidRDefault="00017B15" w:rsidP="0044518A">
      <w:pPr>
        <w:ind w:firstLine="284"/>
      </w:pPr>
      <w:r w:rsidRPr="00984727">
        <w:t>Vzdělání u respondentů bylo nejčastěji středoškols</w:t>
      </w:r>
      <w:r w:rsidR="00DC7C8E" w:rsidRPr="00984727">
        <w:t xml:space="preserve">ké (45 %). </w:t>
      </w:r>
      <w:r w:rsidR="009339A2">
        <w:t xml:space="preserve">Druhou nejpočetnější skupinu </w:t>
      </w:r>
      <w:r w:rsidR="00DC7C8E" w:rsidRPr="00984727">
        <w:t>tvořili respondenti vyučení (25</w:t>
      </w:r>
      <w:r w:rsidRPr="00984727">
        <w:t xml:space="preserve"> %). Vysokoškolského vzdělání dosáhlo </w:t>
      </w:r>
      <w:r w:rsidR="00DC7C8E" w:rsidRPr="00984727">
        <w:t>22 % dotazovaných.</w:t>
      </w:r>
      <w:r w:rsidR="00DC7C8E">
        <w:t xml:space="preserve"> Galiková (2011) ve svém šetření udává, že výskyt deprese a užívání antidepresiv III. generace je vyšší u osob vysokoškolsky vzdělaných. </w:t>
      </w:r>
    </w:p>
    <w:p w:rsidR="00DC7C8E" w:rsidRDefault="006F6C3C" w:rsidP="000573A3">
      <w:pPr>
        <w:ind w:firstLine="284"/>
      </w:pPr>
      <w:r>
        <w:t>Klini</w:t>
      </w:r>
      <w:r w:rsidR="00385286">
        <w:t>cký účinek antidepresivní léčby</w:t>
      </w:r>
      <w:r>
        <w:t xml:space="preserve"> byl zjišťován za pomoci standardizovaného dotazníku- BDI. Nejvíce respondentů (69 %) bylo zařazeno do skupiny s minimálními projevy deprese. Naopak těžké projevy deprese prožívalo 6 % dotazovaných. </w:t>
      </w:r>
      <w:r w:rsidR="0018330A">
        <w:t>Kopeček (2007) udává, ž</w:t>
      </w:r>
      <w:r w:rsidR="00385286">
        <w:t>e u pacientů s depresí je až 50</w:t>
      </w:r>
      <w:r w:rsidR="0018330A">
        <w:t xml:space="preserve">% pravděpodobnost snížení příznaků při začátku užívání antidepresiv. A u 37 % pacientů deprese zcela ustoupí a dostane se do remise. </w:t>
      </w:r>
      <w:r w:rsidR="00A44428">
        <w:t xml:space="preserve">Průměrná hodnota získaná v dotazníku BDI byla 10 bodů, to znamená minimální projevy deprese. </w:t>
      </w:r>
    </w:p>
    <w:p w:rsidR="0018330A" w:rsidRDefault="0018330A" w:rsidP="000573A3">
      <w:pPr>
        <w:ind w:firstLine="284"/>
      </w:pPr>
      <w:r>
        <w:lastRenderedPageBreak/>
        <w:t>Celková míra deprese za pomoci dotazníku BDI</w:t>
      </w:r>
      <w:r w:rsidR="00BC77AC">
        <w:t>,</w:t>
      </w:r>
      <w:r>
        <w:t xml:space="preserve"> byla sledována v závislosti na několika proměnných. </w:t>
      </w:r>
    </w:p>
    <w:p w:rsidR="009A1800" w:rsidRDefault="000657A6" w:rsidP="00A3671F">
      <w:pPr>
        <w:ind w:firstLine="284"/>
      </w:pPr>
      <w:r>
        <w:t xml:space="preserve"> </w:t>
      </w:r>
      <w:r w:rsidR="00C406BA">
        <w:t>Subjektivní posuzování míry deprese</w:t>
      </w:r>
      <w:r w:rsidR="00385286">
        <w:t xml:space="preserve"> Beckovou sebeposuzovací škálou</w:t>
      </w:r>
      <w:r w:rsidR="00C406BA">
        <w:t xml:space="preserve"> bylo porovnáváno v závislosti na typu užívaných antidepresiv. </w:t>
      </w:r>
      <w:r w:rsidR="004E505B">
        <w:t xml:space="preserve">Klinický účinek depresivní léčby byl </w:t>
      </w:r>
      <w:r w:rsidR="002468BF">
        <w:t xml:space="preserve">dle BDI </w:t>
      </w:r>
      <w:r w:rsidR="004E505B">
        <w:t>zjištěn u léků IMAO. Průměrná hodnot</w:t>
      </w:r>
      <w:r w:rsidR="00385286">
        <w:t>a BDI byla u respondentů 6 bodů. J</w:t>
      </w:r>
      <w:r w:rsidR="004E505B">
        <w:t>e nutné ovšem brát na zřetel nerovnoměrné rozdělení respondentů užívajících různé druhy antidepresiv. Léčba antidepresivy typu IMAO bývá poměrně úspěšná</w:t>
      </w:r>
      <w:r w:rsidR="000F690F">
        <w:t xml:space="preserve">, většinou se předepisují tam, kde jiná antidepresiva byla neúčinná (Praško, Prašková, 2006). </w:t>
      </w:r>
      <w:r w:rsidR="0063213F">
        <w:t>Dle našeho šetření jsou n</w:t>
      </w:r>
      <w:r w:rsidR="000F690F">
        <w:t>ejčastěji p</w:t>
      </w:r>
      <w:r w:rsidR="0063213F">
        <w:t xml:space="preserve">ředepisovaná antidepresiva </w:t>
      </w:r>
      <w:r w:rsidR="000F690F">
        <w:t>jednoznačně léky III. generace. Dle farmakologických postupů jsou to léky první volby (Čéšková, 2008). Respondenti užívající antidepresiva III. generace vykazují minimální projevy deprese. V našem výzkumu byla průmě</w:t>
      </w:r>
      <w:r w:rsidR="00F255D3">
        <w:t>rná hodnota BDI u respondentů 9</w:t>
      </w:r>
      <w:r w:rsidR="000F690F">
        <w:t xml:space="preserve"> bodů. Gáliková (2011) udává průměrnou hodnotu 16 bodů u respondentů užívajících antidepresiva III. generace.  V jejím výzkumném souboru ovšem byli i hospitalizovaní pacienti. Antidepresiva IV. generace </w:t>
      </w:r>
      <w:r w:rsidR="0063213F">
        <w:t xml:space="preserve">v našem šetření </w:t>
      </w:r>
      <w:r w:rsidR="000F690F">
        <w:t xml:space="preserve">byla jako druhá nejvíce zastoupená skupina. Respondenti vykazovali mírné projevy deprese, průměrná hodnota BDI byla 14 bodů. </w:t>
      </w:r>
      <w:r w:rsidR="002468BF">
        <w:t xml:space="preserve">Roli v tom může hrát i fakt, že tyto léky bývají předepisovány až po neúspěšné léčbě antidepresivy III. generace. </w:t>
      </w:r>
      <w:r w:rsidR="009A1800">
        <w:t xml:space="preserve">Z klinických studií ovšem vyplývá, že právě antidepresiva IV. generace mají nejlepší klinický účinek na remisi deprese. U ambulantních pacientů dosáhne remise až 52 % nemocných (Čéšková, 2008). </w:t>
      </w:r>
    </w:p>
    <w:p w:rsidR="00A3671F" w:rsidRDefault="009A1800" w:rsidP="00A3671F">
      <w:pPr>
        <w:ind w:firstLine="284"/>
      </w:pPr>
      <w:r>
        <w:t xml:space="preserve">Antidepresiva II. generace byla užívána pouze jedním respondentem, to dokazuje, že jejich předepisování je v dnešní době spíše výjimečné. </w:t>
      </w:r>
      <w:r w:rsidR="00F255D3">
        <w:t>Dotazovaný vykazoval ve škále minimální projevy deprese. Čé</w:t>
      </w:r>
      <w:r w:rsidR="0063213F">
        <w:t>šková (2008) udává, že tyto antidepresiva II. generace</w:t>
      </w:r>
      <w:r w:rsidR="00F255D3">
        <w:t xml:space="preserve"> mají v ambulantní léčbě lepší odpověď na léčbu než antidepresiva III. generace. Kombinace antidepresiv III. a IV. generace uvedlo pět respondentů. Ti vykazovali mírné projevy deprese. Praško, Prašková (2006) uvádějí,</w:t>
      </w:r>
      <w:r w:rsidR="008C4722">
        <w:t xml:space="preserve"> že kombinace antidepresiv jsou typické pro léčbu farmakorezistentních depresí a jejich úspěšnost odpovědi na léčbu je u 2/3 pacientů. </w:t>
      </w:r>
    </w:p>
    <w:p w:rsidR="008C4722" w:rsidRDefault="008C4722" w:rsidP="00A3671F">
      <w:pPr>
        <w:ind w:firstLine="284"/>
      </w:pPr>
      <w:r>
        <w:t>Při posuzování celkové míry deprese u respondentů léčených antidepresivy III. a IV. generace byl zjištěn bezvýznamný rozdíl (</w:t>
      </w:r>
      <w:r w:rsidR="008160E4">
        <w:t xml:space="preserve">p </w:t>
      </w:r>
      <w:r w:rsidR="008160E4">
        <w:rPr>
          <w:rFonts w:cs="Times New Roman"/>
        </w:rPr>
        <w:t xml:space="preserve">≥ </w:t>
      </w:r>
      <w:r w:rsidRPr="008C4722">
        <w:t>α</w:t>
      </w:r>
      <w:r>
        <w:t xml:space="preserve">). </w:t>
      </w:r>
    </w:p>
    <w:p w:rsidR="008C4722" w:rsidRDefault="008C4722" w:rsidP="00A3671F">
      <w:pPr>
        <w:ind w:firstLine="284"/>
      </w:pPr>
      <w:r>
        <w:t xml:space="preserve">Další proměnnou byla ve výzkumném šetření délka užívání antidepresiv ve vztahu k výsledkům Beckovy </w:t>
      </w:r>
      <w:r w:rsidR="00167E56">
        <w:t>sebe</w:t>
      </w:r>
      <w:r w:rsidR="00FD10B6">
        <w:t>posuzovací škály</w:t>
      </w:r>
      <w:r>
        <w:t xml:space="preserve">. </w:t>
      </w:r>
      <w:r w:rsidR="00167E56">
        <w:t>V dotazníkovém šetření byli respondenti rozděleni do skupin podle délky léčby. Méně než 9 měsí</w:t>
      </w:r>
      <w:r w:rsidR="002D52B4">
        <w:t>ců je léčba pokračovací</w:t>
      </w:r>
      <w:r w:rsidR="00167E56">
        <w:t xml:space="preserve">, v této fázi léčby respondenti vykazovali minimální projevy deprese. Respondentů v této </w:t>
      </w:r>
      <w:r w:rsidR="00BB50F3">
        <w:t>fázi léčby bylo 11,5 %</w:t>
      </w:r>
      <w:r w:rsidR="00167E56">
        <w:t>. Od 10 měsíců do dvou let je léčba</w:t>
      </w:r>
      <w:r w:rsidR="002D52B4">
        <w:t xml:space="preserve"> udržovací</w:t>
      </w:r>
      <w:r w:rsidR="00167E56">
        <w:t xml:space="preserve">, v této skupině </w:t>
      </w:r>
      <w:r w:rsidR="00167E56">
        <w:lastRenderedPageBreak/>
        <w:t xml:space="preserve">respondenti měli minimální projevy deprese. V této skupině bylo 27,6 % respondentů. </w:t>
      </w:r>
      <w:r w:rsidR="00BB50F3">
        <w:t xml:space="preserve">Od 3 do 5 let užívalo antidepresiva 26,4 % respondentů, tato fáze léčby je </w:t>
      </w:r>
      <w:r w:rsidR="00770A9F">
        <w:t>profylaktická</w:t>
      </w:r>
      <w:r w:rsidR="00BB50F3">
        <w:t xml:space="preserve">. U respondentů byly taktéž uváděny minimální projevy deprese. Více než pět let </w:t>
      </w:r>
      <w:r w:rsidR="00770A9F">
        <w:t xml:space="preserve">se léčí pacienti, kteří měli 3 a více epizod, většinou se však doporučuje až léčba doživotní (Praško, Prašková, 2006). Do této skupiny, která se léčí více než 5 let se zařadilo 33,3 % respondentů. V této skupině bylo zjištěno, že pacienti </w:t>
      </w:r>
      <w:r w:rsidR="00611F10">
        <w:t>mají minimální projevy deprese. Za pomoci Wilcoxonova neparametrického testu bylo</w:t>
      </w:r>
      <w:r w:rsidR="00FD10B6">
        <w:t xml:space="preserve"> porovnáváno</w:t>
      </w:r>
      <w:r w:rsidR="00611F10">
        <w:t xml:space="preserve">, zda se subjektivní posuzování deprese mění u respondentů užívajících antidepresiva dva roky </w:t>
      </w:r>
      <w:r w:rsidR="002D52B4">
        <w:t>a méně (od akutní do udržovací</w:t>
      </w:r>
      <w:r w:rsidR="00385286">
        <w:t xml:space="preserve"> fáze léčby) </w:t>
      </w:r>
      <w:r w:rsidR="00611F10">
        <w:t xml:space="preserve">a u respondentů užívajících antidepresiva více než pět let (profylaktická fáze u pacientů s více než třemi depresivními epizodami). Z výsledků testu bylo zjištěno, že mezi těmito dvěma skupinami </w:t>
      </w:r>
      <w:r w:rsidR="002D52B4">
        <w:t xml:space="preserve">respondentů </w:t>
      </w:r>
      <w:r w:rsidR="00611F10">
        <w:t>je bezvýznamný rozdíl</w:t>
      </w:r>
      <w:r w:rsidR="002D52B4">
        <w:t xml:space="preserve">             </w:t>
      </w:r>
      <w:r w:rsidR="00611F10">
        <w:t xml:space="preserve"> </w:t>
      </w:r>
      <w:r w:rsidR="008160E4">
        <w:t xml:space="preserve">(p </w:t>
      </w:r>
      <w:r w:rsidR="008160E4">
        <w:rPr>
          <w:rFonts w:cs="Times New Roman"/>
        </w:rPr>
        <w:t>≥</w:t>
      </w:r>
      <w:r w:rsidR="00611F10" w:rsidRPr="00611F10">
        <w:t>α).</w:t>
      </w:r>
      <w:r w:rsidR="00EA2115">
        <w:t xml:space="preserve"> Praško, Prašková (2006) udávají, že profylaktická léčba snižuje návrat příznaků deprese až o 70-80 %. Všechny fáze léčby by měly vést k minimalizování projevů deprese. Z našich výsledků je patrné, že re</w:t>
      </w:r>
      <w:r w:rsidR="00FD10B6">
        <w:t>spondenti v průměru</w:t>
      </w:r>
      <w:r w:rsidR="00EA2115">
        <w:t xml:space="preserve"> udávají pouze minimální projevy deprese. </w:t>
      </w:r>
    </w:p>
    <w:p w:rsidR="002D52B4" w:rsidRDefault="00FD10B6" w:rsidP="00A3671F">
      <w:pPr>
        <w:ind w:firstLine="284"/>
      </w:pPr>
      <w:r>
        <w:t xml:space="preserve">Ve výzkumném šetření bylo dále zjišťováno, jaký je rozdíl mezi subjektivním hodnocením míry deprese u mužů a u žen. </w:t>
      </w:r>
      <w:r w:rsidR="00E8387C">
        <w:t>Dalo se předpokládat, že respondentů ženského pohlaví bude jednoznačně více než mužského. Při vyhodnocování bylo opět využito Wilcoxonova neparametrického testu, který ukázal, že mezi subjektivním posouzením míry deprese mezi ženami a muži není významný rozdíl</w:t>
      </w:r>
      <w:r w:rsidR="008160E4">
        <w:t xml:space="preserve"> (p </w:t>
      </w:r>
      <w:r w:rsidR="008160E4">
        <w:rPr>
          <w:rFonts w:cs="Times New Roman"/>
        </w:rPr>
        <w:t>≥</w:t>
      </w:r>
      <w:r w:rsidR="00E8387C" w:rsidRPr="00E8387C">
        <w:t xml:space="preserve"> α)</w:t>
      </w:r>
      <w:r w:rsidR="00E8387C">
        <w:t xml:space="preserve">. </w:t>
      </w:r>
      <w:r w:rsidR="003B049B">
        <w:t>Turbová a Cagaš (2004) ve výzkumném šetření zjistili, že ženy v sebeposuzovacích škálách udávají vyšší intenzitu depresivních příznaků. Na</w:t>
      </w:r>
      <w:r w:rsidR="00F7293E">
        <w:t xml:space="preserve"> </w:t>
      </w:r>
      <w:r w:rsidR="003B049B">
        <w:t xml:space="preserve">druhou stranu připouštějí, že u žen je výraznější sklon vyhledávat psychologickou pomoc, </w:t>
      </w:r>
      <w:r w:rsidR="00F7293E">
        <w:t>který může vést k pozitivnějšímu postoji k psychickým onemocněním. Ženy také lépe akceptují onemocnění u sebe samé, mají pozitivnější postoj k psychoterapii a větší potřebu dost</w:t>
      </w:r>
      <w:r w:rsidR="00FE5DC2">
        <w:t xml:space="preserve">ávat výraznější emoční podporu (Turbová, Cagaš, 2004). </w:t>
      </w:r>
      <w:r w:rsidR="005734F3">
        <w:t xml:space="preserve">Z našich výsledků bylo zjištěno, že v průměru respondenti udávali pouze minimální projevy deprese v závislosti na pohlaví. Čéšková (2012) uvádí, že projevy deprese při léčbě antidepresivy u žen jsou v interakci s věkem. U mužů se toto nepotvrdilo. </w:t>
      </w:r>
    </w:p>
    <w:p w:rsidR="00916A5C" w:rsidRDefault="007C0CDB" w:rsidP="00A3671F">
      <w:pPr>
        <w:ind w:firstLine="284"/>
      </w:pPr>
      <w:r>
        <w:t>Další oblastí výzkumného šetření bylo zjistit výskyt nežádoucích účinků u jednotlivých typů antidepr</w:t>
      </w:r>
      <w:r w:rsidR="00385286">
        <w:t>esiv. Výskyt nežádoucích účinků</w:t>
      </w:r>
      <w:r>
        <w:t xml:space="preserve"> potvrdilo 60 % účastníků šetření. Nejvíce vyjádřenými nežádoucími účinky bylo zvýšení hmotnosti (15 %), sucho v ústech (14 %), sexuální poruchy (10 %) a zvýšené pocení (10 %). </w:t>
      </w:r>
      <w:r w:rsidR="00916A5C">
        <w:t xml:space="preserve">Žourková (2008) udává, že sexuální poruchy jsou typickým nežádoucím účinkem pro antidepresiva I. a III. </w:t>
      </w:r>
      <w:r w:rsidR="00916A5C">
        <w:lastRenderedPageBreak/>
        <w:t xml:space="preserve">generace. Váhový přírůstek je nejvíce vyjádřen u antidepresiv I., III. generace, naopak váhově neutrální antidepresiva, jsou léky IV. generace.   </w:t>
      </w:r>
    </w:p>
    <w:p w:rsidR="00CD0708" w:rsidRDefault="004246EC" w:rsidP="00A3671F">
      <w:pPr>
        <w:ind w:firstLine="284"/>
      </w:pPr>
      <w:r>
        <w:t>Nežádoucí účinky nejvíce udávali respondenti (64 %) užívající antidepresiva III. generace.</w:t>
      </w:r>
      <w:r w:rsidR="00E25671">
        <w:t xml:space="preserve"> </w:t>
      </w:r>
      <w:r>
        <w:t xml:space="preserve">V tomto případě je nutné brát opět zřetel na to, že v této skupině bylo jednoznačně nejvíce respondentů. </w:t>
      </w:r>
      <w:r w:rsidR="00CD0708">
        <w:t>Dle výsledků Gálikové (2011) uvádělo 87 % respondentů nežádoucí účinky u antidepresiv III. generace. Nejvíce vyjádřeným nežádoucím účinkem v této generaci antidepresiv byly poruchy sexuální funkce, ve smyslu snížení libida (37 %).  A 20 % respon</w:t>
      </w:r>
      <w:r w:rsidR="00E25671">
        <w:t>dentů udávalo váhový přírůstek (Galiková, 2011)</w:t>
      </w:r>
      <w:r w:rsidR="00385286">
        <w:t>.</w:t>
      </w:r>
      <w:r w:rsidR="00E25671">
        <w:t xml:space="preserve"> V našem výzkumném šetření respondenti užívající III. generaci antidepresiv uváděli nejčastěji váhový přírůstek.</w:t>
      </w:r>
    </w:p>
    <w:p w:rsidR="00CD0708" w:rsidRDefault="00CD0708" w:rsidP="00A3671F">
      <w:pPr>
        <w:ind w:firstLine="284"/>
      </w:pPr>
      <w:r>
        <w:t>Respondenti užívající antidepresiva IV. generace</w:t>
      </w:r>
      <w:r w:rsidR="00605EC9">
        <w:t xml:space="preserve"> v našem šetření</w:t>
      </w:r>
      <w:r>
        <w:t xml:space="preserve"> udávali výskyt nežádoucích účinků ve 21 %. </w:t>
      </w:r>
      <w:r w:rsidR="00605EC9">
        <w:t xml:space="preserve">Paclt (2002) udává, že u těchto léků bývají často poruchy sexuální funkce, sucho v ústech a zvýšené pocení. </w:t>
      </w:r>
      <w:r w:rsidR="00E25671">
        <w:t>Z našich výsledků byl ne</w:t>
      </w:r>
      <w:r w:rsidR="00385286">
        <w:t>jvíce vyjádřen nežádoucí účinek-</w:t>
      </w:r>
      <w:r w:rsidR="003E5309">
        <w:t xml:space="preserve"> </w:t>
      </w:r>
      <w:r w:rsidR="00E25671">
        <w:t>zvýšené pocení.</w:t>
      </w:r>
    </w:p>
    <w:p w:rsidR="005734F3" w:rsidRDefault="00605EC9" w:rsidP="008F2B22">
      <w:pPr>
        <w:ind w:firstLine="284"/>
      </w:pPr>
      <w:r>
        <w:t xml:space="preserve">V závislosti na výskytu nežádoucích účinků bylo zjišťováno, jakým způsobem ovlivňují léčbu antidepresivy. Respondenti nejčastěji uváděli, že nežádoucí účinky jejich léčbu spíše neovlivňují, protože nejsou </w:t>
      </w:r>
      <w:r w:rsidR="008F2B22">
        <w:t>na</w:t>
      </w:r>
      <w:r>
        <w:t xml:space="preserve">tolik závažné. To uvedlo 54 % respondentů. Dále 30 % respondentů uvedlo, že nežádoucí účinky léčbu rozhodně neovlivňují. Z důvodu nežádoucích účinků muselo být změněno antidepresivum </w:t>
      </w:r>
      <w:r w:rsidR="003E5309">
        <w:t xml:space="preserve">u </w:t>
      </w:r>
      <w:r>
        <w:t xml:space="preserve">11 % respondentů.  </w:t>
      </w:r>
      <w:r w:rsidR="008F2B22">
        <w:t>Martinický (2008) udává, že nežádoucí účinky léčby ovlivňují complianci pacientů k užívání antidepresiv. Z jeho výsledků vyplývá, že 37 % respondentů vlivem nežádoucích účinků negativně hodn</w:t>
      </w:r>
      <w:r w:rsidR="00984727">
        <w:t>otí postoj k antidepresivům. Ve výzkumném šetření</w:t>
      </w:r>
      <w:r w:rsidR="008F2B22">
        <w:t xml:space="preserve"> Galikové (2011) ovšem postoje k léčbě vlivem nežádoucích účin</w:t>
      </w:r>
      <w:r w:rsidR="00984727">
        <w:t>ků antidepresiv ovlivněny nebyly</w:t>
      </w:r>
      <w:r w:rsidR="008F2B22">
        <w:t xml:space="preserve">. </w:t>
      </w:r>
      <w:r w:rsidR="00ED507E">
        <w:t xml:space="preserve"> </w:t>
      </w:r>
    </w:p>
    <w:p w:rsidR="00F010E3" w:rsidRDefault="00E25671" w:rsidP="00F010E3">
      <w:pPr>
        <w:ind w:firstLine="284"/>
      </w:pPr>
      <w:r>
        <w:t xml:space="preserve">V dotazníkovém šetření bylo dále zjišťováno, zda byli respondenti před zahájením léčby informováni lékařem o možném výskytu nežádoucích účinků.  Přes 66 % respondentů uvedlo, že určitě bylo informováno. </w:t>
      </w:r>
      <w:r w:rsidR="00ED507E">
        <w:t xml:space="preserve">Dle Brileho (1998) jsou možnou příčinou vzniku nespolupráce s pacientem nevyřešené problémy spojené s nežádoucími účinky (Raboch, 2000). Martinický (2008) poukazuje na fakt, </w:t>
      </w:r>
      <w:r w:rsidR="00F010E3">
        <w:t xml:space="preserve">že se výrazně zvyšuje compliance při léčbě, pokud je zvolena správná komunikace. Nemocní by měli vědět, jaké nežádoucí účinky se u nich mohou vyskytnout a mít možnost se s nimi svému lékaři svěřit. V našem šetření uvedlo 7 % respondentů, že spíše o nežádoucích účincích nevěděli. </w:t>
      </w:r>
    </w:p>
    <w:p w:rsidR="00E25671" w:rsidRDefault="00F010E3" w:rsidP="00F010E3">
      <w:pPr>
        <w:ind w:firstLine="284"/>
      </w:pPr>
      <w:r>
        <w:lastRenderedPageBreak/>
        <w:t>Třetí oblastí výzkumného šetření bylo zjišťování svévolného vysazení medikace u respondentů. Z výsledků vyplynulo, že 17</w:t>
      </w:r>
      <w:r w:rsidR="003E5309">
        <w:t xml:space="preserve"> %</w:t>
      </w:r>
      <w:r>
        <w:t xml:space="preserve"> respondentů předčasně léčbu ukončilo a 6 % respondentů si záměrně snížilo dávku antidepresiva. Martinický (2008) udává, že až 53 % respondentů léčbu ukončí</w:t>
      </w:r>
      <w:r w:rsidR="003E5309">
        <w:t xml:space="preserve"> předčasně</w:t>
      </w:r>
      <w:r>
        <w:t xml:space="preserve">. Nejčastěji to bývá z důvodu </w:t>
      </w:r>
      <w:r w:rsidR="000F2EC7">
        <w:t>zlepšení stavu</w:t>
      </w:r>
      <w:r>
        <w:t xml:space="preserve"> (55 %). </w:t>
      </w:r>
      <w:r w:rsidR="000F2EC7">
        <w:t xml:space="preserve">V našem </w:t>
      </w:r>
      <w:r w:rsidR="003E5309">
        <w:t>šetření uvedlo 60 % respondentů jako důvod k vysazení medikace</w:t>
      </w:r>
      <w:r w:rsidR="000F2EC7">
        <w:t xml:space="preserve"> zlepšení stavu. Martinický (2008) dále udává, že 23 % respondentů vysadí předčasně medikaci kvůli výskytu nežádoucích účinků. V našem šetření to bylo 25 % respondentů. Dle Martinického (2008) 10 % respondentů vysadí léky kvůli nedostatečné účinnosti. V našich výsledcích </w:t>
      </w:r>
      <w:r w:rsidR="003E5309">
        <w:t xml:space="preserve">to </w:t>
      </w:r>
      <w:r w:rsidR="000F2EC7">
        <w:t>také bylo 10 % respondentů, kteří uvedli, že jim lék</w:t>
      </w:r>
      <w:r w:rsidR="00A73C78">
        <w:t>y nepomohly</w:t>
      </w:r>
      <w:r w:rsidR="000F2EC7">
        <w:t xml:space="preserve"> zbavit se deprese. Z těchto výsledků je tedy patrné, že nejvíce má vliv na předčasné ukončení léčby zlepšení psychického stavu a výskyt nežádoucích účinků. </w:t>
      </w:r>
    </w:p>
    <w:p w:rsidR="000F2EC7" w:rsidRDefault="000F2EC7" w:rsidP="00F010E3">
      <w:pPr>
        <w:ind w:firstLine="284"/>
      </w:pPr>
      <w:r>
        <w:t xml:space="preserve">Na otázku, zda došlo k návratu příznaků deprese po svévolném vysazení medikace,             60 % respondentů uvedlo, že určitě ano a 35 % respondentů spíše ano. </w:t>
      </w:r>
      <w:r w:rsidR="00333112">
        <w:t xml:space="preserve">Kosová (2004) udává, že až 77 % případů po předčasném vysazení antidepresiv relabuje. Vysazení antidepresiv je v léčbě deprese vždy velkým rizikem pro prognózu onemocnění, proto je důležité navázat správný terapeutický vztah mezi lékařem a pacientem. Zajištění adekvátní léčby po dostatečně dlouhou dobu vede k výraznému zlepšení kvality života léčených pacientů (Kosová, 2004). </w:t>
      </w:r>
    </w:p>
    <w:p w:rsidR="00333112" w:rsidRDefault="008A3C0C" w:rsidP="00F010E3">
      <w:pPr>
        <w:ind w:firstLine="284"/>
      </w:pPr>
      <w:r>
        <w:t xml:space="preserve">Na základě výsledků lze tedy konstatovat, že pacienti v našem šetření, za použití hodnocení výsledků BDI, mají minimální a nízké projevy deprese. Z toho lze usoudit, že antidepresiva mají u respondentů dobrou účinnost. </w:t>
      </w:r>
      <w:r w:rsidR="00A73C78">
        <w:t>Zajímavé by bylo</w:t>
      </w:r>
      <w:r w:rsidR="0036073C">
        <w:t xml:space="preserve"> sledovat účinnost antidepresiv za použití BDI u pacientů v akutní fázi.</w:t>
      </w:r>
      <w:r w:rsidR="005D45E1">
        <w:t xml:space="preserve"> Zároveň by bylo velmi obtížné od těchto pacientů získat výsledky, vzhledem k</w:t>
      </w:r>
      <w:r w:rsidR="00B14695">
        <w:t xml:space="preserve"> zhoršenému</w:t>
      </w:r>
      <w:r w:rsidR="005D45E1">
        <w:t> psychickému stavu.</w:t>
      </w:r>
      <w:r w:rsidR="0036073C">
        <w:t xml:space="preserve"> </w:t>
      </w:r>
      <w:r>
        <w:t xml:space="preserve">U více než poloviny pacientů bylo </w:t>
      </w:r>
      <w:r w:rsidR="0036073C">
        <w:t xml:space="preserve">v dotazníku </w:t>
      </w:r>
      <w:r>
        <w:t xml:space="preserve">uvedeno, že mají nežádoucí účinky léčby antidepresivy. </w:t>
      </w:r>
      <w:r w:rsidR="0036073C">
        <w:t>V šetření se ukázalo, že 17 % respondent</w:t>
      </w:r>
      <w:r w:rsidR="009339A2">
        <w:t>ů svévolně vysadilo</w:t>
      </w:r>
      <w:r w:rsidR="0036073C">
        <w:t xml:space="preserve"> medikaci. Nejčastějším důvodem bylo právě zlepšení projevů deprese a výskyt nežádoucích účinků. Z toho vyplývá, že právě subjektivní zlepšení projevů deprese a nežádoucí účinky léčby mají dopad na předčasné ukončení léčby antidepresivy. </w:t>
      </w:r>
    </w:p>
    <w:p w:rsidR="0036073C" w:rsidRDefault="0036073C" w:rsidP="00F010E3">
      <w:pPr>
        <w:ind w:firstLine="284"/>
      </w:pPr>
      <w:r>
        <w:t>Na závěr je nutné d</w:t>
      </w:r>
      <w:r w:rsidR="00B14695">
        <w:t>odat, že deprese je nemocí</w:t>
      </w:r>
      <w:r>
        <w:t xml:space="preserve"> duše a proto by se měla lé</w:t>
      </w:r>
      <w:r w:rsidR="005D45E1">
        <w:t>čit komplexně, jak farmakologicky</w:t>
      </w:r>
      <w:r>
        <w:t xml:space="preserve"> tak psychoterapeuticky.  </w:t>
      </w:r>
    </w:p>
    <w:p w:rsidR="008F2B22" w:rsidRDefault="008F2B22" w:rsidP="008F2B22">
      <w:pPr>
        <w:ind w:firstLine="284"/>
      </w:pPr>
    </w:p>
    <w:p w:rsidR="005D45E1" w:rsidRDefault="005D45E1" w:rsidP="008F2B22">
      <w:pPr>
        <w:ind w:firstLine="284"/>
      </w:pPr>
    </w:p>
    <w:p w:rsidR="005D45E1" w:rsidRDefault="005D45E1" w:rsidP="008F2B22">
      <w:pPr>
        <w:ind w:firstLine="284"/>
      </w:pPr>
    </w:p>
    <w:p w:rsidR="005D45E1" w:rsidRPr="005D45E1" w:rsidRDefault="005D45E1" w:rsidP="00A73C78">
      <w:pPr>
        <w:pStyle w:val="Nadpis6"/>
        <w:numPr>
          <w:ilvl w:val="0"/>
          <w:numId w:val="0"/>
        </w:numPr>
      </w:pPr>
      <w:bookmarkStart w:id="97" w:name="_Toc353433214"/>
      <w:r w:rsidRPr="005D45E1">
        <w:lastRenderedPageBreak/>
        <w:t>Z</w:t>
      </w:r>
      <w:r w:rsidR="00BF0B3D">
        <w:t>ávěr</w:t>
      </w:r>
      <w:bookmarkEnd w:id="97"/>
    </w:p>
    <w:p w:rsidR="005D45E1" w:rsidRPr="00B14695" w:rsidRDefault="005D45E1" w:rsidP="008F2B22">
      <w:pPr>
        <w:ind w:firstLine="284"/>
        <w:rPr>
          <w:b/>
        </w:rPr>
      </w:pPr>
      <w:r>
        <w:t xml:space="preserve">Diplomová práce s názvem: „Antidepresiva pohledem ambulantně léčených psychiatrických pacientů“ měla za </w:t>
      </w:r>
      <w:r w:rsidRPr="00B14695">
        <w:rPr>
          <w:b/>
        </w:rPr>
        <w:t xml:space="preserve">cíl sledovat souvislosti mezi subjektivním posouzením míry deprese, výskytem nežádoucích účinků </w:t>
      </w:r>
      <w:r w:rsidR="005C55C5" w:rsidRPr="00B14695">
        <w:rPr>
          <w:b/>
        </w:rPr>
        <w:t xml:space="preserve">na možné riziko svévolného vysazení medikace. </w:t>
      </w:r>
    </w:p>
    <w:p w:rsidR="005C55C5" w:rsidRDefault="005C55C5" w:rsidP="008F2B22">
      <w:pPr>
        <w:ind w:firstLine="284"/>
      </w:pPr>
      <w:r>
        <w:t>V jedné</w:t>
      </w:r>
      <w:r w:rsidR="00A73C78">
        <w:t xml:space="preserve"> z přednášek</w:t>
      </w:r>
      <w:r>
        <w:t xml:space="preserve"> Dr. Rusnáka bylo ře</w:t>
      </w:r>
      <w:r w:rsidR="00BB7B60">
        <w:t>čeno, že deprese se vyskytuje u lidí, kterým musela být odebrána síla. A to proto, že byla vkládána do něčeho špatného nebo neuskutečnitelného. Proto by se mělo pohlížet na nemoc jako na informaci. A na základě této informace se pokusit změnit názor na svět. V dnešní době je tento psychosomatický model nevyužívaný</w:t>
      </w:r>
      <w:r w:rsidR="00A73C78">
        <w:t>,</w:t>
      </w:r>
      <w:r w:rsidR="00BB7B60">
        <w:t xml:space="preserve"> a proto se pacientům s depresí předepisují antidepresiva. Na jedné straně věřím, že pacientům pomohou, ale na druhé straně se nedá říci, že by přímo zasáhly příčinu. Ze své praxe na psychiatrickém oddělení vím, že pacienti s depre</w:t>
      </w:r>
      <w:r w:rsidR="00A73C78">
        <w:t>semi se na oddělení neustále vra</w:t>
      </w:r>
      <w:r w:rsidR="00BB7B60">
        <w:t>c</w:t>
      </w:r>
      <w:r w:rsidR="00A73C78">
        <w:t>ej</w:t>
      </w:r>
      <w:r w:rsidR="00BB7B60">
        <w:t xml:space="preserve">í. Často to bývá připisováno špatné spolupráci a předčasným vysazením antidepresiv. Osobně se domnívám, že je to také tím, že pacienti nevědí, jak si pomoci sami a nechtějí se pouze spoléhat na léky. Na jednu stranu je pohodlné léky předepisovat a léčit, na druhou stranu něco jiného </w:t>
      </w:r>
      <w:r w:rsidR="00393359">
        <w:t xml:space="preserve">je </w:t>
      </w:r>
      <w:r w:rsidR="00BB7B60">
        <w:t xml:space="preserve">uzdravovat.  </w:t>
      </w:r>
    </w:p>
    <w:p w:rsidR="00393359" w:rsidRDefault="00393359" w:rsidP="008F2B22">
      <w:pPr>
        <w:ind w:firstLine="284"/>
      </w:pPr>
      <w:r>
        <w:t xml:space="preserve">V teoretické části práce bylo pojednáno o depresi jako o onemocnění, dále o antidepresivech a nakonec o pohledu pacientů na léčbu antidepresivy. V praktické části byly prezentovány výsledky výzkumného šetření, které proběhly u ambulantních psychiatrů v Olomouci a v Jihlavě. Bylo stanoveno osm výzkumných otázek a tři hypotézy. Bylo zjištěno, že u subjektivního posouzení míry deprese a zjišťovanými proměnnými (typ antidepresiv, délka užívání antidepresiv a pohlavím respondentů) byl zjištěn bezvýznamný rozdíl. Všechny hypotézy byly statisticky zpracovány Wilcoxonovým neparametrickým testem. </w:t>
      </w:r>
    </w:p>
    <w:p w:rsidR="00393359" w:rsidRDefault="00393359" w:rsidP="008F2B22">
      <w:pPr>
        <w:ind w:firstLine="284"/>
      </w:pPr>
      <w:r>
        <w:t xml:space="preserve">Na základě výzkumných otázek bylo zjištěno, že se u většiny respondentů vyskytují nežádoucí účinky při léčbě antidepresivy. </w:t>
      </w:r>
      <w:r w:rsidR="00D8516C">
        <w:t xml:space="preserve">A že zlepšení projevů deprese a nežádoucí účinky mají vliv na předčasné vysazení medikace. </w:t>
      </w:r>
    </w:p>
    <w:p w:rsidR="00D8516C" w:rsidRPr="005D45E1" w:rsidRDefault="00D8516C" w:rsidP="008F2B22">
      <w:pPr>
        <w:ind w:firstLine="284"/>
      </w:pPr>
      <w:r>
        <w:t xml:space="preserve">Na závěr bych chtěla říci, že je velmi důležitý správný přístup k nemocnému v léčbě deprese, a zároveň také přístup nemocného </w:t>
      </w:r>
      <w:r w:rsidR="00B14695">
        <w:t>k sobě samému.</w:t>
      </w:r>
    </w:p>
    <w:p w:rsidR="008B459E" w:rsidRDefault="008B459E" w:rsidP="008F2B22">
      <w:pPr>
        <w:ind w:firstLine="284"/>
      </w:pPr>
    </w:p>
    <w:p w:rsidR="000105B2" w:rsidRDefault="008B459E" w:rsidP="008B459E">
      <w:pPr>
        <w:spacing w:line="240" w:lineRule="auto"/>
        <w:jc w:val="left"/>
      </w:pPr>
      <w:r>
        <w:br w:type="page"/>
      </w:r>
    </w:p>
    <w:p w:rsidR="000105B2" w:rsidRDefault="000105B2" w:rsidP="000105B2">
      <w:pPr>
        <w:pStyle w:val="Nadpis6"/>
      </w:pPr>
      <w:bookmarkStart w:id="98" w:name="_Toc353433215"/>
      <w:r>
        <w:lastRenderedPageBreak/>
        <w:t>Souhrn</w:t>
      </w:r>
      <w:bookmarkEnd w:id="98"/>
    </w:p>
    <w:p w:rsidR="000105B2" w:rsidRDefault="000A6D9F" w:rsidP="000A6D9F">
      <w:pPr>
        <w:ind w:firstLine="284"/>
      </w:pPr>
      <w:r>
        <w:t>Deprese je nemoc, která je v dnešní době velice rozšířena a to i přes to, že na ni máme dostupné léky. Diplomová práce se zaměřuje na onemocnění deprese, na antidepresivní léčbu a pohled na antidepresiva z hlediska pacientů. Cílem této práce bylo</w:t>
      </w:r>
      <w:r w:rsidRPr="000A6D9F">
        <w:t xml:space="preserve"> sledovat souvislosti mezi subjektivním posouzením míry deprese, výskytem nežádoucích účinků na možné riziko svévolného vysazení medikace.</w:t>
      </w:r>
      <w:r>
        <w:t xml:space="preserve"> </w:t>
      </w:r>
    </w:p>
    <w:p w:rsidR="000A6D9F" w:rsidRDefault="000A6D9F" w:rsidP="000A6D9F">
      <w:pPr>
        <w:ind w:firstLine="284"/>
      </w:pPr>
      <w:r>
        <w:t xml:space="preserve">V teoretické části práce </w:t>
      </w:r>
      <w:r w:rsidR="00676BA4">
        <w:t xml:space="preserve">jsou uvedeny informace týkající se onemocnění deprese. A to nejen jakým způsobem vzniká, ale také jak se diagnostikuje a léčí. Další kapitola je věnována antidepresivům. Zde je uveden přehled antidepresiv, které se k léčbě deprese využívají. Jelikož se práce zabývá pohledem psychiatrických pacientů na antidepresiva, je v další kapitole pojednáno, jakým způsobem pacienti na léčbu pohlížejí. </w:t>
      </w:r>
    </w:p>
    <w:p w:rsidR="000105B2" w:rsidRDefault="00676BA4" w:rsidP="00676BA4">
      <w:pPr>
        <w:ind w:firstLine="284"/>
      </w:pPr>
      <w:r>
        <w:t xml:space="preserve">Obsahem praktické části je zpracování výsledků dotazníkového šetření, které probíhalo v psychiatrických ambulancích v Jihlavě a v Olomouci. Výsledky jsou přehledně zpracovány do tabulek a grafů. V práci bylo využito statistického zpracování dat za pomoci Wilcoxonova párového testu. V dotazníkovém šetření bylo zjištěno, že na svévolně vysazení medikace má vliv působení nežádoucích účinků a zlepšení stavu deprese. </w:t>
      </w:r>
    </w:p>
    <w:p w:rsidR="00676BA4" w:rsidRDefault="00676BA4" w:rsidP="00676BA4">
      <w:pPr>
        <w:ind w:firstLine="284"/>
      </w:pPr>
    </w:p>
    <w:p w:rsidR="00676BA4" w:rsidRDefault="00676BA4" w:rsidP="00676BA4">
      <w:pPr>
        <w:ind w:firstLine="284"/>
      </w:pPr>
    </w:p>
    <w:p w:rsidR="00676BA4" w:rsidRDefault="00676BA4" w:rsidP="00676BA4">
      <w:pPr>
        <w:ind w:firstLine="284"/>
      </w:pPr>
    </w:p>
    <w:p w:rsidR="00676BA4" w:rsidRDefault="00676BA4" w:rsidP="00676BA4">
      <w:pPr>
        <w:ind w:firstLine="284"/>
      </w:pPr>
      <w:r w:rsidRPr="00676BA4">
        <w:rPr>
          <w:b/>
        </w:rPr>
        <w:t>Klíčová slova</w:t>
      </w:r>
      <w:r>
        <w:t>:</w:t>
      </w:r>
      <w:r w:rsidR="000A75EA">
        <w:t xml:space="preserve"> Antidepresiva, deprese, compliance, nežádoucí účinky, vysazení terapie</w:t>
      </w: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105B2">
      <w:pPr>
        <w:spacing w:line="240" w:lineRule="auto"/>
      </w:pPr>
    </w:p>
    <w:p w:rsidR="000105B2" w:rsidRDefault="000105B2" w:rsidP="000A75EA">
      <w:pPr>
        <w:pStyle w:val="Nadpis6"/>
        <w:numPr>
          <w:ilvl w:val="0"/>
          <w:numId w:val="0"/>
        </w:numPr>
      </w:pPr>
      <w:bookmarkStart w:id="99" w:name="_Toc353433216"/>
      <w:r>
        <w:lastRenderedPageBreak/>
        <w:t>Summary</w:t>
      </w:r>
      <w:bookmarkEnd w:id="99"/>
    </w:p>
    <w:p w:rsidR="000A75EA" w:rsidRDefault="000A75EA" w:rsidP="000A75EA">
      <w:r>
        <w:t>Depression is an illness that is nowadays widely spread in spite of the fact that we have available to her medication. Thesis focuses on diseases depression to antidepressant treatment and in view of antidepressants in terms of patients. The aim of this work was to investigate the relation between the subjective assessment of the degree of depression, adverse effects on the potential risk of indiscriminate withdrawal of medication.</w:t>
      </w:r>
    </w:p>
    <w:p w:rsidR="000A75EA" w:rsidRDefault="000A75EA" w:rsidP="000A75EA">
      <w:r>
        <w:t>The theoretical part provides information on the disease of depression. And that's just how it arises, but also how it is diagnosed and treated. Another chapter is devoted to antidepressants. Below is a list of antidepressants are used to treat depression. Since it deals with a view of psychiatric patients to antidepressants, the next chapter discussed how patients perceive the treatment.</w:t>
      </w:r>
    </w:p>
    <w:p w:rsidR="000A75EA" w:rsidRDefault="000A75EA" w:rsidP="000A75EA">
      <w:r>
        <w:t>The practical part is the processing of the results of the survey, which took place in psychiatric outpatient clinics in Jihlava and Olomouc. The results are arranged into graphs and charts. In this work was used for statistical data processing help Wilcoxon paired test. In the questionnaire survey, it was found that the medication has arbitrarily stopping the exposure side effects and improvement of depression.</w:t>
      </w:r>
    </w:p>
    <w:p w:rsidR="000A75EA" w:rsidRDefault="000A75EA" w:rsidP="000105B2"/>
    <w:p w:rsidR="000A75EA" w:rsidRDefault="000A75EA" w:rsidP="000105B2"/>
    <w:p w:rsidR="000A75EA" w:rsidRDefault="000A75EA" w:rsidP="000105B2"/>
    <w:p w:rsidR="000A75EA" w:rsidRDefault="000A75EA" w:rsidP="000105B2"/>
    <w:p w:rsidR="000A75EA" w:rsidRDefault="000A75EA" w:rsidP="000105B2"/>
    <w:p w:rsidR="000A75EA" w:rsidRDefault="000A75EA" w:rsidP="000105B2"/>
    <w:p w:rsidR="000A75EA" w:rsidRDefault="000A75EA" w:rsidP="000105B2"/>
    <w:p w:rsidR="000A75EA" w:rsidRDefault="000A75EA" w:rsidP="000105B2"/>
    <w:p w:rsidR="000A75EA" w:rsidRDefault="000A75EA" w:rsidP="000105B2"/>
    <w:p w:rsidR="000A75EA" w:rsidRDefault="000A75EA" w:rsidP="000A75EA">
      <w:r w:rsidRPr="000A75EA">
        <w:rPr>
          <w:b/>
        </w:rPr>
        <w:t>Key words:</w:t>
      </w:r>
      <w:r>
        <w:t xml:space="preserve"> </w:t>
      </w:r>
      <w:r w:rsidRPr="00810997">
        <w:t>Antidepressants, depression, compliance, side effects, withdrawal of therapy</w:t>
      </w:r>
    </w:p>
    <w:p w:rsidR="000105B2" w:rsidRDefault="000105B2" w:rsidP="000105B2">
      <w:r>
        <w:br w:type="page"/>
      </w:r>
    </w:p>
    <w:p w:rsidR="00267359" w:rsidRDefault="00A50671" w:rsidP="000105B2">
      <w:pPr>
        <w:pStyle w:val="Nadpis6"/>
        <w:numPr>
          <w:ilvl w:val="0"/>
          <w:numId w:val="0"/>
        </w:numPr>
      </w:pPr>
      <w:bookmarkStart w:id="100" w:name="_Toc353433217"/>
      <w:r>
        <w:lastRenderedPageBreak/>
        <w:t>Referenční seznam</w:t>
      </w:r>
      <w:bookmarkEnd w:id="100"/>
    </w:p>
    <w:p w:rsidR="00A50671" w:rsidRDefault="00A50671" w:rsidP="008B459E">
      <w:pPr>
        <w:spacing w:line="240" w:lineRule="auto"/>
        <w:jc w:val="left"/>
      </w:pPr>
    </w:p>
    <w:p w:rsidR="008B459E" w:rsidRDefault="008B459E" w:rsidP="008B459E">
      <w:pPr>
        <w:spacing w:line="240" w:lineRule="auto"/>
        <w:jc w:val="left"/>
        <w:rPr>
          <w:b/>
        </w:rPr>
      </w:pPr>
      <w:r w:rsidRPr="008B459E">
        <w:rPr>
          <w:b/>
        </w:rPr>
        <w:t>Knižní zdroje:</w:t>
      </w:r>
    </w:p>
    <w:p w:rsidR="008B459E" w:rsidRPr="008B459E" w:rsidRDefault="008B459E" w:rsidP="008B459E">
      <w:pPr>
        <w:spacing w:line="240" w:lineRule="auto"/>
        <w:jc w:val="left"/>
      </w:pPr>
    </w:p>
    <w:p w:rsidR="008B459E" w:rsidRDefault="008B459E" w:rsidP="008B459E">
      <w:pPr>
        <w:numPr>
          <w:ilvl w:val="0"/>
          <w:numId w:val="35"/>
        </w:numPr>
        <w:spacing w:after="200" w:line="240" w:lineRule="auto"/>
        <w:contextualSpacing/>
      </w:pPr>
      <w:r w:rsidRPr="008B459E">
        <w:t xml:space="preserve">BERAN, J. A KOL., 2010. </w:t>
      </w:r>
      <w:r w:rsidRPr="008B459E">
        <w:rPr>
          <w:i/>
        </w:rPr>
        <w:t>Lékařská psychologie v praxi</w:t>
      </w:r>
      <w:r w:rsidRPr="008B459E">
        <w:t>. Praha: Grada. 240 s. ISBN: 978-80-247-1125-6</w:t>
      </w:r>
      <w:r>
        <w:t>.</w:t>
      </w:r>
    </w:p>
    <w:p w:rsidR="008B459E" w:rsidRPr="008B459E" w:rsidRDefault="008B459E" w:rsidP="008B459E">
      <w:pPr>
        <w:spacing w:after="200" w:line="240" w:lineRule="auto"/>
        <w:ind w:left="720"/>
        <w:contextualSpacing/>
      </w:pPr>
    </w:p>
    <w:p w:rsidR="008B459E" w:rsidRDefault="008B459E" w:rsidP="008B459E">
      <w:pPr>
        <w:numPr>
          <w:ilvl w:val="0"/>
          <w:numId w:val="35"/>
        </w:numPr>
        <w:spacing w:after="200" w:line="276" w:lineRule="auto"/>
        <w:contextualSpacing/>
        <w:rPr>
          <w:rFonts w:cs="Times New Roman"/>
          <w:color w:val="000000"/>
          <w:szCs w:val="24"/>
          <w:shd w:val="clear" w:color="auto" w:fill="FFFFFF"/>
        </w:rPr>
      </w:pPr>
      <w:r w:rsidRPr="008B459E">
        <w:rPr>
          <w:rFonts w:cs="Times New Roman"/>
          <w:color w:val="000000"/>
          <w:szCs w:val="24"/>
          <w:shd w:val="clear" w:color="auto" w:fill="FFFFFF"/>
        </w:rPr>
        <w:t xml:space="preserve">BOUČEK, J. PIDRMAN, V. 2005. </w:t>
      </w:r>
      <w:r w:rsidRPr="008B459E">
        <w:rPr>
          <w:rFonts w:cs="Times New Roman"/>
          <w:i/>
          <w:color w:val="000000"/>
          <w:szCs w:val="24"/>
          <w:shd w:val="clear" w:color="auto" w:fill="FFFFFF"/>
        </w:rPr>
        <w:t>Psychofarmaka v medicíně</w:t>
      </w:r>
      <w:r w:rsidRPr="008B459E">
        <w:rPr>
          <w:rFonts w:cs="Times New Roman"/>
          <w:color w:val="000000"/>
          <w:szCs w:val="24"/>
          <w:shd w:val="clear" w:color="auto" w:fill="FFFFFF"/>
        </w:rPr>
        <w:t>. 1.vyd. Praha: Grada. 286 s. ISBN: 80-247-1136-2</w:t>
      </w:r>
      <w:r>
        <w:rPr>
          <w:rFonts w:cs="Times New Roman"/>
          <w:color w:val="000000"/>
          <w:szCs w:val="24"/>
          <w:shd w:val="clear" w:color="auto" w:fill="FFFFFF"/>
        </w:rPr>
        <w:t>.</w:t>
      </w:r>
    </w:p>
    <w:p w:rsidR="008B459E" w:rsidRPr="008B459E" w:rsidRDefault="008B459E" w:rsidP="008B459E">
      <w:pPr>
        <w:spacing w:after="200" w:line="276" w:lineRule="auto"/>
        <w:contextualSpacing/>
        <w:rPr>
          <w:rFonts w:cs="Times New Roman"/>
          <w:color w:val="000000"/>
          <w:szCs w:val="24"/>
          <w:shd w:val="clear" w:color="auto" w:fill="FFFFFF"/>
        </w:rPr>
      </w:pPr>
    </w:p>
    <w:p w:rsidR="008B459E" w:rsidRDefault="008B459E" w:rsidP="008B459E">
      <w:pPr>
        <w:numPr>
          <w:ilvl w:val="0"/>
          <w:numId w:val="35"/>
        </w:numPr>
        <w:spacing w:after="200" w:line="276" w:lineRule="auto"/>
        <w:contextualSpacing/>
        <w:rPr>
          <w:rFonts w:cs="Times New Roman"/>
          <w:color w:val="000000"/>
          <w:szCs w:val="24"/>
          <w:shd w:val="clear" w:color="auto" w:fill="FFFFFF"/>
        </w:rPr>
      </w:pPr>
      <w:r w:rsidRPr="008B459E">
        <w:rPr>
          <w:rFonts w:cs="Times New Roman"/>
          <w:color w:val="000000"/>
          <w:szCs w:val="24"/>
          <w:shd w:val="clear" w:color="auto" w:fill="FFFFFF"/>
        </w:rPr>
        <w:t xml:space="preserve">DUŠEK, K. VEČEŘOVÁ-PROCHÁZKOVÁ, A. 2010. </w:t>
      </w:r>
      <w:r w:rsidRPr="008B459E">
        <w:rPr>
          <w:rFonts w:cs="Times New Roman"/>
          <w:i/>
          <w:color w:val="000000"/>
          <w:szCs w:val="24"/>
          <w:shd w:val="clear" w:color="auto" w:fill="FFFFFF"/>
        </w:rPr>
        <w:t>Diagnostika a terapie psychických poruch.</w:t>
      </w:r>
      <w:r w:rsidRPr="008B459E">
        <w:rPr>
          <w:rFonts w:cs="Times New Roman"/>
          <w:color w:val="000000"/>
          <w:szCs w:val="24"/>
          <w:shd w:val="clear" w:color="auto" w:fill="FFFFFF"/>
        </w:rPr>
        <w:t xml:space="preserve">  Prha: Grada. 632 s. ISBN: 978-80-247-1620-6</w:t>
      </w:r>
      <w:r>
        <w:rPr>
          <w:rFonts w:cs="Times New Roman"/>
          <w:color w:val="000000"/>
          <w:szCs w:val="24"/>
          <w:shd w:val="clear" w:color="auto" w:fill="FFFFFF"/>
        </w:rPr>
        <w:t>.</w:t>
      </w:r>
    </w:p>
    <w:p w:rsidR="008B459E" w:rsidRPr="008B459E" w:rsidRDefault="008B459E" w:rsidP="008B459E">
      <w:pPr>
        <w:spacing w:after="200" w:line="276" w:lineRule="auto"/>
        <w:contextualSpacing/>
        <w:rPr>
          <w:rFonts w:cs="Times New Roman"/>
          <w:color w:val="000000"/>
          <w:szCs w:val="24"/>
          <w:shd w:val="clear" w:color="auto" w:fill="FFFFFF"/>
        </w:rPr>
      </w:pPr>
    </w:p>
    <w:p w:rsidR="008B459E" w:rsidRDefault="008B459E" w:rsidP="008B459E">
      <w:pPr>
        <w:numPr>
          <w:ilvl w:val="0"/>
          <w:numId w:val="35"/>
        </w:numPr>
        <w:spacing w:after="200" w:line="276" w:lineRule="auto"/>
        <w:contextualSpacing/>
        <w:rPr>
          <w:rFonts w:cs="Times New Roman"/>
          <w:color w:val="000000"/>
          <w:szCs w:val="24"/>
          <w:shd w:val="clear" w:color="auto" w:fill="FFFFFF"/>
        </w:rPr>
      </w:pPr>
      <w:r w:rsidRPr="008B459E">
        <w:rPr>
          <w:rFonts w:cs="Times New Roman"/>
          <w:color w:val="000000"/>
          <w:szCs w:val="24"/>
          <w:shd w:val="clear" w:color="auto" w:fill="FFFFFF"/>
        </w:rPr>
        <w:t xml:space="preserve">FIŠAR, Z. 2009. </w:t>
      </w:r>
      <w:r w:rsidRPr="008B459E">
        <w:rPr>
          <w:rFonts w:cs="Times New Roman"/>
          <w:i/>
          <w:iCs/>
          <w:color w:val="000000"/>
          <w:szCs w:val="24"/>
          <w:shd w:val="clear" w:color="auto" w:fill="FFFFFF"/>
        </w:rPr>
        <w:t>Vybrané kapitoly z biologické psychiatrie</w:t>
      </w:r>
      <w:r w:rsidRPr="008B459E">
        <w:rPr>
          <w:rFonts w:cs="Times New Roman"/>
          <w:color w:val="000000"/>
          <w:szCs w:val="24"/>
          <w:shd w:val="clear" w:color="auto" w:fill="FFFFFF"/>
        </w:rPr>
        <w:t>. 2., přeprac. a dopl. vyd. Praha: Grada. 383 s. Psyché (Grada). ISBN 978-802-4727-370.</w:t>
      </w:r>
    </w:p>
    <w:p w:rsidR="008B459E" w:rsidRPr="008B459E" w:rsidRDefault="008B459E" w:rsidP="008B459E">
      <w:pPr>
        <w:spacing w:after="200" w:line="276" w:lineRule="auto"/>
        <w:contextualSpacing/>
        <w:rPr>
          <w:rFonts w:cs="Times New Roman"/>
          <w:color w:val="000000"/>
          <w:szCs w:val="24"/>
          <w:shd w:val="clear" w:color="auto" w:fill="FFFFFF"/>
        </w:rPr>
      </w:pPr>
    </w:p>
    <w:p w:rsidR="008B459E" w:rsidRDefault="008B459E" w:rsidP="008B459E">
      <w:pPr>
        <w:numPr>
          <w:ilvl w:val="0"/>
          <w:numId w:val="35"/>
        </w:numPr>
        <w:spacing w:after="200" w:line="276" w:lineRule="auto"/>
        <w:contextualSpacing/>
        <w:rPr>
          <w:rFonts w:cs="Times New Roman"/>
          <w:szCs w:val="24"/>
        </w:rPr>
      </w:pPr>
      <w:r w:rsidRPr="008B459E">
        <w:rPr>
          <w:rFonts w:cs="Times New Roman"/>
          <w:szCs w:val="24"/>
        </w:rPr>
        <w:t xml:space="preserve">GELDER, M. 2001. </w:t>
      </w:r>
      <w:r w:rsidRPr="008B459E">
        <w:rPr>
          <w:rFonts w:cs="Times New Roman"/>
          <w:i/>
          <w:szCs w:val="24"/>
        </w:rPr>
        <w:t>Shorter Oxford Textbook of psychiatry</w:t>
      </w:r>
      <w:r w:rsidRPr="008B459E">
        <w:rPr>
          <w:rFonts w:cs="Times New Roman"/>
          <w:szCs w:val="24"/>
        </w:rPr>
        <w:t>. Fourth edition. New York: Oxford Univers</w:t>
      </w:r>
      <w:r>
        <w:rPr>
          <w:rFonts w:cs="Times New Roman"/>
          <w:szCs w:val="24"/>
        </w:rPr>
        <w:t>ity Press. ISBN: 0-19-263-241-8.</w:t>
      </w:r>
    </w:p>
    <w:p w:rsidR="008B459E" w:rsidRPr="008B459E" w:rsidRDefault="008B459E" w:rsidP="008B459E">
      <w:pPr>
        <w:spacing w:after="200" w:line="276" w:lineRule="auto"/>
        <w:contextualSpacing/>
        <w:rPr>
          <w:rFonts w:cs="Times New Roman"/>
          <w:szCs w:val="24"/>
        </w:rPr>
      </w:pPr>
    </w:p>
    <w:p w:rsidR="008B459E" w:rsidRDefault="008B459E" w:rsidP="008B459E">
      <w:pPr>
        <w:numPr>
          <w:ilvl w:val="0"/>
          <w:numId w:val="35"/>
        </w:numPr>
        <w:spacing w:after="200" w:line="276" w:lineRule="auto"/>
        <w:contextualSpacing/>
        <w:rPr>
          <w:rFonts w:eastAsia="Calibri" w:cs="Times New Roman"/>
          <w:bCs/>
          <w:szCs w:val="24"/>
          <w:lang w:eastAsia="cs-CZ"/>
        </w:rPr>
      </w:pPr>
      <w:r w:rsidRPr="008B459E">
        <w:rPr>
          <w:rFonts w:eastAsia="Calibri" w:cs="Times New Roman"/>
          <w:bCs/>
          <w:szCs w:val="24"/>
          <w:lang w:eastAsia="cs-CZ"/>
        </w:rPr>
        <w:t>GELDER, M. HARRISON, P. COWEN, P</w:t>
      </w:r>
      <w:r w:rsidRPr="008B459E">
        <w:rPr>
          <w:rFonts w:eastAsia="Calibri" w:cs="Times New Roman"/>
          <w:bCs/>
          <w:i/>
          <w:szCs w:val="24"/>
          <w:lang w:eastAsia="cs-CZ"/>
        </w:rPr>
        <w:t>.</w:t>
      </w:r>
      <w:r w:rsidRPr="008B459E">
        <w:rPr>
          <w:rFonts w:eastAsia="Calibri" w:cs="Times New Roman"/>
          <w:bCs/>
          <w:szCs w:val="24"/>
          <w:lang w:eastAsia="cs-CZ"/>
        </w:rPr>
        <w:t xml:space="preserve"> 2006. </w:t>
      </w:r>
      <w:r w:rsidRPr="008B459E">
        <w:rPr>
          <w:rFonts w:eastAsia="Calibri" w:cs="Times New Roman"/>
          <w:bCs/>
          <w:i/>
          <w:szCs w:val="24"/>
          <w:lang w:eastAsia="cs-CZ"/>
        </w:rPr>
        <w:t xml:space="preserve"> Shorter Oxford textbook of psychiatry</w:t>
      </w:r>
      <w:r w:rsidRPr="008B459E">
        <w:rPr>
          <w:rFonts w:eastAsia="Calibri" w:cs="Times New Roman"/>
          <w:bCs/>
          <w:szCs w:val="24"/>
          <w:lang w:eastAsia="cs-CZ"/>
        </w:rPr>
        <w:t>, New York: Oxford University Press. 846 s. ISBN: 0-19-856896-7</w:t>
      </w:r>
      <w:r>
        <w:rPr>
          <w:rFonts w:eastAsia="Calibri" w:cs="Times New Roman"/>
          <w:bCs/>
          <w:szCs w:val="24"/>
          <w:lang w:eastAsia="cs-CZ"/>
        </w:rPr>
        <w:t>.</w:t>
      </w:r>
    </w:p>
    <w:p w:rsidR="008B459E" w:rsidRPr="008B459E" w:rsidRDefault="008B459E" w:rsidP="008B459E">
      <w:pPr>
        <w:spacing w:after="200" w:line="276" w:lineRule="auto"/>
        <w:contextualSpacing/>
        <w:rPr>
          <w:rFonts w:eastAsia="Calibri" w:cs="Times New Roman"/>
          <w:bCs/>
          <w:szCs w:val="24"/>
          <w:lang w:eastAsia="cs-CZ"/>
        </w:rPr>
      </w:pPr>
    </w:p>
    <w:p w:rsidR="008B459E" w:rsidRDefault="008B459E" w:rsidP="008B459E">
      <w:pPr>
        <w:numPr>
          <w:ilvl w:val="0"/>
          <w:numId w:val="35"/>
        </w:numPr>
        <w:spacing w:after="200" w:line="276" w:lineRule="auto"/>
        <w:contextualSpacing/>
        <w:rPr>
          <w:rFonts w:eastAsia="Calibri" w:cs="Times New Roman"/>
          <w:bCs/>
          <w:szCs w:val="24"/>
          <w:lang w:eastAsia="cs-CZ"/>
        </w:rPr>
      </w:pPr>
      <w:r w:rsidRPr="008B459E">
        <w:rPr>
          <w:rFonts w:eastAsia="Calibri" w:cs="Times New Roman"/>
          <w:bCs/>
          <w:szCs w:val="24"/>
          <w:lang w:eastAsia="cs-CZ"/>
        </w:rPr>
        <w:t xml:space="preserve">HOSÁK, L. 2000. </w:t>
      </w:r>
      <w:r w:rsidRPr="008B459E">
        <w:rPr>
          <w:rFonts w:eastAsia="Calibri" w:cs="Times New Roman"/>
          <w:bCs/>
          <w:i/>
          <w:szCs w:val="24"/>
          <w:lang w:eastAsia="cs-CZ"/>
        </w:rPr>
        <w:t>Farmakoekonomika v psychiatrii</w:t>
      </w:r>
      <w:r w:rsidRPr="008B459E">
        <w:rPr>
          <w:rFonts w:eastAsia="Calibri" w:cs="Times New Roman"/>
          <w:bCs/>
          <w:szCs w:val="24"/>
          <w:lang w:eastAsia="cs-CZ"/>
        </w:rPr>
        <w:t>. Praha: Galén. 144 s. ISBN: 807-262-0541</w:t>
      </w:r>
      <w:r>
        <w:rPr>
          <w:rFonts w:eastAsia="Calibri" w:cs="Times New Roman"/>
          <w:bCs/>
          <w:szCs w:val="24"/>
          <w:lang w:eastAsia="cs-CZ"/>
        </w:rPr>
        <w:t>.</w:t>
      </w:r>
    </w:p>
    <w:p w:rsidR="008B459E" w:rsidRPr="008B459E" w:rsidRDefault="008B459E" w:rsidP="008B459E">
      <w:pPr>
        <w:spacing w:after="200" w:line="276" w:lineRule="auto"/>
        <w:contextualSpacing/>
        <w:rPr>
          <w:rFonts w:eastAsia="Calibri" w:cs="Times New Roman"/>
          <w:bCs/>
          <w:szCs w:val="24"/>
          <w:lang w:eastAsia="cs-CZ"/>
        </w:rPr>
      </w:pPr>
    </w:p>
    <w:p w:rsidR="008B459E" w:rsidRDefault="008B459E" w:rsidP="008B459E">
      <w:pPr>
        <w:numPr>
          <w:ilvl w:val="0"/>
          <w:numId w:val="35"/>
        </w:numPr>
        <w:spacing w:after="200" w:line="276" w:lineRule="auto"/>
        <w:contextualSpacing/>
      </w:pPr>
      <w:r w:rsidRPr="008B459E">
        <w:t>H</w:t>
      </w:r>
      <w:r w:rsidRPr="008B459E">
        <w:rPr>
          <w:rFonts w:cs="Times New Roman"/>
        </w:rPr>
        <w:t>Ö</w:t>
      </w:r>
      <w:r w:rsidRPr="008B459E">
        <w:t xml:space="preserve">SCHL, C., LIBIGER, J., ŠVESTKA J., 2002. </w:t>
      </w:r>
      <w:r w:rsidRPr="008B459E">
        <w:rPr>
          <w:i/>
        </w:rPr>
        <w:t>Psychiatrie</w:t>
      </w:r>
      <w:r w:rsidRPr="008B459E">
        <w:t>. Praha: Tigis. 895 s. ISBN: 80-900130-1-5</w:t>
      </w:r>
      <w:r>
        <w:t>.</w:t>
      </w:r>
    </w:p>
    <w:p w:rsidR="008B459E" w:rsidRPr="008B459E" w:rsidRDefault="008B459E" w:rsidP="008B459E">
      <w:pPr>
        <w:spacing w:after="200" w:line="276" w:lineRule="auto"/>
        <w:contextualSpacing/>
      </w:pPr>
    </w:p>
    <w:p w:rsidR="008B459E" w:rsidRDefault="008B459E" w:rsidP="008B459E">
      <w:pPr>
        <w:numPr>
          <w:ilvl w:val="0"/>
          <w:numId w:val="35"/>
        </w:numPr>
        <w:spacing w:after="200" w:line="276" w:lineRule="auto"/>
        <w:contextualSpacing/>
        <w:rPr>
          <w:rFonts w:cs="Times New Roman"/>
          <w:color w:val="000000"/>
          <w:szCs w:val="24"/>
          <w:shd w:val="clear" w:color="auto" w:fill="FFFFFF"/>
        </w:rPr>
      </w:pPr>
      <w:r w:rsidRPr="008B459E">
        <w:rPr>
          <w:rFonts w:cs="Times New Roman"/>
          <w:color w:val="000000"/>
          <w:szCs w:val="24"/>
          <w:shd w:val="clear" w:color="auto" w:fill="FFFFFF"/>
        </w:rPr>
        <w:t>HYNIE, S. 2000.  </w:t>
      </w:r>
      <w:r w:rsidRPr="008B459E">
        <w:rPr>
          <w:rFonts w:cs="Times New Roman"/>
          <w:i/>
          <w:iCs/>
          <w:color w:val="000000"/>
          <w:szCs w:val="24"/>
          <w:shd w:val="clear" w:color="auto" w:fill="FFFFFF"/>
        </w:rPr>
        <w:t>Speciální farmakologie</w:t>
      </w:r>
      <w:r w:rsidRPr="008B459E">
        <w:rPr>
          <w:rFonts w:cs="Times New Roman"/>
          <w:color w:val="000000"/>
          <w:szCs w:val="24"/>
          <w:shd w:val="clear" w:color="auto" w:fill="FFFFFF"/>
        </w:rPr>
        <w:t>. 2.vyd. Praha: Karolinum. 299 s. ISBN 80-246-0122-2.</w:t>
      </w:r>
    </w:p>
    <w:p w:rsidR="008B459E" w:rsidRPr="008B459E" w:rsidRDefault="008B459E" w:rsidP="008B459E">
      <w:pPr>
        <w:spacing w:after="200" w:line="276" w:lineRule="auto"/>
        <w:contextualSpacing/>
        <w:rPr>
          <w:rFonts w:cs="Times New Roman"/>
          <w:color w:val="000000"/>
          <w:szCs w:val="24"/>
          <w:shd w:val="clear" w:color="auto" w:fill="FFFFFF"/>
        </w:rPr>
      </w:pPr>
    </w:p>
    <w:p w:rsidR="008B459E" w:rsidRDefault="008B459E" w:rsidP="008B459E">
      <w:pPr>
        <w:numPr>
          <w:ilvl w:val="0"/>
          <w:numId w:val="35"/>
        </w:numPr>
        <w:spacing w:after="200" w:line="276" w:lineRule="auto"/>
        <w:contextualSpacing/>
        <w:rPr>
          <w:rFonts w:cs="Times New Roman"/>
          <w:szCs w:val="24"/>
        </w:rPr>
      </w:pPr>
      <w:r w:rsidRPr="008B459E">
        <w:rPr>
          <w:rFonts w:cs="Times New Roman"/>
          <w:szCs w:val="24"/>
        </w:rPr>
        <w:t xml:space="preserve">HYNIE, S. 2001. </w:t>
      </w:r>
      <w:r w:rsidRPr="008B459E">
        <w:rPr>
          <w:rFonts w:cs="Times New Roman"/>
          <w:i/>
          <w:szCs w:val="24"/>
        </w:rPr>
        <w:t>Farmakologie v kostce</w:t>
      </w:r>
      <w:r w:rsidRPr="008B459E">
        <w:rPr>
          <w:rFonts w:cs="Times New Roman"/>
          <w:szCs w:val="24"/>
        </w:rPr>
        <w:t>. Praha: Triton. 520 s. ISBN: 80-7254-181-1.</w:t>
      </w:r>
    </w:p>
    <w:p w:rsidR="008B459E" w:rsidRPr="008B459E" w:rsidRDefault="008B459E" w:rsidP="008B459E">
      <w:pPr>
        <w:spacing w:after="200" w:line="276" w:lineRule="auto"/>
        <w:contextualSpacing/>
        <w:rPr>
          <w:rFonts w:cs="Times New Roman"/>
          <w:szCs w:val="24"/>
        </w:rPr>
      </w:pPr>
    </w:p>
    <w:p w:rsidR="008B459E" w:rsidRDefault="00A73C78" w:rsidP="008B459E">
      <w:pPr>
        <w:numPr>
          <w:ilvl w:val="0"/>
          <w:numId w:val="35"/>
        </w:numPr>
        <w:spacing w:after="200" w:line="276" w:lineRule="auto"/>
        <w:contextualSpacing/>
        <w:rPr>
          <w:shd w:val="clear" w:color="auto" w:fill="FFFFFF"/>
        </w:rPr>
      </w:pPr>
      <w:r>
        <w:rPr>
          <w:shd w:val="clear" w:color="auto" w:fill="FFFFFF"/>
        </w:rPr>
        <w:t>JUKLOVÁ, K.,</w:t>
      </w:r>
      <w:r w:rsidR="008B459E" w:rsidRPr="008B459E">
        <w:rPr>
          <w:shd w:val="clear" w:color="auto" w:fill="FFFFFF"/>
        </w:rPr>
        <w:t xml:space="preserve"> SKORUNKOVÁ</w:t>
      </w:r>
      <w:r>
        <w:rPr>
          <w:shd w:val="clear" w:color="auto" w:fill="FFFFFF"/>
        </w:rPr>
        <w:t>, R</w:t>
      </w:r>
      <w:r w:rsidR="008B459E" w:rsidRPr="008B459E">
        <w:rPr>
          <w:shd w:val="clear" w:color="auto" w:fill="FFFFFF"/>
        </w:rPr>
        <w:t>.</w:t>
      </w:r>
      <w:r w:rsidR="008B459E" w:rsidRPr="008B459E">
        <w:rPr>
          <w:rFonts w:ascii="Arial" w:hAnsi="Arial" w:cs="Arial"/>
          <w:color w:val="000000"/>
          <w:sz w:val="20"/>
          <w:szCs w:val="20"/>
          <w:shd w:val="clear" w:color="auto" w:fill="FFFFFF"/>
        </w:rPr>
        <w:t> </w:t>
      </w:r>
      <w:r w:rsidR="008B459E" w:rsidRPr="008B459E">
        <w:t>2009.</w:t>
      </w:r>
      <w:r w:rsidR="008B459E" w:rsidRPr="008B459E">
        <w:rPr>
          <w:rFonts w:ascii="Arial" w:hAnsi="Arial" w:cs="Arial"/>
          <w:color w:val="000000"/>
          <w:sz w:val="20"/>
          <w:szCs w:val="20"/>
          <w:shd w:val="clear" w:color="auto" w:fill="FFFFFF"/>
        </w:rPr>
        <w:t xml:space="preserve"> </w:t>
      </w:r>
      <w:r w:rsidR="008B459E" w:rsidRPr="008B459E">
        <w:rPr>
          <w:i/>
          <w:iCs/>
          <w:shd w:val="clear" w:color="auto" w:fill="FFFFFF"/>
        </w:rPr>
        <w:t>Základy psychopatologie</w:t>
      </w:r>
      <w:r w:rsidR="008B459E" w:rsidRPr="008B459E">
        <w:rPr>
          <w:shd w:val="clear" w:color="auto" w:fill="FFFFFF"/>
        </w:rPr>
        <w:t>. Vyd. 2. Hradec Králové: Gaudeamus. 115 s. ISBN 978-80-7041-815-4.</w:t>
      </w:r>
    </w:p>
    <w:p w:rsidR="008B459E" w:rsidRPr="008B459E" w:rsidRDefault="008B459E" w:rsidP="008B459E">
      <w:pPr>
        <w:spacing w:after="200" w:line="276" w:lineRule="auto"/>
        <w:contextualSpacing/>
        <w:rPr>
          <w:shd w:val="clear" w:color="auto" w:fill="FFFFFF"/>
        </w:rPr>
      </w:pPr>
    </w:p>
    <w:p w:rsidR="008B459E" w:rsidRDefault="008B459E" w:rsidP="008B459E">
      <w:pPr>
        <w:numPr>
          <w:ilvl w:val="0"/>
          <w:numId w:val="35"/>
        </w:numPr>
        <w:spacing w:after="200" w:line="276" w:lineRule="auto"/>
        <w:contextualSpacing/>
        <w:rPr>
          <w:rFonts w:cs="Times New Roman"/>
          <w:bCs/>
          <w:color w:val="404040"/>
          <w:szCs w:val="24"/>
        </w:rPr>
      </w:pPr>
      <w:r w:rsidRPr="008B459E">
        <w:t xml:space="preserve">JUŘENÍKOVÁ, P. 2010. </w:t>
      </w:r>
      <w:r w:rsidRPr="008B459E">
        <w:rPr>
          <w:i/>
        </w:rPr>
        <w:t>Zásady edukace v ošetřovatelské praxi</w:t>
      </w:r>
      <w:r w:rsidRPr="008B459E">
        <w:t xml:space="preserve">. Praha: Grada. 80 s. ISBN: </w:t>
      </w:r>
      <w:r w:rsidRPr="008B459E">
        <w:rPr>
          <w:rFonts w:cs="Times New Roman"/>
          <w:bCs/>
          <w:szCs w:val="24"/>
        </w:rPr>
        <w:t>978-80-247-2171-2</w:t>
      </w:r>
    </w:p>
    <w:p w:rsidR="008B459E" w:rsidRPr="008B459E" w:rsidRDefault="008B459E" w:rsidP="008B459E">
      <w:pPr>
        <w:spacing w:after="200" w:line="276" w:lineRule="auto"/>
        <w:contextualSpacing/>
        <w:rPr>
          <w:rFonts w:cs="Times New Roman"/>
          <w:bCs/>
          <w:color w:val="404040"/>
          <w:szCs w:val="24"/>
        </w:rPr>
      </w:pPr>
    </w:p>
    <w:p w:rsidR="008B459E" w:rsidRPr="008B459E" w:rsidRDefault="008B459E" w:rsidP="008B459E">
      <w:pPr>
        <w:numPr>
          <w:ilvl w:val="0"/>
          <w:numId w:val="35"/>
        </w:numPr>
        <w:spacing w:after="200" w:line="276" w:lineRule="auto"/>
        <w:contextualSpacing/>
        <w:rPr>
          <w:rFonts w:cs="Times New Roman"/>
          <w:szCs w:val="24"/>
        </w:rPr>
      </w:pPr>
      <w:r w:rsidRPr="008B459E">
        <w:rPr>
          <w:rFonts w:cs="Times New Roman"/>
          <w:color w:val="000000"/>
          <w:szCs w:val="24"/>
          <w:shd w:val="clear" w:color="auto" w:fill="FFFFFF"/>
        </w:rPr>
        <w:t xml:space="preserve">KANTOROVÁ, A. 2011. </w:t>
      </w:r>
      <w:r w:rsidRPr="008B459E">
        <w:rPr>
          <w:rFonts w:cs="Times New Roman"/>
          <w:i/>
          <w:iCs/>
          <w:color w:val="000000"/>
          <w:szCs w:val="24"/>
          <w:shd w:val="clear" w:color="auto" w:fill="FFFFFF"/>
        </w:rPr>
        <w:t>Trendy ve spotřebě antidepresiv v ČR v letech 2003-2008</w:t>
      </w:r>
      <w:r w:rsidRPr="008B459E">
        <w:rPr>
          <w:rFonts w:cs="Times New Roman"/>
          <w:color w:val="000000"/>
          <w:szCs w:val="24"/>
          <w:shd w:val="clear" w:color="auto" w:fill="FFFFFF"/>
        </w:rPr>
        <w:t>. České Budějovice. Diplomová práce. Vysoká škola ekonomická v Praze.</w:t>
      </w:r>
    </w:p>
    <w:p w:rsidR="008B459E" w:rsidRPr="008B459E" w:rsidRDefault="008B459E" w:rsidP="008B459E">
      <w:pPr>
        <w:spacing w:after="200" w:line="276" w:lineRule="auto"/>
        <w:contextualSpacing/>
        <w:rPr>
          <w:rFonts w:cs="Times New Roman"/>
          <w:szCs w:val="24"/>
        </w:rPr>
      </w:pPr>
    </w:p>
    <w:p w:rsidR="008B459E" w:rsidRPr="002F738C" w:rsidRDefault="008B459E" w:rsidP="008B459E">
      <w:pPr>
        <w:numPr>
          <w:ilvl w:val="0"/>
          <w:numId w:val="35"/>
        </w:numPr>
        <w:spacing w:after="200" w:line="276" w:lineRule="auto"/>
        <w:contextualSpacing/>
        <w:rPr>
          <w:rFonts w:cs="Times New Roman"/>
          <w:szCs w:val="24"/>
        </w:rPr>
      </w:pPr>
      <w:r w:rsidRPr="008B459E">
        <w:rPr>
          <w:rFonts w:cs="Times New Roman"/>
          <w:color w:val="000000"/>
          <w:szCs w:val="24"/>
          <w:shd w:val="clear" w:color="auto" w:fill="FFFFFF"/>
        </w:rPr>
        <w:lastRenderedPageBreak/>
        <w:t xml:space="preserve">KRATOCHVÍL, S. 1998. </w:t>
      </w:r>
      <w:r w:rsidRPr="008B459E">
        <w:rPr>
          <w:rFonts w:cs="Times New Roman"/>
          <w:i/>
          <w:color w:val="000000"/>
          <w:szCs w:val="24"/>
          <w:shd w:val="clear" w:color="auto" w:fill="FFFFFF"/>
        </w:rPr>
        <w:t>Základy psychoterapie.</w:t>
      </w:r>
      <w:r w:rsidRPr="008B459E">
        <w:rPr>
          <w:rFonts w:cs="Times New Roman"/>
          <w:color w:val="000000"/>
          <w:szCs w:val="24"/>
          <w:shd w:val="clear" w:color="auto" w:fill="FFFFFF"/>
        </w:rPr>
        <w:t xml:space="preserve"> Vyd. 3. Praha: Portál. 392 s. ISBN: 80-7178-414-1.</w:t>
      </w:r>
    </w:p>
    <w:p w:rsidR="002F738C" w:rsidRPr="008B459E" w:rsidRDefault="002F738C" w:rsidP="002F738C">
      <w:pPr>
        <w:spacing w:after="200" w:line="276" w:lineRule="auto"/>
        <w:contextualSpacing/>
        <w:rPr>
          <w:rFonts w:cs="Times New Roman"/>
          <w:szCs w:val="24"/>
        </w:rPr>
      </w:pPr>
    </w:p>
    <w:p w:rsidR="008B459E" w:rsidRDefault="008B459E" w:rsidP="008B459E">
      <w:pPr>
        <w:numPr>
          <w:ilvl w:val="0"/>
          <w:numId w:val="35"/>
        </w:numPr>
        <w:spacing w:after="200" w:line="276" w:lineRule="auto"/>
        <w:contextualSpacing/>
      </w:pPr>
      <w:r w:rsidRPr="008B459E">
        <w:t xml:space="preserve">KŘIVOHLAVÝ, J. 2012. </w:t>
      </w:r>
      <w:r w:rsidRPr="008B459E">
        <w:rPr>
          <w:i/>
        </w:rPr>
        <w:t>Optimismus, pesimismus a prevence deprese</w:t>
      </w:r>
      <w:r w:rsidRPr="008B459E">
        <w:t>. Praha: Grada. 138 s. ISBN: 978-80-247-4007-2</w:t>
      </w:r>
      <w:r>
        <w:t>.</w:t>
      </w:r>
    </w:p>
    <w:p w:rsidR="008B459E" w:rsidRPr="008B459E" w:rsidRDefault="008B459E" w:rsidP="008B459E">
      <w:pPr>
        <w:spacing w:after="200" w:line="276" w:lineRule="auto"/>
        <w:ind w:left="720"/>
        <w:contextualSpacing/>
      </w:pPr>
    </w:p>
    <w:p w:rsidR="008B459E" w:rsidRDefault="008B459E" w:rsidP="008B459E">
      <w:pPr>
        <w:numPr>
          <w:ilvl w:val="0"/>
          <w:numId w:val="35"/>
        </w:numPr>
        <w:spacing w:after="200" w:line="276" w:lineRule="auto"/>
        <w:contextualSpacing/>
      </w:pPr>
      <w:r w:rsidRPr="008B459E">
        <w:rPr>
          <w:shd w:val="clear" w:color="auto" w:fill="FFFFFF"/>
        </w:rPr>
        <w:t xml:space="preserve">KŘIVOHLAVÝ, </w:t>
      </w:r>
      <w:r w:rsidR="00A73C78">
        <w:t>J</w:t>
      </w:r>
      <w:r w:rsidRPr="008B459E">
        <w:t xml:space="preserve">. 2003. </w:t>
      </w:r>
      <w:r w:rsidRPr="008B459E">
        <w:rPr>
          <w:i/>
        </w:rPr>
        <w:t>Jak zvládat depresi</w:t>
      </w:r>
      <w:r w:rsidRPr="008B459E">
        <w:t>. 2., rozš. vyd. Praha: Grada. 176 s. ISBN 80-247-0575-3.</w:t>
      </w:r>
    </w:p>
    <w:p w:rsidR="008B459E" w:rsidRPr="008B459E" w:rsidRDefault="008B459E" w:rsidP="008B459E">
      <w:pPr>
        <w:spacing w:after="200" w:line="276" w:lineRule="auto"/>
        <w:contextualSpacing/>
      </w:pPr>
    </w:p>
    <w:p w:rsidR="008B459E" w:rsidRDefault="008B459E" w:rsidP="008B459E">
      <w:pPr>
        <w:numPr>
          <w:ilvl w:val="0"/>
          <w:numId w:val="35"/>
        </w:numPr>
        <w:spacing w:after="200" w:line="276" w:lineRule="auto"/>
        <w:contextualSpacing/>
        <w:rPr>
          <w:rFonts w:cs="Times New Roman"/>
          <w:szCs w:val="24"/>
        </w:rPr>
      </w:pPr>
      <w:r w:rsidRPr="008B459E">
        <w:rPr>
          <w:rFonts w:cs="Times New Roman"/>
          <w:szCs w:val="24"/>
        </w:rPr>
        <w:t>KUMAR, P. CLARK, M. 2002</w:t>
      </w:r>
      <w:r w:rsidRPr="008B459E">
        <w:rPr>
          <w:rFonts w:cs="Times New Roman"/>
          <w:i/>
          <w:szCs w:val="24"/>
        </w:rPr>
        <w:t>. Clinical medicine</w:t>
      </w:r>
      <w:r w:rsidRPr="008B459E">
        <w:rPr>
          <w:rFonts w:cs="Times New Roman"/>
          <w:szCs w:val="24"/>
        </w:rPr>
        <w:t>. Fifth editon. London: W.B.Saunders. 1446 s. ISBN: 0-7020-2579-8</w:t>
      </w:r>
      <w:r>
        <w:rPr>
          <w:rFonts w:cs="Times New Roman"/>
          <w:szCs w:val="24"/>
        </w:rPr>
        <w:t>.</w:t>
      </w:r>
    </w:p>
    <w:p w:rsidR="00A73C78" w:rsidRDefault="00A73C78" w:rsidP="00A73C78">
      <w:pPr>
        <w:pStyle w:val="Odstavecseseznamem"/>
        <w:rPr>
          <w:rFonts w:cs="Times New Roman"/>
          <w:szCs w:val="24"/>
        </w:rPr>
      </w:pPr>
    </w:p>
    <w:p w:rsidR="00A73C78" w:rsidRPr="00A73C78" w:rsidRDefault="00A73C78" w:rsidP="00A73C78">
      <w:pPr>
        <w:pStyle w:val="Odstavecseseznamem"/>
        <w:numPr>
          <w:ilvl w:val="0"/>
          <w:numId w:val="35"/>
        </w:numPr>
        <w:rPr>
          <w:rFonts w:cs="Times New Roman"/>
          <w:szCs w:val="24"/>
        </w:rPr>
      </w:pPr>
      <w:r w:rsidRPr="00A73C78">
        <w:rPr>
          <w:rFonts w:cs="Times New Roman"/>
          <w:szCs w:val="24"/>
        </w:rPr>
        <w:t>LÜLLMANN, H., MOHR, K., HEIN, L. 2001. Barevný atlas farmakologie. 2., přeprac. a dopl. vyd. Praha: Grada Publishing. 382 s. ISBN 80-716-9973-X.</w:t>
      </w:r>
    </w:p>
    <w:p w:rsidR="008B459E" w:rsidRPr="008B459E" w:rsidRDefault="008B459E" w:rsidP="008B459E">
      <w:pPr>
        <w:spacing w:after="200" w:line="276" w:lineRule="auto"/>
        <w:contextualSpacing/>
        <w:rPr>
          <w:rFonts w:cs="Times New Roman"/>
          <w:szCs w:val="24"/>
        </w:rPr>
      </w:pPr>
    </w:p>
    <w:p w:rsidR="008B459E" w:rsidRDefault="008B459E" w:rsidP="008B459E">
      <w:pPr>
        <w:numPr>
          <w:ilvl w:val="0"/>
          <w:numId w:val="35"/>
        </w:numPr>
        <w:spacing w:after="200" w:line="276" w:lineRule="auto"/>
        <w:contextualSpacing/>
      </w:pPr>
      <w:r w:rsidRPr="008B459E">
        <w:t xml:space="preserve">MALÁ, E., PAVLOVSKÝ, P. 2002. </w:t>
      </w:r>
      <w:r w:rsidRPr="008B459E">
        <w:rPr>
          <w:i/>
        </w:rPr>
        <w:t>Psychiatrie.</w:t>
      </w:r>
      <w:r w:rsidRPr="008B459E">
        <w:t xml:space="preserve"> </w:t>
      </w:r>
      <w:r w:rsidRPr="008B459E">
        <w:rPr>
          <w:i/>
        </w:rPr>
        <w:t>Učebnice pro zdravotní sestry a pomáhající profese</w:t>
      </w:r>
      <w:r w:rsidRPr="008B459E">
        <w:t>. Praha: Portál. 143 s. ISBN: 80-7178-700-0</w:t>
      </w:r>
      <w:r>
        <w:t>.</w:t>
      </w:r>
    </w:p>
    <w:p w:rsidR="008B459E" w:rsidRPr="008B459E" w:rsidRDefault="008B459E" w:rsidP="008B459E">
      <w:pPr>
        <w:spacing w:after="200" w:line="276" w:lineRule="auto"/>
        <w:contextualSpacing/>
      </w:pPr>
    </w:p>
    <w:p w:rsidR="008B459E" w:rsidRDefault="008B459E" w:rsidP="008B459E">
      <w:pPr>
        <w:numPr>
          <w:ilvl w:val="0"/>
          <w:numId w:val="35"/>
        </w:numPr>
        <w:spacing w:after="200" w:line="276" w:lineRule="auto"/>
        <w:contextualSpacing/>
      </w:pPr>
      <w:r w:rsidRPr="008B459E">
        <w:t>ONDRI</w:t>
      </w:r>
      <w:r w:rsidR="00A73C78">
        <w:t>ÁŠOVÁ, M</w:t>
      </w:r>
      <w:r w:rsidRPr="008B459E">
        <w:t xml:space="preserve">. 2005. </w:t>
      </w:r>
      <w:r w:rsidRPr="008B459E">
        <w:rPr>
          <w:i/>
        </w:rPr>
        <w:t>Psychiatria</w:t>
      </w:r>
      <w:r w:rsidRPr="008B459E">
        <w:t>. Bratislava: Osveta. 117 s. ISBN: 80-8063-199-9</w:t>
      </w:r>
      <w:r>
        <w:t>.</w:t>
      </w:r>
    </w:p>
    <w:p w:rsidR="008B459E" w:rsidRPr="008B459E" w:rsidRDefault="008B459E" w:rsidP="008B459E">
      <w:pPr>
        <w:spacing w:after="200" w:line="276" w:lineRule="auto"/>
        <w:contextualSpacing/>
      </w:pPr>
    </w:p>
    <w:p w:rsidR="008B459E" w:rsidRDefault="00A73C78" w:rsidP="008B459E">
      <w:pPr>
        <w:numPr>
          <w:ilvl w:val="0"/>
          <w:numId w:val="35"/>
        </w:numPr>
        <w:spacing w:after="200" w:line="276" w:lineRule="auto"/>
        <w:contextualSpacing/>
      </w:pPr>
      <w:r>
        <w:t>PÍRKO, M</w:t>
      </w:r>
      <w:r w:rsidR="008B459E" w:rsidRPr="008B459E">
        <w:t xml:space="preserve">. 2012. </w:t>
      </w:r>
      <w:r w:rsidR="008B459E" w:rsidRPr="008B459E">
        <w:rPr>
          <w:i/>
        </w:rPr>
        <w:t xml:space="preserve">Pohled evoluční psychologie na depresivní poruchu: Diplomová práce. </w:t>
      </w:r>
      <w:r w:rsidR="008B459E" w:rsidRPr="008B459E">
        <w:t>Brno: Masarykova univerzita, Filozofická fakulta. 94 s. Vedoucí diplomové práce: Tomáš Urbánek</w:t>
      </w:r>
      <w:r w:rsidR="008B459E">
        <w:t>.</w:t>
      </w:r>
    </w:p>
    <w:p w:rsidR="008B459E" w:rsidRPr="008B459E" w:rsidRDefault="008B459E" w:rsidP="008B459E">
      <w:pPr>
        <w:spacing w:after="200" w:line="276" w:lineRule="auto"/>
        <w:contextualSpacing/>
      </w:pPr>
    </w:p>
    <w:p w:rsidR="008B459E" w:rsidRDefault="008B459E" w:rsidP="008B459E">
      <w:pPr>
        <w:numPr>
          <w:ilvl w:val="0"/>
          <w:numId w:val="35"/>
        </w:numPr>
        <w:spacing w:after="200" w:line="276" w:lineRule="auto"/>
        <w:contextualSpacing/>
        <w:rPr>
          <w:rFonts w:eastAsia="Calibri" w:cs="Times New Roman"/>
          <w:bCs/>
          <w:szCs w:val="24"/>
          <w:lang w:eastAsia="cs-CZ"/>
        </w:rPr>
      </w:pPr>
      <w:r w:rsidRPr="008B459E">
        <w:t xml:space="preserve">PRAŠKO, J. BULIKOVÁ, B. SIKMUNDOVÁ, Z. 2009. </w:t>
      </w:r>
      <w:r w:rsidRPr="008B459E">
        <w:rPr>
          <w:i/>
        </w:rPr>
        <w:t>Depresivní porucha a jak ji překonat.</w:t>
      </w:r>
      <w:r w:rsidRPr="008B459E">
        <w:t xml:space="preserve"> Praha: Galen. 91 s. ISBN:</w:t>
      </w:r>
      <w:r w:rsidRPr="008B459E">
        <w:rPr>
          <w:rFonts w:ascii="MinionPro-Bold" w:eastAsia="Calibri" w:hAnsi="MinionPro-Bold" w:cs="MinionPro-Bold"/>
          <w:b/>
          <w:bCs/>
          <w:sz w:val="16"/>
          <w:szCs w:val="16"/>
          <w:lang w:eastAsia="cs-CZ"/>
        </w:rPr>
        <w:t xml:space="preserve"> </w:t>
      </w:r>
      <w:r w:rsidRPr="008B459E">
        <w:rPr>
          <w:rFonts w:eastAsia="Calibri" w:cs="Times New Roman"/>
          <w:bCs/>
          <w:szCs w:val="24"/>
          <w:lang w:eastAsia="cs-CZ"/>
        </w:rPr>
        <w:t>978-80-7262-656-4</w:t>
      </w:r>
      <w:r>
        <w:rPr>
          <w:rFonts w:eastAsia="Calibri" w:cs="Times New Roman"/>
          <w:bCs/>
          <w:szCs w:val="24"/>
          <w:lang w:eastAsia="cs-CZ"/>
        </w:rPr>
        <w:t>.</w:t>
      </w:r>
    </w:p>
    <w:p w:rsidR="008B459E" w:rsidRPr="008B459E" w:rsidRDefault="008B459E" w:rsidP="008B459E">
      <w:pPr>
        <w:spacing w:after="200" w:line="276" w:lineRule="auto"/>
        <w:contextualSpacing/>
        <w:rPr>
          <w:rFonts w:eastAsia="Calibri" w:cs="Times New Roman"/>
          <w:bCs/>
          <w:szCs w:val="24"/>
          <w:lang w:eastAsia="cs-CZ"/>
        </w:rPr>
      </w:pPr>
    </w:p>
    <w:p w:rsidR="008B459E" w:rsidRPr="008B459E" w:rsidRDefault="008B459E" w:rsidP="008B459E">
      <w:pPr>
        <w:numPr>
          <w:ilvl w:val="0"/>
          <w:numId w:val="35"/>
        </w:numPr>
        <w:spacing w:after="200" w:line="276" w:lineRule="auto"/>
        <w:contextualSpacing/>
      </w:pPr>
      <w:r w:rsidRPr="008B459E">
        <w:t xml:space="preserve">PRAŠKO, J. et al. 2007. </w:t>
      </w:r>
      <w:r w:rsidRPr="008B459E">
        <w:rPr>
          <w:i/>
        </w:rPr>
        <w:t>Co je to deprese a jak se léčí</w:t>
      </w:r>
      <w:r w:rsidRPr="008B459E">
        <w:t>. 2. vyd. Praha: Triton. ISBN:  978-80-7387-065-2.</w:t>
      </w:r>
    </w:p>
    <w:p w:rsidR="008B459E" w:rsidRPr="008B459E" w:rsidRDefault="008B459E" w:rsidP="008B459E">
      <w:pPr>
        <w:spacing w:line="276" w:lineRule="auto"/>
      </w:pPr>
    </w:p>
    <w:p w:rsidR="008B459E" w:rsidRDefault="008B459E" w:rsidP="008B459E">
      <w:pPr>
        <w:numPr>
          <w:ilvl w:val="0"/>
          <w:numId w:val="35"/>
        </w:numPr>
        <w:spacing w:after="200" w:line="276" w:lineRule="auto"/>
        <w:contextualSpacing/>
      </w:pPr>
      <w:r w:rsidRPr="008B459E">
        <w:t xml:space="preserve">PRAŠKO, J. MOŽNÝ, P. ŠLEPECKÝ, M. a kol. 2007. </w:t>
      </w:r>
      <w:r w:rsidRPr="008B459E">
        <w:rPr>
          <w:i/>
        </w:rPr>
        <w:t>Kognitivně behaviorální terapie psychických poruch</w:t>
      </w:r>
      <w:r w:rsidRPr="008B459E">
        <w:t>. Praha: Triton. s. 1063. ISBN: 978-80-7254-856-1</w:t>
      </w:r>
      <w:r>
        <w:t>.</w:t>
      </w:r>
    </w:p>
    <w:p w:rsidR="008B459E" w:rsidRPr="008B459E" w:rsidRDefault="008B459E" w:rsidP="008B459E">
      <w:pPr>
        <w:spacing w:after="200" w:line="276" w:lineRule="auto"/>
        <w:contextualSpacing/>
      </w:pPr>
    </w:p>
    <w:p w:rsidR="008B459E" w:rsidRDefault="008B459E" w:rsidP="008B459E">
      <w:pPr>
        <w:numPr>
          <w:ilvl w:val="0"/>
          <w:numId w:val="35"/>
        </w:numPr>
        <w:spacing w:after="200" w:line="276" w:lineRule="auto"/>
        <w:contextualSpacing/>
        <w:rPr>
          <w:rFonts w:cs="Times New Roman"/>
          <w:color w:val="000000"/>
          <w:szCs w:val="24"/>
          <w:shd w:val="clear" w:color="auto" w:fill="FFFFFF"/>
        </w:rPr>
      </w:pPr>
      <w:r w:rsidRPr="008B459E">
        <w:rPr>
          <w:rFonts w:cs="Times New Roman"/>
          <w:color w:val="000000"/>
          <w:szCs w:val="24"/>
          <w:shd w:val="clear" w:color="auto" w:fill="FFFFFF"/>
        </w:rPr>
        <w:t xml:space="preserve">PRAŠKO, J. 2011. </w:t>
      </w:r>
      <w:r w:rsidRPr="008B459E">
        <w:rPr>
          <w:rFonts w:cs="Times New Roman"/>
          <w:i/>
          <w:iCs/>
          <w:color w:val="000000"/>
          <w:szCs w:val="24"/>
          <w:shd w:val="clear" w:color="auto" w:fill="FFFFFF"/>
        </w:rPr>
        <w:t>Obecná psychiatrie</w:t>
      </w:r>
      <w:r w:rsidRPr="008B459E">
        <w:rPr>
          <w:rFonts w:cs="Times New Roman"/>
          <w:color w:val="000000"/>
          <w:szCs w:val="24"/>
          <w:shd w:val="clear" w:color="auto" w:fill="FFFFFF"/>
        </w:rPr>
        <w:t>. 1.vyd. Olomouc: Univerzita Palackého v Olomouci. 527 s. ISBN 978-802-4425-702.</w:t>
      </w:r>
    </w:p>
    <w:p w:rsidR="001A0A0C" w:rsidRPr="008B459E" w:rsidRDefault="001A0A0C" w:rsidP="001A0A0C">
      <w:pPr>
        <w:spacing w:after="200" w:line="276" w:lineRule="auto"/>
        <w:contextualSpacing/>
        <w:rPr>
          <w:rFonts w:cs="Times New Roman"/>
          <w:color w:val="000000"/>
          <w:szCs w:val="24"/>
          <w:shd w:val="clear" w:color="auto" w:fill="FFFFFF"/>
        </w:rPr>
      </w:pPr>
    </w:p>
    <w:p w:rsidR="008B459E" w:rsidRDefault="008B459E" w:rsidP="008B459E">
      <w:pPr>
        <w:numPr>
          <w:ilvl w:val="0"/>
          <w:numId w:val="35"/>
        </w:numPr>
        <w:spacing w:after="200" w:line="276" w:lineRule="auto"/>
        <w:contextualSpacing/>
      </w:pPr>
      <w:r w:rsidRPr="008B459E">
        <w:rPr>
          <w:rFonts w:cs="Times New Roman"/>
          <w:bCs/>
          <w:szCs w:val="24"/>
        </w:rPr>
        <w:t xml:space="preserve">PRAŠKO, J., PRAŠKOVÁ, H. 2005. </w:t>
      </w:r>
      <w:r w:rsidRPr="008B459E">
        <w:rPr>
          <w:rFonts w:cs="Times New Roman"/>
          <w:bCs/>
          <w:i/>
          <w:szCs w:val="24"/>
        </w:rPr>
        <w:t>Deprese a jak ji zvládat</w:t>
      </w:r>
      <w:r w:rsidRPr="008B459E">
        <w:rPr>
          <w:rFonts w:cs="Times New Roman"/>
          <w:bCs/>
          <w:szCs w:val="24"/>
        </w:rPr>
        <w:t>. Praha:Portál. 184 s. ISBN</w:t>
      </w:r>
      <w:r w:rsidRPr="008B459E">
        <w:t>: 978-80-7367-501-1</w:t>
      </w:r>
      <w:r w:rsidR="001A0A0C">
        <w:t>.</w:t>
      </w:r>
    </w:p>
    <w:p w:rsidR="001A0A0C" w:rsidRPr="008B459E" w:rsidRDefault="001A0A0C" w:rsidP="001A0A0C">
      <w:pPr>
        <w:spacing w:after="200" w:line="276" w:lineRule="auto"/>
        <w:contextualSpacing/>
      </w:pPr>
    </w:p>
    <w:p w:rsidR="008B459E" w:rsidRDefault="00A73C78" w:rsidP="008B459E">
      <w:pPr>
        <w:numPr>
          <w:ilvl w:val="0"/>
          <w:numId w:val="35"/>
        </w:numPr>
        <w:spacing w:after="200" w:line="276" w:lineRule="auto"/>
        <w:contextualSpacing/>
        <w:rPr>
          <w:shd w:val="clear" w:color="auto" w:fill="FFFFFF"/>
        </w:rPr>
      </w:pPr>
      <w:r>
        <w:rPr>
          <w:shd w:val="clear" w:color="auto" w:fill="FFFFFF"/>
        </w:rPr>
        <w:t>PREISS, M. KUČEROVÁ, H</w:t>
      </w:r>
      <w:r w:rsidR="008B459E" w:rsidRPr="008B459E">
        <w:rPr>
          <w:shd w:val="clear" w:color="auto" w:fill="FFFFFF"/>
        </w:rPr>
        <w:t>. 2006</w:t>
      </w:r>
      <w:r>
        <w:rPr>
          <w:shd w:val="clear" w:color="auto" w:fill="FFFFFF"/>
        </w:rPr>
        <w:t xml:space="preserve">. </w:t>
      </w:r>
      <w:r w:rsidR="008B459E" w:rsidRPr="008B459E">
        <w:rPr>
          <w:rFonts w:ascii="Arial" w:hAnsi="Arial" w:cs="Arial"/>
          <w:color w:val="000000"/>
          <w:sz w:val="20"/>
          <w:szCs w:val="20"/>
          <w:shd w:val="clear" w:color="auto" w:fill="FFFFFF"/>
        </w:rPr>
        <w:t> </w:t>
      </w:r>
      <w:r w:rsidR="008B459E" w:rsidRPr="008B459E">
        <w:rPr>
          <w:i/>
          <w:iCs/>
          <w:shd w:val="clear" w:color="auto" w:fill="FFFFFF"/>
        </w:rPr>
        <w:t>Neuropsychologie v psychiatrii</w:t>
      </w:r>
      <w:r w:rsidR="008B459E" w:rsidRPr="008B459E">
        <w:rPr>
          <w:shd w:val="clear" w:color="auto" w:fill="FFFFFF"/>
        </w:rPr>
        <w:t>. Vyd. 1. Praha: Grada. 411 s. ISBN 80-247-1460-4.</w:t>
      </w:r>
    </w:p>
    <w:p w:rsidR="001A0A0C" w:rsidRPr="008B459E" w:rsidRDefault="001A0A0C" w:rsidP="001A0A0C">
      <w:pPr>
        <w:spacing w:after="200" w:line="276" w:lineRule="auto"/>
        <w:contextualSpacing/>
        <w:rPr>
          <w:shd w:val="clear" w:color="auto" w:fill="FFFFFF"/>
        </w:rPr>
      </w:pPr>
    </w:p>
    <w:p w:rsidR="008B459E" w:rsidRDefault="008B459E" w:rsidP="008B459E">
      <w:pPr>
        <w:numPr>
          <w:ilvl w:val="0"/>
          <w:numId w:val="35"/>
        </w:numPr>
        <w:spacing w:after="200" w:line="276" w:lineRule="auto"/>
        <w:contextualSpacing/>
        <w:rPr>
          <w:rFonts w:cs="Times New Roman"/>
          <w:szCs w:val="24"/>
        </w:rPr>
      </w:pPr>
      <w:r w:rsidRPr="008B459E">
        <w:rPr>
          <w:rFonts w:cs="Times New Roman"/>
          <w:szCs w:val="24"/>
        </w:rPr>
        <w:t xml:space="preserve">RABOCH, J., JIRÁK, R., PACLT, I. 2005. </w:t>
      </w:r>
      <w:r w:rsidRPr="008B459E">
        <w:rPr>
          <w:rFonts w:cs="Times New Roman"/>
          <w:i/>
          <w:szCs w:val="24"/>
        </w:rPr>
        <w:t>Psychofarmakologie pro praxi</w:t>
      </w:r>
      <w:r w:rsidRPr="008B459E">
        <w:rPr>
          <w:rFonts w:cs="Times New Roman"/>
          <w:szCs w:val="24"/>
        </w:rPr>
        <w:t>. Praha: Triton. 167 s. ISBN: 80-7254-602-3</w:t>
      </w:r>
      <w:r w:rsidR="001A0A0C">
        <w:rPr>
          <w:rFonts w:cs="Times New Roman"/>
          <w:szCs w:val="24"/>
        </w:rPr>
        <w:t>.</w:t>
      </w:r>
    </w:p>
    <w:p w:rsidR="001A0A0C" w:rsidRPr="008B459E" w:rsidRDefault="001A0A0C" w:rsidP="001A0A0C">
      <w:pPr>
        <w:spacing w:after="200" w:line="276" w:lineRule="auto"/>
        <w:contextualSpacing/>
        <w:rPr>
          <w:rFonts w:cs="Times New Roman"/>
          <w:szCs w:val="24"/>
        </w:rPr>
      </w:pPr>
    </w:p>
    <w:p w:rsidR="008B459E" w:rsidRDefault="008B459E" w:rsidP="008B459E">
      <w:pPr>
        <w:numPr>
          <w:ilvl w:val="0"/>
          <w:numId w:val="35"/>
        </w:numPr>
        <w:spacing w:after="200" w:line="276" w:lineRule="auto"/>
        <w:contextualSpacing/>
        <w:rPr>
          <w:rFonts w:cs="Times New Roman"/>
          <w:szCs w:val="24"/>
        </w:rPr>
      </w:pPr>
      <w:r w:rsidRPr="008B459E">
        <w:rPr>
          <w:rFonts w:cs="Times New Roman"/>
          <w:szCs w:val="24"/>
        </w:rPr>
        <w:t xml:space="preserve">RABOCH, J., PAVLOVSKÝ, P. a kol. 2012. </w:t>
      </w:r>
      <w:r w:rsidRPr="008B459E">
        <w:rPr>
          <w:rFonts w:cs="Times New Roman"/>
          <w:i/>
          <w:szCs w:val="24"/>
        </w:rPr>
        <w:t>Psychiatrie.</w:t>
      </w:r>
      <w:r w:rsidRPr="008B459E">
        <w:rPr>
          <w:rFonts w:cs="Times New Roman"/>
          <w:szCs w:val="24"/>
        </w:rPr>
        <w:t xml:space="preserve"> Praha: Karolinum. 466 s. ISBN: 978-80-246-1985-9</w:t>
      </w:r>
      <w:r w:rsidR="001A0A0C">
        <w:rPr>
          <w:rFonts w:cs="Times New Roman"/>
          <w:szCs w:val="24"/>
        </w:rPr>
        <w:t>.</w:t>
      </w:r>
    </w:p>
    <w:p w:rsidR="001A0A0C" w:rsidRPr="008B459E" w:rsidRDefault="001A0A0C" w:rsidP="001A0A0C">
      <w:pPr>
        <w:spacing w:after="200" w:line="276" w:lineRule="auto"/>
        <w:contextualSpacing/>
        <w:rPr>
          <w:rFonts w:cs="Times New Roman"/>
          <w:szCs w:val="24"/>
        </w:rPr>
      </w:pPr>
    </w:p>
    <w:p w:rsidR="008B459E" w:rsidRDefault="00A73C78" w:rsidP="008B459E">
      <w:pPr>
        <w:numPr>
          <w:ilvl w:val="0"/>
          <w:numId w:val="35"/>
        </w:numPr>
        <w:spacing w:after="200" w:line="276" w:lineRule="auto"/>
        <w:contextualSpacing/>
      </w:pPr>
      <w:r>
        <w:t>RABOCH, J.,</w:t>
      </w:r>
      <w:r w:rsidR="008B459E" w:rsidRPr="008B459E">
        <w:t xml:space="preserve"> LAŇKOVÁ</w:t>
      </w:r>
      <w:r>
        <w:t>, J</w:t>
      </w:r>
      <w:r w:rsidR="008B459E" w:rsidRPr="008B459E">
        <w:t>. 2008. </w:t>
      </w:r>
      <w:r w:rsidR="008B459E" w:rsidRPr="008B459E">
        <w:rPr>
          <w:i/>
        </w:rPr>
        <w:t>Deprese: doporučený diagnostický a léčebný postup pro všeobecné praktické lékaře</w:t>
      </w:r>
      <w:r w:rsidR="008B459E" w:rsidRPr="008B459E">
        <w:t>. Praha: Společnost všeobecného lékařství ČLS JEP, 16 s. Doporučené postupy pro praktické lékaře. ISBN 978-80-86998-22-0.</w:t>
      </w:r>
    </w:p>
    <w:p w:rsidR="001A0A0C" w:rsidRPr="008B459E" w:rsidRDefault="001A0A0C" w:rsidP="001A0A0C">
      <w:pPr>
        <w:spacing w:after="200" w:line="276" w:lineRule="auto"/>
        <w:contextualSpacing/>
      </w:pPr>
    </w:p>
    <w:p w:rsidR="001A0A0C" w:rsidRPr="001A0A0C" w:rsidRDefault="00A73C78" w:rsidP="001A0A0C">
      <w:pPr>
        <w:numPr>
          <w:ilvl w:val="0"/>
          <w:numId w:val="35"/>
        </w:numPr>
        <w:spacing w:after="200" w:line="276" w:lineRule="auto"/>
        <w:contextualSpacing/>
      </w:pPr>
      <w:r>
        <w:rPr>
          <w:shd w:val="clear" w:color="auto" w:fill="FFFFFF"/>
        </w:rPr>
        <w:t>RAHN, E</w:t>
      </w:r>
      <w:r w:rsidR="008B459E" w:rsidRPr="008B459E">
        <w:rPr>
          <w:shd w:val="clear" w:color="auto" w:fill="FFFFFF"/>
        </w:rPr>
        <w:t>.</w:t>
      </w:r>
      <w:r w:rsidR="008B459E" w:rsidRPr="008B459E">
        <w:rPr>
          <w:rFonts w:ascii="Arial" w:hAnsi="Arial" w:cs="Arial"/>
          <w:color w:val="000000"/>
          <w:sz w:val="20"/>
          <w:szCs w:val="20"/>
          <w:shd w:val="clear" w:color="auto" w:fill="FFFFFF"/>
        </w:rPr>
        <w:t> </w:t>
      </w:r>
      <w:r w:rsidR="008B459E" w:rsidRPr="008B459E">
        <w:t>2000</w:t>
      </w:r>
      <w:r w:rsidR="008B459E" w:rsidRPr="008B459E">
        <w:rPr>
          <w:rFonts w:ascii="Arial" w:hAnsi="Arial" w:cs="Arial"/>
          <w:color w:val="000000"/>
          <w:sz w:val="20"/>
          <w:szCs w:val="20"/>
          <w:shd w:val="clear" w:color="auto" w:fill="FFFFFF"/>
        </w:rPr>
        <w:t xml:space="preserve">. </w:t>
      </w:r>
      <w:r w:rsidR="008B459E" w:rsidRPr="008B459E">
        <w:rPr>
          <w:i/>
          <w:iCs/>
          <w:shd w:val="clear" w:color="auto" w:fill="FFFFFF"/>
        </w:rPr>
        <w:t>Psychiatrie: učebnice pro studium a praxi</w:t>
      </w:r>
      <w:r w:rsidR="008B459E" w:rsidRPr="008B459E">
        <w:rPr>
          <w:shd w:val="clear" w:color="auto" w:fill="FFFFFF"/>
        </w:rPr>
        <w:t>. vyd. 1. Praha: Grada, 466 s. ISBN 80-716-9964-0.</w:t>
      </w:r>
    </w:p>
    <w:p w:rsidR="001A0A0C" w:rsidRPr="008B459E" w:rsidRDefault="001A0A0C" w:rsidP="001A0A0C">
      <w:pPr>
        <w:spacing w:after="200" w:line="276" w:lineRule="auto"/>
        <w:contextualSpacing/>
      </w:pPr>
    </w:p>
    <w:p w:rsidR="008B459E" w:rsidRDefault="008B459E" w:rsidP="008B459E">
      <w:pPr>
        <w:numPr>
          <w:ilvl w:val="0"/>
          <w:numId w:val="35"/>
        </w:numPr>
        <w:spacing w:after="200" w:line="276" w:lineRule="auto"/>
        <w:contextualSpacing/>
        <w:rPr>
          <w:szCs w:val="24"/>
        </w:rPr>
      </w:pPr>
      <w:r w:rsidRPr="008B459E">
        <w:rPr>
          <w:szCs w:val="24"/>
        </w:rPr>
        <w:t>SELIGMAN, M. E. P. 2002</w:t>
      </w:r>
      <w:r w:rsidRPr="008B459E">
        <w:rPr>
          <w:i/>
          <w:szCs w:val="24"/>
        </w:rPr>
        <w:t>. Authentic Happiness:Using the New Positive Psychology to Relize Your Potential for Lasting Fulfillment</w:t>
      </w:r>
      <w:r w:rsidRPr="008B459E">
        <w:rPr>
          <w:szCs w:val="24"/>
        </w:rPr>
        <w:t>. New York: Free Press. ISBN: 0-7432-2297-0</w:t>
      </w:r>
      <w:r w:rsidR="001A0A0C">
        <w:rPr>
          <w:szCs w:val="24"/>
        </w:rPr>
        <w:t>.</w:t>
      </w:r>
    </w:p>
    <w:p w:rsidR="001A0A0C" w:rsidRPr="008B459E" w:rsidRDefault="001A0A0C" w:rsidP="001A0A0C">
      <w:pPr>
        <w:spacing w:after="200" w:line="276" w:lineRule="auto"/>
        <w:contextualSpacing/>
        <w:rPr>
          <w:szCs w:val="24"/>
        </w:rPr>
      </w:pPr>
    </w:p>
    <w:p w:rsidR="008B459E" w:rsidRDefault="00A73C78" w:rsidP="008B459E">
      <w:pPr>
        <w:numPr>
          <w:ilvl w:val="0"/>
          <w:numId w:val="35"/>
        </w:numPr>
        <w:spacing w:after="200" w:line="276" w:lineRule="auto"/>
        <w:contextualSpacing/>
      </w:pPr>
      <w:r>
        <w:t>SMOLÍK, P</w:t>
      </w:r>
      <w:r w:rsidR="008B459E" w:rsidRPr="008B459E">
        <w:t>. 2002</w:t>
      </w:r>
      <w:r w:rsidR="008B459E" w:rsidRPr="008B459E">
        <w:rPr>
          <w:i/>
        </w:rPr>
        <w:t>. Duševní a behaviorální poruchy</w:t>
      </w:r>
      <w:r w:rsidR="008B459E" w:rsidRPr="008B459E">
        <w:t>. 2. revid. vyd. Praha: Maxdorf. 506 s. ISBN: 80-85912-18-X</w:t>
      </w:r>
      <w:r w:rsidR="001A0A0C">
        <w:t>.</w:t>
      </w:r>
    </w:p>
    <w:p w:rsidR="001A0A0C" w:rsidRPr="008B459E" w:rsidRDefault="001A0A0C" w:rsidP="001A0A0C">
      <w:pPr>
        <w:spacing w:after="200" w:line="276" w:lineRule="auto"/>
        <w:contextualSpacing/>
      </w:pPr>
    </w:p>
    <w:p w:rsidR="008B459E" w:rsidRDefault="008B459E" w:rsidP="008B459E">
      <w:pPr>
        <w:numPr>
          <w:ilvl w:val="0"/>
          <w:numId w:val="35"/>
        </w:numPr>
        <w:spacing w:after="200" w:line="276" w:lineRule="auto"/>
        <w:contextualSpacing/>
        <w:rPr>
          <w:rFonts w:eastAsia="Calibri" w:cs="Times New Roman"/>
          <w:bCs/>
          <w:szCs w:val="24"/>
          <w:lang w:eastAsia="cs-CZ"/>
        </w:rPr>
      </w:pPr>
      <w:r w:rsidRPr="008B459E">
        <w:rPr>
          <w:rFonts w:eastAsia="Calibri" w:cs="Times New Roman"/>
          <w:bCs/>
          <w:szCs w:val="24"/>
          <w:lang w:eastAsia="cs-CZ"/>
        </w:rPr>
        <w:t xml:space="preserve">SVOBODA, M. 1999. </w:t>
      </w:r>
      <w:r w:rsidRPr="008B459E">
        <w:rPr>
          <w:rFonts w:eastAsia="Calibri" w:cs="Times New Roman"/>
          <w:bCs/>
          <w:i/>
          <w:szCs w:val="24"/>
          <w:lang w:eastAsia="cs-CZ"/>
        </w:rPr>
        <w:t>Psychologická diagnostika dospělých</w:t>
      </w:r>
      <w:r w:rsidRPr="008B459E">
        <w:rPr>
          <w:rFonts w:eastAsia="Calibri" w:cs="Times New Roman"/>
          <w:bCs/>
          <w:szCs w:val="24"/>
          <w:lang w:eastAsia="cs-CZ"/>
        </w:rPr>
        <w:t>. 2 vyd. Praha: Portál. 342 s. ISBN: 80-7178-327-7</w:t>
      </w:r>
      <w:r w:rsidR="001A0A0C">
        <w:rPr>
          <w:rFonts w:eastAsia="Calibri" w:cs="Times New Roman"/>
          <w:bCs/>
          <w:szCs w:val="24"/>
          <w:lang w:eastAsia="cs-CZ"/>
        </w:rPr>
        <w:t>.</w:t>
      </w:r>
    </w:p>
    <w:p w:rsidR="001A0A0C" w:rsidRPr="008B459E" w:rsidRDefault="001A0A0C" w:rsidP="001A0A0C">
      <w:pPr>
        <w:spacing w:after="200" w:line="276" w:lineRule="auto"/>
        <w:contextualSpacing/>
        <w:rPr>
          <w:rFonts w:eastAsia="Calibri" w:cs="Times New Roman"/>
          <w:bCs/>
          <w:szCs w:val="24"/>
          <w:lang w:eastAsia="cs-CZ"/>
        </w:rPr>
      </w:pPr>
    </w:p>
    <w:p w:rsidR="008B459E" w:rsidRDefault="00A73C78" w:rsidP="008B459E">
      <w:pPr>
        <w:numPr>
          <w:ilvl w:val="0"/>
          <w:numId w:val="35"/>
        </w:numPr>
        <w:spacing w:after="200" w:line="276" w:lineRule="auto"/>
        <w:contextualSpacing/>
      </w:pPr>
      <w:r>
        <w:t>ŠVESTKA, J</w:t>
      </w:r>
      <w:r w:rsidR="008B459E" w:rsidRPr="008B459E">
        <w:t xml:space="preserve">. 2000. </w:t>
      </w:r>
      <w:r w:rsidR="008B459E" w:rsidRPr="008B459E">
        <w:rPr>
          <w:i/>
        </w:rPr>
        <w:t xml:space="preserve">Deprese, léčitelná duševní porucha se vzrůstajícím výskytem. </w:t>
      </w:r>
      <w:r w:rsidR="008B459E" w:rsidRPr="008B459E">
        <w:t>Praha: Galén. 15s. ISBN:80-86257-23-1.</w:t>
      </w:r>
    </w:p>
    <w:p w:rsidR="001A0A0C" w:rsidRPr="008B459E" w:rsidRDefault="001A0A0C" w:rsidP="001A0A0C">
      <w:pPr>
        <w:spacing w:after="200" w:line="276" w:lineRule="auto"/>
        <w:contextualSpacing/>
      </w:pPr>
    </w:p>
    <w:p w:rsidR="008B459E" w:rsidRDefault="00A73C78" w:rsidP="008B459E">
      <w:pPr>
        <w:numPr>
          <w:ilvl w:val="0"/>
          <w:numId w:val="35"/>
        </w:numPr>
        <w:spacing w:after="200" w:line="276" w:lineRule="auto"/>
        <w:contextualSpacing/>
        <w:rPr>
          <w:color w:val="000000"/>
          <w:shd w:val="clear" w:color="auto" w:fill="FFFFFF"/>
        </w:rPr>
      </w:pPr>
      <w:r>
        <w:rPr>
          <w:color w:val="000000"/>
          <w:shd w:val="clear" w:color="auto" w:fill="FFFFFF"/>
        </w:rPr>
        <w:t>VÁGNEROVÁ, M</w:t>
      </w:r>
      <w:r w:rsidR="008B459E" w:rsidRPr="008B459E">
        <w:rPr>
          <w:color w:val="000000"/>
          <w:shd w:val="clear" w:color="auto" w:fill="FFFFFF"/>
        </w:rPr>
        <w:t>. 2004. </w:t>
      </w:r>
      <w:r w:rsidR="008B459E" w:rsidRPr="008B459E">
        <w:rPr>
          <w:i/>
          <w:iCs/>
          <w:color w:val="000000"/>
          <w:shd w:val="clear" w:color="auto" w:fill="FFFFFF"/>
        </w:rPr>
        <w:t>Psychopatologie pro pomáhající profese</w:t>
      </w:r>
      <w:r w:rsidR="008B459E" w:rsidRPr="008B459E">
        <w:rPr>
          <w:color w:val="000000"/>
          <w:shd w:val="clear" w:color="auto" w:fill="FFFFFF"/>
        </w:rPr>
        <w:t>. vyd. 3. Praha: Portál. 870 s. ISBN 80-717-8802-3.</w:t>
      </w:r>
    </w:p>
    <w:p w:rsidR="001A0A0C" w:rsidRPr="008B459E" w:rsidRDefault="001A0A0C" w:rsidP="001A0A0C">
      <w:pPr>
        <w:spacing w:after="200" w:line="276" w:lineRule="auto"/>
        <w:contextualSpacing/>
        <w:rPr>
          <w:color w:val="000000"/>
          <w:shd w:val="clear" w:color="auto" w:fill="FFFFFF"/>
        </w:rPr>
      </w:pPr>
    </w:p>
    <w:p w:rsidR="008B459E" w:rsidRDefault="008B459E" w:rsidP="008B459E">
      <w:pPr>
        <w:numPr>
          <w:ilvl w:val="0"/>
          <w:numId w:val="35"/>
        </w:numPr>
        <w:spacing w:after="200" w:line="276" w:lineRule="auto"/>
        <w:contextualSpacing/>
      </w:pPr>
      <w:r w:rsidRPr="008B459E">
        <w:t xml:space="preserve">VOKURKA, M. HUGO, J. 2000. </w:t>
      </w:r>
      <w:r w:rsidRPr="008B459E">
        <w:rPr>
          <w:i/>
        </w:rPr>
        <w:t>Praktický slovník medicíny</w:t>
      </w:r>
      <w:r w:rsidRPr="008B459E">
        <w:t>. 5. vyd. Praha: Maxdorf. 490 s. ISBN: 80-85912-38-4</w:t>
      </w:r>
      <w:r w:rsidR="001A0A0C">
        <w:t>.</w:t>
      </w:r>
    </w:p>
    <w:p w:rsidR="001A0A0C" w:rsidRPr="008B459E" w:rsidRDefault="001A0A0C" w:rsidP="001A0A0C">
      <w:pPr>
        <w:spacing w:after="200" w:line="276" w:lineRule="auto"/>
        <w:contextualSpacing/>
      </w:pPr>
    </w:p>
    <w:p w:rsidR="008B459E" w:rsidRDefault="008B459E" w:rsidP="008B459E">
      <w:pPr>
        <w:numPr>
          <w:ilvl w:val="0"/>
          <w:numId w:val="35"/>
        </w:numPr>
        <w:spacing w:after="200" w:line="276" w:lineRule="auto"/>
        <w:contextualSpacing/>
        <w:rPr>
          <w:rFonts w:cs="Times New Roman"/>
          <w:color w:val="000000"/>
          <w:szCs w:val="24"/>
          <w:shd w:val="clear" w:color="auto" w:fill="FFFFFF"/>
        </w:rPr>
      </w:pPr>
      <w:r w:rsidRPr="008B459E">
        <w:rPr>
          <w:rFonts w:cs="Times New Roman"/>
          <w:color w:val="000000"/>
          <w:szCs w:val="24"/>
          <w:shd w:val="clear" w:color="auto" w:fill="FFFFFF"/>
        </w:rPr>
        <w:t>VOKURKA, M. HUGO, J. 2007.  </w:t>
      </w:r>
      <w:r w:rsidRPr="008B459E">
        <w:rPr>
          <w:rFonts w:cs="Times New Roman"/>
          <w:i/>
          <w:iCs/>
          <w:color w:val="000000"/>
          <w:szCs w:val="24"/>
          <w:shd w:val="clear" w:color="auto" w:fill="FFFFFF"/>
        </w:rPr>
        <w:t>Velký lékařský slovník</w:t>
      </w:r>
      <w:r w:rsidRPr="008B459E">
        <w:rPr>
          <w:rFonts w:cs="Times New Roman"/>
          <w:color w:val="000000"/>
          <w:szCs w:val="24"/>
          <w:shd w:val="clear" w:color="auto" w:fill="FFFFFF"/>
        </w:rPr>
        <w:t>. 7., aktualiz. vyd. Praha: Maxdorf. 1069 s. ISBN 978-80-7345-130-1.</w:t>
      </w:r>
    </w:p>
    <w:p w:rsidR="001A0A0C" w:rsidRPr="008B459E" w:rsidRDefault="001A0A0C" w:rsidP="001A0A0C">
      <w:pPr>
        <w:spacing w:after="200" w:line="276" w:lineRule="auto"/>
        <w:contextualSpacing/>
        <w:rPr>
          <w:rFonts w:cs="Times New Roman"/>
          <w:color w:val="000000"/>
          <w:szCs w:val="24"/>
          <w:shd w:val="clear" w:color="auto" w:fill="FFFFFF"/>
        </w:rPr>
      </w:pPr>
    </w:p>
    <w:p w:rsidR="008B459E" w:rsidRDefault="008B459E" w:rsidP="008B459E">
      <w:pPr>
        <w:numPr>
          <w:ilvl w:val="0"/>
          <w:numId w:val="35"/>
        </w:numPr>
        <w:spacing w:after="200" w:line="276" w:lineRule="auto"/>
        <w:contextualSpacing/>
        <w:rPr>
          <w:rFonts w:eastAsia="Calibri" w:cs="Times New Roman"/>
          <w:bCs/>
          <w:szCs w:val="24"/>
          <w:lang w:eastAsia="cs-CZ"/>
        </w:rPr>
      </w:pPr>
      <w:r w:rsidRPr="008B459E">
        <w:rPr>
          <w:rFonts w:eastAsia="Calibri" w:cs="Times New Roman"/>
          <w:bCs/>
          <w:szCs w:val="24"/>
          <w:lang w:eastAsia="cs-CZ"/>
        </w:rPr>
        <w:t xml:space="preserve">VYBÍRAL, Z. ROUBAL, J. 2010. </w:t>
      </w:r>
      <w:r w:rsidRPr="008B459E">
        <w:rPr>
          <w:rFonts w:eastAsia="Calibri" w:cs="Times New Roman"/>
          <w:bCs/>
          <w:i/>
          <w:szCs w:val="24"/>
          <w:lang w:eastAsia="cs-CZ"/>
        </w:rPr>
        <w:t>Současná psychoterapie</w:t>
      </w:r>
      <w:r w:rsidRPr="008B459E">
        <w:rPr>
          <w:rFonts w:eastAsia="Calibri" w:cs="Times New Roman"/>
          <w:bCs/>
          <w:szCs w:val="24"/>
          <w:lang w:eastAsia="cs-CZ"/>
        </w:rPr>
        <w:t>. Praha: Portál. 743 s. ISBN: 978-8-7367-682-7</w:t>
      </w:r>
      <w:r w:rsidR="001A0A0C">
        <w:rPr>
          <w:rFonts w:eastAsia="Calibri" w:cs="Times New Roman"/>
          <w:bCs/>
          <w:szCs w:val="24"/>
          <w:lang w:eastAsia="cs-CZ"/>
        </w:rPr>
        <w:t>.</w:t>
      </w:r>
    </w:p>
    <w:p w:rsidR="001A0A0C" w:rsidRPr="008B459E" w:rsidRDefault="001A0A0C" w:rsidP="001A0A0C">
      <w:pPr>
        <w:spacing w:after="200" w:line="276" w:lineRule="auto"/>
        <w:contextualSpacing/>
        <w:rPr>
          <w:rFonts w:eastAsia="Calibri" w:cs="Times New Roman"/>
          <w:bCs/>
          <w:szCs w:val="24"/>
          <w:lang w:eastAsia="cs-CZ"/>
        </w:rPr>
      </w:pPr>
    </w:p>
    <w:p w:rsidR="008B459E" w:rsidRDefault="008B459E" w:rsidP="008B459E">
      <w:pPr>
        <w:numPr>
          <w:ilvl w:val="0"/>
          <w:numId w:val="35"/>
        </w:numPr>
        <w:spacing w:after="200" w:line="276" w:lineRule="auto"/>
        <w:contextualSpacing/>
        <w:rPr>
          <w:rFonts w:eastAsia="Calibri" w:cs="Times New Roman"/>
          <w:bCs/>
          <w:szCs w:val="24"/>
          <w:lang w:eastAsia="cs-CZ"/>
        </w:rPr>
      </w:pPr>
      <w:r w:rsidRPr="008B459E">
        <w:rPr>
          <w:rFonts w:eastAsia="Calibri" w:cs="Times New Roman"/>
          <w:bCs/>
          <w:szCs w:val="24"/>
          <w:lang w:eastAsia="cs-CZ"/>
        </w:rPr>
        <w:t xml:space="preserve">VYMĚTAL, J. a kolektiv. 2004. </w:t>
      </w:r>
      <w:r w:rsidRPr="008B459E">
        <w:rPr>
          <w:rFonts w:eastAsia="Calibri" w:cs="Times New Roman"/>
          <w:bCs/>
          <w:i/>
          <w:szCs w:val="24"/>
          <w:lang w:eastAsia="cs-CZ"/>
        </w:rPr>
        <w:t>Obecná psychoterapie</w:t>
      </w:r>
      <w:r w:rsidRPr="008B459E">
        <w:rPr>
          <w:rFonts w:eastAsia="Calibri" w:cs="Times New Roman"/>
          <w:bCs/>
          <w:szCs w:val="24"/>
          <w:lang w:eastAsia="cs-CZ"/>
        </w:rPr>
        <w:t>. 2 vyd. Praha: Grada. 339 s. ISBN: 80-2470723-3</w:t>
      </w:r>
      <w:r w:rsidR="001A0A0C">
        <w:rPr>
          <w:rFonts w:eastAsia="Calibri" w:cs="Times New Roman"/>
          <w:bCs/>
          <w:szCs w:val="24"/>
          <w:lang w:eastAsia="cs-CZ"/>
        </w:rPr>
        <w:t>.</w:t>
      </w:r>
    </w:p>
    <w:p w:rsidR="001A0A0C" w:rsidRPr="008B459E" w:rsidRDefault="001A0A0C" w:rsidP="001A0A0C">
      <w:pPr>
        <w:spacing w:after="200" w:line="276" w:lineRule="auto"/>
        <w:contextualSpacing/>
        <w:rPr>
          <w:rFonts w:eastAsia="Calibri" w:cs="Times New Roman"/>
          <w:bCs/>
          <w:szCs w:val="24"/>
          <w:lang w:eastAsia="cs-CZ"/>
        </w:rPr>
      </w:pPr>
    </w:p>
    <w:p w:rsidR="008B459E" w:rsidRDefault="008B459E" w:rsidP="008B459E">
      <w:pPr>
        <w:numPr>
          <w:ilvl w:val="0"/>
          <w:numId w:val="35"/>
        </w:numPr>
        <w:spacing w:after="200" w:line="276" w:lineRule="auto"/>
        <w:contextualSpacing/>
        <w:rPr>
          <w:rFonts w:eastAsia="Calibri" w:cs="Times New Roman"/>
          <w:bCs/>
          <w:szCs w:val="24"/>
          <w:lang w:eastAsia="cs-CZ"/>
        </w:rPr>
      </w:pPr>
      <w:r w:rsidRPr="008B459E">
        <w:rPr>
          <w:rFonts w:eastAsia="Calibri" w:cs="Times New Roman"/>
          <w:bCs/>
          <w:szCs w:val="24"/>
          <w:lang w:eastAsia="cs-CZ"/>
        </w:rPr>
        <w:lastRenderedPageBreak/>
        <w:t xml:space="preserve">VYMĚTAL, J. 2003. </w:t>
      </w:r>
      <w:r w:rsidRPr="008B459E">
        <w:rPr>
          <w:rFonts w:eastAsia="Calibri" w:cs="Times New Roman"/>
          <w:bCs/>
          <w:i/>
          <w:szCs w:val="24"/>
          <w:lang w:eastAsia="cs-CZ"/>
        </w:rPr>
        <w:t>Lékařská psychologie</w:t>
      </w:r>
      <w:r w:rsidRPr="008B459E">
        <w:rPr>
          <w:rFonts w:eastAsia="Calibri" w:cs="Times New Roman"/>
          <w:bCs/>
          <w:szCs w:val="24"/>
          <w:lang w:eastAsia="cs-CZ"/>
        </w:rPr>
        <w:t xml:space="preserve">. 3. aktualiz. vyd.Praha:Portál. 397 s. </w:t>
      </w:r>
      <w:r w:rsidR="001A0A0C">
        <w:rPr>
          <w:rFonts w:eastAsia="Calibri" w:cs="Times New Roman"/>
          <w:bCs/>
          <w:szCs w:val="24"/>
          <w:lang w:eastAsia="cs-CZ"/>
        </w:rPr>
        <w:t>ISBN: 80-7178-740-X.</w:t>
      </w:r>
    </w:p>
    <w:p w:rsidR="001A0A0C" w:rsidRPr="008B459E" w:rsidRDefault="001A0A0C" w:rsidP="001A0A0C">
      <w:pPr>
        <w:spacing w:after="200" w:line="276" w:lineRule="auto"/>
        <w:contextualSpacing/>
        <w:rPr>
          <w:rFonts w:eastAsia="Calibri" w:cs="Times New Roman"/>
          <w:bCs/>
          <w:szCs w:val="24"/>
          <w:lang w:eastAsia="cs-CZ"/>
        </w:rPr>
      </w:pPr>
    </w:p>
    <w:p w:rsidR="001A0A0C" w:rsidRDefault="00A73C78" w:rsidP="001A0A0C">
      <w:pPr>
        <w:numPr>
          <w:ilvl w:val="0"/>
          <w:numId w:val="35"/>
        </w:numPr>
        <w:spacing w:after="200" w:line="276" w:lineRule="auto"/>
        <w:contextualSpacing/>
        <w:rPr>
          <w:shd w:val="clear" w:color="auto" w:fill="FFFFFF"/>
        </w:rPr>
      </w:pPr>
      <w:r>
        <w:rPr>
          <w:shd w:val="clear" w:color="auto" w:fill="FFFFFF"/>
        </w:rPr>
        <w:t>ZVOLSKÝ, P.</w:t>
      </w:r>
      <w:r w:rsidR="008B459E" w:rsidRPr="008B459E">
        <w:rPr>
          <w:shd w:val="clear" w:color="auto" w:fill="FFFFFF"/>
        </w:rPr>
        <w:t xml:space="preserve"> RABOCH, Jiří. 2001</w:t>
      </w:r>
      <w:r w:rsidR="008B459E" w:rsidRPr="008B459E">
        <w:rPr>
          <w:rFonts w:ascii="Arial" w:hAnsi="Arial" w:cs="Arial"/>
          <w:color w:val="000000"/>
          <w:sz w:val="20"/>
          <w:szCs w:val="20"/>
          <w:shd w:val="clear" w:color="auto" w:fill="FFFFFF"/>
        </w:rPr>
        <w:t> </w:t>
      </w:r>
      <w:r w:rsidR="008B459E" w:rsidRPr="008B459E">
        <w:rPr>
          <w:i/>
          <w:iCs/>
          <w:shd w:val="clear" w:color="auto" w:fill="FFFFFF"/>
        </w:rPr>
        <w:t>Psychiatrie</w:t>
      </w:r>
      <w:r w:rsidR="008B459E" w:rsidRPr="008B459E">
        <w:rPr>
          <w:shd w:val="clear" w:color="auto" w:fill="FFFFFF"/>
        </w:rPr>
        <w:t>. 1. vyd. Praha: Galén. 622 s. ISBN 80-246-0390-X.</w:t>
      </w:r>
    </w:p>
    <w:p w:rsidR="00A73C78" w:rsidRPr="00A73C78" w:rsidRDefault="00A73C78" w:rsidP="00A73C78">
      <w:pPr>
        <w:spacing w:after="200" w:line="276" w:lineRule="auto"/>
        <w:contextualSpacing/>
        <w:rPr>
          <w:shd w:val="clear" w:color="auto" w:fill="FFFFFF"/>
        </w:rPr>
      </w:pPr>
    </w:p>
    <w:p w:rsidR="008B459E" w:rsidRDefault="00A73C78" w:rsidP="008B459E">
      <w:pPr>
        <w:numPr>
          <w:ilvl w:val="0"/>
          <w:numId w:val="35"/>
        </w:numPr>
        <w:spacing w:after="200" w:line="276" w:lineRule="auto"/>
        <w:contextualSpacing/>
        <w:rPr>
          <w:shd w:val="clear" w:color="auto" w:fill="FFFFFF"/>
        </w:rPr>
      </w:pPr>
      <w:r>
        <w:rPr>
          <w:shd w:val="clear" w:color="auto" w:fill="FFFFFF"/>
        </w:rPr>
        <w:t>ZVOLSKÝ, P</w:t>
      </w:r>
      <w:r w:rsidR="008B459E" w:rsidRPr="008B459E">
        <w:rPr>
          <w:shd w:val="clear" w:color="auto" w:fill="FFFFFF"/>
        </w:rPr>
        <w:t xml:space="preserve">. 1998. </w:t>
      </w:r>
      <w:r w:rsidR="008B459E" w:rsidRPr="008B459E">
        <w:rPr>
          <w:i/>
          <w:iCs/>
          <w:shd w:val="clear" w:color="auto" w:fill="FFFFFF"/>
        </w:rPr>
        <w:t>Speciální psychiatrie</w:t>
      </w:r>
      <w:r w:rsidR="008B459E" w:rsidRPr="008B459E">
        <w:rPr>
          <w:shd w:val="clear" w:color="auto" w:fill="FFFFFF"/>
        </w:rPr>
        <w:t>. Praha: Karolinum. 206 s. ISBN 80-718-4666-X.</w:t>
      </w:r>
    </w:p>
    <w:p w:rsidR="00A73C78" w:rsidRPr="008B459E" w:rsidRDefault="00A73C78" w:rsidP="00A73C78">
      <w:pPr>
        <w:spacing w:after="200" w:line="276" w:lineRule="auto"/>
        <w:contextualSpacing/>
        <w:rPr>
          <w:shd w:val="clear" w:color="auto" w:fill="FFFFFF"/>
        </w:rPr>
      </w:pPr>
    </w:p>
    <w:p w:rsidR="008B459E" w:rsidRPr="008B459E" w:rsidRDefault="008B459E" w:rsidP="008B459E">
      <w:pPr>
        <w:spacing w:after="200" w:line="276" w:lineRule="auto"/>
        <w:rPr>
          <w:shd w:val="clear" w:color="auto" w:fill="FFFFFF"/>
        </w:rPr>
      </w:pPr>
    </w:p>
    <w:p w:rsidR="008B459E" w:rsidRPr="008B459E" w:rsidRDefault="008B459E" w:rsidP="008B459E">
      <w:pPr>
        <w:spacing w:after="200" w:line="240" w:lineRule="auto"/>
        <w:rPr>
          <w:b/>
        </w:rPr>
      </w:pPr>
      <w:r w:rsidRPr="008B459E">
        <w:rPr>
          <w:b/>
        </w:rPr>
        <w:t>Internetové zdroje:</w:t>
      </w:r>
    </w:p>
    <w:p w:rsidR="008C13F1" w:rsidRPr="008B459E" w:rsidRDefault="008C13F1" w:rsidP="004F59DF">
      <w:pPr>
        <w:spacing w:after="200" w:line="276" w:lineRule="auto"/>
        <w:contextualSpacing/>
      </w:pPr>
    </w:p>
    <w:p w:rsidR="008C13F1" w:rsidRPr="008C13F1" w:rsidRDefault="008C13F1" w:rsidP="004F59DF">
      <w:pPr>
        <w:numPr>
          <w:ilvl w:val="0"/>
          <w:numId w:val="36"/>
        </w:numPr>
        <w:spacing w:after="200" w:line="276" w:lineRule="auto"/>
        <w:contextualSpacing/>
        <w:rPr>
          <w:i/>
        </w:rPr>
      </w:pPr>
      <w:r>
        <w:t>ANDERS, M. ROTH, J</w:t>
      </w:r>
      <w:r w:rsidRPr="008B459E">
        <w:t xml:space="preserve">. </w:t>
      </w:r>
      <w:r w:rsidRPr="008B459E">
        <w:rPr>
          <w:i/>
        </w:rPr>
        <w:t xml:space="preserve">Deprese v neurologické praxi. Část druhá: obecné léčebné přístupy </w:t>
      </w:r>
      <w:r w:rsidRPr="008B459E">
        <w:t>Praha: Galén. [online]. 2000 [cit. 2012-12-15]. Dostupné z: http://www.lundbeck.com/cz/Professionals/what_we_do/depression/documents/neurologie02.pdf&gt;. ISBN 80-86257-15-0.</w:t>
      </w:r>
    </w:p>
    <w:p w:rsidR="008C13F1" w:rsidRPr="004F59DF" w:rsidRDefault="008C13F1" w:rsidP="008C13F1">
      <w:pPr>
        <w:spacing w:after="200" w:line="276" w:lineRule="auto"/>
        <w:ind w:left="644"/>
        <w:contextualSpacing/>
        <w:rPr>
          <w:i/>
        </w:rPr>
      </w:pPr>
    </w:p>
    <w:p w:rsidR="008C13F1" w:rsidRDefault="008C13F1" w:rsidP="008B459E">
      <w:pPr>
        <w:numPr>
          <w:ilvl w:val="0"/>
          <w:numId w:val="36"/>
        </w:numPr>
        <w:spacing w:after="200" w:line="276" w:lineRule="auto"/>
        <w:contextualSpacing/>
      </w:pPr>
      <w:r w:rsidRPr="008B459E">
        <w:t xml:space="preserve">ANDERS, M., KITZLEROVÁ, E. </w:t>
      </w:r>
      <w:r w:rsidRPr="008B459E">
        <w:rPr>
          <w:i/>
        </w:rPr>
        <w:t>Mirtazapinum</w:t>
      </w:r>
      <w:r w:rsidRPr="008B459E">
        <w:t>. [online]. 2004. [cit. 2012-12-16] Dostupné z: http://www.remedia.cz/Clanky/Lekove-profily/Mirtazapinum/6-I-cF.magarticle.aspx</w:t>
      </w:r>
    </w:p>
    <w:p w:rsidR="008C13F1"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jc w:val="left"/>
        <w:rPr>
          <w:color w:val="000000"/>
          <w:shd w:val="clear" w:color="auto" w:fill="FFFFFF"/>
        </w:rPr>
      </w:pPr>
      <w:r>
        <w:rPr>
          <w:color w:val="000000"/>
          <w:shd w:val="clear" w:color="auto" w:fill="FFFFFF"/>
        </w:rPr>
        <w:t>BILSKER, D</w:t>
      </w:r>
      <w:r w:rsidRPr="008B459E">
        <w:rPr>
          <w:color w:val="000000"/>
          <w:shd w:val="clear" w:color="auto" w:fill="FFFFFF"/>
        </w:rPr>
        <w:t xml:space="preserve">. </w:t>
      </w:r>
      <w:r w:rsidRPr="008B459E">
        <w:rPr>
          <w:i/>
          <w:color w:val="000000"/>
          <w:shd w:val="clear" w:color="auto" w:fill="FFFFFF"/>
        </w:rPr>
        <w:t>Antidepressant Skills at work: Dealing with Mood Problems in the Workplace.</w:t>
      </w:r>
      <w:r w:rsidRPr="008B459E">
        <w:rPr>
          <w:color w:val="000000"/>
          <w:shd w:val="clear" w:color="auto" w:fill="FFFFFF"/>
        </w:rPr>
        <w:t xml:space="preserve"> [online]. 2007.[cit. 2012-09-22]. Dostupné z: http://www.comh.ca/publications/resources/pub_asatw/AntidepressantSkillsatWork.pdf</w:t>
      </w:r>
      <w:r>
        <w:rPr>
          <w:color w:val="000000"/>
          <w:shd w:val="clear" w:color="auto" w:fill="FFFFFF"/>
        </w:rPr>
        <w:t>.</w:t>
      </w:r>
    </w:p>
    <w:p w:rsidR="008C13F1" w:rsidRDefault="008C13F1" w:rsidP="008C13F1">
      <w:pPr>
        <w:spacing w:after="200" w:line="276" w:lineRule="auto"/>
        <w:ind w:left="644"/>
        <w:contextualSpacing/>
        <w:jc w:val="left"/>
        <w:rPr>
          <w:color w:val="000000"/>
          <w:shd w:val="clear" w:color="auto" w:fill="FFFFFF"/>
        </w:rPr>
      </w:pPr>
    </w:p>
    <w:p w:rsidR="008C13F1" w:rsidRDefault="008C13F1" w:rsidP="008B459E">
      <w:pPr>
        <w:numPr>
          <w:ilvl w:val="0"/>
          <w:numId w:val="36"/>
        </w:numPr>
        <w:spacing w:after="200" w:line="276" w:lineRule="auto"/>
        <w:contextualSpacing/>
        <w:jc w:val="left"/>
      </w:pPr>
      <w:r w:rsidRPr="008B459E">
        <w:rPr>
          <w:shd w:val="clear" w:color="auto" w:fill="FFFFFF"/>
        </w:rPr>
        <w:t>BONNET, U.</w:t>
      </w:r>
      <w:r w:rsidRPr="008B459E">
        <w:t xml:space="preserve">Moclobemide: therapeutic use and clinical studies. </w:t>
      </w:r>
      <w:r w:rsidRPr="008B459E">
        <w:rPr>
          <w:i/>
        </w:rPr>
        <w:t>CNS Drug review</w:t>
      </w:r>
      <w:r w:rsidRPr="008B459E">
        <w:t>. [online]. 2003. č. 9 [cit. 2012-12-17] Dostupné z: http://www.ncbi.nlm.nih.gov/pubmed/12595913</w:t>
      </w:r>
    </w:p>
    <w:p w:rsidR="008C13F1" w:rsidRDefault="008C13F1" w:rsidP="008C13F1">
      <w:pPr>
        <w:spacing w:after="200" w:line="276" w:lineRule="auto"/>
        <w:ind w:left="644"/>
        <w:contextualSpacing/>
        <w:jc w:val="left"/>
      </w:pPr>
    </w:p>
    <w:p w:rsidR="008C13F1" w:rsidRDefault="008C13F1" w:rsidP="008B459E">
      <w:pPr>
        <w:numPr>
          <w:ilvl w:val="0"/>
          <w:numId w:val="36"/>
        </w:numPr>
        <w:spacing w:after="200" w:line="276" w:lineRule="auto"/>
        <w:contextualSpacing/>
      </w:pPr>
      <w:r w:rsidRPr="008B459E">
        <w:t xml:space="preserve">BRITISH MEDICAL JOURNAL. </w:t>
      </w:r>
      <w:r w:rsidRPr="008B459E">
        <w:rPr>
          <w:i/>
        </w:rPr>
        <w:t>Reboxetine for acute treatment of major depression: systematic review and meta-analysis of published and unpublished placebo and selective serotonin reuptake inhibitor controlled trials.</w:t>
      </w:r>
      <w:r w:rsidRPr="008B459E">
        <w:t xml:space="preserve"> [online]. 2010.[cit. 2012-12-16] Dostupné z:</w:t>
      </w:r>
      <w:r w:rsidRPr="008B459E">
        <w:rPr>
          <w:i/>
        </w:rPr>
        <w:t xml:space="preserve"> </w:t>
      </w:r>
      <w:hyperlink r:id="rId31" w:history="1">
        <w:r w:rsidRPr="008B459E">
          <w:t>http://www.ncbi.nlm.nih.gov/pmc/articles/PMC2954275/</w:t>
        </w:r>
      </w:hyperlink>
    </w:p>
    <w:p w:rsidR="008C13F1" w:rsidRDefault="008C13F1" w:rsidP="008C13F1">
      <w:pPr>
        <w:spacing w:after="200" w:line="276" w:lineRule="auto"/>
        <w:contextualSpacing/>
      </w:pPr>
    </w:p>
    <w:p w:rsidR="008C13F1" w:rsidRDefault="008C13F1" w:rsidP="008B459E">
      <w:pPr>
        <w:numPr>
          <w:ilvl w:val="0"/>
          <w:numId w:val="36"/>
        </w:numPr>
        <w:spacing w:after="200" w:line="276" w:lineRule="auto"/>
        <w:contextualSpacing/>
      </w:pPr>
      <w:r>
        <w:t>ČÉŠKOVÁ, E</w:t>
      </w:r>
      <w:r w:rsidRPr="008B459E">
        <w:t xml:space="preserve">. Deprese a antidepresiva v průběhu života ženy. </w:t>
      </w:r>
      <w:r w:rsidRPr="008B459E">
        <w:rPr>
          <w:i/>
        </w:rPr>
        <w:t>Postgraduální medicína.</w:t>
      </w:r>
      <w:r w:rsidRPr="008B459E">
        <w:rPr>
          <w:color w:val="000000"/>
          <w:shd w:val="clear" w:color="auto" w:fill="FFFFFF"/>
        </w:rPr>
        <w:t xml:space="preserve"> [online]</w:t>
      </w:r>
      <w:r w:rsidRPr="008B459E">
        <w:rPr>
          <w:i/>
        </w:rPr>
        <w:t xml:space="preserve"> </w:t>
      </w:r>
      <w:r w:rsidRPr="008B459E">
        <w:t>2012 č. 1</w:t>
      </w:r>
      <w:r w:rsidRPr="008B459E">
        <w:rPr>
          <w:color w:val="000000"/>
          <w:shd w:val="clear" w:color="auto" w:fill="FFFFFF"/>
        </w:rPr>
        <w:t xml:space="preserve">[cit. 2012-10-27]. Dostupné z: </w:t>
      </w:r>
      <w:hyperlink r:id="rId32" w:history="1">
        <w:r w:rsidRPr="008B459E">
          <w:t>http://zdravi.e15.cz/clanek/postgradualni-medicina/deprese-a-antidepresiva-v-prubehu-zivota-zeny-462919</w:t>
        </w:r>
      </w:hyperlink>
      <w:r>
        <w:t>.</w:t>
      </w:r>
    </w:p>
    <w:p w:rsidR="008C13F1" w:rsidRDefault="008C13F1" w:rsidP="008C13F1">
      <w:pPr>
        <w:pStyle w:val="Odstavecseseznamem"/>
      </w:pPr>
    </w:p>
    <w:p w:rsidR="008C13F1" w:rsidRDefault="008C13F1" w:rsidP="008C13F1">
      <w:pPr>
        <w:spacing w:after="200" w:line="276" w:lineRule="auto"/>
        <w:contextualSpacing/>
      </w:pPr>
    </w:p>
    <w:p w:rsidR="008C13F1" w:rsidRDefault="008C13F1" w:rsidP="008B459E">
      <w:pPr>
        <w:numPr>
          <w:ilvl w:val="0"/>
          <w:numId w:val="36"/>
        </w:numPr>
        <w:spacing w:after="200" w:line="276" w:lineRule="auto"/>
        <w:contextualSpacing/>
      </w:pPr>
      <w:r w:rsidRPr="008B459E">
        <w:lastRenderedPageBreak/>
        <w:t xml:space="preserve">ČÉŠKOVÁ, E. </w:t>
      </w:r>
      <w:r w:rsidRPr="008B459E">
        <w:rPr>
          <w:i/>
        </w:rPr>
        <w:t>Duálně působící antidepresiva</w:t>
      </w:r>
      <w:r w:rsidRPr="008B459E">
        <w:t>. [online]. 2008. [cit. 2012-12-16] Dostupné z: http://zdravi.e15.cz/clanek/mlada-fronta-zdravotnicke-noviny-zdn/dualne-pusobici-antidepresiva-388093</w:t>
      </w:r>
    </w:p>
    <w:p w:rsidR="008C13F1"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pPr>
      <w:r w:rsidRPr="008B459E">
        <w:t xml:space="preserve">ČÉŠKOVÁ, E. </w:t>
      </w:r>
      <w:r w:rsidRPr="008B459E">
        <w:rPr>
          <w:i/>
        </w:rPr>
        <w:t>Postavení venlaflaxinu v léčbě depresivních a úzkostných poruch.</w:t>
      </w:r>
      <w:r w:rsidRPr="008B459E">
        <w:t xml:space="preserve"> [online]. 2008. [cit. 2013-03-20]. Dostupné z: http://www.remedia.cz/Clanky/Farmakoterapie/Postaveni-venlafaxinu-v-lecbe-depresivnich-a-uzkostnych-poruch/6-L-jr.magarticle.aspx</w:t>
      </w:r>
    </w:p>
    <w:p w:rsidR="008C13F1" w:rsidRPr="008B459E"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jc w:val="left"/>
      </w:pPr>
      <w:r w:rsidRPr="008B459E">
        <w:t xml:space="preserve">ČÉŠKOVÁ, E. Trazadon v léčbě úzkostí a insomnie. </w:t>
      </w:r>
      <w:r w:rsidRPr="008B459E">
        <w:rPr>
          <w:i/>
        </w:rPr>
        <w:t>Psychiatrie pro praxi</w:t>
      </w:r>
      <w:r w:rsidRPr="008B459E">
        <w:t>. [online]. 2006. č.</w:t>
      </w:r>
      <w:r>
        <w:t xml:space="preserve"> </w:t>
      </w:r>
      <w:r w:rsidRPr="008B459E">
        <w:t>3.</w:t>
      </w:r>
      <w:r>
        <w:t xml:space="preserve">  </w:t>
      </w:r>
      <w:r w:rsidRPr="008B459E">
        <w:t>s.</w:t>
      </w:r>
      <w:r>
        <w:t xml:space="preserve"> </w:t>
      </w:r>
      <w:r w:rsidRPr="008B459E">
        <w:t>139-141.[cit. 2012-12-16] Dostupné z: http://www.solen.sk/index.php?page=pdf_view&amp;pdf_id=1524&amp;magazine_id=2</w:t>
      </w:r>
    </w:p>
    <w:p w:rsidR="008C13F1" w:rsidRDefault="008C13F1" w:rsidP="008C13F1">
      <w:pPr>
        <w:spacing w:after="200" w:line="276" w:lineRule="auto"/>
        <w:ind w:left="644"/>
        <w:contextualSpacing/>
        <w:jc w:val="left"/>
      </w:pPr>
    </w:p>
    <w:p w:rsidR="008C13F1" w:rsidRDefault="008C13F1" w:rsidP="008C13F1">
      <w:pPr>
        <w:numPr>
          <w:ilvl w:val="0"/>
          <w:numId w:val="36"/>
        </w:numPr>
        <w:spacing w:after="200" w:line="276" w:lineRule="auto"/>
        <w:contextualSpacing/>
        <w:rPr>
          <w:color w:val="000000"/>
          <w:shd w:val="clear" w:color="auto" w:fill="FFFFFF"/>
        </w:rPr>
      </w:pPr>
      <w:r w:rsidRPr="008C13F1">
        <w:rPr>
          <w:rFonts w:cs="Times New Roman"/>
          <w:szCs w:val="24"/>
        </w:rPr>
        <w:t xml:space="preserve">DIVÁCKÁ, I. </w:t>
      </w:r>
      <w:r w:rsidRPr="008C13F1">
        <w:rPr>
          <w:rFonts w:cs="Times New Roman"/>
          <w:i/>
          <w:szCs w:val="24"/>
        </w:rPr>
        <w:t>Antidepresiva v ordinaci praktického lékaře</w:t>
      </w:r>
      <w:r w:rsidRPr="008C13F1">
        <w:rPr>
          <w:rFonts w:cs="Times New Roman"/>
          <w:szCs w:val="24"/>
        </w:rPr>
        <w:t xml:space="preserve">. </w:t>
      </w:r>
      <w:r w:rsidRPr="008C13F1">
        <w:rPr>
          <w:rFonts w:cs="Times New Roman"/>
          <w:color w:val="000000"/>
          <w:shd w:val="clear" w:color="auto" w:fill="FFFFFF"/>
        </w:rPr>
        <w:t>[</w:t>
      </w:r>
      <w:r w:rsidRPr="008C13F1">
        <w:rPr>
          <w:color w:val="000000"/>
          <w:shd w:val="clear" w:color="auto" w:fill="FFFFFF"/>
        </w:rPr>
        <w:t xml:space="preserve">online]. </w:t>
      </w:r>
      <w:r w:rsidRPr="008C13F1">
        <w:rPr>
          <w:rFonts w:cs="Times New Roman"/>
          <w:szCs w:val="24"/>
        </w:rPr>
        <w:t>2008.</w:t>
      </w:r>
      <w:r w:rsidRPr="008C13F1">
        <w:rPr>
          <w:color w:val="000000"/>
          <w:shd w:val="clear" w:color="auto" w:fill="FFFFFF"/>
        </w:rPr>
        <w:t xml:space="preserve"> [cit. 2012-12-14] Dostupné z: http://www.tribune.cz/clanek/11912</w:t>
      </w:r>
    </w:p>
    <w:p w:rsidR="008C13F1" w:rsidRPr="008C13F1" w:rsidRDefault="008C13F1" w:rsidP="008C13F1">
      <w:pPr>
        <w:spacing w:after="200" w:line="276" w:lineRule="auto"/>
        <w:ind w:left="644"/>
        <w:contextualSpacing/>
        <w:rPr>
          <w:color w:val="000000"/>
          <w:shd w:val="clear" w:color="auto" w:fill="FFFFFF"/>
        </w:rPr>
      </w:pPr>
    </w:p>
    <w:p w:rsidR="008C13F1" w:rsidRDefault="008C13F1" w:rsidP="008B459E">
      <w:pPr>
        <w:numPr>
          <w:ilvl w:val="0"/>
          <w:numId w:val="36"/>
        </w:numPr>
        <w:spacing w:after="200" w:line="276" w:lineRule="auto"/>
        <w:contextualSpacing/>
      </w:pPr>
      <w:r w:rsidRPr="008B459E">
        <w:t xml:space="preserve">FERGÁČOVÁ, L.,KONÍKOVÁ, M., ZACHAROVÁ, Z.  </w:t>
      </w:r>
      <w:r w:rsidRPr="008B459E">
        <w:rPr>
          <w:i/>
        </w:rPr>
        <w:t>Melanchólia v klasifikaciách duševných porúch MKCH-10 a DSM IV</w:t>
      </w:r>
      <w:r w:rsidRPr="008B459E">
        <w:t xml:space="preserve">. </w:t>
      </w:r>
      <w:r w:rsidRPr="008B459E">
        <w:rPr>
          <w:rFonts w:cs="Times New Roman"/>
        </w:rPr>
        <w:t>[</w:t>
      </w:r>
      <w:r w:rsidRPr="008B459E">
        <w:t>online</w:t>
      </w:r>
      <w:r w:rsidRPr="008B459E">
        <w:rPr>
          <w:rFonts w:cs="Times New Roman"/>
        </w:rPr>
        <w:t>]. 2005.</w:t>
      </w:r>
      <w:r w:rsidRPr="008B459E">
        <w:t xml:space="preserve"> [cit. 2012-12-20] Dostupné z: http://www.cspsychiatr.cz/dwnld/CSP_2005_7_362_366.pdf.</w:t>
      </w:r>
    </w:p>
    <w:p w:rsidR="008C13F1" w:rsidRDefault="008C13F1" w:rsidP="008C13F1">
      <w:pPr>
        <w:spacing w:after="200" w:line="276" w:lineRule="auto"/>
        <w:ind w:left="644"/>
        <w:contextualSpacing/>
      </w:pPr>
    </w:p>
    <w:p w:rsidR="008C13F1" w:rsidRPr="004F59DF" w:rsidRDefault="008C13F1" w:rsidP="008B459E">
      <w:pPr>
        <w:numPr>
          <w:ilvl w:val="0"/>
          <w:numId w:val="36"/>
        </w:numPr>
        <w:spacing w:after="200" w:line="276" w:lineRule="auto"/>
        <w:contextualSpacing/>
      </w:pPr>
      <w:r w:rsidRPr="008B459E">
        <w:t xml:space="preserve">FERGUSON, M. J. SSRI Antidepressant Medications: Adverse Effects and Tolerability. </w:t>
      </w:r>
      <w:r w:rsidRPr="008B459E">
        <w:rPr>
          <w:i/>
        </w:rPr>
        <w:t xml:space="preserve">Primary Care Companion  J Clinical Psychiatry. </w:t>
      </w:r>
      <w:r w:rsidRPr="008B459E">
        <w:rPr>
          <w:rFonts w:cs="Times New Roman"/>
          <w:color w:val="000000"/>
          <w:shd w:val="clear" w:color="auto" w:fill="FFFFFF"/>
        </w:rPr>
        <w:t>[</w:t>
      </w:r>
      <w:r w:rsidRPr="008B459E">
        <w:rPr>
          <w:color w:val="000000"/>
          <w:shd w:val="clear" w:color="auto" w:fill="FFFFFF"/>
        </w:rPr>
        <w:t xml:space="preserve">online]. </w:t>
      </w:r>
      <w:r w:rsidRPr="008B459E">
        <w:t xml:space="preserve">2001. </w:t>
      </w:r>
      <w:r w:rsidRPr="008B459E">
        <w:rPr>
          <w:color w:val="000000"/>
          <w:shd w:val="clear" w:color="auto" w:fill="FFFFFF"/>
        </w:rPr>
        <w:t>[cit. 2012-12-14] Dostupné z: http://www.ncbi.nlm.nih.gov/pmc/articles/PMC181155/</w:t>
      </w:r>
    </w:p>
    <w:p w:rsidR="008C13F1" w:rsidRDefault="008C13F1" w:rsidP="008C13F1">
      <w:pPr>
        <w:spacing w:after="200" w:line="240" w:lineRule="auto"/>
        <w:ind w:left="644"/>
        <w:contextualSpacing/>
      </w:pPr>
    </w:p>
    <w:p w:rsidR="008C13F1" w:rsidRDefault="008C13F1" w:rsidP="008B459E">
      <w:pPr>
        <w:numPr>
          <w:ilvl w:val="0"/>
          <w:numId w:val="36"/>
        </w:numPr>
        <w:spacing w:after="200" w:line="240" w:lineRule="auto"/>
        <w:contextualSpacing/>
      </w:pPr>
      <w:r w:rsidRPr="008B459E">
        <w:t xml:space="preserve">FONAGY, P., ROTH A.,  HIGGIT, A. The outcome of psychodynamic psychotherapy for psychological disorders. </w:t>
      </w:r>
      <w:r w:rsidRPr="008B459E">
        <w:rPr>
          <w:i/>
        </w:rPr>
        <w:t>Clinical Neuroscience Research.</w:t>
      </w:r>
      <w:r w:rsidRPr="008B459E">
        <w:t xml:space="preserve"> [online]. 2005.[cit. 2013-01-03]Dostupnéz: http://www.sciencedirect.com/science/article/pii/S1566277205000071</w:t>
      </w:r>
      <w:r>
        <w:t>.</w:t>
      </w:r>
    </w:p>
    <w:p w:rsidR="008C13F1" w:rsidRDefault="008C13F1" w:rsidP="008C13F1">
      <w:pPr>
        <w:pStyle w:val="Odstavecseseznamem"/>
        <w:spacing w:after="200" w:line="240" w:lineRule="auto"/>
        <w:ind w:left="644"/>
      </w:pPr>
    </w:p>
    <w:p w:rsidR="008C13F1" w:rsidRDefault="008C13F1" w:rsidP="00A73C78">
      <w:pPr>
        <w:pStyle w:val="Odstavecseseznamem"/>
        <w:numPr>
          <w:ilvl w:val="0"/>
          <w:numId w:val="36"/>
        </w:numPr>
        <w:spacing w:after="200" w:line="240" w:lineRule="auto"/>
      </w:pPr>
      <w:r w:rsidRPr="00A73C78">
        <w:t xml:space="preserve">HATTERMA, John M. </w:t>
      </w:r>
      <w:r w:rsidRPr="008C13F1">
        <w:rPr>
          <w:i/>
        </w:rPr>
        <w:t>Genetics of depression</w:t>
      </w:r>
      <w:r w:rsidRPr="00A73C78">
        <w:t>. Focus journal of the American Psychiatric Association  [online]. 2010, roč. 7, č. 3 [cit. 2012-09-22]. ISSN 1541-4108. Dostupné z: http://focus.psychiatryonline.org/data/Journals/FOCUS/1843/foc00310000316.pdf.</w:t>
      </w:r>
    </w:p>
    <w:p w:rsidR="008C13F1" w:rsidRPr="008C13F1" w:rsidRDefault="008C13F1" w:rsidP="008C13F1">
      <w:pPr>
        <w:spacing w:after="200" w:line="276" w:lineRule="auto"/>
        <w:ind w:left="644"/>
        <w:contextualSpacing/>
        <w:rPr>
          <w:rFonts w:ascii="Arial" w:hAnsi="Arial" w:cs="Arial"/>
          <w:color w:val="0157AD"/>
          <w:sz w:val="27"/>
          <w:szCs w:val="27"/>
        </w:rPr>
      </w:pPr>
    </w:p>
    <w:p w:rsidR="008C13F1" w:rsidRPr="004F59DF" w:rsidRDefault="008C13F1" w:rsidP="008B459E">
      <w:pPr>
        <w:numPr>
          <w:ilvl w:val="0"/>
          <w:numId w:val="36"/>
        </w:numPr>
        <w:spacing w:after="200" w:line="276" w:lineRule="auto"/>
        <w:contextualSpacing/>
        <w:rPr>
          <w:rFonts w:ascii="Arial" w:hAnsi="Arial" w:cs="Arial"/>
          <w:color w:val="0157AD"/>
          <w:sz w:val="27"/>
          <w:szCs w:val="27"/>
        </w:rPr>
      </w:pPr>
      <w:r w:rsidRPr="008B459E">
        <w:t xml:space="preserve">HÖSCHL, C. </w:t>
      </w:r>
      <w:r w:rsidRPr="008B459E">
        <w:rPr>
          <w:i/>
        </w:rPr>
        <w:t>Blokáda5-HT2 receptorů a inhibice reuptake serotoninu – fyziologie, farmakologie a klinické důsledky.</w:t>
      </w:r>
      <w:r w:rsidRPr="008B459E">
        <w:t xml:space="preserve"> [online]. 2005. [cit. 2012-12-16]</w:t>
      </w:r>
      <w:r w:rsidRPr="008B459E">
        <w:rPr>
          <w:i/>
        </w:rPr>
        <w:t xml:space="preserve"> </w:t>
      </w:r>
      <w:r w:rsidRPr="008B459E">
        <w:t>Dostupné z: http://www.hoschl.cz/?text=672&amp;lang=cz</w:t>
      </w:r>
    </w:p>
    <w:p w:rsidR="008C13F1" w:rsidRDefault="008C13F1" w:rsidP="008C13F1">
      <w:pPr>
        <w:spacing w:after="200" w:line="276" w:lineRule="auto"/>
        <w:ind w:left="644"/>
        <w:contextualSpacing/>
        <w:rPr>
          <w:color w:val="000000"/>
          <w:shd w:val="clear" w:color="auto" w:fill="FFFFFF"/>
        </w:rPr>
      </w:pPr>
    </w:p>
    <w:p w:rsidR="008C13F1" w:rsidRPr="004F59DF" w:rsidRDefault="008C13F1" w:rsidP="008B459E">
      <w:pPr>
        <w:numPr>
          <w:ilvl w:val="0"/>
          <w:numId w:val="36"/>
        </w:numPr>
        <w:spacing w:after="200" w:line="276" w:lineRule="auto"/>
        <w:contextualSpacing/>
        <w:rPr>
          <w:color w:val="000000"/>
          <w:shd w:val="clear" w:color="auto" w:fill="FFFFFF"/>
        </w:rPr>
      </w:pPr>
      <w:r w:rsidRPr="008B459E">
        <w:rPr>
          <w:color w:val="000000"/>
          <w:shd w:val="clear" w:color="auto" w:fill="FFFFFF"/>
        </w:rPr>
        <w:t xml:space="preserve">INTERNET MENTAL HEALTH. </w:t>
      </w:r>
      <w:r w:rsidRPr="008B459E">
        <w:rPr>
          <w:i/>
          <w:color w:val="000000"/>
          <w:shd w:val="clear" w:color="auto" w:fill="FFFFFF"/>
        </w:rPr>
        <w:t>Maprotiline.</w:t>
      </w:r>
      <w:r w:rsidRPr="008B459E">
        <w:rPr>
          <w:color w:val="000000"/>
          <w:shd w:val="clear" w:color="auto" w:fill="FFFFFF"/>
        </w:rPr>
        <w:t xml:space="preserve"> </w:t>
      </w:r>
      <w:r w:rsidRPr="008B459E">
        <w:rPr>
          <w:rFonts w:cs="Times New Roman"/>
          <w:color w:val="000000"/>
          <w:shd w:val="clear" w:color="auto" w:fill="FFFFFF"/>
        </w:rPr>
        <w:t>[</w:t>
      </w:r>
      <w:r w:rsidRPr="008B459E">
        <w:rPr>
          <w:color w:val="000000"/>
          <w:shd w:val="clear" w:color="auto" w:fill="FFFFFF"/>
        </w:rPr>
        <w:t xml:space="preserve">online]. 2011. [cit. 2012-12-14] Dostupné z: </w:t>
      </w:r>
      <w:hyperlink r:id="rId33" w:history="1">
        <w:r w:rsidRPr="008B459E">
          <w:rPr>
            <w:color w:val="000000" w:themeColor="text1"/>
            <w:shd w:val="clear" w:color="auto" w:fill="FFFFFF"/>
          </w:rPr>
          <w:t>http://www.mentalhealth.com/</w:t>
        </w:r>
      </w:hyperlink>
    </w:p>
    <w:p w:rsidR="008C13F1" w:rsidRPr="008C13F1" w:rsidRDefault="008C13F1" w:rsidP="008C13F1">
      <w:pPr>
        <w:spacing w:after="200" w:line="276" w:lineRule="auto"/>
        <w:ind w:left="644"/>
        <w:contextualSpacing/>
        <w:jc w:val="left"/>
        <w:rPr>
          <w:color w:val="000000"/>
          <w:shd w:val="clear" w:color="auto" w:fill="FFFFFF"/>
        </w:rPr>
      </w:pPr>
    </w:p>
    <w:p w:rsidR="008C13F1" w:rsidRPr="008B459E" w:rsidRDefault="008C13F1" w:rsidP="008B459E">
      <w:pPr>
        <w:numPr>
          <w:ilvl w:val="0"/>
          <w:numId w:val="36"/>
        </w:numPr>
        <w:spacing w:after="200" w:line="276" w:lineRule="auto"/>
        <w:contextualSpacing/>
        <w:jc w:val="left"/>
        <w:rPr>
          <w:color w:val="000000"/>
          <w:shd w:val="clear" w:color="auto" w:fill="FFFFFF"/>
        </w:rPr>
      </w:pPr>
      <w:r w:rsidRPr="008B459E">
        <w:t xml:space="preserve">JANŮ, L., RACKOVÁ, S. Jak správně poznat a léčit depresi. </w:t>
      </w:r>
      <w:r w:rsidRPr="008B459E">
        <w:rPr>
          <w:i/>
        </w:rPr>
        <w:t>Medicína pro praxi</w:t>
      </w:r>
      <w:r w:rsidRPr="008B459E">
        <w:t xml:space="preserve">. č. 1. </w:t>
      </w:r>
      <w:r w:rsidRPr="008B459E">
        <w:rPr>
          <w:rFonts w:cs="Times New Roman"/>
          <w:color w:val="000000"/>
          <w:shd w:val="clear" w:color="auto" w:fill="FFFFFF"/>
        </w:rPr>
        <w:t>[</w:t>
      </w:r>
      <w:r w:rsidRPr="008B459E">
        <w:rPr>
          <w:color w:val="000000"/>
          <w:shd w:val="clear" w:color="auto" w:fill="FFFFFF"/>
        </w:rPr>
        <w:t>online].</w:t>
      </w:r>
      <w:r w:rsidRPr="008B459E">
        <w:t xml:space="preserve"> 2007</w:t>
      </w:r>
      <w:r w:rsidRPr="008B459E">
        <w:rPr>
          <w:color w:val="000000"/>
          <w:shd w:val="clear" w:color="auto" w:fill="FFFFFF"/>
        </w:rPr>
        <w:t xml:space="preserve"> [cit. 2012-12-14] Dostupné z: http://www.medicinapropraxi.cz/pdfs/med/2007/01/06.pdf</w:t>
      </w:r>
    </w:p>
    <w:p w:rsidR="008C13F1" w:rsidRDefault="008C13F1" w:rsidP="008B459E">
      <w:pPr>
        <w:numPr>
          <w:ilvl w:val="0"/>
          <w:numId w:val="36"/>
        </w:numPr>
        <w:spacing w:after="200" w:line="276" w:lineRule="auto"/>
        <w:contextualSpacing/>
        <w:rPr>
          <w:shd w:val="clear" w:color="auto" w:fill="FFFFFF"/>
        </w:rPr>
      </w:pPr>
      <w:r w:rsidRPr="008B459E">
        <w:rPr>
          <w:rFonts w:cs="Times New Roman"/>
          <w:color w:val="000000"/>
          <w:szCs w:val="24"/>
          <w:shd w:val="clear" w:color="auto" w:fill="FFFFFF"/>
        </w:rPr>
        <w:lastRenderedPageBreak/>
        <w:t xml:space="preserve">KARDOŠOVÁ, D. </w:t>
      </w:r>
      <w:r w:rsidRPr="008B459E">
        <w:rPr>
          <w:rFonts w:cs="Times New Roman"/>
          <w:i/>
          <w:color w:val="000000"/>
          <w:szCs w:val="24"/>
          <w:shd w:val="clear" w:color="auto" w:fill="FFFFFF"/>
        </w:rPr>
        <w:t>Pacienti s depresivní poruchou v psychiatrické ambulanci- PRAXE</w:t>
      </w:r>
      <w:r w:rsidRPr="008B459E">
        <w:rPr>
          <w:rFonts w:cs="Times New Roman"/>
          <w:color w:val="000000"/>
          <w:szCs w:val="24"/>
          <w:shd w:val="clear" w:color="auto" w:fill="FFFFFF"/>
        </w:rPr>
        <w:t xml:space="preserve">. </w:t>
      </w:r>
      <w:r w:rsidRPr="008B459E">
        <w:rPr>
          <w:color w:val="000000"/>
          <w:shd w:val="clear" w:color="auto" w:fill="FFFFFF"/>
        </w:rPr>
        <w:t xml:space="preserve">[online]. </w:t>
      </w:r>
      <w:r w:rsidRPr="008B459E">
        <w:rPr>
          <w:rFonts w:cs="Times New Roman"/>
          <w:color w:val="000000"/>
          <w:szCs w:val="24"/>
          <w:shd w:val="clear" w:color="auto" w:fill="FFFFFF"/>
        </w:rPr>
        <w:t>2010</w:t>
      </w:r>
      <w:r w:rsidRPr="008B459E">
        <w:rPr>
          <w:color w:val="000000"/>
          <w:shd w:val="clear" w:color="auto" w:fill="FFFFFF"/>
        </w:rPr>
        <w:t xml:space="preserve"> [cit. 2012-11-22]. Dostupné z: </w:t>
      </w:r>
      <w:hyperlink r:id="rId34" w:history="1">
        <w:r w:rsidRPr="008B459E">
          <w:rPr>
            <w:shd w:val="clear" w:color="auto" w:fill="FFFFFF"/>
          </w:rPr>
          <w:t>http://www.florence.cz/odborne-clanky/recenzovane-clanky/pacient-s-depresivni-poruchou-v-psychiatricke-ambulanci-praxe/</w:t>
        </w:r>
      </w:hyperlink>
    </w:p>
    <w:p w:rsidR="008C13F1"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pPr>
      <w:r w:rsidRPr="008B459E">
        <w:t>KEBZA, V., PACLT, I. Depresivní poruchy- aktuální pojetí, způsoby klasifikace a možnosti zlepšení detekce, diagnostiky, terapii a prevence. [online]. 2002. [cit. 2013-02-04]. Dostupné z: http://zdravi.e15.cz/clanek/priloha-lekarske-listy/depresivni-poruchy-aktualni-pojeti-zpusoby-klasifikace-a-moznost-143503</w:t>
      </w:r>
      <w:r>
        <w:t>.</w:t>
      </w:r>
    </w:p>
    <w:p w:rsidR="008C13F1" w:rsidRDefault="008C13F1" w:rsidP="008C13F1">
      <w:pPr>
        <w:spacing w:after="200" w:line="276" w:lineRule="auto"/>
        <w:ind w:left="644"/>
        <w:contextualSpacing/>
        <w:jc w:val="left"/>
      </w:pPr>
    </w:p>
    <w:p w:rsidR="008C13F1" w:rsidRDefault="008C13F1" w:rsidP="008C13F1">
      <w:pPr>
        <w:numPr>
          <w:ilvl w:val="0"/>
          <w:numId w:val="36"/>
        </w:numPr>
        <w:spacing w:after="200" w:line="276" w:lineRule="auto"/>
        <w:contextualSpacing/>
        <w:jc w:val="left"/>
      </w:pPr>
      <w:r w:rsidRPr="008B459E">
        <w:t>KELLER, M., NESSE, R. Is low mood an adaptation? Evidence for subtypes</w:t>
      </w:r>
      <w:r>
        <w:t xml:space="preserve"> with symptoms that match precipitans. Journal of Afective Disorders.</w:t>
      </w:r>
      <w:r w:rsidRPr="008C13F1">
        <w:t xml:space="preserve"> [online]. 200</w:t>
      </w:r>
      <w:r>
        <w:t>5</w:t>
      </w:r>
      <w:r w:rsidRPr="008C13F1">
        <w:t>. [cit. 2013-02-04]</w:t>
      </w:r>
      <w:r>
        <w:t>. Dostupné z:</w:t>
      </w:r>
      <w:r w:rsidRPr="008C13F1">
        <w:t xml:space="preserve"> www.researchgate.net/publication/7917072_Is_low_mood_an_adaptation_Evidence_for_subtypes_with_symptoms_that_match_precipitants/file/d912f507ecd362de4e.pdf</w:t>
      </w:r>
    </w:p>
    <w:p w:rsidR="008C13F1" w:rsidRPr="008B459E" w:rsidRDefault="008C13F1" w:rsidP="008C13F1">
      <w:pPr>
        <w:spacing w:after="200" w:line="276" w:lineRule="auto"/>
        <w:ind w:left="644"/>
        <w:contextualSpacing/>
        <w:jc w:val="left"/>
      </w:pPr>
      <w:r>
        <w:t xml:space="preserve"> </w:t>
      </w:r>
    </w:p>
    <w:p w:rsidR="008C13F1" w:rsidRPr="004F59DF" w:rsidRDefault="008C13F1" w:rsidP="008B459E">
      <w:pPr>
        <w:numPr>
          <w:ilvl w:val="0"/>
          <w:numId w:val="36"/>
        </w:numPr>
        <w:spacing w:after="200" w:line="276" w:lineRule="auto"/>
        <w:contextualSpacing/>
        <w:rPr>
          <w:rFonts w:cs="Times New Roman"/>
          <w:szCs w:val="24"/>
        </w:rPr>
      </w:pPr>
      <w:r w:rsidRPr="008B459E">
        <w:rPr>
          <w:color w:val="000000"/>
          <w:shd w:val="clear" w:color="auto" w:fill="FFFFFF"/>
        </w:rPr>
        <w:t xml:space="preserve">KOPEČEK, M. </w:t>
      </w:r>
      <w:r w:rsidRPr="008B459E">
        <w:rPr>
          <w:i/>
          <w:color w:val="000000"/>
          <w:shd w:val="clear" w:color="auto" w:fill="FFFFFF"/>
        </w:rPr>
        <w:t>Jak předpovědět, že pacient odpoví na léčbu antidepresivy?</w:t>
      </w:r>
      <w:r w:rsidRPr="008B459E">
        <w:rPr>
          <w:color w:val="000000"/>
          <w:shd w:val="clear" w:color="auto" w:fill="FFFFFF"/>
        </w:rPr>
        <w:t xml:space="preserve"> </w:t>
      </w:r>
      <w:r w:rsidRPr="008B459E">
        <w:rPr>
          <w:rFonts w:cs="Times New Roman"/>
          <w:color w:val="000000"/>
          <w:shd w:val="clear" w:color="auto" w:fill="FFFFFF"/>
        </w:rPr>
        <w:t>[</w:t>
      </w:r>
      <w:r w:rsidRPr="008B459E">
        <w:rPr>
          <w:color w:val="000000"/>
          <w:shd w:val="clear" w:color="auto" w:fill="FFFFFF"/>
        </w:rPr>
        <w:t>online]. 2007 [cit. 2012-12-04] Dostupné z: http://www.solen.sk/index.php?page=pdf_view&amp;pdf_id=2780&amp;magazine_id=2</w:t>
      </w:r>
    </w:p>
    <w:p w:rsidR="008C13F1" w:rsidRPr="008C13F1" w:rsidRDefault="008C13F1" w:rsidP="008C13F1">
      <w:pPr>
        <w:spacing w:after="200" w:line="276" w:lineRule="auto"/>
        <w:ind w:left="644"/>
        <w:contextualSpacing/>
        <w:rPr>
          <w:u w:val="single"/>
        </w:rPr>
      </w:pPr>
    </w:p>
    <w:p w:rsidR="008C13F1" w:rsidRPr="001A0A0C" w:rsidRDefault="008C13F1" w:rsidP="008B459E">
      <w:pPr>
        <w:numPr>
          <w:ilvl w:val="0"/>
          <w:numId w:val="36"/>
        </w:numPr>
        <w:spacing w:after="200" w:line="276" w:lineRule="auto"/>
        <w:contextualSpacing/>
        <w:rPr>
          <w:u w:val="single"/>
        </w:rPr>
      </w:pPr>
      <w:r w:rsidRPr="008B459E">
        <w:t xml:space="preserve">LUKEŠ, M.. </w:t>
      </w:r>
      <w:r w:rsidRPr="008B459E">
        <w:rPr>
          <w:i/>
        </w:rPr>
        <w:t>Dokonané sebevraždy v České republice mezi lety 1985-2005-sociologický a kriminologický kontext.</w:t>
      </w:r>
      <w:r w:rsidRPr="008B459E">
        <w:t xml:space="preserve"> [online]. 2007. [cit. 2012-08-01] Univerzita Karlova. Dostupné z: </w:t>
      </w:r>
      <w:hyperlink r:id="rId35" w:history="1">
        <w:r w:rsidRPr="008B459E">
          <w:t>http://www.demografie.info/?cz_detail_clanku&amp;artclID=516</w:t>
        </w:r>
      </w:hyperlink>
    </w:p>
    <w:p w:rsidR="008C13F1"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pPr>
      <w:r w:rsidRPr="008B459E">
        <w:t xml:space="preserve">MARTINICKÝ, D. Compliance při liečbě depresivnych poruch. </w:t>
      </w:r>
      <w:r w:rsidRPr="008B459E">
        <w:rPr>
          <w:i/>
        </w:rPr>
        <w:t>Lékarské listy</w:t>
      </w:r>
      <w:r w:rsidRPr="008B459E">
        <w:t xml:space="preserve">. </w:t>
      </w:r>
      <w:r w:rsidRPr="008B459E">
        <w:rPr>
          <w:rFonts w:cs="Times New Roman"/>
        </w:rPr>
        <w:t>[</w:t>
      </w:r>
      <w:r w:rsidRPr="008B459E">
        <w:t>online</w:t>
      </w:r>
      <w:r w:rsidRPr="008B459E">
        <w:rPr>
          <w:rFonts w:cs="Times New Roman"/>
        </w:rPr>
        <w:t>]. 2008, č. 42. [</w:t>
      </w:r>
      <w:r w:rsidRPr="008B459E">
        <w:t>cit. 2012-12-19] Dostupné z: http://www.egis.sk/files/dl/depresia_uzkost_a_bolest.pdf</w:t>
      </w:r>
    </w:p>
    <w:p w:rsidR="008C13F1" w:rsidRDefault="008C13F1" w:rsidP="008C13F1">
      <w:pPr>
        <w:spacing w:after="200" w:line="276" w:lineRule="auto"/>
        <w:ind w:left="644"/>
        <w:contextualSpacing/>
      </w:pPr>
    </w:p>
    <w:p w:rsidR="008C13F1" w:rsidRPr="004F59DF" w:rsidRDefault="008C13F1" w:rsidP="008B459E">
      <w:pPr>
        <w:numPr>
          <w:ilvl w:val="0"/>
          <w:numId w:val="36"/>
        </w:numPr>
        <w:spacing w:after="200" w:line="276" w:lineRule="auto"/>
        <w:contextualSpacing/>
      </w:pPr>
      <w:r w:rsidRPr="008B459E">
        <w:t>NATIONAL INSTITUTE FOR HEALTH AND CLINICAL EXCELLENCE. Depression in children and young people: Identification and management in primary, community and secondary care</w:t>
      </w:r>
      <w:r w:rsidRPr="008B459E">
        <w:rPr>
          <w:i/>
        </w:rPr>
        <w:t xml:space="preserve">. Nice clinical guidelines. </w:t>
      </w:r>
      <w:r w:rsidRPr="008B459E">
        <w:rPr>
          <w:rFonts w:cs="Times New Roman"/>
          <w:color w:val="000000"/>
          <w:shd w:val="clear" w:color="auto" w:fill="FFFFFF"/>
        </w:rPr>
        <w:t>[</w:t>
      </w:r>
      <w:r w:rsidRPr="008B459E">
        <w:rPr>
          <w:color w:val="000000"/>
          <w:shd w:val="clear" w:color="auto" w:fill="FFFFFF"/>
        </w:rPr>
        <w:t xml:space="preserve">online]. </w:t>
      </w:r>
      <w:r w:rsidRPr="008B459E">
        <w:t>2005.</w:t>
      </w:r>
      <w:r w:rsidRPr="008B459E">
        <w:rPr>
          <w:color w:val="000000"/>
          <w:shd w:val="clear" w:color="auto" w:fill="FFFFFF"/>
        </w:rPr>
        <w:t xml:space="preserve"> [cit. 2012-12-14] Dostupné z: http://www.nice.org.uk/</w:t>
      </w:r>
    </w:p>
    <w:p w:rsidR="008C13F1"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pPr>
      <w:r w:rsidRPr="008B459E">
        <w:t xml:space="preserve">NATIONAL INSTITUTE FOR HEALTH AND CLINICAL EXCELLENCE. Key priorites for implementation. </w:t>
      </w:r>
      <w:r w:rsidRPr="008B459E">
        <w:rPr>
          <w:i/>
        </w:rPr>
        <w:t>Nice clinical guidelines</w:t>
      </w:r>
      <w:r w:rsidRPr="008B459E">
        <w:t xml:space="preserve">. </w:t>
      </w:r>
      <w:r w:rsidRPr="008B459E">
        <w:rPr>
          <w:rFonts w:cs="Times New Roman"/>
        </w:rPr>
        <w:t>[</w:t>
      </w:r>
      <w:r w:rsidRPr="008B459E">
        <w:t>online</w:t>
      </w:r>
      <w:r w:rsidRPr="008B459E">
        <w:rPr>
          <w:rFonts w:cs="Times New Roman"/>
        </w:rPr>
        <w:t xml:space="preserve">]. 2009. </w:t>
      </w:r>
      <w:r w:rsidRPr="008B459E">
        <w:t>[cit. 2012-12-20] Dostupné z: http://publications.nice.org.uk/depression-in-adults-cg90/key-priorities-for-implementation.</w:t>
      </w:r>
    </w:p>
    <w:p w:rsidR="008C13F1"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pPr>
      <w:r w:rsidRPr="008B459E">
        <w:t xml:space="preserve">NATIONAL INSTITUTES OF HEALTH, </w:t>
      </w:r>
      <w:r w:rsidRPr="008B459E">
        <w:rPr>
          <w:i/>
        </w:rPr>
        <w:t>Bupropion</w:t>
      </w:r>
      <w:r w:rsidRPr="008B459E">
        <w:t>. [online]. 2009. [cit. 2012-12-16] Dostupné z: http://www.nlm.nih.gov/medlineplus/druginfo/meds/a695033.html</w:t>
      </w:r>
    </w:p>
    <w:p w:rsidR="008C13F1" w:rsidRDefault="008C13F1" w:rsidP="008C13F1">
      <w:pPr>
        <w:spacing w:after="200" w:line="276" w:lineRule="auto"/>
        <w:ind w:left="644"/>
        <w:contextualSpacing/>
        <w:rPr>
          <w:rFonts w:cs="Times New Roman"/>
          <w:color w:val="000000"/>
          <w:szCs w:val="24"/>
          <w:shd w:val="clear" w:color="auto" w:fill="FFFFFF"/>
        </w:rPr>
      </w:pPr>
    </w:p>
    <w:p w:rsidR="008C13F1" w:rsidRPr="004F59DF" w:rsidRDefault="008C13F1" w:rsidP="008B459E">
      <w:pPr>
        <w:numPr>
          <w:ilvl w:val="0"/>
          <w:numId w:val="36"/>
        </w:numPr>
        <w:spacing w:after="200" w:line="276" w:lineRule="auto"/>
        <w:contextualSpacing/>
        <w:rPr>
          <w:rFonts w:cs="Times New Roman"/>
          <w:color w:val="000000"/>
          <w:szCs w:val="24"/>
          <w:shd w:val="clear" w:color="auto" w:fill="FFFFFF"/>
        </w:rPr>
      </w:pPr>
      <w:r w:rsidRPr="008B459E">
        <w:rPr>
          <w:rFonts w:cs="Times New Roman"/>
          <w:color w:val="000000"/>
          <w:szCs w:val="24"/>
          <w:shd w:val="clear" w:color="auto" w:fill="FFFFFF"/>
        </w:rPr>
        <w:lastRenderedPageBreak/>
        <w:t xml:space="preserve">NECHANSKÁ, B. ÚSTAV ZDRAVOTNICKÝCH INFORMACÍ A STATISTIKY ČR. </w:t>
      </w:r>
      <w:r w:rsidRPr="008B459E">
        <w:rPr>
          <w:rFonts w:cs="Times New Roman"/>
          <w:i/>
          <w:iCs/>
          <w:color w:val="000000"/>
          <w:szCs w:val="24"/>
          <w:shd w:val="clear" w:color="auto" w:fill="FFFFFF"/>
        </w:rPr>
        <w:t>Činnost ambulantních psychiatrických zařízení v roce 2011</w:t>
      </w:r>
      <w:r w:rsidRPr="008B459E">
        <w:rPr>
          <w:rFonts w:cs="Times New Roman"/>
          <w:color w:val="000000"/>
          <w:szCs w:val="24"/>
          <w:shd w:val="clear" w:color="auto" w:fill="FFFFFF"/>
        </w:rPr>
        <w:t> [online]. 2012. [cit. 2012-11-24]. Dostupné z:</w:t>
      </w:r>
      <w:r w:rsidRPr="008B459E">
        <w:rPr>
          <w:rFonts w:cs="Times New Roman"/>
          <w:szCs w:val="24"/>
          <w:shd w:val="clear" w:color="auto" w:fill="FFFFFF"/>
        </w:rPr>
        <w:t xml:space="preserve"> </w:t>
      </w:r>
      <w:hyperlink r:id="rId36" w:history="1">
        <w:r w:rsidRPr="008B459E">
          <w:rPr>
            <w:rFonts w:cs="Times New Roman"/>
            <w:szCs w:val="24"/>
            <w:shd w:val="clear" w:color="auto" w:fill="FFFFFF"/>
          </w:rPr>
          <w:t>http://www.uzis.cz/rychle-informace/cinnost-ambulantnich-psychiatrickych-zarizeni-roce-2011</w:t>
        </w:r>
      </w:hyperlink>
    </w:p>
    <w:p w:rsidR="008C13F1"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pPr>
      <w:r w:rsidRPr="008B459E">
        <w:t xml:space="preserve">PACLT, I. </w:t>
      </w:r>
      <w:r w:rsidRPr="008B459E">
        <w:rPr>
          <w:i/>
        </w:rPr>
        <w:t>Novější antidepresiva v léčbě depresivních poruch v ambulantní praxi.</w:t>
      </w:r>
      <w:r w:rsidRPr="008B459E">
        <w:t xml:space="preserve"> [online]. 2002. [cit. 2012-12-16] Dostupné z: http://www.remedia.cz/Clanky/Prehledy-nazory-diskuse/Novejsi-antidepresiva-v-lecbe-depresivnich-poruch-v-ambulantni-praxi/6-F-gf.magarticle.aspx</w:t>
      </w:r>
    </w:p>
    <w:p w:rsidR="008C13F1" w:rsidRPr="008C13F1" w:rsidRDefault="008C13F1" w:rsidP="008C13F1">
      <w:pPr>
        <w:spacing w:after="200" w:line="276" w:lineRule="auto"/>
        <w:ind w:left="644"/>
        <w:contextualSpacing/>
        <w:rPr>
          <w:color w:val="000000" w:themeColor="text1"/>
          <w:shd w:val="clear" w:color="auto" w:fill="FFFFFF"/>
        </w:rPr>
      </w:pPr>
    </w:p>
    <w:p w:rsidR="008C13F1" w:rsidRDefault="008C13F1" w:rsidP="008B459E">
      <w:pPr>
        <w:numPr>
          <w:ilvl w:val="0"/>
          <w:numId w:val="36"/>
        </w:numPr>
        <w:spacing w:after="200" w:line="276" w:lineRule="auto"/>
        <w:contextualSpacing/>
        <w:rPr>
          <w:color w:val="000000" w:themeColor="text1"/>
          <w:shd w:val="clear" w:color="auto" w:fill="FFFFFF"/>
        </w:rPr>
      </w:pPr>
      <w:r w:rsidRPr="008B459E">
        <w:rPr>
          <w:color w:val="000000"/>
          <w:shd w:val="clear" w:color="auto" w:fill="FFFFFF"/>
        </w:rPr>
        <w:t xml:space="preserve">PRAŠKO, J. PRAŠKOVÁ, H. </w:t>
      </w:r>
      <w:r w:rsidRPr="008B459E">
        <w:rPr>
          <w:i/>
          <w:color w:val="000000"/>
          <w:shd w:val="clear" w:color="auto" w:fill="FFFFFF"/>
        </w:rPr>
        <w:t>Farmakoterapie deprese.</w:t>
      </w:r>
      <w:r w:rsidRPr="008B459E">
        <w:rPr>
          <w:color w:val="000000"/>
          <w:shd w:val="clear" w:color="auto" w:fill="FFFFFF"/>
        </w:rPr>
        <w:t xml:space="preserve"> </w:t>
      </w:r>
      <w:r w:rsidRPr="008B459E">
        <w:rPr>
          <w:rFonts w:cs="Times New Roman"/>
          <w:color w:val="000000"/>
          <w:shd w:val="clear" w:color="auto" w:fill="FFFFFF"/>
        </w:rPr>
        <w:t>[</w:t>
      </w:r>
      <w:r w:rsidRPr="008B459E">
        <w:rPr>
          <w:color w:val="000000"/>
          <w:shd w:val="clear" w:color="auto" w:fill="FFFFFF"/>
        </w:rPr>
        <w:t xml:space="preserve">online]. 2006. [cit. 2012-12-04] Dostupné z: </w:t>
      </w:r>
      <w:hyperlink r:id="rId37" w:history="1">
        <w:r w:rsidRPr="008B459E">
          <w:rPr>
            <w:color w:val="000000" w:themeColor="text1"/>
            <w:shd w:val="clear" w:color="auto" w:fill="FFFFFF"/>
          </w:rPr>
          <w:t>http://www.solen.sk/index.php?page=pdf_view&amp;pdf_id=1538&amp;magazine_id=2</w:t>
        </w:r>
      </w:hyperlink>
    </w:p>
    <w:p w:rsidR="008C13F1"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pPr>
      <w:r w:rsidRPr="008B459E">
        <w:t xml:space="preserve">RABOCH, J. </w:t>
      </w:r>
      <w:r w:rsidRPr="008B459E">
        <w:rPr>
          <w:i/>
        </w:rPr>
        <w:t xml:space="preserve">Jak můžeme vyléčit depresi? </w:t>
      </w:r>
      <w:r w:rsidRPr="008B459E">
        <w:t>Praha: Galén</w:t>
      </w:r>
      <w:r>
        <w:t>. [online]. 2000. [cit. 2012-12-</w:t>
      </w:r>
      <w:r w:rsidRPr="008B459E">
        <w:t>16].Dostupnéz:http://www.lundbeck.com/upload/cz/files/pdf/Brozury/Muzeme_vylecit_depresi.pdf</w:t>
      </w:r>
    </w:p>
    <w:p w:rsidR="008C13F1" w:rsidRPr="008C13F1"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pPr>
      <w:r w:rsidRPr="008B459E">
        <w:rPr>
          <w:shd w:val="clear" w:color="auto" w:fill="FFFFFF"/>
        </w:rPr>
        <w:t xml:space="preserve">SAITO, M. A KOL. </w:t>
      </w:r>
      <w:r w:rsidRPr="008B459E">
        <w:rPr>
          <w:i/>
        </w:rPr>
        <w:t>Evaluation of the DSM-IV and ICD-10 criteria for depressive disorders in a community population in Japan using item response theory</w:t>
      </w:r>
      <w:r w:rsidRPr="008B459E">
        <w:t xml:space="preserve">. </w:t>
      </w:r>
      <w:r w:rsidRPr="008B459E">
        <w:rPr>
          <w:rFonts w:cs="Times New Roman"/>
        </w:rPr>
        <w:t>[</w:t>
      </w:r>
      <w:r w:rsidRPr="008B459E">
        <w:t>online</w:t>
      </w:r>
      <w:r w:rsidRPr="008B459E">
        <w:rPr>
          <w:rFonts w:cs="Times New Roman"/>
        </w:rPr>
        <w:t>]. 2010.</w:t>
      </w:r>
      <w:r w:rsidRPr="008B459E">
        <w:t xml:space="preserve"> [cit. 2013-01-29] Dostupné z: http://www.ncbi.nlm.nih.gov/pubmed/20645305 </w:t>
      </w:r>
    </w:p>
    <w:p w:rsidR="008C13F1"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pPr>
      <w:r w:rsidRPr="008B459E">
        <w:t xml:space="preserve">SANSONE, R.. Agomelatine. </w:t>
      </w:r>
      <w:r w:rsidRPr="008B459E">
        <w:rPr>
          <w:i/>
        </w:rPr>
        <w:t>Journal List</w:t>
      </w:r>
      <w:r w:rsidRPr="008B459E">
        <w:t>. [online]. 2003. roč. 3, č. 11.[cit. 2012-12-18]Dostupné z: http://www.ncbi.nlm.nih.gov/pmc/articles/PMC3244295/</w:t>
      </w:r>
    </w:p>
    <w:p w:rsidR="008C13F1" w:rsidRDefault="008C13F1" w:rsidP="008C13F1">
      <w:pPr>
        <w:spacing w:after="200" w:line="276" w:lineRule="auto"/>
        <w:ind w:left="644"/>
        <w:contextualSpacing/>
      </w:pPr>
    </w:p>
    <w:p w:rsidR="008C13F1" w:rsidRDefault="008C13F1" w:rsidP="008B459E">
      <w:pPr>
        <w:numPr>
          <w:ilvl w:val="0"/>
          <w:numId w:val="36"/>
        </w:numPr>
        <w:spacing w:after="200" w:line="276" w:lineRule="auto"/>
        <w:contextualSpacing/>
      </w:pPr>
      <w:r w:rsidRPr="008B459E">
        <w:t xml:space="preserve">SKOPOVÁ, J. </w:t>
      </w:r>
      <w:r w:rsidRPr="008B459E">
        <w:rPr>
          <w:i/>
        </w:rPr>
        <w:t>Informace pro pacienty a jejich blízké</w:t>
      </w:r>
      <w:r w:rsidRPr="008B459E">
        <w:t xml:space="preserve">. </w:t>
      </w:r>
      <w:r w:rsidRPr="008B459E">
        <w:rPr>
          <w:rFonts w:cs="Times New Roman"/>
        </w:rPr>
        <w:t>[</w:t>
      </w:r>
      <w:r w:rsidRPr="008B459E">
        <w:t>online</w:t>
      </w:r>
      <w:r w:rsidRPr="008B459E">
        <w:rPr>
          <w:rFonts w:cs="Times New Roman"/>
        </w:rPr>
        <w:t xml:space="preserve">]. 2011. </w:t>
      </w:r>
      <w:r w:rsidRPr="008B459E">
        <w:t>[cit. 2012-12-20] Dostupné:http://www.lundbeck.com/upload/cz/files/pdf/Brozury/Informace_pro_pacienty_a_jejich_blizke.pdf</w:t>
      </w:r>
    </w:p>
    <w:p w:rsidR="008C13F1" w:rsidRPr="008C13F1" w:rsidRDefault="008C13F1" w:rsidP="008C13F1">
      <w:pPr>
        <w:spacing w:after="200" w:line="276" w:lineRule="auto"/>
        <w:ind w:left="644"/>
        <w:contextualSpacing/>
        <w:rPr>
          <w:color w:val="000000"/>
          <w:shd w:val="clear" w:color="auto" w:fill="FFFFFF"/>
        </w:rPr>
      </w:pPr>
    </w:p>
    <w:p w:rsidR="008C13F1" w:rsidRDefault="008C13F1" w:rsidP="008B459E">
      <w:pPr>
        <w:numPr>
          <w:ilvl w:val="0"/>
          <w:numId w:val="36"/>
        </w:numPr>
        <w:spacing w:after="200" w:line="276" w:lineRule="auto"/>
        <w:contextualSpacing/>
        <w:rPr>
          <w:color w:val="000000"/>
          <w:shd w:val="clear" w:color="auto" w:fill="FFFFFF"/>
        </w:rPr>
      </w:pPr>
      <w:r w:rsidRPr="008B459E">
        <w:t xml:space="preserve">STÁTNÍ ÚSTAV PRO KONTROLU LÉČIV. </w:t>
      </w:r>
      <w:r w:rsidRPr="008B459E">
        <w:rPr>
          <w:i/>
        </w:rPr>
        <w:t>Spotřeba léků v České republice pro rok 2008.</w:t>
      </w:r>
      <w:r w:rsidRPr="008B459E">
        <w:t xml:space="preserve"> </w:t>
      </w:r>
      <w:r w:rsidRPr="008B459E">
        <w:rPr>
          <w:rFonts w:cs="Times New Roman"/>
          <w:color w:val="000000"/>
          <w:shd w:val="clear" w:color="auto" w:fill="FFFFFF"/>
        </w:rPr>
        <w:t>[</w:t>
      </w:r>
      <w:r w:rsidRPr="008B459E">
        <w:rPr>
          <w:color w:val="000000"/>
          <w:shd w:val="clear" w:color="auto" w:fill="FFFFFF"/>
        </w:rPr>
        <w:t xml:space="preserve">online]. </w:t>
      </w:r>
      <w:r w:rsidRPr="008B459E">
        <w:t>2008.</w:t>
      </w:r>
      <w:r w:rsidRPr="008B459E">
        <w:rPr>
          <w:color w:val="000000"/>
          <w:shd w:val="clear" w:color="auto" w:fill="FFFFFF"/>
        </w:rPr>
        <w:t xml:space="preserve"> [cit. 2012-12-15] Dostupné z: http://www.sukl.cz/3-ctvrtleti-2008?highlightWords=antidepresiva</w:t>
      </w:r>
    </w:p>
    <w:p w:rsidR="008C13F1" w:rsidRDefault="008C13F1" w:rsidP="008C13F1">
      <w:pPr>
        <w:spacing w:after="200" w:line="276" w:lineRule="auto"/>
        <w:ind w:left="644"/>
        <w:contextualSpacing/>
        <w:jc w:val="left"/>
        <w:rPr>
          <w:color w:val="000000"/>
          <w:shd w:val="clear" w:color="auto" w:fill="FFFFFF"/>
        </w:rPr>
      </w:pPr>
    </w:p>
    <w:p w:rsidR="008C13F1" w:rsidRDefault="008C13F1" w:rsidP="008B459E">
      <w:pPr>
        <w:numPr>
          <w:ilvl w:val="0"/>
          <w:numId w:val="36"/>
        </w:numPr>
        <w:spacing w:after="200" w:line="276" w:lineRule="auto"/>
        <w:contextualSpacing/>
        <w:jc w:val="left"/>
        <w:rPr>
          <w:color w:val="000000"/>
          <w:shd w:val="clear" w:color="auto" w:fill="FFFFFF"/>
        </w:rPr>
      </w:pPr>
      <w:r w:rsidRPr="008B459E">
        <w:rPr>
          <w:color w:val="000000"/>
          <w:shd w:val="clear" w:color="auto" w:fill="FFFFFF"/>
        </w:rPr>
        <w:t xml:space="preserve">ŠVESTKA, J. Antidepresiva a QT interval. </w:t>
      </w:r>
      <w:r w:rsidRPr="008B459E">
        <w:rPr>
          <w:i/>
          <w:color w:val="000000"/>
          <w:shd w:val="clear" w:color="auto" w:fill="FFFFFF"/>
        </w:rPr>
        <w:t>Psychiatrie pro praxi.</w:t>
      </w:r>
      <w:r w:rsidRPr="008B459E">
        <w:rPr>
          <w:color w:val="000000"/>
          <w:shd w:val="clear" w:color="auto" w:fill="FFFFFF"/>
        </w:rPr>
        <w:t xml:space="preserve"> </w:t>
      </w:r>
      <w:r w:rsidRPr="008B459E">
        <w:rPr>
          <w:rFonts w:cs="Times New Roman"/>
          <w:color w:val="000000"/>
          <w:shd w:val="clear" w:color="auto" w:fill="FFFFFF"/>
        </w:rPr>
        <w:t>[</w:t>
      </w:r>
      <w:r w:rsidRPr="008B459E">
        <w:rPr>
          <w:color w:val="000000"/>
          <w:shd w:val="clear" w:color="auto" w:fill="FFFFFF"/>
        </w:rPr>
        <w:t>online]. 2001.                 č .2[cit. 2012-12-14] Dostupné z: http://www.solen.sk/index.php?page=pdf_view&amp;pdf_id=2148&amp;magazine_id=2</w:t>
      </w:r>
    </w:p>
    <w:p w:rsidR="008C13F1" w:rsidRDefault="008C13F1" w:rsidP="008C13F1">
      <w:pPr>
        <w:spacing w:after="200" w:line="276" w:lineRule="auto"/>
        <w:ind w:left="644"/>
        <w:contextualSpacing/>
        <w:rPr>
          <w:color w:val="000000"/>
          <w:shd w:val="clear" w:color="auto" w:fill="FFFFFF"/>
        </w:rPr>
      </w:pPr>
    </w:p>
    <w:p w:rsidR="008C13F1" w:rsidRDefault="008C13F1" w:rsidP="008B459E">
      <w:pPr>
        <w:numPr>
          <w:ilvl w:val="0"/>
          <w:numId w:val="36"/>
        </w:numPr>
        <w:spacing w:after="200" w:line="276" w:lineRule="auto"/>
        <w:contextualSpacing/>
        <w:rPr>
          <w:color w:val="000000"/>
          <w:shd w:val="clear" w:color="auto" w:fill="FFFFFF"/>
        </w:rPr>
      </w:pPr>
      <w:r w:rsidRPr="008B459E">
        <w:rPr>
          <w:color w:val="000000"/>
          <w:shd w:val="clear" w:color="auto" w:fill="FFFFFF"/>
        </w:rPr>
        <w:t xml:space="preserve">TŮMA, L. Deprese a diabetes. </w:t>
      </w:r>
      <w:r w:rsidRPr="008B459E">
        <w:rPr>
          <w:i/>
          <w:color w:val="000000"/>
          <w:shd w:val="clear" w:color="auto" w:fill="FFFFFF"/>
        </w:rPr>
        <w:t>Vnitřní lékařství</w:t>
      </w:r>
      <w:r w:rsidRPr="008B459E">
        <w:rPr>
          <w:color w:val="000000"/>
          <w:shd w:val="clear" w:color="auto" w:fill="FFFFFF"/>
        </w:rPr>
        <w:t xml:space="preserve">. </w:t>
      </w:r>
      <w:r w:rsidRPr="008B459E">
        <w:rPr>
          <w:rFonts w:cs="Times New Roman"/>
          <w:color w:val="000000"/>
          <w:shd w:val="clear" w:color="auto" w:fill="FFFFFF"/>
        </w:rPr>
        <w:t>[</w:t>
      </w:r>
      <w:r w:rsidRPr="008B459E">
        <w:rPr>
          <w:color w:val="000000"/>
          <w:shd w:val="clear" w:color="auto" w:fill="FFFFFF"/>
        </w:rPr>
        <w:t>online]. 2004, č. 51. [cit. 2012-12-14] Dostupné z: http://www.prolekare.cz/pdf?ida=vl_05_06_19s.pdf</w:t>
      </w:r>
    </w:p>
    <w:p w:rsidR="008C13F1" w:rsidRPr="008C13F1" w:rsidRDefault="008C13F1" w:rsidP="008C13F1">
      <w:pPr>
        <w:spacing w:after="200" w:line="276" w:lineRule="auto"/>
        <w:ind w:left="644"/>
        <w:contextualSpacing/>
        <w:rPr>
          <w:color w:val="000000"/>
          <w:shd w:val="clear" w:color="auto" w:fill="FFFFFF"/>
        </w:rPr>
      </w:pPr>
    </w:p>
    <w:p w:rsidR="008C13F1" w:rsidRPr="004F59DF" w:rsidRDefault="008C13F1" w:rsidP="008B459E">
      <w:pPr>
        <w:numPr>
          <w:ilvl w:val="0"/>
          <w:numId w:val="36"/>
        </w:numPr>
        <w:spacing w:after="200" w:line="276" w:lineRule="auto"/>
        <w:contextualSpacing/>
        <w:rPr>
          <w:color w:val="000000"/>
          <w:shd w:val="clear" w:color="auto" w:fill="FFFFFF"/>
        </w:rPr>
      </w:pPr>
      <w:r w:rsidRPr="008B459E">
        <w:rPr>
          <w:rFonts w:cs="Times New Roman"/>
          <w:szCs w:val="24"/>
        </w:rPr>
        <w:lastRenderedPageBreak/>
        <w:t xml:space="preserve">TURBOVÁ, J. CAGAŠ, P. </w:t>
      </w:r>
      <w:r w:rsidRPr="008B459E">
        <w:rPr>
          <w:rFonts w:cs="Times New Roman"/>
          <w:i/>
          <w:szCs w:val="24"/>
        </w:rPr>
        <w:t xml:space="preserve">Rozdíly obrazu depresivního prožívání dle individuálních škál subjektivních potíží (ŠIP, N-5) uváděných muži a ženami v ambulantní péči. </w:t>
      </w:r>
      <w:r w:rsidRPr="008B459E">
        <w:rPr>
          <w:color w:val="000000"/>
          <w:shd w:val="clear" w:color="auto" w:fill="FFFFFF"/>
        </w:rPr>
        <w:t xml:space="preserve">[online]. </w:t>
      </w:r>
      <w:r w:rsidRPr="008B459E">
        <w:rPr>
          <w:rFonts w:cs="Times New Roman"/>
          <w:szCs w:val="24"/>
        </w:rPr>
        <w:t>2004</w:t>
      </w:r>
      <w:r w:rsidRPr="008B459E">
        <w:rPr>
          <w:color w:val="000000"/>
          <w:shd w:val="clear" w:color="auto" w:fill="FFFFFF"/>
        </w:rPr>
        <w:t xml:space="preserve"> [cit. 2012-11-22]. Dostupné z: </w:t>
      </w:r>
      <w:hyperlink r:id="rId38" w:history="1">
        <w:r w:rsidRPr="008B459E">
          <w:rPr>
            <w:color w:val="000000" w:themeColor="text1"/>
            <w:shd w:val="clear" w:color="auto" w:fill="FFFFFF"/>
          </w:rPr>
          <w:t>http://cmps.ecn.cz/pd/2004/texty/pdf/turbova-deprese.pdf</w:t>
        </w:r>
      </w:hyperlink>
      <w:r w:rsidRPr="008B459E">
        <w:rPr>
          <w:color w:val="000000" w:themeColor="text1"/>
          <w:shd w:val="clear" w:color="auto" w:fill="FFFFFF"/>
        </w:rPr>
        <w:t>.</w:t>
      </w:r>
    </w:p>
    <w:p w:rsidR="008C13F1" w:rsidRDefault="008C13F1" w:rsidP="008C13F1">
      <w:pPr>
        <w:spacing w:after="200" w:line="276" w:lineRule="auto"/>
        <w:ind w:left="644"/>
        <w:contextualSpacing/>
        <w:rPr>
          <w:rFonts w:cs="Times New Roman"/>
          <w:color w:val="000000"/>
          <w:szCs w:val="24"/>
          <w:shd w:val="clear" w:color="auto" w:fill="FFFFFF"/>
        </w:rPr>
      </w:pPr>
    </w:p>
    <w:p w:rsidR="008C13F1" w:rsidRDefault="008C13F1" w:rsidP="008B459E">
      <w:pPr>
        <w:numPr>
          <w:ilvl w:val="0"/>
          <w:numId w:val="36"/>
        </w:numPr>
        <w:spacing w:after="200" w:line="276" w:lineRule="auto"/>
        <w:contextualSpacing/>
        <w:rPr>
          <w:rFonts w:cs="Times New Roman"/>
          <w:color w:val="000000"/>
          <w:szCs w:val="24"/>
          <w:shd w:val="clear" w:color="auto" w:fill="FFFFFF"/>
        </w:rPr>
      </w:pPr>
      <w:r w:rsidRPr="008B459E">
        <w:rPr>
          <w:rFonts w:cs="Times New Roman"/>
          <w:color w:val="000000"/>
          <w:szCs w:val="24"/>
          <w:shd w:val="clear" w:color="auto" w:fill="FFFFFF"/>
        </w:rPr>
        <w:t xml:space="preserve">ÚSTAV ZDRAVOTNICKÝCH INFORMACÍ A STATISTIKY V ČR.  </w:t>
      </w:r>
      <w:r w:rsidRPr="008B459E">
        <w:rPr>
          <w:rFonts w:cs="Times New Roman"/>
          <w:i/>
          <w:iCs/>
          <w:color w:val="000000"/>
          <w:szCs w:val="24"/>
          <w:shd w:val="clear" w:color="auto" w:fill="FFFFFF"/>
        </w:rPr>
        <w:t xml:space="preserve">Psychiatrická péče 2010 </w:t>
      </w:r>
      <w:r w:rsidRPr="008B459E">
        <w:rPr>
          <w:rFonts w:cs="Times New Roman"/>
          <w:color w:val="000000"/>
          <w:szCs w:val="24"/>
          <w:shd w:val="clear" w:color="auto" w:fill="FFFFFF"/>
        </w:rPr>
        <w:t>[online]. Praha: UZIS ČR. 2011. [cit. 2012-11-24]. Dostupné z: www.uzis.cz/system/files/psych2010.pdf</w:t>
      </w:r>
    </w:p>
    <w:p w:rsidR="008C13F1" w:rsidRDefault="008C13F1" w:rsidP="008C13F1">
      <w:pPr>
        <w:spacing w:after="200" w:line="276" w:lineRule="auto"/>
        <w:ind w:left="644"/>
        <w:contextualSpacing/>
      </w:pPr>
    </w:p>
    <w:p w:rsidR="008C13F1" w:rsidRPr="008B459E" w:rsidRDefault="008C13F1" w:rsidP="008B459E">
      <w:pPr>
        <w:numPr>
          <w:ilvl w:val="0"/>
          <w:numId w:val="36"/>
        </w:numPr>
        <w:spacing w:after="200" w:line="276" w:lineRule="auto"/>
        <w:contextualSpacing/>
      </w:pPr>
      <w:r w:rsidRPr="008B459E">
        <w:t xml:space="preserve">ÚSTAV ZDRAVOTNICKÝCH INFORMACÍ A STATISTIKY V ČR. </w:t>
      </w:r>
      <w:r w:rsidRPr="008B459E">
        <w:rPr>
          <w:i/>
        </w:rPr>
        <w:t>Poruchy duševní a poruchy chování.</w:t>
      </w:r>
      <w:r w:rsidRPr="008B459E">
        <w:t xml:space="preserve"> [online]. 2013.[cit. 2012-12-16] Dostupné z: http://www.uzis.cz/cz/mkn/F30-F39.html</w:t>
      </w:r>
    </w:p>
    <w:p w:rsidR="008C13F1" w:rsidRDefault="008C13F1" w:rsidP="008B459E">
      <w:pPr>
        <w:spacing w:line="276" w:lineRule="auto"/>
        <w:ind w:left="644"/>
        <w:contextualSpacing/>
        <w:jc w:val="left"/>
      </w:pPr>
      <w:r w:rsidRPr="008B459E">
        <w:t xml:space="preserve">with symptoms that match precipitants. </w:t>
      </w:r>
      <w:r w:rsidRPr="008B459E">
        <w:rPr>
          <w:i/>
        </w:rPr>
        <w:t>Journal of Affective Disorders</w:t>
      </w:r>
      <w:r w:rsidRPr="008B459E">
        <w:t xml:space="preserve">. </w:t>
      </w:r>
      <w:r w:rsidRPr="008B459E">
        <w:rPr>
          <w:rFonts w:cs="Times New Roman"/>
        </w:rPr>
        <w:t>[</w:t>
      </w:r>
      <w:r w:rsidRPr="008B459E">
        <w:t>online</w:t>
      </w:r>
      <w:r w:rsidRPr="008B459E">
        <w:rPr>
          <w:rFonts w:cs="Times New Roman"/>
        </w:rPr>
        <w:t xml:space="preserve">]. 2005, č. 86. </w:t>
      </w:r>
      <w:r w:rsidRPr="008B459E">
        <w:t>[cit. 2012-12-19] Dostupné z: http://www.matthewckeller.com/Keller_Nesse_Evol.Low.Mood_JAD_2005.pdf</w:t>
      </w:r>
    </w:p>
    <w:p w:rsidR="008C13F1" w:rsidRDefault="008C13F1" w:rsidP="008C13F1">
      <w:pPr>
        <w:spacing w:after="200" w:line="276" w:lineRule="auto"/>
        <w:ind w:left="644"/>
        <w:contextualSpacing/>
        <w:jc w:val="left"/>
      </w:pPr>
    </w:p>
    <w:p w:rsidR="008C13F1" w:rsidRDefault="008C13F1" w:rsidP="008B459E">
      <w:pPr>
        <w:numPr>
          <w:ilvl w:val="0"/>
          <w:numId w:val="36"/>
        </w:numPr>
        <w:spacing w:after="200" w:line="276" w:lineRule="auto"/>
        <w:contextualSpacing/>
        <w:jc w:val="left"/>
      </w:pPr>
      <w:r w:rsidRPr="008B459E">
        <w:t>ŽAHOURKOVÁ, A. Bupropion v ambulantní praxi</w:t>
      </w:r>
      <w:r w:rsidRPr="008B459E">
        <w:rPr>
          <w:i/>
        </w:rPr>
        <w:t>.</w:t>
      </w:r>
      <w:r w:rsidRPr="008B459E">
        <w:t xml:space="preserve"> </w:t>
      </w:r>
      <w:r w:rsidRPr="008B459E">
        <w:rPr>
          <w:i/>
        </w:rPr>
        <w:t>Psychiatrie pro praxi</w:t>
      </w:r>
      <w:r w:rsidRPr="008B459E">
        <w:t>. [online]. 2008. č. 3 [cit. 2012-12-16] Dostupné z: http://www.solen.sk/index.php?page=pdf_view&amp;pdf_id=3245&amp;magazine_id=2</w:t>
      </w:r>
    </w:p>
    <w:p w:rsidR="008C13F1" w:rsidRDefault="008C13F1" w:rsidP="008C13F1">
      <w:pPr>
        <w:spacing w:after="200" w:line="276" w:lineRule="auto"/>
        <w:ind w:left="644"/>
        <w:contextualSpacing/>
        <w:rPr>
          <w:rFonts w:cs="Times New Roman"/>
          <w:color w:val="000000"/>
          <w:shd w:val="clear" w:color="auto" w:fill="FFFFFF"/>
        </w:rPr>
      </w:pPr>
    </w:p>
    <w:p w:rsidR="008C13F1" w:rsidRDefault="008C13F1" w:rsidP="008B459E">
      <w:pPr>
        <w:numPr>
          <w:ilvl w:val="0"/>
          <w:numId w:val="36"/>
        </w:numPr>
        <w:spacing w:after="200" w:line="276" w:lineRule="auto"/>
        <w:contextualSpacing/>
        <w:rPr>
          <w:rFonts w:cs="Times New Roman"/>
          <w:color w:val="000000"/>
          <w:shd w:val="clear" w:color="auto" w:fill="FFFFFF"/>
        </w:rPr>
      </w:pPr>
      <w:r w:rsidRPr="008B459E">
        <w:rPr>
          <w:rFonts w:cs="Times New Roman"/>
          <w:color w:val="000000"/>
          <w:shd w:val="clear" w:color="auto" w:fill="FFFFFF"/>
        </w:rPr>
        <w:t xml:space="preserve">ŽOURKOVÁ, A. </w:t>
      </w:r>
      <w:r w:rsidRPr="008B459E">
        <w:rPr>
          <w:rFonts w:cs="Times New Roman"/>
          <w:i/>
          <w:color w:val="000000"/>
          <w:shd w:val="clear" w:color="auto" w:fill="FFFFFF"/>
        </w:rPr>
        <w:t>Antidepresiva: základní údaje a některé praktické poznámky</w:t>
      </w:r>
      <w:r w:rsidRPr="008B459E">
        <w:rPr>
          <w:rFonts w:cs="Times New Roman"/>
          <w:color w:val="000000"/>
          <w:shd w:val="clear" w:color="auto" w:fill="FFFFFF"/>
        </w:rPr>
        <w:t xml:space="preserve">. </w:t>
      </w:r>
      <w:r w:rsidRPr="008B459E">
        <w:rPr>
          <w:color w:val="000000"/>
          <w:shd w:val="clear" w:color="auto" w:fill="FFFFFF"/>
        </w:rPr>
        <w:t>[online].</w:t>
      </w:r>
      <w:r w:rsidRPr="008B459E">
        <w:rPr>
          <w:rFonts w:cs="Times New Roman"/>
          <w:color w:val="000000"/>
          <w:shd w:val="clear" w:color="auto" w:fill="FFFFFF"/>
        </w:rPr>
        <w:t xml:space="preserve"> 2008.</w:t>
      </w:r>
      <w:r w:rsidRPr="008B459E">
        <w:rPr>
          <w:color w:val="000000"/>
          <w:shd w:val="clear" w:color="auto" w:fill="FFFFFF"/>
        </w:rPr>
        <w:t xml:space="preserve"> [cit. 2012-11-22].</w:t>
      </w:r>
      <w:r w:rsidRPr="008B459E">
        <w:rPr>
          <w:rFonts w:cs="Times New Roman"/>
          <w:color w:val="000000"/>
          <w:shd w:val="clear" w:color="auto" w:fill="FFFFFF"/>
        </w:rPr>
        <w:t xml:space="preserve"> Dostupné z: http://zdravi.e15.cz/clanek/priloha-lekarske-listy/antidepresiva-zakladni-udaje-a-nektere-prakticke-poznamky-382725</w:t>
      </w:r>
    </w:p>
    <w:p w:rsidR="008B459E" w:rsidRPr="008B459E" w:rsidRDefault="008B459E" w:rsidP="008B459E">
      <w:pPr>
        <w:spacing w:after="200" w:line="240" w:lineRule="auto"/>
      </w:pPr>
    </w:p>
    <w:p w:rsidR="008C13F1" w:rsidRPr="008C13F1" w:rsidRDefault="008C13F1" w:rsidP="008C13F1">
      <w:pPr>
        <w:spacing w:after="200" w:line="240" w:lineRule="auto"/>
        <w:rPr>
          <w:b/>
        </w:rPr>
      </w:pPr>
      <w:r>
        <w:rPr>
          <w:b/>
        </w:rPr>
        <w:t>Odborné časopisy:</w:t>
      </w:r>
    </w:p>
    <w:p w:rsidR="008C13F1" w:rsidRDefault="008C13F1" w:rsidP="008B459E">
      <w:pPr>
        <w:numPr>
          <w:ilvl w:val="0"/>
          <w:numId w:val="37"/>
        </w:numPr>
        <w:spacing w:after="200" w:line="276" w:lineRule="auto"/>
        <w:contextualSpacing/>
        <w:rPr>
          <w:rFonts w:ascii="Lucida Sans Unicode" w:hAnsi="Lucida Sans Unicode" w:cs="Lucida Sans Unicode"/>
          <w:color w:val="000000"/>
          <w:shd w:val="clear" w:color="auto" w:fill="FFFFFF"/>
        </w:rPr>
      </w:pPr>
      <w:r w:rsidRPr="008B459E">
        <w:t xml:space="preserve">ČÉŠKOVÁ, E. 2007. Jak správně zvolit antidepresivum. </w:t>
      </w:r>
      <w:r w:rsidRPr="008B459E">
        <w:rPr>
          <w:i/>
        </w:rPr>
        <w:t>Psychiatrie pro praxi</w:t>
      </w:r>
      <w:r w:rsidRPr="008B459E">
        <w:t xml:space="preserve">. roč. 5, č. 8, s. 240-244. ISSN: </w:t>
      </w:r>
      <w:r w:rsidRPr="008B459E">
        <w:rPr>
          <w:rFonts w:cs="Times New Roman"/>
          <w:color w:val="000000"/>
          <w:szCs w:val="24"/>
          <w:shd w:val="clear" w:color="auto" w:fill="FFFFFF"/>
        </w:rPr>
        <w:t>1213-0508</w:t>
      </w:r>
      <w:r w:rsidRPr="008B459E">
        <w:rPr>
          <w:rFonts w:ascii="Lucida Sans Unicode" w:hAnsi="Lucida Sans Unicode" w:cs="Lucida Sans Unicode"/>
          <w:color w:val="000000"/>
          <w:shd w:val="clear" w:color="auto" w:fill="FFFFFF"/>
        </w:rPr>
        <w:t>.</w:t>
      </w:r>
    </w:p>
    <w:p w:rsidR="008C13F1" w:rsidRPr="008C13F1" w:rsidRDefault="008C13F1" w:rsidP="008C13F1">
      <w:pPr>
        <w:spacing w:after="200" w:line="276" w:lineRule="auto"/>
        <w:ind w:left="720"/>
        <w:contextualSpacing/>
      </w:pPr>
    </w:p>
    <w:p w:rsidR="008C13F1" w:rsidRPr="008B459E" w:rsidRDefault="008C13F1" w:rsidP="008B459E">
      <w:pPr>
        <w:numPr>
          <w:ilvl w:val="0"/>
          <w:numId w:val="37"/>
        </w:numPr>
        <w:spacing w:after="200" w:line="276" w:lineRule="auto"/>
        <w:contextualSpacing/>
      </w:pPr>
      <w:r w:rsidRPr="008B459E">
        <w:rPr>
          <w:rFonts w:cs="Times New Roman"/>
          <w:color w:val="000000"/>
          <w:shd w:val="clear" w:color="auto" w:fill="FFFFFF"/>
        </w:rPr>
        <w:t xml:space="preserve">ČÉŠKOVÁ, E. 2008. Individualizovaná léčba deprese ve světle současných doporučených postupů. </w:t>
      </w:r>
      <w:r w:rsidRPr="008B459E">
        <w:rPr>
          <w:rFonts w:cs="Times New Roman"/>
          <w:i/>
          <w:color w:val="000000"/>
          <w:shd w:val="clear" w:color="auto" w:fill="FFFFFF"/>
        </w:rPr>
        <w:t>Psychiatrie pro praxi</w:t>
      </w:r>
      <w:r w:rsidRPr="008B459E">
        <w:rPr>
          <w:rFonts w:cs="Times New Roman"/>
          <w:color w:val="000000"/>
          <w:shd w:val="clear" w:color="auto" w:fill="FFFFFF"/>
        </w:rPr>
        <w:t>. roč. 5, č. 9 s. 216-219. ISSN:</w:t>
      </w:r>
      <w:r w:rsidRPr="008B459E">
        <w:rPr>
          <w:rFonts w:cs="Times New Roman"/>
          <w:color w:val="000000"/>
          <w:szCs w:val="24"/>
          <w:shd w:val="clear" w:color="auto" w:fill="FFFFFF"/>
        </w:rPr>
        <w:t xml:space="preserve"> 1213-0508.</w:t>
      </w:r>
      <w:r w:rsidRPr="008B459E">
        <w:rPr>
          <w:rFonts w:ascii="Lucida Sans Unicode" w:hAnsi="Lucida Sans Unicode" w:cs="Lucida Sans Unicode"/>
          <w:color w:val="000000"/>
          <w:shd w:val="clear" w:color="auto" w:fill="FFFFFF"/>
        </w:rPr>
        <w:t> </w:t>
      </w:r>
    </w:p>
    <w:p w:rsidR="008C13F1" w:rsidRPr="008C13F1" w:rsidRDefault="008C13F1" w:rsidP="008C13F1">
      <w:pPr>
        <w:spacing w:after="200" w:line="276" w:lineRule="auto"/>
        <w:ind w:left="720"/>
        <w:contextualSpacing/>
        <w:rPr>
          <w:rFonts w:ascii="Lucida Sans Unicode" w:hAnsi="Lucida Sans Unicode" w:cs="Lucida Sans Unicode"/>
          <w:color w:val="000000"/>
          <w:shd w:val="clear" w:color="auto" w:fill="FFFFFF"/>
        </w:rPr>
      </w:pPr>
    </w:p>
    <w:p w:rsidR="008C13F1" w:rsidRPr="004F59DF" w:rsidRDefault="008C13F1" w:rsidP="008B459E">
      <w:pPr>
        <w:numPr>
          <w:ilvl w:val="0"/>
          <w:numId w:val="37"/>
        </w:numPr>
        <w:spacing w:after="200" w:line="276" w:lineRule="auto"/>
        <w:contextualSpacing/>
        <w:rPr>
          <w:rFonts w:ascii="Lucida Sans Unicode" w:hAnsi="Lucida Sans Unicode" w:cs="Lucida Sans Unicode"/>
          <w:color w:val="000000"/>
          <w:shd w:val="clear" w:color="auto" w:fill="FFFFFF"/>
        </w:rPr>
      </w:pPr>
      <w:r w:rsidRPr="008B459E">
        <w:t xml:space="preserve">FUJÁKOVÁ, M., KOPEČEK, M. 2012. Antidepresiva od teorie ke klinické praxi. </w:t>
      </w:r>
      <w:r w:rsidRPr="008B459E">
        <w:rPr>
          <w:i/>
        </w:rPr>
        <w:t xml:space="preserve">Klinická farmakologie a farmacie. </w:t>
      </w:r>
      <w:r w:rsidRPr="008B459E">
        <w:t>roč. 26, č. 1, s. 29-37. ISSN:</w:t>
      </w:r>
      <w:r w:rsidRPr="008B459E">
        <w:rPr>
          <w:rFonts w:cs="Times New Roman"/>
          <w:color w:val="000000"/>
          <w:szCs w:val="24"/>
          <w:shd w:val="clear" w:color="auto" w:fill="FFFFFF"/>
        </w:rPr>
        <w:t xml:space="preserve"> 1212-7973</w:t>
      </w:r>
      <w:r>
        <w:rPr>
          <w:rFonts w:cs="Times New Roman"/>
          <w:color w:val="000000"/>
          <w:szCs w:val="24"/>
          <w:shd w:val="clear" w:color="auto" w:fill="FFFFFF"/>
        </w:rPr>
        <w:t>.</w:t>
      </w:r>
    </w:p>
    <w:p w:rsidR="008C13F1" w:rsidRDefault="008C13F1" w:rsidP="008C13F1">
      <w:pPr>
        <w:spacing w:after="200" w:line="276" w:lineRule="auto"/>
        <w:ind w:left="720"/>
        <w:contextualSpacing/>
      </w:pPr>
    </w:p>
    <w:p w:rsidR="008C13F1" w:rsidRPr="004F59DF" w:rsidRDefault="008C13F1" w:rsidP="008B459E">
      <w:pPr>
        <w:numPr>
          <w:ilvl w:val="0"/>
          <w:numId w:val="37"/>
        </w:numPr>
        <w:spacing w:after="200" w:line="276" w:lineRule="auto"/>
        <w:contextualSpacing/>
      </w:pPr>
      <w:r w:rsidRPr="008B459E">
        <w:t>KOSOVÁ, J. 2004. Vysazení medikace u úzkostných a afektivních poruch</w:t>
      </w:r>
      <w:r w:rsidRPr="008B459E">
        <w:rPr>
          <w:i/>
        </w:rPr>
        <w:t>.</w:t>
      </w:r>
      <w:r w:rsidRPr="008B459E">
        <w:t xml:space="preserve"> </w:t>
      </w:r>
      <w:r w:rsidRPr="008B459E">
        <w:rPr>
          <w:i/>
        </w:rPr>
        <w:t>Psychiatrie pro praxi</w:t>
      </w:r>
      <w:r w:rsidRPr="008B459E">
        <w:t xml:space="preserve">. roč. 4 č. 2. s. 67-71. ISSN: </w:t>
      </w:r>
      <w:r w:rsidRPr="008B459E">
        <w:rPr>
          <w:rFonts w:cs="Times New Roman"/>
          <w:color w:val="000000"/>
          <w:szCs w:val="24"/>
          <w:shd w:val="clear" w:color="auto" w:fill="FFFFFF"/>
        </w:rPr>
        <w:t>1213-0508</w:t>
      </w:r>
      <w:r>
        <w:rPr>
          <w:rFonts w:cs="Times New Roman"/>
          <w:color w:val="000000"/>
          <w:szCs w:val="24"/>
          <w:shd w:val="clear" w:color="auto" w:fill="FFFFFF"/>
        </w:rPr>
        <w:t>.</w:t>
      </w:r>
    </w:p>
    <w:p w:rsidR="008C13F1" w:rsidRPr="008C13F1" w:rsidRDefault="008C13F1" w:rsidP="008C13F1">
      <w:pPr>
        <w:spacing w:after="200" w:line="276" w:lineRule="auto"/>
        <w:ind w:left="720"/>
        <w:contextualSpacing/>
        <w:rPr>
          <w:rFonts w:ascii="Lucida Sans Unicode" w:hAnsi="Lucida Sans Unicode" w:cs="Lucida Sans Unicode"/>
          <w:color w:val="000000"/>
          <w:shd w:val="clear" w:color="auto" w:fill="FFFFFF"/>
        </w:rPr>
      </w:pPr>
    </w:p>
    <w:p w:rsidR="008C13F1" w:rsidRDefault="008C13F1" w:rsidP="008B459E">
      <w:pPr>
        <w:numPr>
          <w:ilvl w:val="0"/>
          <w:numId w:val="37"/>
        </w:numPr>
        <w:spacing w:after="200" w:line="276" w:lineRule="auto"/>
        <w:contextualSpacing/>
        <w:rPr>
          <w:rFonts w:ascii="Lucida Sans Unicode" w:hAnsi="Lucida Sans Unicode" w:cs="Lucida Sans Unicode"/>
          <w:color w:val="000000"/>
          <w:shd w:val="clear" w:color="auto" w:fill="FFFFFF"/>
        </w:rPr>
      </w:pPr>
      <w:r w:rsidRPr="008B459E">
        <w:t xml:space="preserve">MORAVEC, K. 2005. Mirtazapin v ambulantní praxi-24 měsíční zkušenost. </w:t>
      </w:r>
      <w:r w:rsidRPr="008B459E">
        <w:rPr>
          <w:i/>
        </w:rPr>
        <w:t>Psychiatrie pro praxi.</w:t>
      </w:r>
      <w:r w:rsidRPr="008B459E">
        <w:t xml:space="preserve">  roč. 6, č. 2, s. 106-107. ISSN: </w:t>
      </w:r>
      <w:r w:rsidRPr="008B459E">
        <w:rPr>
          <w:rFonts w:cs="Times New Roman"/>
          <w:color w:val="000000"/>
          <w:szCs w:val="24"/>
          <w:shd w:val="clear" w:color="auto" w:fill="FFFFFF"/>
        </w:rPr>
        <w:t>1213-0508</w:t>
      </w:r>
      <w:r>
        <w:rPr>
          <w:rFonts w:cs="Times New Roman"/>
          <w:color w:val="000000"/>
          <w:szCs w:val="24"/>
          <w:shd w:val="clear" w:color="auto" w:fill="FFFFFF"/>
        </w:rPr>
        <w:t>.</w:t>
      </w:r>
      <w:r w:rsidRPr="008B459E">
        <w:rPr>
          <w:rFonts w:ascii="Lucida Sans Unicode" w:hAnsi="Lucida Sans Unicode" w:cs="Lucida Sans Unicode"/>
          <w:color w:val="000000"/>
          <w:shd w:val="clear" w:color="auto" w:fill="FFFFFF"/>
        </w:rPr>
        <w:t> </w:t>
      </w:r>
    </w:p>
    <w:p w:rsidR="008C13F1" w:rsidRDefault="008C13F1" w:rsidP="008B459E">
      <w:pPr>
        <w:numPr>
          <w:ilvl w:val="0"/>
          <w:numId w:val="37"/>
        </w:numPr>
        <w:spacing w:after="200" w:line="276" w:lineRule="auto"/>
        <w:contextualSpacing/>
      </w:pPr>
      <w:r w:rsidRPr="008B459E">
        <w:lastRenderedPageBreak/>
        <w:t xml:space="preserve">PREISS, M. VRANÁ, K. KUCHAŘOVÁ, J. 2010.  Depresivita a úzkost v průběhu života v návaznosti na pojetí Václava Příhody. </w:t>
      </w:r>
      <w:r w:rsidRPr="008B459E">
        <w:rPr>
          <w:i/>
        </w:rPr>
        <w:t>Československá psychologie</w:t>
      </w:r>
      <w:r w:rsidRPr="008B459E">
        <w:t xml:space="preserve">. roč. 54, č. 4, s. 357-365. ISSN: 0009-062X. </w:t>
      </w:r>
    </w:p>
    <w:p w:rsidR="008C13F1" w:rsidRDefault="008C13F1" w:rsidP="008C13F1">
      <w:pPr>
        <w:spacing w:after="200" w:line="276" w:lineRule="auto"/>
        <w:ind w:left="720"/>
        <w:contextualSpacing/>
      </w:pPr>
    </w:p>
    <w:p w:rsidR="008C13F1" w:rsidRDefault="008C13F1" w:rsidP="008B459E">
      <w:pPr>
        <w:numPr>
          <w:ilvl w:val="0"/>
          <w:numId w:val="37"/>
        </w:numPr>
        <w:spacing w:after="200" w:line="276" w:lineRule="auto"/>
        <w:contextualSpacing/>
      </w:pPr>
      <w:r>
        <w:t>RABOCH, J</w:t>
      </w:r>
      <w:r w:rsidRPr="008B459E">
        <w:t xml:space="preserve">. 2012. Od politiky k sociálnímu kontextu a přes neurovědy až po fenomenologii. </w:t>
      </w:r>
      <w:r w:rsidRPr="008B459E">
        <w:rPr>
          <w:i/>
        </w:rPr>
        <w:t xml:space="preserve">Lékařské listy. </w:t>
      </w:r>
      <w:r w:rsidRPr="008B459E">
        <w:t>roč. 13, č. 6, s. 24-25. ISSN: 1805-2355.</w:t>
      </w:r>
    </w:p>
    <w:p w:rsidR="008C13F1" w:rsidRDefault="008C13F1" w:rsidP="008C13F1">
      <w:pPr>
        <w:spacing w:after="200" w:line="240" w:lineRule="auto"/>
        <w:ind w:left="720"/>
        <w:contextualSpacing/>
      </w:pPr>
    </w:p>
    <w:p w:rsidR="008C13F1" w:rsidRPr="008B459E" w:rsidRDefault="008C13F1" w:rsidP="008B459E">
      <w:pPr>
        <w:numPr>
          <w:ilvl w:val="0"/>
          <w:numId w:val="37"/>
        </w:numPr>
        <w:spacing w:after="200" w:line="240" w:lineRule="auto"/>
        <w:contextualSpacing/>
      </w:pPr>
      <w:r w:rsidRPr="008B459E">
        <w:t xml:space="preserve">ROUBAL, J. 2005. Gestalt přístup v terapii deprese. </w:t>
      </w:r>
      <w:r w:rsidRPr="008B459E">
        <w:rPr>
          <w:i/>
        </w:rPr>
        <w:t>Praktický lékař</w:t>
      </w:r>
      <w:r w:rsidRPr="008B459E">
        <w:t>. roč. 2, č. 85, str. 118-120. ISSN: 0032-6739.</w:t>
      </w:r>
    </w:p>
    <w:p w:rsidR="008C13F1" w:rsidRDefault="008C13F1" w:rsidP="008C13F1">
      <w:pPr>
        <w:spacing w:after="200" w:line="276" w:lineRule="auto"/>
        <w:ind w:left="720"/>
        <w:contextualSpacing/>
        <w:jc w:val="left"/>
        <w:rPr>
          <w:color w:val="000000"/>
          <w:shd w:val="clear" w:color="auto" w:fill="FFFFFF"/>
        </w:rPr>
      </w:pPr>
    </w:p>
    <w:p w:rsidR="008C13F1" w:rsidRDefault="008C13F1" w:rsidP="008B459E">
      <w:pPr>
        <w:numPr>
          <w:ilvl w:val="0"/>
          <w:numId w:val="37"/>
        </w:numPr>
        <w:spacing w:after="200" w:line="276" w:lineRule="auto"/>
        <w:contextualSpacing/>
        <w:jc w:val="left"/>
        <w:rPr>
          <w:color w:val="000000"/>
          <w:shd w:val="clear" w:color="auto" w:fill="FFFFFF"/>
        </w:rPr>
      </w:pPr>
      <w:r w:rsidRPr="008B459E">
        <w:rPr>
          <w:color w:val="000000"/>
          <w:shd w:val="clear" w:color="auto" w:fill="FFFFFF"/>
        </w:rPr>
        <w:t>SKODOL, Andrew E. 2011. Relationship of Personality Disorders to the Course of Major Depressive Disorder in a Nationally Representative Sample. </w:t>
      </w:r>
      <w:r w:rsidRPr="008B459E">
        <w:rPr>
          <w:i/>
          <w:iCs/>
          <w:color w:val="000000"/>
          <w:shd w:val="clear" w:color="auto" w:fill="FFFFFF"/>
        </w:rPr>
        <w:t>The American Journal of Psychiatry</w:t>
      </w:r>
      <w:r w:rsidRPr="008B459E">
        <w:rPr>
          <w:color w:val="000000"/>
          <w:shd w:val="clear" w:color="auto" w:fill="FFFFFF"/>
        </w:rPr>
        <w:t>. roč. 168, č. 3, str. 257-264. ISSN: 1535-7228.</w:t>
      </w:r>
    </w:p>
    <w:p w:rsidR="008B459E" w:rsidRDefault="008B459E" w:rsidP="008B459E">
      <w:pPr>
        <w:spacing w:after="200" w:line="240" w:lineRule="auto"/>
      </w:pPr>
    </w:p>
    <w:p w:rsidR="004F59DF" w:rsidRDefault="004F59DF" w:rsidP="008B459E">
      <w:pPr>
        <w:spacing w:after="200" w:line="240" w:lineRule="auto"/>
      </w:pPr>
    </w:p>
    <w:p w:rsidR="004F59DF" w:rsidRDefault="004F59DF" w:rsidP="008B459E">
      <w:pPr>
        <w:spacing w:after="200" w:line="240" w:lineRule="auto"/>
      </w:pPr>
    </w:p>
    <w:p w:rsidR="004F59DF" w:rsidRDefault="004F59DF" w:rsidP="008B459E">
      <w:pPr>
        <w:spacing w:after="200" w:line="240" w:lineRule="auto"/>
      </w:pPr>
    </w:p>
    <w:p w:rsidR="004F59DF" w:rsidRDefault="004F59DF" w:rsidP="008B459E">
      <w:pPr>
        <w:spacing w:after="200" w:line="240" w:lineRule="auto"/>
      </w:pPr>
    </w:p>
    <w:p w:rsidR="004F59DF" w:rsidRDefault="004F59DF" w:rsidP="008B459E">
      <w:pPr>
        <w:spacing w:after="200" w:line="240" w:lineRule="auto"/>
      </w:pPr>
    </w:p>
    <w:p w:rsidR="00267359" w:rsidRDefault="00267359" w:rsidP="008B459E">
      <w:pPr>
        <w:spacing w:after="200" w:line="240" w:lineRule="auto"/>
      </w:pPr>
    </w:p>
    <w:p w:rsidR="00267359" w:rsidRDefault="00267359">
      <w:pPr>
        <w:spacing w:line="240" w:lineRule="auto"/>
        <w:jc w:val="left"/>
      </w:pPr>
      <w:r>
        <w:br w:type="page"/>
      </w:r>
    </w:p>
    <w:p w:rsidR="00170DCB" w:rsidRDefault="00267359" w:rsidP="00267359">
      <w:pPr>
        <w:pStyle w:val="Nadpis6"/>
      </w:pPr>
      <w:bookmarkStart w:id="101" w:name="_Toc353433218"/>
      <w:r>
        <w:lastRenderedPageBreak/>
        <w:t>Seznam použitých zkratek</w:t>
      </w:r>
      <w:bookmarkEnd w:id="101"/>
    </w:p>
    <w:p w:rsidR="00170DCB" w:rsidRDefault="00170DCB" w:rsidP="00170DCB">
      <w:r w:rsidRPr="006928C7">
        <w:rPr>
          <w:b/>
        </w:rPr>
        <w:t>USA</w:t>
      </w:r>
      <w:r w:rsidR="00A50671">
        <w:t xml:space="preserve"> – Spojené </w:t>
      </w:r>
      <w:r w:rsidR="006928C7">
        <w:t>státy a</w:t>
      </w:r>
      <w:r w:rsidR="00A50671">
        <w:t>merické</w:t>
      </w:r>
    </w:p>
    <w:p w:rsidR="00170DCB" w:rsidRDefault="00170DCB" w:rsidP="00170DCB">
      <w:r w:rsidRPr="006928C7">
        <w:rPr>
          <w:b/>
        </w:rPr>
        <w:t>MKN</w:t>
      </w:r>
      <w:r w:rsidR="00A50671" w:rsidRPr="006928C7">
        <w:rPr>
          <w:b/>
        </w:rPr>
        <w:t xml:space="preserve">- </w:t>
      </w:r>
      <w:r w:rsidR="00A50671">
        <w:t>Mezinárodní klasifikace nemocí</w:t>
      </w:r>
    </w:p>
    <w:p w:rsidR="00170DCB" w:rsidRPr="00170DCB" w:rsidRDefault="00170DCB" w:rsidP="00170DCB">
      <w:r w:rsidRPr="006928C7">
        <w:rPr>
          <w:b/>
        </w:rPr>
        <w:t>DSM IV</w:t>
      </w:r>
      <w:r>
        <w:t>.</w:t>
      </w:r>
      <w:r w:rsidR="00A50671">
        <w:t xml:space="preserve"> </w:t>
      </w:r>
      <w:r w:rsidR="006928C7">
        <w:t>– diagnostic and statistical manual IV.</w:t>
      </w:r>
    </w:p>
    <w:p w:rsidR="00170DCB" w:rsidRDefault="00170DCB" w:rsidP="00170DCB">
      <w:r w:rsidRPr="006928C7">
        <w:rPr>
          <w:b/>
        </w:rPr>
        <w:t>ÚZIS</w:t>
      </w:r>
      <w:r w:rsidR="00A50671">
        <w:t>-</w:t>
      </w:r>
      <w:r w:rsidR="006928C7">
        <w:t>Ústav zdravotnické informační statistiky</w:t>
      </w:r>
    </w:p>
    <w:p w:rsidR="00170DCB" w:rsidRPr="000105B2" w:rsidRDefault="00170DCB" w:rsidP="00170DCB">
      <w:r w:rsidRPr="006928C7">
        <w:rPr>
          <w:b/>
        </w:rPr>
        <w:t>EEG</w:t>
      </w:r>
      <w:r w:rsidR="006928C7">
        <w:t xml:space="preserve">- </w:t>
      </w:r>
      <w:r w:rsidR="000105B2" w:rsidRPr="000105B2">
        <w:t>elektroencefalograf</w:t>
      </w:r>
    </w:p>
    <w:p w:rsidR="00170DCB" w:rsidRPr="000105B2" w:rsidRDefault="00170DCB" w:rsidP="00170DCB">
      <w:r w:rsidRPr="006928C7">
        <w:rPr>
          <w:b/>
        </w:rPr>
        <w:t>CT</w:t>
      </w:r>
      <w:r w:rsidR="006928C7">
        <w:t xml:space="preserve"> </w:t>
      </w:r>
      <w:r w:rsidR="000105B2" w:rsidRPr="000105B2">
        <w:t>– počítačová tomografie</w:t>
      </w:r>
    </w:p>
    <w:p w:rsidR="00170DCB" w:rsidRDefault="00170DCB" w:rsidP="00170DCB">
      <w:r w:rsidRPr="006928C7">
        <w:rPr>
          <w:b/>
        </w:rPr>
        <w:t>MR</w:t>
      </w:r>
      <w:r w:rsidR="006928C7">
        <w:t xml:space="preserve">- </w:t>
      </w:r>
      <w:r w:rsidR="000105B2" w:rsidRPr="000105B2">
        <w:t>magnetická rezonance</w:t>
      </w:r>
    </w:p>
    <w:p w:rsidR="00170DCB" w:rsidRDefault="00170DCB" w:rsidP="00170DCB">
      <w:r w:rsidRPr="006928C7">
        <w:rPr>
          <w:b/>
        </w:rPr>
        <w:t>PET</w:t>
      </w:r>
      <w:r w:rsidR="006928C7" w:rsidRPr="006928C7">
        <w:rPr>
          <w:b/>
        </w:rPr>
        <w:t xml:space="preserve"> </w:t>
      </w:r>
      <w:r w:rsidR="006928C7">
        <w:t>–</w:t>
      </w:r>
      <w:r w:rsidR="000105B2">
        <w:t xml:space="preserve"> </w:t>
      </w:r>
      <w:r w:rsidR="000105B2" w:rsidRPr="000105B2">
        <w:t>pozitronová emisní tomografie</w:t>
      </w:r>
    </w:p>
    <w:p w:rsidR="00170DCB" w:rsidRDefault="00170DCB" w:rsidP="00170DCB">
      <w:r w:rsidRPr="006928C7">
        <w:rPr>
          <w:b/>
        </w:rPr>
        <w:t>KBT</w:t>
      </w:r>
      <w:r w:rsidR="006928C7">
        <w:t xml:space="preserve"> – </w:t>
      </w:r>
      <w:r w:rsidR="000105B2" w:rsidRPr="000105B2">
        <w:t>kognitivně- behaviorální terapie</w:t>
      </w:r>
    </w:p>
    <w:p w:rsidR="00170DCB" w:rsidRDefault="00170DCB" w:rsidP="00170DCB">
      <w:r w:rsidRPr="006928C7">
        <w:rPr>
          <w:b/>
        </w:rPr>
        <w:t>IPT</w:t>
      </w:r>
      <w:r w:rsidR="006928C7">
        <w:t xml:space="preserve"> – individuální podpůrná terapie</w:t>
      </w:r>
    </w:p>
    <w:p w:rsidR="00170DCB" w:rsidRDefault="00170DCB" w:rsidP="00170DCB">
      <w:r w:rsidRPr="006928C7">
        <w:rPr>
          <w:b/>
        </w:rPr>
        <w:t>TMS</w:t>
      </w:r>
      <w:r w:rsidR="006928C7">
        <w:t xml:space="preserve"> – transkraniální magnetická stimulace</w:t>
      </w:r>
    </w:p>
    <w:p w:rsidR="00170DCB" w:rsidRDefault="00170DCB" w:rsidP="00170DCB">
      <w:r w:rsidRPr="006928C7">
        <w:rPr>
          <w:b/>
        </w:rPr>
        <w:t>ČR</w:t>
      </w:r>
      <w:r w:rsidR="006928C7">
        <w:t xml:space="preserve"> – Česká republika</w:t>
      </w:r>
    </w:p>
    <w:p w:rsidR="00170DCB" w:rsidRDefault="00170DCB" w:rsidP="00170DCB">
      <w:r w:rsidRPr="006928C7">
        <w:rPr>
          <w:b/>
        </w:rPr>
        <w:t>ICHS</w:t>
      </w:r>
      <w:r w:rsidR="006928C7" w:rsidRPr="006928C7">
        <w:rPr>
          <w:b/>
        </w:rPr>
        <w:t xml:space="preserve"> </w:t>
      </w:r>
      <w:r w:rsidR="006928C7">
        <w:t>– ischemická choroba srdeční</w:t>
      </w:r>
    </w:p>
    <w:p w:rsidR="00170DCB" w:rsidRDefault="00170DCB" w:rsidP="00170DCB">
      <w:r w:rsidRPr="006928C7">
        <w:rPr>
          <w:b/>
        </w:rPr>
        <w:t>SSRI</w:t>
      </w:r>
      <w:r w:rsidR="006928C7" w:rsidRPr="006928C7">
        <w:rPr>
          <w:b/>
        </w:rPr>
        <w:t xml:space="preserve"> </w:t>
      </w:r>
      <w:r w:rsidR="006928C7">
        <w:t>– selektivní inhibitory zpětného vychytávání serotoninu</w:t>
      </w:r>
    </w:p>
    <w:p w:rsidR="00170DCB" w:rsidRDefault="00170DCB" w:rsidP="00170DCB">
      <w:r w:rsidRPr="006928C7">
        <w:rPr>
          <w:b/>
        </w:rPr>
        <w:t>SARI</w:t>
      </w:r>
      <w:r w:rsidR="006928C7" w:rsidRPr="006928C7">
        <w:rPr>
          <w:b/>
        </w:rPr>
        <w:t xml:space="preserve"> </w:t>
      </w:r>
      <w:r w:rsidR="006928C7">
        <w:t>– serotoninový antagonista a inhibitor reuptake serotoninu</w:t>
      </w:r>
    </w:p>
    <w:p w:rsidR="00170DCB" w:rsidRDefault="00170DCB" w:rsidP="00170DCB">
      <w:r w:rsidRPr="006928C7">
        <w:rPr>
          <w:b/>
        </w:rPr>
        <w:t>NARI</w:t>
      </w:r>
      <w:r w:rsidR="006928C7">
        <w:t xml:space="preserve"> – inhibitor zpětného vychytávání noradrenalinu</w:t>
      </w:r>
    </w:p>
    <w:p w:rsidR="00170DCB" w:rsidRDefault="00170DCB" w:rsidP="00170DCB">
      <w:r w:rsidRPr="006928C7">
        <w:rPr>
          <w:b/>
        </w:rPr>
        <w:t>TCA</w:t>
      </w:r>
      <w:r w:rsidR="006928C7">
        <w:t xml:space="preserve"> – tricyklická antidepresiva</w:t>
      </w:r>
    </w:p>
    <w:p w:rsidR="00170DCB" w:rsidRDefault="00170DCB" w:rsidP="00170DCB">
      <w:r w:rsidRPr="006928C7">
        <w:rPr>
          <w:b/>
        </w:rPr>
        <w:t>SNRI</w:t>
      </w:r>
      <w:r w:rsidR="006928C7">
        <w:t xml:space="preserve"> – inhibitor zpětného vychytávání noradrenalinu a dopaminu</w:t>
      </w:r>
    </w:p>
    <w:p w:rsidR="00170DCB" w:rsidRDefault="00170DCB" w:rsidP="00170DCB">
      <w:r w:rsidRPr="006928C7">
        <w:rPr>
          <w:b/>
        </w:rPr>
        <w:t>NASSA</w:t>
      </w:r>
      <w:r w:rsidR="006928C7">
        <w:t xml:space="preserve"> – noradrenergní a specifická serotoninergní antidepresiva</w:t>
      </w:r>
    </w:p>
    <w:p w:rsidR="00170DCB" w:rsidRDefault="00170DCB" w:rsidP="00170DCB">
      <w:r w:rsidRPr="006928C7">
        <w:rPr>
          <w:b/>
        </w:rPr>
        <w:t>NDR</w:t>
      </w:r>
      <w:r>
        <w:t>I</w:t>
      </w:r>
      <w:r w:rsidR="006928C7">
        <w:t xml:space="preserve"> – inhibitor zpětného vychytávání noradrenalinu a dopaminu</w:t>
      </w:r>
    </w:p>
    <w:p w:rsidR="00170DCB" w:rsidRDefault="00170DCB" w:rsidP="00170DCB">
      <w:r w:rsidRPr="006928C7">
        <w:rPr>
          <w:b/>
        </w:rPr>
        <w:t>IMAO</w:t>
      </w:r>
      <w:r w:rsidR="006928C7">
        <w:t xml:space="preserve"> – inhibitory monoaminooxidázy</w:t>
      </w:r>
    </w:p>
    <w:p w:rsidR="00170DCB" w:rsidRDefault="00170DCB" w:rsidP="00170DCB">
      <w:r w:rsidRPr="006928C7">
        <w:rPr>
          <w:b/>
        </w:rPr>
        <w:t>BDI</w:t>
      </w:r>
      <w:r w:rsidR="006928C7">
        <w:t xml:space="preserve"> – Beckova posuzovací škála</w:t>
      </w:r>
    </w:p>
    <w:p w:rsidR="00170DCB" w:rsidRDefault="00170DCB" w:rsidP="00170DCB">
      <w:r w:rsidRPr="006928C7">
        <w:rPr>
          <w:b/>
        </w:rPr>
        <w:t>RIMA</w:t>
      </w:r>
      <w:r w:rsidR="006928C7">
        <w:t xml:space="preserve"> -  reuptake inhibior monoaminooxidázy</w:t>
      </w:r>
    </w:p>
    <w:p w:rsidR="00170DCB" w:rsidRDefault="00170DCB" w:rsidP="00170DCB">
      <w:r w:rsidRPr="006928C7">
        <w:rPr>
          <w:b/>
        </w:rPr>
        <w:t>SRE</w:t>
      </w:r>
      <w:r w:rsidR="006928C7">
        <w:t xml:space="preserve"> – stimulanty zpětného vychytávání serotoninu</w:t>
      </w:r>
    </w:p>
    <w:p w:rsidR="00170DCB" w:rsidRPr="006928C7" w:rsidRDefault="00170DCB" w:rsidP="00170DCB">
      <w:pPr>
        <w:rPr>
          <w:b/>
        </w:rPr>
      </w:pPr>
      <w:r w:rsidRPr="006928C7">
        <w:rPr>
          <w:b/>
        </w:rPr>
        <w:t>RUI</w:t>
      </w:r>
      <w:r w:rsidR="006928C7" w:rsidRPr="006928C7">
        <w:rPr>
          <w:b/>
        </w:rPr>
        <w:t xml:space="preserve"> – </w:t>
      </w:r>
      <w:r w:rsidR="006928C7" w:rsidRPr="006928C7">
        <w:t>reuptake inhibitory</w:t>
      </w:r>
    </w:p>
    <w:p w:rsidR="006928C7" w:rsidRDefault="00170DCB" w:rsidP="00170DCB">
      <w:r w:rsidRPr="006928C7">
        <w:rPr>
          <w:b/>
        </w:rPr>
        <w:t>MASSA</w:t>
      </w:r>
      <w:r w:rsidR="006928C7">
        <w:t xml:space="preserve"> – agonisté melatoninových receptorů a antagonisté serotoninových receptorů</w:t>
      </w:r>
    </w:p>
    <w:p w:rsidR="00170DCB" w:rsidRPr="00170DCB" w:rsidRDefault="006928C7" w:rsidP="00170DCB">
      <w:r w:rsidRPr="006928C7">
        <w:rPr>
          <w:b/>
        </w:rPr>
        <w:t>SÚKL</w:t>
      </w:r>
      <w:r>
        <w:t>- Státní ústav pro kontrolu léčiv</w:t>
      </w:r>
      <w:r w:rsidR="00170DCB">
        <w:br w:type="page"/>
      </w:r>
    </w:p>
    <w:p w:rsidR="00170DCB" w:rsidRPr="00170DCB" w:rsidRDefault="00170DCB" w:rsidP="00170DCB">
      <w:pPr>
        <w:pStyle w:val="Nadpis6"/>
      </w:pPr>
      <w:bookmarkStart w:id="102" w:name="_Toc353433219"/>
      <w:r w:rsidRPr="00170DCB">
        <w:lastRenderedPageBreak/>
        <w:t>Seznam tabulek</w:t>
      </w:r>
      <w:bookmarkEnd w:id="102"/>
    </w:p>
    <w:p w:rsidR="00170DCB" w:rsidRDefault="00170DCB" w:rsidP="00170DCB">
      <w:r w:rsidRPr="000105B2">
        <w:rPr>
          <w:b/>
        </w:rPr>
        <w:t>Tabulka 1:</w:t>
      </w:r>
      <w:r>
        <w:t xml:space="preserve"> Vznik psychických onemocnění</w:t>
      </w:r>
    </w:p>
    <w:p w:rsidR="00170DCB" w:rsidRDefault="00170DCB" w:rsidP="00170DCB">
      <w:r w:rsidRPr="000105B2">
        <w:rPr>
          <w:b/>
        </w:rPr>
        <w:t>Tabulka 2</w:t>
      </w:r>
      <w:r>
        <w:t>: Jak se cítím</w:t>
      </w:r>
    </w:p>
    <w:p w:rsidR="00170DCB" w:rsidRDefault="00170DCB" w:rsidP="00170DCB">
      <w:r w:rsidRPr="000105B2">
        <w:rPr>
          <w:b/>
        </w:rPr>
        <w:t>Tabulka 3</w:t>
      </w:r>
      <w:r>
        <w:t>: Skupina symptomů depresivních poruch</w:t>
      </w:r>
    </w:p>
    <w:p w:rsidR="00170DCB" w:rsidRDefault="00170DCB" w:rsidP="00170DCB">
      <w:r w:rsidRPr="000105B2">
        <w:rPr>
          <w:b/>
        </w:rPr>
        <w:t>Tabulka 4</w:t>
      </w:r>
      <w:r>
        <w:t>:</w:t>
      </w:r>
      <w:r w:rsidR="000105B2">
        <w:t xml:space="preserve"> </w:t>
      </w:r>
      <w:r>
        <w:t>Přehled tricyklických a tetracyklických antidepresiv</w:t>
      </w:r>
    </w:p>
    <w:p w:rsidR="00170DCB" w:rsidRDefault="00170DCB" w:rsidP="00170DCB">
      <w:r w:rsidRPr="000105B2">
        <w:rPr>
          <w:b/>
        </w:rPr>
        <w:t>Tabulka 5:</w:t>
      </w:r>
      <w:r>
        <w:t xml:space="preserve"> Přehled antidepresiv SSRI</w:t>
      </w:r>
    </w:p>
    <w:p w:rsidR="00170DCB" w:rsidRDefault="00170DCB" w:rsidP="00170DCB">
      <w:r w:rsidRPr="000105B2">
        <w:rPr>
          <w:b/>
        </w:rPr>
        <w:t>Tabulka 6</w:t>
      </w:r>
      <w:r>
        <w:t>: Počet respondentů v jednotlivých psychiatrických ambulancích</w:t>
      </w:r>
    </w:p>
    <w:p w:rsidR="00170DCB" w:rsidRDefault="00D915DC" w:rsidP="00170DCB">
      <w:r w:rsidRPr="000105B2">
        <w:rPr>
          <w:b/>
        </w:rPr>
        <w:t>Tabulka 7</w:t>
      </w:r>
      <w:r>
        <w:t>:Pohlaví respondentů</w:t>
      </w:r>
    </w:p>
    <w:p w:rsidR="00D915DC" w:rsidRDefault="00D915DC" w:rsidP="00170DCB">
      <w:r w:rsidRPr="000105B2">
        <w:rPr>
          <w:b/>
        </w:rPr>
        <w:t>Tabulka 8</w:t>
      </w:r>
      <w:r>
        <w:t>: Nejvyšší dosažené vzdělání</w:t>
      </w:r>
    </w:p>
    <w:p w:rsidR="00D915DC" w:rsidRDefault="00D915DC" w:rsidP="00170DCB">
      <w:r w:rsidRPr="000105B2">
        <w:rPr>
          <w:b/>
        </w:rPr>
        <w:t>Tabulka 9</w:t>
      </w:r>
      <w:r>
        <w:t>: Návratnost dotazníků</w:t>
      </w:r>
    </w:p>
    <w:p w:rsidR="00D915DC" w:rsidRDefault="00D915DC" w:rsidP="00170DCB">
      <w:r w:rsidRPr="000105B2">
        <w:rPr>
          <w:b/>
        </w:rPr>
        <w:t>Tabulka 10</w:t>
      </w:r>
      <w:r>
        <w:t>: Výsledky BDI u respondentů</w:t>
      </w:r>
    </w:p>
    <w:p w:rsidR="00D915DC" w:rsidRDefault="00D915DC" w:rsidP="00170DCB">
      <w:r w:rsidRPr="000105B2">
        <w:rPr>
          <w:b/>
        </w:rPr>
        <w:t>Tabulka 11</w:t>
      </w:r>
      <w:r>
        <w:t>: Průměrná hodnota BDI</w:t>
      </w:r>
    </w:p>
    <w:p w:rsidR="00D915DC" w:rsidRDefault="00D915DC" w:rsidP="00170DCB">
      <w:r w:rsidRPr="000105B2">
        <w:rPr>
          <w:b/>
        </w:rPr>
        <w:t>Tabulka 12</w:t>
      </w:r>
      <w:r>
        <w:t>: Typ užívaných antidepresiv</w:t>
      </w:r>
    </w:p>
    <w:p w:rsidR="00D915DC" w:rsidRDefault="00D915DC" w:rsidP="00170DCB">
      <w:r w:rsidRPr="000105B2">
        <w:rPr>
          <w:b/>
        </w:rPr>
        <w:t>Tabulka 13</w:t>
      </w:r>
      <w:r>
        <w:t>: Hodnota BDI vzhledem k typu užívaných antidepresiv</w:t>
      </w:r>
    </w:p>
    <w:p w:rsidR="00D915DC" w:rsidRDefault="00D915DC" w:rsidP="00170DCB">
      <w:r w:rsidRPr="000105B2">
        <w:rPr>
          <w:b/>
        </w:rPr>
        <w:t>Tabulka 14</w:t>
      </w:r>
      <w:r>
        <w:t>:Wilcoxonův párový test-typ antidepresiva</w:t>
      </w:r>
    </w:p>
    <w:p w:rsidR="00D915DC" w:rsidRDefault="00D915DC" w:rsidP="00170DCB">
      <w:r w:rsidRPr="000105B2">
        <w:rPr>
          <w:b/>
        </w:rPr>
        <w:t>Tabulka 15</w:t>
      </w:r>
      <w:r>
        <w:t>: Délka užívání antidepresiv</w:t>
      </w:r>
    </w:p>
    <w:p w:rsidR="00D915DC" w:rsidRDefault="00D915DC" w:rsidP="00170DCB">
      <w:r w:rsidRPr="000105B2">
        <w:rPr>
          <w:b/>
        </w:rPr>
        <w:t>Tabulka 16</w:t>
      </w:r>
      <w:r>
        <w:t>: Hodnota BDI vzhledem k délce užívání antidepresiv</w:t>
      </w:r>
    </w:p>
    <w:p w:rsidR="00D915DC" w:rsidRDefault="00D915DC" w:rsidP="00170DCB">
      <w:r w:rsidRPr="000105B2">
        <w:rPr>
          <w:b/>
        </w:rPr>
        <w:t>Tabulka 17:</w:t>
      </w:r>
      <w:r>
        <w:t xml:space="preserve"> Wilcoxonův párový test-délka užívání antidepresiv</w:t>
      </w:r>
    </w:p>
    <w:p w:rsidR="00D915DC" w:rsidRDefault="00D915DC" w:rsidP="00170DCB">
      <w:r w:rsidRPr="000105B2">
        <w:rPr>
          <w:b/>
        </w:rPr>
        <w:t>Tabulka 18</w:t>
      </w:r>
      <w:r>
        <w:t>: Pohlaví respondentů</w:t>
      </w:r>
    </w:p>
    <w:p w:rsidR="00D915DC" w:rsidRDefault="00D915DC" w:rsidP="00170DCB">
      <w:r w:rsidRPr="000105B2">
        <w:rPr>
          <w:b/>
        </w:rPr>
        <w:t>Tabulka 19</w:t>
      </w:r>
      <w:r>
        <w:t>: Hodnota BDI vzhledem k pohlaví respondentů</w:t>
      </w:r>
    </w:p>
    <w:p w:rsidR="00D915DC" w:rsidRDefault="00D915DC" w:rsidP="00170DCB">
      <w:r w:rsidRPr="000105B2">
        <w:rPr>
          <w:b/>
        </w:rPr>
        <w:t>Tabulka 20:</w:t>
      </w:r>
      <w:r>
        <w:t>Wilcoxonův párový test-pohlaví respondentů</w:t>
      </w:r>
    </w:p>
    <w:p w:rsidR="00D915DC" w:rsidRDefault="00D915DC" w:rsidP="00170DCB">
      <w:r w:rsidRPr="000105B2">
        <w:rPr>
          <w:b/>
        </w:rPr>
        <w:t>Tabulka 21</w:t>
      </w:r>
      <w:r>
        <w:t>:Výskyt nežádoucích účinků</w:t>
      </w:r>
    </w:p>
    <w:p w:rsidR="00D915DC" w:rsidRDefault="00D915DC" w:rsidP="00170DCB">
      <w:r w:rsidRPr="000105B2">
        <w:rPr>
          <w:b/>
        </w:rPr>
        <w:t>Tabulka 22</w:t>
      </w:r>
      <w:r>
        <w:t>: Nežádoucí účinky</w:t>
      </w:r>
    </w:p>
    <w:p w:rsidR="00D915DC" w:rsidRDefault="00D915DC" w:rsidP="00170DCB">
      <w:r w:rsidRPr="000105B2">
        <w:rPr>
          <w:b/>
        </w:rPr>
        <w:t>Tabulka 23</w:t>
      </w:r>
      <w:r>
        <w:t>: Výskyt nežádoucích účinků u jednotlivých typů antidepresiv</w:t>
      </w:r>
    </w:p>
    <w:p w:rsidR="00D915DC" w:rsidRDefault="00D915DC" w:rsidP="00170DCB">
      <w:r w:rsidRPr="000105B2">
        <w:rPr>
          <w:b/>
        </w:rPr>
        <w:t>Tabulka 24</w:t>
      </w:r>
      <w:r>
        <w:t>: Svévolné vysazení antidepresiv</w:t>
      </w:r>
    </w:p>
    <w:p w:rsidR="00D915DC" w:rsidRDefault="00D915DC" w:rsidP="00170DCB">
      <w:r w:rsidRPr="000105B2">
        <w:rPr>
          <w:b/>
        </w:rPr>
        <w:t>Tabulka 25</w:t>
      </w:r>
      <w:r>
        <w:t>: Nejčastěji uváděné důvody k vysazení antidepresiv</w:t>
      </w:r>
    </w:p>
    <w:p w:rsidR="00D915DC" w:rsidRDefault="00D915DC" w:rsidP="00170DCB">
      <w:r w:rsidRPr="000105B2">
        <w:rPr>
          <w:b/>
        </w:rPr>
        <w:t>Tabulka 26</w:t>
      </w:r>
      <w:r>
        <w:t>: Relaps po svévolném vysazení antidepresiv</w:t>
      </w:r>
    </w:p>
    <w:p w:rsidR="00170DCB" w:rsidRDefault="00170DCB">
      <w:pPr>
        <w:spacing w:line="240" w:lineRule="auto"/>
        <w:jc w:val="left"/>
        <w:rPr>
          <w:rFonts w:eastAsiaTheme="majorEastAsia" w:cstheme="majorBidi"/>
          <w:b/>
          <w:iCs/>
          <w:sz w:val="32"/>
          <w:szCs w:val="24"/>
        </w:rPr>
      </w:pPr>
      <w:r>
        <w:br w:type="page"/>
      </w:r>
    </w:p>
    <w:p w:rsidR="00D915DC" w:rsidRDefault="00267359" w:rsidP="00D915DC">
      <w:pPr>
        <w:pStyle w:val="Nadpis6"/>
      </w:pPr>
      <w:bookmarkStart w:id="103" w:name="_Toc353433220"/>
      <w:r>
        <w:lastRenderedPageBreak/>
        <w:t>Seznam grafů</w:t>
      </w:r>
      <w:bookmarkEnd w:id="103"/>
    </w:p>
    <w:p w:rsidR="00D915DC" w:rsidRDefault="00D915DC" w:rsidP="00D915DC">
      <w:r w:rsidRPr="000105B2">
        <w:rPr>
          <w:b/>
        </w:rPr>
        <w:t>Graf 1:</w:t>
      </w:r>
      <w:r>
        <w:t xml:space="preserve"> Pohlaví respondentů</w:t>
      </w:r>
    </w:p>
    <w:p w:rsidR="00D915DC" w:rsidRDefault="00D915DC" w:rsidP="00D915DC">
      <w:r w:rsidRPr="000105B2">
        <w:rPr>
          <w:b/>
        </w:rPr>
        <w:t>Graf 2</w:t>
      </w:r>
      <w:r>
        <w:t>: Výsledky BDI u respondentů</w:t>
      </w:r>
    </w:p>
    <w:p w:rsidR="00D915DC" w:rsidRDefault="00D915DC" w:rsidP="00D915DC">
      <w:r w:rsidRPr="000105B2">
        <w:rPr>
          <w:b/>
        </w:rPr>
        <w:t>Graf 3</w:t>
      </w:r>
      <w:r>
        <w:t>: Typ užívání antidepresiv</w:t>
      </w:r>
    </w:p>
    <w:p w:rsidR="00D915DC" w:rsidRDefault="00D915DC" w:rsidP="00D915DC">
      <w:r w:rsidRPr="000105B2">
        <w:rPr>
          <w:b/>
        </w:rPr>
        <w:t>Graf 4</w:t>
      </w:r>
      <w:r>
        <w:t>: Rozdělení respondentů dle užívání antidepresiv III. a IV. generace</w:t>
      </w:r>
    </w:p>
    <w:p w:rsidR="00D915DC" w:rsidRDefault="00D915DC" w:rsidP="00D915DC">
      <w:r w:rsidRPr="000105B2">
        <w:rPr>
          <w:b/>
        </w:rPr>
        <w:t>Graf 5:</w:t>
      </w:r>
      <w:r>
        <w:t xml:space="preserve"> Délka užívání antidepresiv</w:t>
      </w:r>
    </w:p>
    <w:p w:rsidR="00D915DC" w:rsidRDefault="00D915DC" w:rsidP="00D915DC">
      <w:r w:rsidRPr="000105B2">
        <w:rPr>
          <w:b/>
        </w:rPr>
        <w:t>Graf 6:</w:t>
      </w:r>
      <w:r>
        <w:t xml:space="preserve"> Rozdělení respondentů dle užívání antidepresiv-méně než 2 roky a více než 5 let</w:t>
      </w:r>
    </w:p>
    <w:p w:rsidR="00D915DC" w:rsidRDefault="00D915DC" w:rsidP="00D915DC">
      <w:r w:rsidRPr="000105B2">
        <w:rPr>
          <w:b/>
        </w:rPr>
        <w:t>Graf 7:</w:t>
      </w:r>
      <w:r>
        <w:t xml:space="preserve"> Pohlaví respondentů</w:t>
      </w:r>
    </w:p>
    <w:p w:rsidR="00D915DC" w:rsidRDefault="00D915DC" w:rsidP="00D915DC">
      <w:r w:rsidRPr="000105B2">
        <w:rPr>
          <w:b/>
        </w:rPr>
        <w:t>Graf 8:</w:t>
      </w:r>
      <w:r>
        <w:t xml:space="preserve"> Rozdělení respondentů dle pohlaví</w:t>
      </w:r>
    </w:p>
    <w:p w:rsidR="00D915DC" w:rsidRDefault="00D915DC" w:rsidP="00D915DC">
      <w:r w:rsidRPr="000105B2">
        <w:rPr>
          <w:b/>
        </w:rPr>
        <w:t>Graf 9</w:t>
      </w:r>
      <w:r>
        <w:t>: Výskyt nežádoucích účinků</w:t>
      </w:r>
    </w:p>
    <w:p w:rsidR="00D915DC" w:rsidRDefault="00D915DC" w:rsidP="00D915DC">
      <w:r w:rsidRPr="000105B2">
        <w:rPr>
          <w:b/>
        </w:rPr>
        <w:t>Graf 10</w:t>
      </w:r>
      <w:r>
        <w:t>: Nežádoucí účinky</w:t>
      </w:r>
    </w:p>
    <w:p w:rsidR="00D915DC" w:rsidRDefault="00D915DC" w:rsidP="00D915DC">
      <w:r w:rsidRPr="000105B2">
        <w:rPr>
          <w:b/>
        </w:rPr>
        <w:t>Graf 11</w:t>
      </w:r>
      <w:r>
        <w:t>: Výskyt nežádoucích účinků u jednotlivých typů antidepresiv</w:t>
      </w:r>
    </w:p>
    <w:p w:rsidR="00D915DC" w:rsidRDefault="00D915DC" w:rsidP="00D915DC">
      <w:r w:rsidRPr="000105B2">
        <w:rPr>
          <w:b/>
        </w:rPr>
        <w:t>Graf 12:</w:t>
      </w:r>
      <w:r>
        <w:t xml:space="preserve"> Ovlivnění užívání antidepresiv vlivem nežádoucích účinků</w:t>
      </w:r>
    </w:p>
    <w:p w:rsidR="005A06E4" w:rsidRDefault="00D915DC" w:rsidP="00D915DC">
      <w:r w:rsidRPr="000105B2">
        <w:rPr>
          <w:b/>
        </w:rPr>
        <w:t>Graf 13:</w:t>
      </w:r>
      <w:r>
        <w:t>Informovanost o nežádoucích účincích</w:t>
      </w:r>
      <w:r w:rsidR="005A06E4">
        <w:t xml:space="preserve"> </w:t>
      </w:r>
    </w:p>
    <w:p w:rsidR="005A06E4" w:rsidRDefault="005A06E4" w:rsidP="00D915DC">
      <w:r w:rsidRPr="000105B2">
        <w:rPr>
          <w:b/>
        </w:rPr>
        <w:t>Graf 14</w:t>
      </w:r>
      <w:r>
        <w:t>: Svévolné vysazení antidepresiv</w:t>
      </w:r>
    </w:p>
    <w:p w:rsidR="005A06E4" w:rsidRDefault="005A06E4" w:rsidP="00D915DC">
      <w:r w:rsidRPr="000105B2">
        <w:rPr>
          <w:b/>
        </w:rPr>
        <w:t>Graf 15</w:t>
      </w:r>
      <w:r>
        <w:t>: Nejčastější důvody k vysazení antidepresiv</w:t>
      </w:r>
    </w:p>
    <w:p w:rsidR="00D915DC" w:rsidRPr="00D915DC" w:rsidRDefault="005A06E4" w:rsidP="00D915DC">
      <w:r w:rsidRPr="000105B2">
        <w:rPr>
          <w:b/>
        </w:rPr>
        <w:t>Graf 16</w:t>
      </w:r>
      <w:r>
        <w:t>: Relaps po svévolném vysazení léků</w:t>
      </w:r>
      <w:r w:rsidR="00D915DC">
        <w:br w:type="page"/>
      </w:r>
    </w:p>
    <w:p w:rsidR="005A06E4" w:rsidRPr="005A06E4" w:rsidRDefault="005A06E4" w:rsidP="005A06E4">
      <w:pPr>
        <w:pStyle w:val="Nadpis6"/>
      </w:pPr>
      <w:bookmarkStart w:id="104" w:name="_Toc353433221"/>
      <w:r w:rsidRPr="005A06E4">
        <w:lastRenderedPageBreak/>
        <w:t>Seznam obrázků</w:t>
      </w:r>
      <w:bookmarkEnd w:id="104"/>
    </w:p>
    <w:p w:rsidR="00D915DC" w:rsidRDefault="005A06E4" w:rsidP="005A06E4">
      <w:r w:rsidRPr="000105B2">
        <w:rPr>
          <w:b/>
        </w:rPr>
        <w:t>Obrázek 1</w:t>
      </w:r>
      <w:r>
        <w:t>: Etapy léčby deprese</w:t>
      </w:r>
    </w:p>
    <w:p w:rsidR="005A06E4" w:rsidRDefault="005A06E4" w:rsidP="005A06E4">
      <w:r w:rsidRPr="000105B2">
        <w:rPr>
          <w:b/>
        </w:rPr>
        <w:t>Obrázek 2</w:t>
      </w:r>
      <w:r>
        <w:t>: Faktory ovlivňující complianci pacienta</w:t>
      </w:r>
    </w:p>
    <w:p w:rsidR="00D915DC" w:rsidRDefault="00D915DC">
      <w:pPr>
        <w:spacing w:line="240" w:lineRule="auto"/>
        <w:jc w:val="left"/>
        <w:rPr>
          <w:rFonts w:eastAsiaTheme="majorEastAsia" w:cstheme="majorBidi"/>
          <w:b/>
          <w:iCs/>
          <w:sz w:val="32"/>
          <w:szCs w:val="24"/>
        </w:rPr>
      </w:pPr>
      <w:r>
        <w:br w:type="page"/>
      </w:r>
    </w:p>
    <w:p w:rsidR="00267359" w:rsidRDefault="00267359" w:rsidP="005A06E4">
      <w:pPr>
        <w:pStyle w:val="Nadpis6"/>
      </w:pPr>
      <w:bookmarkStart w:id="105" w:name="_Toc353433222"/>
      <w:r>
        <w:lastRenderedPageBreak/>
        <w:t>Seznam příloh</w:t>
      </w:r>
      <w:bookmarkEnd w:id="105"/>
    </w:p>
    <w:p w:rsidR="005A06E4" w:rsidRDefault="005A06E4" w:rsidP="005A06E4">
      <w:r w:rsidRPr="000105B2">
        <w:rPr>
          <w:b/>
        </w:rPr>
        <w:t>Příloha 1</w:t>
      </w:r>
      <w:r>
        <w:t>: Sebeposuzovací škála deprese</w:t>
      </w:r>
    </w:p>
    <w:p w:rsidR="005A06E4" w:rsidRDefault="005A06E4" w:rsidP="005A06E4">
      <w:r w:rsidRPr="000105B2">
        <w:rPr>
          <w:b/>
        </w:rPr>
        <w:t>Příloha 2</w:t>
      </w:r>
      <w:r>
        <w:t>: PHQ-9</w:t>
      </w:r>
    </w:p>
    <w:p w:rsidR="005A06E4" w:rsidRDefault="005A06E4" w:rsidP="005A06E4">
      <w:r w:rsidRPr="000105B2">
        <w:rPr>
          <w:b/>
        </w:rPr>
        <w:t>Příloha 3</w:t>
      </w:r>
      <w:r>
        <w:t>: Dělení antidepresiv dle mechanismu účinků</w:t>
      </w:r>
    </w:p>
    <w:p w:rsidR="005A06E4" w:rsidRDefault="005A06E4" w:rsidP="005A06E4">
      <w:r w:rsidRPr="000105B2">
        <w:rPr>
          <w:b/>
        </w:rPr>
        <w:t>Příloha 4</w:t>
      </w:r>
      <w:r>
        <w:t>: Vývoj antidepresiv</w:t>
      </w:r>
    </w:p>
    <w:p w:rsidR="005A06E4" w:rsidRDefault="005A06E4" w:rsidP="005A06E4">
      <w:r w:rsidRPr="000105B2">
        <w:rPr>
          <w:b/>
        </w:rPr>
        <w:t>Příloha 5</w:t>
      </w:r>
      <w:r>
        <w:t>: Antidepresiva I. typu</w:t>
      </w:r>
    </w:p>
    <w:p w:rsidR="005A06E4" w:rsidRDefault="005A06E4" w:rsidP="005A06E4">
      <w:r w:rsidRPr="000105B2">
        <w:rPr>
          <w:b/>
        </w:rPr>
        <w:t>Příloha 6</w:t>
      </w:r>
      <w:r>
        <w:t>: SSRI</w:t>
      </w:r>
    </w:p>
    <w:p w:rsidR="005A06E4" w:rsidRDefault="005A06E4" w:rsidP="005A06E4">
      <w:r w:rsidRPr="000105B2">
        <w:rPr>
          <w:b/>
        </w:rPr>
        <w:t>Příloha 7:</w:t>
      </w:r>
      <w:r>
        <w:t xml:space="preserve"> Mýty a pověry o antidepresivech</w:t>
      </w:r>
    </w:p>
    <w:p w:rsidR="005A06E4" w:rsidRDefault="005A06E4" w:rsidP="005A06E4">
      <w:r w:rsidRPr="000105B2">
        <w:rPr>
          <w:b/>
        </w:rPr>
        <w:t>Příloha 8</w:t>
      </w:r>
      <w:r>
        <w:t>: Dotazník</w:t>
      </w:r>
    </w:p>
    <w:p w:rsidR="005A06E4" w:rsidRPr="005A06E4" w:rsidRDefault="005A06E4" w:rsidP="005A06E4">
      <w:r w:rsidRPr="000105B2">
        <w:rPr>
          <w:b/>
        </w:rPr>
        <w:t>Příloha 9</w:t>
      </w:r>
      <w:r>
        <w:t>: Souhlas s dotazníkovým šetřením</w:t>
      </w:r>
    </w:p>
    <w:p w:rsidR="004F59DF" w:rsidRDefault="004F59DF" w:rsidP="008B459E">
      <w:pPr>
        <w:spacing w:after="200" w:line="240" w:lineRule="auto"/>
      </w:pPr>
    </w:p>
    <w:p w:rsidR="004F59DF" w:rsidRDefault="004F59DF" w:rsidP="008B459E">
      <w:pPr>
        <w:spacing w:after="200" w:line="240" w:lineRule="auto"/>
      </w:pPr>
    </w:p>
    <w:p w:rsidR="004F59DF" w:rsidRDefault="004F59DF" w:rsidP="008B459E">
      <w:pPr>
        <w:spacing w:after="200" w:line="240" w:lineRule="auto"/>
      </w:pPr>
    </w:p>
    <w:p w:rsidR="004F59DF" w:rsidRDefault="004F59DF" w:rsidP="008B459E">
      <w:pPr>
        <w:spacing w:after="200" w:line="240" w:lineRule="auto"/>
      </w:pPr>
    </w:p>
    <w:p w:rsidR="004F59DF" w:rsidRDefault="004F59DF" w:rsidP="008B459E">
      <w:pPr>
        <w:spacing w:after="200" w:line="240" w:lineRule="auto"/>
      </w:pPr>
    </w:p>
    <w:p w:rsidR="004F59DF" w:rsidRDefault="004F59DF" w:rsidP="008B459E">
      <w:pPr>
        <w:spacing w:after="200" w:line="240" w:lineRule="auto"/>
      </w:pPr>
    </w:p>
    <w:p w:rsidR="004F59DF" w:rsidRDefault="004F59DF" w:rsidP="008B459E">
      <w:pPr>
        <w:spacing w:after="200" w:line="240" w:lineRule="auto"/>
      </w:pPr>
    </w:p>
    <w:p w:rsidR="004F59DF" w:rsidRDefault="004F59DF" w:rsidP="008B459E">
      <w:pPr>
        <w:spacing w:after="200" w:line="240" w:lineRule="auto"/>
      </w:pPr>
    </w:p>
    <w:p w:rsidR="004F59DF" w:rsidRPr="008B459E" w:rsidRDefault="004F59DF" w:rsidP="008B459E">
      <w:pPr>
        <w:spacing w:after="200" w:line="240" w:lineRule="auto"/>
      </w:pPr>
    </w:p>
    <w:p w:rsidR="00B14695" w:rsidRDefault="00B14695" w:rsidP="004F59DF">
      <w:pPr>
        <w:spacing w:line="240" w:lineRule="auto"/>
        <w:jc w:val="left"/>
      </w:pPr>
    </w:p>
    <w:p w:rsidR="004F59DF" w:rsidRDefault="004F59DF" w:rsidP="00B14695">
      <w:pPr>
        <w:tabs>
          <w:tab w:val="left" w:pos="3686"/>
        </w:tabs>
        <w:spacing w:line="240" w:lineRule="auto"/>
        <w:jc w:val="left"/>
        <w:rPr>
          <w:b/>
          <w:szCs w:val="24"/>
          <w:lang w:eastAsia="cs-CZ"/>
        </w:rPr>
      </w:pPr>
    </w:p>
    <w:p w:rsidR="004F59DF" w:rsidRDefault="004F59DF" w:rsidP="00B14695">
      <w:pPr>
        <w:tabs>
          <w:tab w:val="left" w:pos="3686"/>
        </w:tabs>
        <w:spacing w:line="240" w:lineRule="auto"/>
        <w:jc w:val="left"/>
        <w:rPr>
          <w:b/>
          <w:szCs w:val="24"/>
          <w:lang w:eastAsia="cs-CZ"/>
        </w:rPr>
      </w:pPr>
    </w:p>
    <w:p w:rsidR="004F59DF" w:rsidRDefault="004F59DF" w:rsidP="00B14695">
      <w:pPr>
        <w:tabs>
          <w:tab w:val="left" w:pos="3686"/>
        </w:tabs>
        <w:spacing w:line="240" w:lineRule="auto"/>
        <w:jc w:val="left"/>
        <w:rPr>
          <w:b/>
          <w:szCs w:val="24"/>
          <w:lang w:eastAsia="cs-CZ"/>
        </w:rPr>
      </w:pPr>
    </w:p>
    <w:p w:rsidR="004F59DF" w:rsidRDefault="004F59DF" w:rsidP="00B14695">
      <w:pPr>
        <w:tabs>
          <w:tab w:val="left" w:pos="3686"/>
        </w:tabs>
        <w:spacing w:line="240" w:lineRule="auto"/>
        <w:jc w:val="left"/>
        <w:rPr>
          <w:b/>
          <w:szCs w:val="24"/>
          <w:lang w:eastAsia="cs-CZ"/>
        </w:rPr>
      </w:pPr>
    </w:p>
    <w:p w:rsidR="004F59DF" w:rsidRDefault="004F59DF" w:rsidP="00B14695">
      <w:pPr>
        <w:tabs>
          <w:tab w:val="left" w:pos="3686"/>
        </w:tabs>
        <w:spacing w:line="240" w:lineRule="auto"/>
        <w:jc w:val="left"/>
        <w:rPr>
          <w:b/>
          <w:szCs w:val="24"/>
          <w:lang w:eastAsia="cs-CZ"/>
        </w:rPr>
      </w:pPr>
    </w:p>
    <w:p w:rsidR="004F59DF" w:rsidRDefault="004F59DF" w:rsidP="00B14695">
      <w:pPr>
        <w:tabs>
          <w:tab w:val="left" w:pos="3686"/>
        </w:tabs>
        <w:spacing w:line="240" w:lineRule="auto"/>
        <w:jc w:val="left"/>
        <w:rPr>
          <w:b/>
          <w:szCs w:val="24"/>
          <w:lang w:eastAsia="cs-CZ"/>
        </w:rPr>
      </w:pPr>
    </w:p>
    <w:p w:rsidR="004F59DF" w:rsidRDefault="004F59DF" w:rsidP="00B14695">
      <w:pPr>
        <w:tabs>
          <w:tab w:val="left" w:pos="3686"/>
        </w:tabs>
        <w:spacing w:line="240" w:lineRule="auto"/>
        <w:jc w:val="left"/>
        <w:rPr>
          <w:b/>
          <w:szCs w:val="24"/>
          <w:lang w:eastAsia="cs-CZ"/>
        </w:rPr>
      </w:pPr>
    </w:p>
    <w:p w:rsidR="00422D75" w:rsidRDefault="00422D75" w:rsidP="00B14695">
      <w:pPr>
        <w:tabs>
          <w:tab w:val="left" w:pos="3686"/>
        </w:tabs>
        <w:spacing w:line="240" w:lineRule="auto"/>
        <w:jc w:val="left"/>
        <w:rPr>
          <w:b/>
          <w:szCs w:val="24"/>
          <w:lang w:eastAsia="cs-CZ"/>
        </w:rPr>
        <w:sectPr w:rsidR="00422D75" w:rsidSect="00422D75">
          <w:footerReference w:type="default" r:id="rId39"/>
          <w:pgSz w:w="11906" w:h="16838"/>
          <w:pgMar w:top="1418" w:right="1247" w:bottom="1418" w:left="1985" w:header="709" w:footer="709" w:gutter="0"/>
          <w:pgNumType w:start="6"/>
          <w:cols w:space="708"/>
          <w:docGrid w:linePitch="360"/>
        </w:sectPr>
      </w:pPr>
    </w:p>
    <w:p w:rsidR="00B14695" w:rsidRPr="00B14695" w:rsidRDefault="00B14695" w:rsidP="00B14695">
      <w:pPr>
        <w:tabs>
          <w:tab w:val="left" w:pos="3686"/>
        </w:tabs>
        <w:spacing w:line="240" w:lineRule="auto"/>
        <w:jc w:val="left"/>
        <w:rPr>
          <w:szCs w:val="24"/>
          <w:lang w:eastAsia="cs-CZ"/>
        </w:rPr>
      </w:pPr>
      <w:r w:rsidRPr="00B14695">
        <w:rPr>
          <w:b/>
          <w:szCs w:val="24"/>
          <w:lang w:eastAsia="cs-CZ"/>
        </w:rPr>
        <w:lastRenderedPageBreak/>
        <w:t xml:space="preserve">Příloha </w:t>
      </w:r>
      <w:r>
        <w:rPr>
          <w:b/>
          <w:szCs w:val="24"/>
          <w:lang w:eastAsia="cs-CZ"/>
        </w:rPr>
        <w:t xml:space="preserve">č. </w:t>
      </w:r>
      <w:r w:rsidRPr="00B14695">
        <w:rPr>
          <w:b/>
          <w:szCs w:val="24"/>
          <w:lang w:eastAsia="cs-CZ"/>
        </w:rPr>
        <w:t>1:</w:t>
      </w:r>
      <w:r>
        <w:rPr>
          <w:szCs w:val="24"/>
          <w:lang w:eastAsia="cs-CZ"/>
        </w:rPr>
        <w:t xml:space="preserve"> Sebe</w:t>
      </w:r>
      <w:r w:rsidRPr="00B14695">
        <w:rPr>
          <w:szCs w:val="24"/>
          <w:lang w:eastAsia="cs-CZ"/>
        </w:rPr>
        <w:t>posuzovací škála deprese (Praško, Prašková, 2005)</w:t>
      </w: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r w:rsidRPr="00B14695">
        <w:rPr>
          <w:noProof/>
          <w:szCs w:val="24"/>
          <w:lang w:eastAsia="cs-CZ"/>
        </w:rPr>
        <w:drawing>
          <wp:inline distT="0" distB="0" distL="0" distR="0" wp14:anchorId="2F4BDE70" wp14:editId="0CA14276">
            <wp:extent cx="5762625" cy="6896100"/>
            <wp:effectExtent l="19050" t="0" r="9525" b="0"/>
            <wp:docPr id="4" name="obrázek 1" descr="C:\Documents and Settings\Adélka\Plocha\beckova stupn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élka\Plocha\beckova stupnice.jpg"/>
                    <pic:cNvPicPr>
                      <a:picLocks noChangeAspect="1" noChangeArrowheads="1"/>
                    </pic:cNvPicPr>
                  </pic:nvPicPr>
                  <pic:blipFill>
                    <a:blip r:embed="rId40" cstate="print"/>
                    <a:srcRect/>
                    <a:stretch>
                      <a:fillRect/>
                    </a:stretch>
                  </pic:blipFill>
                  <pic:spPr bwMode="auto">
                    <a:xfrm>
                      <a:off x="0" y="0"/>
                      <a:ext cx="5760720" cy="6893820"/>
                    </a:xfrm>
                    <a:prstGeom prst="rect">
                      <a:avLst/>
                    </a:prstGeom>
                    <a:noFill/>
                    <a:ln w="9525">
                      <a:noFill/>
                      <a:miter lim="800000"/>
                      <a:headEnd/>
                      <a:tailEnd/>
                    </a:ln>
                  </pic:spPr>
                </pic:pic>
              </a:graphicData>
            </a:graphic>
          </wp:inline>
        </w:drawing>
      </w: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Default="00B14695" w:rsidP="00B14695">
      <w:pPr>
        <w:tabs>
          <w:tab w:val="left" w:pos="3686"/>
        </w:tabs>
        <w:spacing w:line="240" w:lineRule="auto"/>
        <w:jc w:val="left"/>
        <w:rPr>
          <w:szCs w:val="24"/>
          <w:lang w:eastAsia="cs-CZ"/>
        </w:rPr>
      </w:pPr>
    </w:p>
    <w:p w:rsidR="005A06E4" w:rsidRPr="00B14695" w:rsidRDefault="005A06E4" w:rsidP="00B14695">
      <w:pPr>
        <w:tabs>
          <w:tab w:val="left" w:pos="3686"/>
        </w:tabs>
        <w:spacing w:line="240" w:lineRule="auto"/>
        <w:jc w:val="left"/>
        <w:rPr>
          <w:szCs w:val="24"/>
          <w:lang w:eastAsia="cs-CZ"/>
        </w:rPr>
      </w:pPr>
    </w:p>
    <w:p w:rsidR="00AF40D1" w:rsidRDefault="00267359" w:rsidP="00B14695">
      <w:pPr>
        <w:tabs>
          <w:tab w:val="left" w:pos="3686"/>
        </w:tabs>
        <w:spacing w:line="240" w:lineRule="auto"/>
        <w:jc w:val="left"/>
        <w:rPr>
          <w:szCs w:val="24"/>
          <w:lang w:eastAsia="cs-CZ"/>
        </w:rPr>
      </w:pPr>
      <w:r>
        <w:rPr>
          <w:szCs w:val="24"/>
          <w:lang w:eastAsia="cs-CZ"/>
        </w:rPr>
        <w:t> </w:t>
      </w:r>
    </w:p>
    <w:p w:rsidR="00B14695" w:rsidRPr="00B14695" w:rsidRDefault="00B14695" w:rsidP="00B14695">
      <w:pPr>
        <w:tabs>
          <w:tab w:val="left" w:pos="3686"/>
        </w:tabs>
        <w:spacing w:line="240" w:lineRule="auto"/>
        <w:jc w:val="left"/>
        <w:rPr>
          <w:szCs w:val="24"/>
          <w:lang w:eastAsia="cs-CZ"/>
        </w:rPr>
      </w:pPr>
      <w:r w:rsidRPr="00B14695">
        <w:rPr>
          <w:b/>
          <w:szCs w:val="24"/>
          <w:lang w:eastAsia="cs-CZ"/>
        </w:rPr>
        <w:lastRenderedPageBreak/>
        <w:t>Příloha č. 2</w:t>
      </w:r>
      <w:r w:rsidRPr="00B14695">
        <w:rPr>
          <w:szCs w:val="24"/>
          <w:lang w:eastAsia="cs-CZ"/>
        </w:rPr>
        <w:t>:PHQ-9 (Raboch, Laňková, 2008)</w:t>
      </w:r>
    </w:p>
    <w:tbl>
      <w:tblPr>
        <w:tblStyle w:val="Mkatabulky1"/>
        <w:tblW w:w="5008" w:type="pct"/>
        <w:tblLook w:val="04A0" w:firstRow="1" w:lastRow="0" w:firstColumn="1" w:lastColumn="0" w:noHBand="0" w:noVBand="1"/>
      </w:tblPr>
      <w:tblGrid>
        <w:gridCol w:w="4745"/>
        <w:gridCol w:w="870"/>
        <w:gridCol w:w="1283"/>
        <w:gridCol w:w="1110"/>
        <w:gridCol w:w="896"/>
      </w:tblGrid>
      <w:tr w:rsidR="00B14695" w:rsidRPr="00B14695" w:rsidTr="008160E4">
        <w:trPr>
          <w:trHeight w:val="1025"/>
        </w:trPr>
        <w:tc>
          <w:tcPr>
            <w:tcW w:w="2765" w:type="pct"/>
            <w:tcBorders>
              <w:top w:val="double" w:sz="4" w:space="0" w:color="auto"/>
              <w:left w:val="double" w:sz="4" w:space="0" w:color="auto"/>
            </w:tcBorders>
          </w:tcPr>
          <w:p w:rsidR="00B14695" w:rsidRPr="00B14695" w:rsidRDefault="00B14695" w:rsidP="00B14695">
            <w:pPr>
              <w:tabs>
                <w:tab w:val="left" w:pos="3686"/>
              </w:tabs>
              <w:spacing w:before="240" w:line="240" w:lineRule="auto"/>
              <w:jc w:val="center"/>
              <w:rPr>
                <w:b/>
                <w:szCs w:val="24"/>
                <w:lang w:eastAsia="cs-CZ"/>
              </w:rPr>
            </w:pPr>
            <w:r w:rsidRPr="00B14695">
              <w:rPr>
                <w:b/>
                <w:szCs w:val="24"/>
                <w:lang w:eastAsia="cs-CZ"/>
              </w:rPr>
              <w:t>Máte během posledních 2měsíců (nebo i déle) následující potíže?</w:t>
            </w:r>
          </w:p>
        </w:tc>
        <w:tc>
          <w:tcPr>
            <w:tcW w:w="468" w:type="pct"/>
            <w:tcBorders>
              <w:top w:val="double" w:sz="4" w:space="0" w:color="auto"/>
            </w:tcBorders>
          </w:tcPr>
          <w:p w:rsidR="00B14695" w:rsidRPr="00B14695" w:rsidRDefault="00B14695" w:rsidP="00B14695">
            <w:pPr>
              <w:tabs>
                <w:tab w:val="left" w:pos="3686"/>
              </w:tabs>
              <w:spacing w:before="240" w:line="240" w:lineRule="auto"/>
              <w:jc w:val="center"/>
              <w:rPr>
                <w:b/>
                <w:szCs w:val="24"/>
                <w:lang w:eastAsia="cs-CZ"/>
              </w:rPr>
            </w:pPr>
            <w:r w:rsidRPr="00B14695">
              <w:rPr>
                <w:b/>
                <w:szCs w:val="24"/>
                <w:lang w:eastAsia="cs-CZ"/>
              </w:rPr>
              <w:t>Vůbec ne</w:t>
            </w:r>
          </w:p>
        </w:tc>
        <w:tc>
          <w:tcPr>
            <w:tcW w:w="690" w:type="pct"/>
            <w:tcBorders>
              <w:top w:val="double" w:sz="4" w:space="0" w:color="auto"/>
            </w:tcBorders>
          </w:tcPr>
          <w:p w:rsidR="00B14695" w:rsidRPr="00B14695" w:rsidRDefault="00B14695" w:rsidP="00B14695">
            <w:pPr>
              <w:tabs>
                <w:tab w:val="left" w:pos="3686"/>
              </w:tabs>
              <w:spacing w:before="240" w:line="240" w:lineRule="auto"/>
              <w:jc w:val="center"/>
              <w:rPr>
                <w:b/>
                <w:szCs w:val="24"/>
                <w:lang w:eastAsia="cs-CZ"/>
              </w:rPr>
            </w:pPr>
            <w:r w:rsidRPr="00B14695">
              <w:rPr>
                <w:b/>
                <w:szCs w:val="24"/>
                <w:lang w:eastAsia="cs-CZ"/>
              </w:rPr>
              <w:t>několikrát</w:t>
            </w:r>
          </w:p>
        </w:tc>
        <w:tc>
          <w:tcPr>
            <w:tcW w:w="597" w:type="pct"/>
            <w:tcBorders>
              <w:top w:val="double" w:sz="4" w:space="0" w:color="auto"/>
            </w:tcBorders>
          </w:tcPr>
          <w:p w:rsidR="00B14695" w:rsidRPr="00B14695" w:rsidRDefault="00B14695" w:rsidP="00B14695">
            <w:pPr>
              <w:tabs>
                <w:tab w:val="left" w:pos="3686"/>
              </w:tabs>
              <w:spacing w:before="240" w:line="240" w:lineRule="auto"/>
              <w:jc w:val="center"/>
              <w:rPr>
                <w:b/>
                <w:szCs w:val="24"/>
                <w:lang w:eastAsia="cs-CZ"/>
              </w:rPr>
            </w:pPr>
            <w:r w:rsidRPr="00B14695">
              <w:rPr>
                <w:b/>
                <w:szCs w:val="24"/>
                <w:lang w:eastAsia="cs-CZ"/>
              </w:rPr>
              <w:t>Více než polovinu času</w:t>
            </w:r>
          </w:p>
        </w:tc>
        <w:tc>
          <w:tcPr>
            <w:tcW w:w="482" w:type="pct"/>
            <w:tcBorders>
              <w:top w:val="double" w:sz="4" w:space="0" w:color="auto"/>
              <w:right w:val="double" w:sz="4" w:space="0" w:color="auto"/>
            </w:tcBorders>
          </w:tcPr>
          <w:p w:rsidR="00B14695" w:rsidRPr="00B14695" w:rsidRDefault="00B14695" w:rsidP="00B14695">
            <w:pPr>
              <w:tabs>
                <w:tab w:val="left" w:pos="3686"/>
              </w:tabs>
              <w:spacing w:before="240" w:line="240" w:lineRule="auto"/>
              <w:jc w:val="center"/>
              <w:rPr>
                <w:b/>
                <w:szCs w:val="24"/>
                <w:lang w:eastAsia="cs-CZ"/>
              </w:rPr>
            </w:pPr>
            <w:r w:rsidRPr="00B14695">
              <w:rPr>
                <w:b/>
                <w:szCs w:val="24"/>
                <w:lang w:eastAsia="cs-CZ"/>
              </w:rPr>
              <w:t>Téměř každý den</w:t>
            </w:r>
          </w:p>
        </w:tc>
      </w:tr>
      <w:tr w:rsidR="00B14695" w:rsidRPr="00B14695" w:rsidTr="008160E4">
        <w:trPr>
          <w:trHeight w:val="1025"/>
        </w:trPr>
        <w:tc>
          <w:tcPr>
            <w:tcW w:w="2765" w:type="pct"/>
            <w:tcBorders>
              <w:left w:val="double" w:sz="4" w:space="0" w:color="auto"/>
            </w:tcBorders>
          </w:tcPr>
          <w:p w:rsidR="00B14695" w:rsidRPr="00B14695" w:rsidRDefault="00B14695" w:rsidP="00B14695">
            <w:pPr>
              <w:numPr>
                <w:ilvl w:val="0"/>
                <w:numId w:val="32"/>
              </w:numPr>
              <w:tabs>
                <w:tab w:val="left" w:pos="3686"/>
              </w:tabs>
              <w:spacing w:before="240" w:line="240" w:lineRule="auto"/>
              <w:contextualSpacing/>
              <w:jc w:val="left"/>
              <w:rPr>
                <w:szCs w:val="24"/>
                <w:lang w:eastAsia="cs-CZ"/>
              </w:rPr>
            </w:pPr>
            <w:r w:rsidRPr="00B14695">
              <w:rPr>
                <w:szCs w:val="24"/>
                <w:lang w:eastAsia="cs-CZ"/>
              </w:rPr>
              <w:t>Smutnou nebo pokleslou náladu, nebo pocit beznaděje?</w:t>
            </w:r>
          </w:p>
        </w:tc>
        <w:tc>
          <w:tcPr>
            <w:tcW w:w="468"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0</w:t>
            </w:r>
          </w:p>
        </w:tc>
        <w:tc>
          <w:tcPr>
            <w:tcW w:w="690"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1</w:t>
            </w:r>
          </w:p>
        </w:tc>
        <w:tc>
          <w:tcPr>
            <w:tcW w:w="597"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2</w:t>
            </w:r>
          </w:p>
        </w:tc>
        <w:tc>
          <w:tcPr>
            <w:tcW w:w="482" w:type="pct"/>
            <w:tcBorders>
              <w:right w:val="doub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3</w:t>
            </w:r>
          </w:p>
        </w:tc>
      </w:tr>
      <w:tr w:rsidR="00B14695" w:rsidRPr="00B14695" w:rsidTr="008160E4">
        <w:trPr>
          <w:trHeight w:val="1025"/>
        </w:trPr>
        <w:tc>
          <w:tcPr>
            <w:tcW w:w="2765" w:type="pct"/>
            <w:tcBorders>
              <w:left w:val="double" w:sz="4" w:space="0" w:color="auto"/>
            </w:tcBorders>
          </w:tcPr>
          <w:p w:rsidR="00B14695" w:rsidRPr="00B14695" w:rsidRDefault="00B14695" w:rsidP="00B14695">
            <w:pPr>
              <w:numPr>
                <w:ilvl w:val="0"/>
                <w:numId w:val="32"/>
              </w:numPr>
              <w:tabs>
                <w:tab w:val="left" w:pos="3686"/>
              </w:tabs>
              <w:spacing w:line="240" w:lineRule="auto"/>
              <w:contextualSpacing/>
              <w:jc w:val="left"/>
              <w:rPr>
                <w:szCs w:val="24"/>
                <w:lang w:eastAsia="cs-CZ"/>
              </w:rPr>
            </w:pPr>
            <w:r w:rsidRPr="00B14695">
              <w:rPr>
                <w:szCs w:val="24"/>
                <w:lang w:eastAsia="cs-CZ"/>
              </w:rPr>
              <w:t>Málo nebo žádnou radost; malé nebo žádné potěšení z práce, koníčků, věcí?</w:t>
            </w:r>
          </w:p>
        </w:tc>
        <w:tc>
          <w:tcPr>
            <w:tcW w:w="468"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0</w:t>
            </w:r>
          </w:p>
        </w:tc>
        <w:tc>
          <w:tcPr>
            <w:tcW w:w="690"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1</w:t>
            </w:r>
          </w:p>
        </w:tc>
        <w:tc>
          <w:tcPr>
            <w:tcW w:w="597"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2</w:t>
            </w:r>
          </w:p>
        </w:tc>
        <w:tc>
          <w:tcPr>
            <w:tcW w:w="482" w:type="pct"/>
            <w:tcBorders>
              <w:right w:val="doub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3</w:t>
            </w:r>
          </w:p>
        </w:tc>
      </w:tr>
      <w:tr w:rsidR="00B14695" w:rsidRPr="00B14695" w:rsidTr="008160E4">
        <w:trPr>
          <w:trHeight w:val="1025"/>
        </w:trPr>
        <w:tc>
          <w:tcPr>
            <w:tcW w:w="2765" w:type="pct"/>
            <w:tcBorders>
              <w:left w:val="double" w:sz="4" w:space="0" w:color="auto"/>
            </w:tcBorders>
          </w:tcPr>
          <w:p w:rsidR="00B14695" w:rsidRPr="00B14695" w:rsidRDefault="00B14695" w:rsidP="00B14695">
            <w:pPr>
              <w:numPr>
                <w:ilvl w:val="0"/>
                <w:numId w:val="32"/>
              </w:numPr>
              <w:tabs>
                <w:tab w:val="left" w:pos="3686"/>
              </w:tabs>
              <w:spacing w:line="240" w:lineRule="auto"/>
              <w:ind w:left="709" w:hanging="425"/>
              <w:contextualSpacing/>
              <w:jc w:val="left"/>
              <w:rPr>
                <w:szCs w:val="24"/>
                <w:lang w:eastAsia="cs-CZ"/>
              </w:rPr>
            </w:pPr>
            <w:r w:rsidRPr="00B14695">
              <w:rPr>
                <w:szCs w:val="24"/>
                <w:lang w:eastAsia="cs-CZ"/>
              </w:rPr>
              <w:t>Špatný spánek, problémy s usínáním, buzení nebo naopak nadměrné spaní?</w:t>
            </w:r>
          </w:p>
        </w:tc>
        <w:tc>
          <w:tcPr>
            <w:tcW w:w="468"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0</w:t>
            </w:r>
          </w:p>
        </w:tc>
        <w:tc>
          <w:tcPr>
            <w:tcW w:w="690"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1</w:t>
            </w:r>
          </w:p>
        </w:tc>
        <w:tc>
          <w:tcPr>
            <w:tcW w:w="597"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2</w:t>
            </w:r>
          </w:p>
        </w:tc>
        <w:tc>
          <w:tcPr>
            <w:tcW w:w="482" w:type="pct"/>
            <w:tcBorders>
              <w:right w:val="doub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3</w:t>
            </w:r>
          </w:p>
        </w:tc>
      </w:tr>
      <w:tr w:rsidR="00B14695" w:rsidRPr="00B14695" w:rsidTr="008160E4">
        <w:trPr>
          <w:trHeight w:val="1025"/>
        </w:trPr>
        <w:tc>
          <w:tcPr>
            <w:tcW w:w="2765" w:type="pct"/>
            <w:tcBorders>
              <w:left w:val="double" w:sz="4" w:space="0" w:color="auto"/>
            </w:tcBorders>
          </w:tcPr>
          <w:p w:rsidR="00B14695" w:rsidRPr="00B14695" w:rsidRDefault="00B14695" w:rsidP="00B14695">
            <w:pPr>
              <w:numPr>
                <w:ilvl w:val="0"/>
                <w:numId w:val="32"/>
              </w:numPr>
              <w:tabs>
                <w:tab w:val="left" w:pos="3686"/>
              </w:tabs>
              <w:spacing w:line="240" w:lineRule="auto"/>
              <w:contextualSpacing/>
              <w:jc w:val="left"/>
              <w:rPr>
                <w:szCs w:val="24"/>
                <w:lang w:eastAsia="cs-CZ"/>
              </w:rPr>
            </w:pPr>
            <w:r w:rsidRPr="00B14695">
              <w:rPr>
                <w:szCs w:val="24"/>
                <w:lang w:eastAsia="cs-CZ"/>
              </w:rPr>
              <w:t>Únavu nebo nedostatek energie?</w:t>
            </w:r>
          </w:p>
        </w:tc>
        <w:tc>
          <w:tcPr>
            <w:tcW w:w="468"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0</w:t>
            </w:r>
          </w:p>
        </w:tc>
        <w:tc>
          <w:tcPr>
            <w:tcW w:w="690"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1</w:t>
            </w:r>
          </w:p>
        </w:tc>
        <w:tc>
          <w:tcPr>
            <w:tcW w:w="597"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2</w:t>
            </w:r>
          </w:p>
        </w:tc>
        <w:tc>
          <w:tcPr>
            <w:tcW w:w="482" w:type="pct"/>
            <w:tcBorders>
              <w:right w:val="doub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3</w:t>
            </w:r>
          </w:p>
        </w:tc>
      </w:tr>
      <w:tr w:rsidR="00B14695" w:rsidRPr="00B14695" w:rsidTr="008160E4">
        <w:trPr>
          <w:trHeight w:val="1025"/>
        </w:trPr>
        <w:tc>
          <w:tcPr>
            <w:tcW w:w="2765" w:type="pct"/>
            <w:tcBorders>
              <w:left w:val="double" w:sz="4" w:space="0" w:color="auto"/>
            </w:tcBorders>
          </w:tcPr>
          <w:p w:rsidR="00B14695" w:rsidRPr="00B14695" w:rsidRDefault="00B14695" w:rsidP="00B14695">
            <w:pPr>
              <w:numPr>
                <w:ilvl w:val="0"/>
                <w:numId w:val="32"/>
              </w:numPr>
              <w:tabs>
                <w:tab w:val="left" w:pos="3686"/>
              </w:tabs>
              <w:spacing w:line="240" w:lineRule="auto"/>
              <w:contextualSpacing/>
              <w:jc w:val="left"/>
              <w:rPr>
                <w:szCs w:val="24"/>
                <w:lang w:eastAsia="cs-CZ"/>
              </w:rPr>
            </w:pPr>
            <w:r w:rsidRPr="00B14695">
              <w:rPr>
                <w:szCs w:val="24"/>
                <w:lang w:eastAsia="cs-CZ"/>
              </w:rPr>
              <w:t>Nechuť k jídlu nebo naopak přejídání?</w:t>
            </w:r>
          </w:p>
        </w:tc>
        <w:tc>
          <w:tcPr>
            <w:tcW w:w="468"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0</w:t>
            </w:r>
          </w:p>
        </w:tc>
        <w:tc>
          <w:tcPr>
            <w:tcW w:w="690"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1</w:t>
            </w:r>
          </w:p>
        </w:tc>
        <w:tc>
          <w:tcPr>
            <w:tcW w:w="597"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2</w:t>
            </w:r>
          </w:p>
        </w:tc>
        <w:tc>
          <w:tcPr>
            <w:tcW w:w="482" w:type="pct"/>
            <w:tcBorders>
              <w:right w:val="doub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3</w:t>
            </w:r>
          </w:p>
        </w:tc>
      </w:tr>
      <w:tr w:rsidR="00B14695" w:rsidRPr="00B14695" w:rsidTr="008160E4">
        <w:trPr>
          <w:trHeight w:val="1025"/>
        </w:trPr>
        <w:tc>
          <w:tcPr>
            <w:tcW w:w="2765" w:type="pct"/>
            <w:tcBorders>
              <w:left w:val="double" w:sz="4" w:space="0" w:color="auto"/>
            </w:tcBorders>
          </w:tcPr>
          <w:p w:rsidR="00B14695" w:rsidRPr="00B14695" w:rsidRDefault="00B14695" w:rsidP="00B14695">
            <w:pPr>
              <w:numPr>
                <w:ilvl w:val="0"/>
                <w:numId w:val="32"/>
              </w:numPr>
              <w:tabs>
                <w:tab w:val="left" w:pos="3686"/>
              </w:tabs>
              <w:spacing w:line="240" w:lineRule="auto"/>
              <w:contextualSpacing/>
              <w:jc w:val="left"/>
              <w:rPr>
                <w:szCs w:val="24"/>
                <w:lang w:eastAsia="cs-CZ"/>
              </w:rPr>
            </w:pPr>
            <w:r w:rsidRPr="00B14695">
              <w:rPr>
                <w:szCs w:val="24"/>
                <w:lang w:eastAsia="cs-CZ"/>
              </w:rPr>
              <w:t>Pocity vlastní nedostatečnosti, selhání nebo neúspěchu?</w:t>
            </w:r>
          </w:p>
        </w:tc>
        <w:tc>
          <w:tcPr>
            <w:tcW w:w="468"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0</w:t>
            </w:r>
          </w:p>
        </w:tc>
        <w:tc>
          <w:tcPr>
            <w:tcW w:w="690"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1</w:t>
            </w:r>
          </w:p>
        </w:tc>
        <w:tc>
          <w:tcPr>
            <w:tcW w:w="597"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2</w:t>
            </w:r>
          </w:p>
        </w:tc>
        <w:tc>
          <w:tcPr>
            <w:tcW w:w="482" w:type="pct"/>
            <w:tcBorders>
              <w:right w:val="doub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3</w:t>
            </w:r>
          </w:p>
        </w:tc>
      </w:tr>
      <w:tr w:rsidR="00B14695" w:rsidRPr="00B14695" w:rsidTr="008160E4">
        <w:trPr>
          <w:trHeight w:val="1082"/>
        </w:trPr>
        <w:tc>
          <w:tcPr>
            <w:tcW w:w="2765" w:type="pct"/>
            <w:tcBorders>
              <w:left w:val="double" w:sz="4" w:space="0" w:color="auto"/>
            </w:tcBorders>
          </w:tcPr>
          <w:p w:rsidR="00B14695" w:rsidRPr="00B14695" w:rsidRDefault="00B14695" w:rsidP="00B14695">
            <w:pPr>
              <w:numPr>
                <w:ilvl w:val="0"/>
                <w:numId w:val="32"/>
              </w:numPr>
              <w:tabs>
                <w:tab w:val="left" w:pos="3686"/>
              </w:tabs>
              <w:spacing w:line="240" w:lineRule="auto"/>
              <w:contextualSpacing/>
              <w:jc w:val="left"/>
              <w:rPr>
                <w:szCs w:val="24"/>
                <w:lang w:eastAsia="cs-CZ"/>
              </w:rPr>
            </w:pPr>
            <w:r w:rsidRPr="00B14695">
              <w:rPr>
                <w:szCs w:val="24"/>
                <w:lang w:eastAsia="cs-CZ"/>
              </w:rPr>
              <w:t>Potíže soustředit se-např. při studiu, problém číst knížku, noviny nebo se dívat na televizi?</w:t>
            </w:r>
          </w:p>
        </w:tc>
        <w:tc>
          <w:tcPr>
            <w:tcW w:w="468"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0</w:t>
            </w:r>
          </w:p>
        </w:tc>
        <w:tc>
          <w:tcPr>
            <w:tcW w:w="690"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1</w:t>
            </w:r>
          </w:p>
        </w:tc>
        <w:tc>
          <w:tcPr>
            <w:tcW w:w="597"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2</w:t>
            </w:r>
          </w:p>
        </w:tc>
        <w:tc>
          <w:tcPr>
            <w:tcW w:w="482" w:type="pct"/>
            <w:tcBorders>
              <w:right w:val="doub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3</w:t>
            </w:r>
          </w:p>
        </w:tc>
      </w:tr>
      <w:tr w:rsidR="00B14695" w:rsidRPr="00B14695" w:rsidTr="008160E4">
        <w:trPr>
          <w:trHeight w:val="1082"/>
        </w:trPr>
        <w:tc>
          <w:tcPr>
            <w:tcW w:w="2765" w:type="pct"/>
            <w:tcBorders>
              <w:left w:val="double" w:sz="4" w:space="0" w:color="auto"/>
            </w:tcBorders>
          </w:tcPr>
          <w:p w:rsidR="00B14695" w:rsidRPr="00B14695" w:rsidRDefault="00B14695" w:rsidP="00B14695">
            <w:pPr>
              <w:numPr>
                <w:ilvl w:val="0"/>
                <w:numId w:val="32"/>
              </w:numPr>
              <w:tabs>
                <w:tab w:val="left" w:pos="3686"/>
              </w:tabs>
              <w:spacing w:line="240" w:lineRule="auto"/>
              <w:contextualSpacing/>
              <w:jc w:val="left"/>
              <w:rPr>
                <w:szCs w:val="24"/>
                <w:lang w:eastAsia="cs-CZ"/>
              </w:rPr>
            </w:pPr>
            <w:r w:rsidRPr="00B14695">
              <w:rPr>
                <w:szCs w:val="24"/>
                <w:lang w:eastAsia="cs-CZ"/>
              </w:rPr>
              <w:t>Pomalé myšlení, mluvení nebo pohybování, nebo nervozitu a neschopnost vydržet chvilku v klidu?</w:t>
            </w:r>
          </w:p>
        </w:tc>
        <w:tc>
          <w:tcPr>
            <w:tcW w:w="468"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0</w:t>
            </w:r>
          </w:p>
        </w:tc>
        <w:tc>
          <w:tcPr>
            <w:tcW w:w="690"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1</w:t>
            </w:r>
          </w:p>
        </w:tc>
        <w:tc>
          <w:tcPr>
            <w:tcW w:w="597" w:type="pct"/>
          </w:tcPr>
          <w:p w:rsidR="00B14695" w:rsidRPr="00B14695" w:rsidRDefault="00B14695" w:rsidP="00B14695">
            <w:pPr>
              <w:tabs>
                <w:tab w:val="left" w:pos="3686"/>
              </w:tabs>
              <w:spacing w:line="240" w:lineRule="auto"/>
              <w:jc w:val="left"/>
              <w:rPr>
                <w:szCs w:val="24"/>
                <w:lang w:eastAsia="cs-CZ"/>
              </w:rPr>
            </w:pPr>
            <w:r w:rsidRPr="00B14695">
              <w:rPr>
                <w:szCs w:val="24"/>
                <w:lang w:eastAsia="cs-CZ"/>
              </w:rPr>
              <w:t>2</w:t>
            </w:r>
          </w:p>
        </w:tc>
        <w:tc>
          <w:tcPr>
            <w:tcW w:w="482" w:type="pct"/>
            <w:tcBorders>
              <w:right w:val="doub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3</w:t>
            </w:r>
          </w:p>
        </w:tc>
      </w:tr>
      <w:tr w:rsidR="00B14695" w:rsidRPr="00B14695" w:rsidTr="008160E4">
        <w:trPr>
          <w:trHeight w:val="933"/>
        </w:trPr>
        <w:tc>
          <w:tcPr>
            <w:tcW w:w="2765" w:type="pct"/>
            <w:tcBorders>
              <w:left w:val="double" w:sz="4" w:space="0" w:color="auto"/>
              <w:bottom w:val="single" w:sz="4" w:space="0" w:color="auto"/>
            </w:tcBorders>
          </w:tcPr>
          <w:p w:rsidR="00B14695" w:rsidRPr="00B14695" w:rsidRDefault="00B14695" w:rsidP="00B14695">
            <w:pPr>
              <w:numPr>
                <w:ilvl w:val="0"/>
                <w:numId w:val="32"/>
              </w:numPr>
              <w:tabs>
                <w:tab w:val="left" w:pos="3686"/>
              </w:tabs>
              <w:spacing w:line="240" w:lineRule="auto"/>
              <w:contextualSpacing/>
              <w:jc w:val="left"/>
              <w:rPr>
                <w:szCs w:val="24"/>
                <w:lang w:eastAsia="cs-CZ"/>
              </w:rPr>
            </w:pPr>
            <w:r w:rsidRPr="00B14695">
              <w:rPr>
                <w:szCs w:val="24"/>
                <w:lang w:eastAsia="cs-CZ"/>
              </w:rPr>
              <w:t>Myšlenky na to, že by bylo lepší nebýt nebo si vzít dokonce život?</w:t>
            </w:r>
          </w:p>
        </w:tc>
        <w:tc>
          <w:tcPr>
            <w:tcW w:w="468" w:type="pct"/>
            <w:tcBorders>
              <w:bottom w:val="sing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0</w:t>
            </w:r>
          </w:p>
        </w:tc>
        <w:tc>
          <w:tcPr>
            <w:tcW w:w="690" w:type="pct"/>
            <w:tcBorders>
              <w:bottom w:val="sing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1</w:t>
            </w:r>
          </w:p>
        </w:tc>
        <w:tc>
          <w:tcPr>
            <w:tcW w:w="597" w:type="pct"/>
            <w:tcBorders>
              <w:bottom w:val="sing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2</w:t>
            </w:r>
          </w:p>
        </w:tc>
        <w:tc>
          <w:tcPr>
            <w:tcW w:w="482" w:type="pct"/>
            <w:tcBorders>
              <w:bottom w:val="single" w:sz="4" w:space="0" w:color="auto"/>
              <w:right w:val="double" w:sz="4" w:space="0" w:color="auto"/>
            </w:tcBorders>
          </w:tcPr>
          <w:p w:rsidR="00B14695" w:rsidRPr="00B14695" w:rsidRDefault="00B14695" w:rsidP="00B14695">
            <w:pPr>
              <w:tabs>
                <w:tab w:val="left" w:pos="3686"/>
              </w:tabs>
              <w:spacing w:line="240" w:lineRule="auto"/>
              <w:jc w:val="left"/>
              <w:rPr>
                <w:szCs w:val="24"/>
                <w:lang w:eastAsia="cs-CZ"/>
              </w:rPr>
            </w:pPr>
            <w:r w:rsidRPr="00B14695">
              <w:rPr>
                <w:szCs w:val="24"/>
                <w:lang w:eastAsia="cs-CZ"/>
              </w:rPr>
              <w:t>3</w:t>
            </w:r>
          </w:p>
        </w:tc>
      </w:tr>
      <w:tr w:rsidR="00B14695" w:rsidRPr="00B14695" w:rsidTr="008160E4">
        <w:trPr>
          <w:trHeight w:val="2207"/>
        </w:trPr>
        <w:tc>
          <w:tcPr>
            <w:tcW w:w="2765" w:type="pct"/>
            <w:tcBorders>
              <w:left w:val="double" w:sz="4" w:space="0" w:color="auto"/>
              <w:bottom w:val="double" w:sz="4" w:space="0" w:color="auto"/>
              <w:right w:val="nil"/>
            </w:tcBorders>
          </w:tcPr>
          <w:p w:rsidR="00B14695" w:rsidRPr="00B14695" w:rsidRDefault="00B14695" w:rsidP="00B14695">
            <w:pPr>
              <w:tabs>
                <w:tab w:val="left" w:pos="3686"/>
              </w:tabs>
              <w:spacing w:before="240" w:line="240" w:lineRule="auto"/>
              <w:jc w:val="left"/>
              <w:rPr>
                <w:b/>
                <w:szCs w:val="24"/>
                <w:lang w:eastAsia="cs-CZ"/>
              </w:rPr>
            </w:pPr>
            <w:r w:rsidRPr="00B14695">
              <w:rPr>
                <w:b/>
                <w:szCs w:val="24"/>
                <w:lang w:eastAsia="cs-CZ"/>
              </w:rPr>
              <w:t>Bodování tíže deprese podle bodového skóre:</w:t>
            </w:r>
          </w:p>
          <w:p w:rsidR="00B14695" w:rsidRPr="00B14695" w:rsidRDefault="00B14695" w:rsidP="00B14695">
            <w:pPr>
              <w:tabs>
                <w:tab w:val="left" w:pos="3686"/>
              </w:tabs>
              <w:spacing w:before="240" w:line="240" w:lineRule="auto"/>
              <w:jc w:val="left"/>
              <w:rPr>
                <w:szCs w:val="24"/>
                <w:lang w:eastAsia="cs-CZ"/>
              </w:rPr>
            </w:pPr>
            <w:r w:rsidRPr="00B14695">
              <w:rPr>
                <w:szCs w:val="24"/>
                <w:lang w:eastAsia="cs-CZ"/>
              </w:rPr>
              <w:t>0-4: žádná deprese</w:t>
            </w:r>
          </w:p>
          <w:p w:rsidR="00B14695" w:rsidRPr="00B14695" w:rsidRDefault="00B14695" w:rsidP="00B14695">
            <w:pPr>
              <w:tabs>
                <w:tab w:val="left" w:pos="3686"/>
              </w:tabs>
              <w:spacing w:line="240" w:lineRule="auto"/>
              <w:jc w:val="left"/>
              <w:rPr>
                <w:szCs w:val="24"/>
                <w:lang w:eastAsia="cs-CZ"/>
              </w:rPr>
            </w:pPr>
            <w:r w:rsidRPr="00B14695">
              <w:rPr>
                <w:szCs w:val="24"/>
                <w:lang w:eastAsia="cs-CZ"/>
              </w:rPr>
              <w:t>5-9: mírná deprese (F32.0)</w:t>
            </w:r>
          </w:p>
          <w:p w:rsidR="00B14695" w:rsidRPr="00B14695" w:rsidRDefault="00B14695" w:rsidP="00B14695">
            <w:pPr>
              <w:tabs>
                <w:tab w:val="left" w:pos="3686"/>
              </w:tabs>
              <w:spacing w:line="240" w:lineRule="auto"/>
              <w:jc w:val="left"/>
              <w:rPr>
                <w:szCs w:val="24"/>
                <w:lang w:eastAsia="cs-CZ"/>
              </w:rPr>
            </w:pPr>
            <w:r w:rsidRPr="00B14695">
              <w:rPr>
                <w:szCs w:val="24"/>
                <w:lang w:eastAsia="cs-CZ"/>
              </w:rPr>
              <w:t>10-14:středně těžká deprese (F32.1)</w:t>
            </w:r>
          </w:p>
          <w:p w:rsidR="00B14695" w:rsidRPr="00B14695" w:rsidRDefault="00B14695" w:rsidP="00B14695">
            <w:pPr>
              <w:tabs>
                <w:tab w:val="left" w:pos="3686"/>
              </w:tabs>
              <w:spacing w:line="240" w:lineRule="auto"/>
              <w:jc w:val="left"/>
              <w:rPr>
                <w:szCs w:val="24"/>
                <w:lang w:eastAsia="cs-CZ"/>
              </w:rPr>
            </w:pPr>
            <w:r w:rsidRPr="00B14695">
              <w:rPr>
                <w:szCs w:val="24"/>
                <w:lang w:eastAsia="cs-CZ"/>
              </w:rPr>
              <w:t>15-19:těžká deprese (F32.2)</w:t>
            </w:r>
          </w:p>
          <w:p w:rsidR="00B14695" w:rsidRPr="00B14695" w:rsidRDefault="00B14695" w:rsidP="00B14695">
            <w:pPr>
              <w:tabs>
                <w:tab w:val="left" w:pos="3686"/>
              </w:tabs>
              <w:spacing w:line="240" w:lineRule="auto"/>
              <w:jc w:val="left"/>
              <w:rPr>
                <w:szCs w:val="24"/>
                <w:lang w:eastAsia="cs-CZ"/>
              </w:rPr>
            </w:pPr>
            <w:r w:rsidRPr="00B14695">
              <w:rPr>
                <w:szCs w:val="24"/>
                <w:lang w:eastAsia="cs-CZ"/>
              </w:rPr>
              <w:t>20-27:velmi těžká deprese (F32.2)</w:t>
            </w:r>
          </w:p>
        </w:tc>
        <w:tc>
          <w:tcPr>
            <w:tcW w:w="468" w:type="pct"/>
            <w:tcBorders>
              <w:left w:val="nil"/>
              <w:bottom w:val="double" w:sz="4" w:space="0" w:color="auto"/>
              <w:right w:val="nil"/>
            </w:tcBorders>
          </w:tcPr>
          <w:p w:rsidR="00B14695" w:rsidRPr="00B14695" w:rsidRDefault="00B14695" w:rsidP="00B14695">
            <w:pPr>
              <w:tabs>
                <w:tab w:val="left" w:pos="3686"/>
              </w:tabs>
              <w:spacing w:line="240" w:lineRule="auto"/>
              <w:jc w:val="left"/>
              <w:rPr>
                <w:szCs w:val="24"/>
                <w:lang w:eastAsia="cs-CZ"/>
              </w:rPr>
            </w:pPr>
          </w:p>
        </w:tc>
        <w:tc>
          <w:tcPr>
            <w:tcW w:w="690" w:type="pct"/>
            <w:tcBorders>
              <w:left w:val="nil"/>
              <w:bottom w:val="double" w:sz="4" w:space="0" w:color="auto"/>
              <w:right w:val="nil"/>
            </w:tcBorders>
          </w:tcPr>
          <w:p w:rsidR="00B14695" w:rsidRPr="00B14695" w:rsidRDefault="00B14695" w:rsidP="00B14695">
            <w:pPr>
              <w:tabs>
                <w:tab w:val="left" w:pos="3686"/>
              </w:tabs>
              <w:spacing w:line="240" w:lineRule="auto"/>
              <w:jc w:val="left"/>
              <w:rPr>
                <w:szCs w:val="24"/>
                <w:lang w:eastAsia="cs-CZ"/>
              </w:rPr>
            </w:pPr>
          </w:p>
        </w:tc>
        <w:tc>
          <w:tcPr>
            <w:tcW w:w="597" w:type="pct"/>
            <w:tcBorders>
              <w:left w:val="nil"/>
              <w:bottom w:val="double" w:sz="4" w:space="0" w:color="auto"/>
              <w:right w:val="nil"/>
            </w:tcBorders>
          </w:tcPr>
          <w:p w:rsidR="00B14695" w:rsidRPr="00B14695" w:rsidRDefault="00B14695" w:rsidP="00B14695">
            <w:pPr>
              <w:tabs>
                <w:tab w:val="left" w:pos="3686"/>
              </w:tabs>
              <w:spacing w:line="240" w:lineRule="auto"/>
              <w:jc w:val="left"/>
              <w:rPr>
                <w:szCs w:val="24"/>
                <w:lang w:eastAsia="cs-CZ"/>
              </w:rPr>
            </w:pPr>
          </w:p>
        </w:tc>
        <w:tc>
          <w:tcPr>
            <w:tcW w:w="482" w:type="pct"/>
            <w:tcBorders>
              <w:left w:val="nil"/>
              <w:bottom w:val="double" w:sz="4" w:space="0" w:color="auto"/>
              <w:right w:val="double" w:sz="4" w:space="0" w:color="auto"/>
            </w:tcBorders>
          </w:tcPr>
          <w:p w:rsidR="00B14695" w:rsidRPr="00B14695" w:rsidRDefault="00B14695" w:rsidP="00B14695">
            <w:pPr>
              <w:tabs>
                <w:tab w:val="left" w:pos="3686"/>
              </w:tabs>
              <w:spacing w:line="240" w:lineRule="auto"/>
              <w:jc w:val="left"/>
              <w:rPr>
                <w:szCs w:val="24"/>
                <w:lang w:eastAsia="cs-CZ"/>
              </w:rPr>
            </w:pPr>
          </w:p>
        </w:tc>
      </w:tr>
    </w:tbl>
    <w:p w:rsidR="00B14695" w:rsidRPr="00B14695" w:rsidRDefault="00B14695" w:rsidP="00B14695">
      <w:pPr>
        <w:tabs>
          <w:tab w:val="left" w:pos="3686"/>
        </w:tabs>
        <w:spacing w:line="240" w:lineRule="auto"/>
        <w:jc w:val="left"/>
        <w:rPr>
          <w:rFonts w:cs="Times New Roman"/>
          <w:b/>
          <w:szCs w:val="24"/>
          <w:lang w:eastAsia="cs-CZ"/>
        </w:rPr>
      </w:pPr>
    </w:p>
    <w:p w:rsidR="00AF40D1" w:rsidRDefault="00AF40D1" w:rsidP="00B14695">
      <w:pPr>
        <w:tabs>
          <w:tab w:val="left" w:pos="3686"/>
        </w:tabs>
        <w:spacing w:line="240" w:lineRule="auto"/>
        <w:jc w:val="left"/>
        <w:rPr>
          <w:rFonts w:cs="Times New Roman"/>
          <w:b/>
          <w:szCs w:val="24"/>
          <w:lang w:eastAsia="cs-CZ"/>
        </w:rPr>
      </w:pPr>
    </w:p>
    <w:p w:rsidR="00AF40D1" w:rsidRDefault="00AF40D1" w:rsidP="00B14695">
      <w:pPr>
        <w:tabs>
          <w:tab w:val="left" w:pos="3686"/>
        </w:tabs>
        <w:spacing w:line="240" w:lineRule="auto"/>
        <w:jc w:val="left"/>
        <w:rPr>
          <w:rFonts w:cs="Times New Roman"/>
          <w:b/>
          <w:szCs w:val="24"/>
          <w:lang w:eastAsia="cs-CZ"/>
        </w:rPr>
      </w:pPr>
    </w:p>
    <w:p w:rsidR="00AF40D1" w:rsidRDefault="00AF40D1" w:rsidP="00B14695">
      <w:pPr>
        <w:tabs>
          <w:tab w:val="left" w:pos="3686"/>
        </w:tabs>
        <w:spacing w:line="240" w:lineRule="auto"/>
        <w:jc w:val="left"/>
        <w:rPr>
          <w:rFonts w:cs="Times New Roman"/>
          <w:b/>
          <w:szCs w:val="24"/>
          <w:lang w:eastAsia="cs-CZ"/>
        </w:rPr>
      </w:pPr>
    </w:p>
    <w:p w:rsidR="00B14695" w:rsidRPr="00B14695" w:rsidRDefault="00267359" w:rsidP="00B14695">
      <w:pPr>
        <w:tabs>
          <w:tab w:val="left" w:pos="3686"/>
        </w:tabs>
        <w:spacing w:line="240" w:lineRule="auto"/>
        <w:jc w:val="left"/>
        <w:rPr>
          <w:rFonts w:cs="Times New Roman"/>
          <w:szCs w:val="24"/>
          <w:lang w:eastAsia="cs-CZ"/>
        </w:rPr>
      </w:pPr>
      <w:r>
        <w:rPr>
          <w:rFonts w:cs="Times New Roman"/>
          <w:b/>
          <w:szCs w:val="24"/>
          <w:lang w:eastAsia="cs-CZ"/>
        </w:rPr>
        <w:t> </w:t>
      </w:r>
      <w:r w:rsidR="00B14695" w:rsidRPr="00B14695">
        <w:rPr>
          <w:rFonts w:cs="Times New Roman"/>
          <w:b/>
          <w:szCs w:val="24"/>
          <w:lang w:eastAsia="cs-CZ"/>
        </w:rPr>
        <w:t xml:space="preserve">Příloha č. 3: </w:t>
      </w:r>
      <w:r w:rsidR="00B14695" w:rsidRPr="00B14695">
        <w:rPr>
          <w:rFonts w:cs="Times New Roman"/>
          <w:szCs w:val="24"/>
          <w:lang w:eastAsia="cs-CZ"/>
        </w:rPr>
        <w:t>Dělení antidepresiv dle mechanismů účinku (Dušek, Večeřová-Procházková, 2010)</w:t>
      </w:r>
    </w:p>
    <w:tbl>
      <w:tblPr>
        <w:tblStyle w:val="Mkatabulky1"/>
        <w:tblW w:w="9062" w:type="dxa"/>
        <w:tblLook w:val="04A0" w:firstRow="1" w:lastRow="0" w:firstColumn="1" w:lastColumn="0" w:noHBand="0" w:noVBand="1"/>
      </w:tblPr>
      <w:tblGrid>
        <w:gridCol w:w="3020"/>
        <w:gridCol w:w="3020"/>
        <w:gridCol w:w="3022"/>
      </w:tblGrid>
      <w:tr w:rsidR="00B14695" w:rsidRPr="00B14695" w:rsidTr="008160E4">
        <w:trPr>
          <w:trHeight w:val="531"/>
        </w:trPr>
        <w:tc>
          <w:tcPr>
            <w:tcW w:w="9062" w:type="dxa"/>
            <w:gridSpan w:val="3"/>
            <w:shd w:val="clear" w:color="auto" w:fill="D9D9D9" w:themeFill="background1" w:themeFillShade="D9"/>
          </w:tcPr>
          <w:p w:rsidR="00B14695" w:rsidRPr="00B14695" w:rsidRDefault="00B14695" w:rsidP="00B14695">
            <w:pPr>
              <w:tabs>
                <w:tab w:val="left" w:pos="3686"/>
              </w:tabs>
              <w:spacing w:before="240" w:line="240" w:lineRule="auto"/>
              <w:jc w:val="center"/>
              <w:rPr>
                <w:rFonts w:cs="Times New Roman"/>
                <w:b/>
                <w:szCs w:val="24"/>
                <w:lang w:eastAsia="cs-CZ"/>
              </w:rPr>
            </w:pPr>
            <w:r w:rsidRPr="00B14695">
              <w:rPr>
                <w:rFonts w:cs="Times New Roman"/>
                <w:b/>
                <w:szCs w:val="24"/>
                <w:lang w:eastAsia="cs-CZ"/>
              </w:rPr>
              <w:t>INHIBITORY VYCHYTÁVÁNÍ MONOAMINŮ</w:t>
            </w:r>
          </w:p>
        </w:tc>
      </w:tr>
      <w:tr w:rsidR="00B14695" w:rsidRPr="00B14695" w:rsidTr="008160E4">
        <w:trPr>
          <w:trHeight w:val="973"/>
        </w:trPr>
        <w:tc>
          <w:tcPr>
            <w:tcW w:w="3020" w:type="dxa"/>
            <w:shd w:val="clear" w:color="auto" w:fill="F2F2F2" w:themeFill="background1" w:themeFillShade="F2"/>
          </w:tcPr>
          <w:p w:rsidR="00B14695" w:rsidRPr="00B14695" w:rsidRDefault="00B14695" w:rsidP="00B14695">
            <w:pPr>
              <w:tabs>
                <w:tab w:val="left" w:pos="3686"/>
              </w:tabs>
              <w:spacing w:before="240" w:line="240" w:lineRule="auto"/>
              <w:jc w:val="center"/>
              <w:rPr>
                <w:rFonts w:cs="Times New Roman"/>
                <w:b/>
                <w:sz w:val="28"/>
                <w:szCs w:val="28"/>
                <w:lang w:eastAsia="cs-CZ"/>
              </w:rPr>
            </w:pPr>
            <w:r w:rsidRPr="00B14695">
              <w:rPr>
                <w:rFonts w:cs="Times New Roman"/>
                <w:b/>
                <w:sz w:val="28"/>
                <w:szCs w:val="28"/>
                <w:lang w:eastAsia="cs-CZ"/>
              </w:rPr>
              <w:t>I. generace</w:t>
            </w:r>
          </w:p>
        </w:tc>
        <w:tc>
          <w:tcPr>
            <w:tcW w:w="3020"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Tricyklika, tetracyklika</w:t>
            </w:r>
          </w:p>
        </w:tc>
        <w:tc>
          <w:tcPr>
            <w:tcW w:w="3022"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MIPRAMIN, AMITRIPTYLIN, NORTRIPTYLIN, DIBENZEPIN, DOSULEPIN</w:t>
            </w:r>
          </w:p>
        </w:tc>
      </w:tr>
      <w:tr w:rsidR="00B14695" w:rsidRPr="00B14695" w:rsidTr="008160E4">
        <w:trPr>
          <w:trHeight w:val="825"/>
        </w:trPr>
        <w:tc>
          <w:tcPr>
            <w:tcW w:w="3020" w:type="dxa"/>
            <w:shd w:val="clear" w:color="auto" w:fill="F2F2F2" w:themeFill="background1" w:themeFillShade="F2"/>
          </w:tcPr>
          <w:p w:rsidR="00B14695" w:rsidRPr="00B14695" w:rsidRDefault="00B14695" w:rsidP="00B14695">
            <w:pPr>
              <w:tabs>
                <w:tab w:val="left" w:pos="3686"/>
              </w:tabs>
              <w:spacing w:before="240" w:line="240" w:lineRule="auto"/>
              <w:jc w:val="center"/>
              <w:rPr>
                <w:rFonts w:cs="Times New Roman"/>
                <w:b/>
                <w:sz w:val="28"/>
                <w:szCs w:val="28"/>
                <w:lang w:eastAsia="cs-CZ"/>
              </w:rPr>
            </w:pPr>
            <w:r w:rsidRPr="00B14695">
              <w:rPr>
                <w:rFonts w:cs="Times New Roman"/>
                <w:b/>
                <w:sz w:val="28"/>
                <w:szCs w:val="28"/>
                <w:lang w:eastAsia="cs-CZ"/>
              </w:rPr>
              <w:t>II. generace</w:t>
            </w:r>
          </w:p>
        </w:tc>
        <w:tc>
          <w:tcPr>
            <w:tcW w:w="3020"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heterocyklika</w:t>
            </w:r>
          </w:p>
        </w:tc>
        <w:tc>
          <w:tcPr>
            <w:tcW w:w="3022"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MAPROTILIN</w:t>
            </w:r>
          </w:p>
        </w:tc>
      </w:tr>
      <w:tr w:rsidR="00B14695" w:rsidRPr="00B14695" w:rsidTr="008160E4">
        <w:trPr>
          <w:trHeight w:val="1317"/>
        </w:trPr>
        <w:tc>
          <w:tcPr>
            <w:tcW w:w="3020" w:type="dxa"/>
            <w:vMerge w:val="restart"/>
            <w:shd w:val="clear" w:color="auto" w:fill="F2F2F2" w:themeFill="background1" w:themeFillShade="F2"/>
          </w:tcPr>
          <w:p w:rsidR="00B14695" w:rsidRPr="00B14695" w:rsidRDefault="00B14695" w:rsidP="00B14695">
            <w:pPr>
              <w:tabs>
                <w:tab w:val="left" w:pos="3686"/>
              </w:tabs>
              <w:spacing w:before="240" w:line="240" w:lineRule="auto"/>
              <w:jc w:val="center"/>
              <w:rPr>
                <w:rFonts w:cs="Times New Roman"/>
                <w:b/>
                <w:sz w:val="28"/>
                <w:szCs w:val="28"/>
                <w:lang w:eastAsia="cs-CZ"/>
              </w:rPr>
            </w:pPr>
            <w:r w:rsidRPr="00B14695">
              <w:rPr>
                <w:rFonts w:cs="Times New Roman"/>
                <w:b/>
                <w:sz w:val="28"/>
                <w:szCs w:val="28"/>
                <w:lang w:eastAsia="cs-CZ"/>
              </w:rPr>
              <w:t>III. generace</w:t>
            </w:r>
          </w:p>
        </w:tc>
        <w:tc>
          <w:tcPr>
            <w:tcW w:w="3020"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SSRI: selektivní inhibitory vychytávání serotoninu</w:t>
            </w:r>
          </w:p>
        </w:tc>
        <w:tc>
          <w:tcPr>
            <w:tcW w:w="3022"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FLUOXETIN, FLUVOXAMIN, CITALOPRAM, PAROXETIN, SETRALIN, ESCITALOPRAM</w:t>
            </w:r>
          </w:p>
        </w:tc>
      </w:tr>
      <w:tr w:rsidR="00B14695" w:rsidRPr="00B14695" w:rsidTr="008160E4">
        <w:trPr>
          <w:trHeight w:val="1135"/>
        </w:trPr>
        <w:tc>
          <w:tcPr>
            <w:tcW w:w="3020" w:type="dxa"/>
            <w:vMerge/>
            <w:shd w:val="clear" w:color="auto" w:fill="F2F2F2" w:themeFill="background1" w:themeFillShade="F2"/>
          </w:tcPr>
          <w:p w:rsidR="00B14695" w:rsidRPr="00B14695" w:rsidRDefault="00B14695" w:rsidP="00B14695">
            <w:pPr>
              <w:tabs>
                <w:tab w:val="left" w:pos="3686"/>
              </w:tabs>
              <w:spacing w:before="240" w:line="240" w:lineRule="auto"/>
              <w:jc w:val="center"/>
              <w:rPr>
                <w:rFonts w:cs="Times New Roman"/>
                <w:b/>
                <w:sz w:val="28"/>
                <w:szCs w:val="28"/>
                <w:lang w:eastAsia="cs-CZ"/>
              </w:rPr>
            </w:pPr>
          </w:p>
        </w:tc>
        <w:tc>
          <w:tcPr>
            <w:tcW w:w="3020"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SARI: agonisté serotoninu a inhibitory zpětného vychytávání serotoninu</w:t>
            </w:r>
          </w:p>
        </w:tc>
        <w:tc>
          <w:tcPr>
            <w:tcW w:w="3022"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TRAZODON, NEFAZODON</w:t>
            </w:r>
          </w:p>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(NENÍ REGISTROVÁN V ČR)</w:t>
            </w:r>
          </w:p>
        </w:tc>
      </w:tr>
      <w:tr w:rsidR="00B14695" w:rsidRPr="00B14695" w:rsidTr="008160E4">
        <w:trPr>
          <w:trHeight w:val="796"/>
        </w:trPr>
        <w:tc>
          <w:tcPr>
            <w:tcW w:w="3020" w:type="dxa"/>
            <w:vMerge/>
            <w:shd w:val="clear" w:color="auto" w:fill="F2F2F2" w:themeFill="background1" w:themeFillShade="F2"/>
          </w:tcPr>
          <w:p w:rsidR="00B14695" w:rsidRPr="00B14695" w:rsidRDefault="00B14695" w:rsidP="00B14695">
            <w:pPr>
              <w:tabs>
                <w:tab w:val="left" w:pos="3686"/>
              </w:tabs>
              <w:spacing w:before="240" w:line="240" w:lineRule="auto"/>
              <w:jc w:val="center"/>
              <w:rPr>
                <w:rFonts w:cs="Times New Roman"/>
                <w:b/>
                <w:sz w:val="28"/>
                <w:szCs w:val="28"/>
                <w:lang w:eastAsia="cs-CZ"/>
              </w:rPr>
            </w:pPr>
          </w:p>
        </w:tc>
        <w:tc>
          <w:tcPr>
            <w:tcW w:w="3020"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NRI:inhibitory zpětného vychytávání noradrenalinu</w:t>
            </w:r>
          </w:p>
        </w:tc>
        <w:tc>
          <w:tcPr>
            <w:tcW w:w="3022"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REBOXETIN, ATOMOXETIN</w:t>
            </w:r>
          </w:p>
        </w:tc>
      </w:tr>
      <w:tr w:rsidR="00B14695" w:rsidRPr="00B14695" w:rsidTr="008160E4">
        <w:trPr>
          <w:trHeight w:val="796"/>
        </w:trPr>
        <w:tc>
          <w:tcPr>
            <w:tcW w:w="3020" w:type="dxa"/>
            <w:vMerge w:val="restart"/>
            <w:shd w:val="clear" w:color="auto" w:fill="F2F2F2" w:themeFill="background1" w:themeFillShade="F2"/>
          </w:tcPr>
          <w:p w:rsidR="00B14695" w:rsidRPr="00B14695" w:rsidRDefault="00B14695" w:rsidP="00B14695">
            <w:pPr>
              <w:tabs>
                <w:tab w:val="left" w:pos="3686"/>
              </w:tabs>
              <w:spacing w:before="240" w:line="240" w:lineRule="auto"/>
              <w:jc w:val="center"/>
              <w:rPr>
                <w:rFonts w:cs="Times New Roman"/>
                <w:b/>
                <w:sz w:val="28"/>
                <w:szCs w:val="28"/>
                <w:lang w:eastAsia="cs-CZ"/>
              </w:rPr>
            </w:pPr>
            <w:r w:rsidRPr="00B14695">
              <w:rPr>
                <w:rFonts w:cs="Times New Roman"/>
                <w:b/>
                <w:sz w:val="28"/>
                <w:szCs w:val="28"/>
                <w:lang w:eastAsia="cs-CZ"/>
              </w:rPr>
              <w:t>IV. generace</w:t>
            </w:r>
          </w:p>
        </w:tc>
        <w:tc>
          <w:tcPr>
            <w:tcW w:w="3020"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SNRI: selektivní inhibitory zpětného vychytávání noradrenalinu</w:t>
            </w:r>
          </w:p>
        </w:tc>
        <w:tc>
          <w:tcPr>
            <w:tcW w:w="3022"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VENLAFAXIN, MILNACIPRAN, DULOXETIN</w:t>
            </w:r>
          </w:p>
        </w:tc>
      </w:tr>
      <w:tr w:rsidR="00B14695" w:rsidRPr="00B14695" w:rsidTr="008160E4">
        <w:trPr>
          <w:trHeight w:val="796"/>
        </w:trPr>
        <w:tc>
          <w:tcPr>
            <w:tcW w:w="3020" w:type="dxa"/>
            <w:vMerge/>
            <w:shd w:val="clear" w:color="auto" w:fill="F2F2F2" w:themeFill="background1" w:themeFillShade="F2"/>
          </w:tcPr>
          <w:p w:rsidR="00B14695" w:rsidRPr="00B14695" w:rsidRDefault="00B14695" w:rsidP="00B14695">
            <w:pPr>
              <w:tabs>
                <w:tab w:val="left" w:pos="3686"/>
              </w:tabs>
              <w:spacing w:before="240" w:line="240" w:lineRule="auto"/>
              <w:jc w:val="center"/>
              <w:rPr>
                <w:rFonts w:cs="Times New Roman"/>
                <w:szCs w:val="24"/>
                <w:lang w:eastAsia="cs-CZ"/>
              </w:rPr>
            </w:pPr>
          </w:p>
        </w:tc>
        <w:tc>
          <w:tcPr>
            <w:tcW w:w="3020" w:type="dxa"/>
          </w:tcPr>
          <w:p w:rsidR="00B14695" w:rsidRPr="00B14695" w:rsidRDefault="00B14695" w:rsidP="00B14695">
            <w:pPr>
              <w:tabs>
                <w:tab w:val="left" w:pos="3686"/>
              </w:tabs>
              <w:spacing w:line="240" w:lineRule="auto"/>
              <w:jc w:val="center"/>
              <w:rPr>
                <w:rFonts w:cs="Times New Roman"/>
                <w:szCs w:val="24"/>
                <w:lang w:eastAsia="cs-CZ"/>
              </w:rPr>
            </w:pPr>
            <w:r w:rsidRPr="00B14695">
              <w:rPr>
                <w:rFonts w:cs="Times New Roman"/>
                <w:szCs w:val="24"/>
                <w:lang w:eastAsia="cs-CZ"/>
              </w:rPr>
              <w:t>NaSSa: noradrenergní a specificky serotonergní antidepresiva</w:t>
            </w:r>
          </w:p>
        </w:tc>
        <w:tc>
          <w:tcPr>
            <w:tcW w:w="3022" w:type="dxa"/>
          </w:tcPr>
          <w:p w:rsidR="00B14695" w:rsidRPr="00B14695" w:rsidRDefault="00B14695" w:rsidP="00B14695">
            <w:pPr>
              <w:tabs>
                <w:tab w:val="left" w:pos="3686"/>
              </w:tabs>
              <w:spacing w:line="240" w:lineRule="auto"/>
              <w:jc w:val="center"/>
              <w:rPr>
                <w:rFonts w:cs="Times New Roman"/>
                <w:szCs w:val="24"/>
                <w:lang w:eastAsia="cs-CZ"/>
              </w:rPr>
            </w:pPr>
            <w:r w:rsidRPr="00B14695">
              <w:rPr>
                <w:rFonts w:cs="Times New Roman"/>
                <w:szCs w:val="24"/>
                <w:lang w:eastAsia="cs-CZ"/>
              </w:rPr>
              <w:t>MIANSERIN, MITRAZAPIN</w:t>
            </w:r>
          </w:p>
        </w:tc>
      </w:tr>
      <w:tr w:rsidR="00B14695" w:rsidRPr="00B14695" w:rsidTr="008160E4">
        <w:trPr>
          <w:trHeight w:val="796"/>
        </w:trPr>
        <w:tc>
          <w:tcPr>
            <w:tcW w:w="3020" w:type="dxa"/>
            <w:vMerge/>
            <w:shd w:val="clear" w:color="auto" w:fill="F2F2F2" w:themeFill="background1" w:themeFillShade="F2"/>
          </w:tcPr>
          <w:p w:rsidR="00B14695" w:rsidRPr="00B14695" w:rsidRDefault="00B14695" w:rsidP="00B14695">
            <w:pPr>
              <w:tabs>
                <w:tab w:val="left" w:pos="3686"/>
              </w:tabs>
              <w:spacing w:line="240" w:lineRule="auto"/>
              <w:jc w:val="center"/>
              <w:rPr>
                <w:rFonts w:cs="Times New Roman"/>
                <w:szCs w:val="24"/>
                <w:lang w:eastAsia="cs-CZ"/>
              </w:rPr>
            </w:pPr>
          </w:p>
        </w:tc>
        <w:tc>
          <w:tcPr>
            <w:tcW w:w="3020" w:type="dxa"/>
          </w:tcPr>
          <w:p w:rsidR="00B14695" w:rsidRPr="00B14695" w:rsidRDefault="00B14695" w:rsidP="00B14695">
            <w:pPr>
              <w:tabs>
                <w:tab w:val="left" w:pos="3686"/>
              </w:tabs>
              <w:spacing w:line="240" w:lineRule="auto"/>
              <w:jc w:val="center"/>
              <w:rPr>
                <w:rFonts w:cs="Times New Roman"/>
                <w:szCs w:val="24"/>
                <w:lang w:eastAsia="cs-CZ"/>
              </w:rPr>
            </w:pPr>
            <w:r w:rsidRPr="00B14695">
              <w:rPr>
                <w:rFonts w:cs="Times New Roman"/>
                <w:szCs w:val="24"/>
                <w:lang w:eastAsia="cs-CZ"/>
              </w:rPr>
              <w:t>NDRI:selektivní inhibitory zpětného vychytávání noradrenalinu a domaninu</w:t>
            </w:r>
          </w:p>
        </w:tc>
        <w:tc>
          <w:tcPr>
            <w:tcW w:w="3022" w:type="dxa"/>
          </w:tcPr>
          <w:p w:rsidR="00B14695" w:rsidRPr="00B14695" w:rsidRDefault="00B14695" w:rsidP="00B14695">
            <w:pPr>
              <w:tabs>
                <w:tab w:val="left" w:pos="3686"/>
              </w:tabs>
              <w:spacing w:line="240" w:lineRule="auto"/>
              <w:jc w:val="center"/>
              <w:rPr>
                <w:rFonts w:cs="Times New Roman"/>
                <w:szCs w:val="24"/>
                <w:lang w:eastAsia="cs-CZ"/>
              </w:rPr>
            </w:pPr>
            <w:r w:rsidRPr="00B14695">
              <w:rPr>
                <w:rFonts w:cs="Times New Roman"/>
                <w:szCs w:val="24"/>
                <w:lang w:eastAsia="cs-CZ"/>
              </w:rPr>
              <w:t>BUPROPION</w:t>
            </w:r>
          </w:p>
        </w:tc>
      </w:tr>
      <w:tr w:rsidR="00B14695" w:rsidRPr="00B14695" w:rsidTr="008160E4">
        <w:trPr>
          <w:trHeight w:val="796"/>
        </w:trPr>
        <w:tc>
          <w:tcPr>
            <w:tcW w:w="9062" w:type="dxa"/>
            <w:gridSpan w:val="3"/>
            <w:shd w:val="clear" w:color="auto" w:fill="D9D9D9" w:themeFill="background1" w:themeFillShade="D9"/>
          </w:tcPr>
          <w:p w:rsidR="00B14695" w:rsidRPr="00B14695" w:rsidRDefault="00B14695" w:rsidP="00B14695">
            <w:pPr>
              <w:tabs>
                <w:tab w:val="left" w:pos="3686"/>
              </w:tabs>
              <w:spacing w:before="240" w:line="240" w:lineRule="auto"/>
              <w:jc w:val="center"/>
              <w:rPr>
                <w:rFonts w:cs="Times New Roman"/>
                <w:b/>
                <w:szCs w:val="24"/>
                <w:lang w:eastAsia="cs-CZ"/>
              </w:rPr>
            </w:pPr>
            <w:r w:rsidRPr="00B14695">
              <w:rPr>
                <w:rFonts w:cs="Times New Roman"/>
                <w:b/>
                <w:szCs w:val="24"/>
                <w:lang w:eastAsia="cs-CZ"/>
              </w:rPr>
              <w:t>INHIBITORY BIODEGRADACE</w:t>
            </w:r>
          </w:p>
        </w:tc>
      </w:tr>
      <w:tr w:rsidR="00B14695" w:rsidRPr="00B14695" w:rsidTr="008160E4">
        <w:trPr>
          <w:trHeight w:val="796"/>
        </w:trPr>
        <w:tc>
          <w:tcPr>
            <w:tcW w:w="3020" w:type="dxa"/>
            <w:shd w:val="clear" w:color="auto" w:fill="F2F2F2" w:themeFill="background1" w:themeFillShade="F2"/>
          </w:tcPr>
          <w:p w:rsidR="00B14695" w:rsidRPr="00B14695" w:rsidRDefault="00B14695" w:rsidP="00B14695">
            <w:pPr>
              <w:tabs>
                <w:tab w:val="left" w:pos="3686"/>
              </w:tabs>
              <w:spacing w:line="240" w:lineRule="auto"/>
              <w:jc w:val="center"/>
              <w:rPr>
                <w:rFonts w:cs="Times New Roman"/>
                <w:szCs w:val="24"/>
                <w:lang w:eastAsia="cs-CZ"/>
              </w:rPr>
            </w:pPr>
          </w:p>
        </w:tc>
        <w:tc>
          <w:tcPr>
            <w:tcW w:w="3020" w:type="dxa"/>
          </w:tcPr>
          <w:p w:rsidR="00B14695" w:rsidRPr="00B14695" w:rsidRDefault="00B14695" w:rsidP="00B14695">
            <w:pPr>
              <w:tabs>
                <w:tab w:val="left" w:pos="3686"/>
              </w:tabs>
              <w:spacing w:line="240" w:lineRule="auto"/>
              <w:jc w:val="center"/>
              <w:rPr>
                <w:rFonts w:cs="Times New Roman"/>
                <w:szCs w:val="24"/>
                <w:lang w:eastAsia="cs-CZ"/>
              </w:rPr>
            </w:pPr>
            <w:r w:rsidRPr="00B14695">
              <w:rPr>
                <w:rFonts w:cs="Times New Roman"/>
                <w:szCs w:val="24"/>
                <w:lang w:eastAsia="cs-CZ"/>
              </w:rPr>
              <w:t>I. generace:neselektivní</w:t>
            </w:r>
          </w:p>
        </w:tc>
        <w:tc>
          <w:tcPr>
            <w:tcW w:w="3022" w:type="dxa"/>
          </w:tcPr>
          <w:p w:rsidR="00B14695" w:rsidRPr="00B14695" w:rsidRDefault="00B14695" w:rsidP="00B14695">
            <w:pPr>
              <w:tabs>
                <w:tab w:val="left" w:pos="3686"/>
              </w:tabs>
              <w:spacing w:line="240" w:lineRule="auto"/>
              <w:jc w:val="center"/>
              <w:rPr>
                <w:rFonts w:cs="Times New Roman"/>
                <w:szCs w:val="24"/>
                <w:lang w:eastAsia="cs-CZ"/>
              </w:rPr>
            </w:pPr>
            <w:r w:rsidRPr="00B14695">
              <w:rPr>
                <w:rFonts w:cs="Times New Roman"/>
                <w:szCs w:val="24"/>
                <w:lang w:eastAsia="cs-CZ"/>
              </w:rPr>
              <w:t>Ireverzibilní-TRANYLCYPROMIN (IMAO)</w:t>
            </w:r>
          </w:p>
        </w:tc>
      </w:tr>
      <w:tr w:rsidR="00B14695" w:rsidRPr="00B14695" w:rsidTr="008160E4">
        <w:trPr>
          <w:trHeight w:val="825"/>
        </w:trPr>
        <w:tc>
          <w:tcPr>
            <w:tcW w:w="3020" w:type="dxa"/>
            <w:shd w:val="clear" w:color="auto" w:fill="F2F2F2" w:themeFill="background1" w:themeFillShade="F2"/>
          </w:tcPr>
          <w:p w:rsidR="00B14695" w:rsidRPr="00B14695" w:rsidRDefault="00B14695" w:rsidP="00B14695">
            <w:pPr>
              <w:tabs>
                <w:tab w:val="left" w:pos="3686"/>
              </w:tabs>
              <w:spacing w:before="240" w:line="240" w:lineRule="auto"/>
              <w:jc w:val="center"/>
              <w:rPr>
                <w:rFonts w:cs="Times New Roman"/>
                <w:b/>
                <w:sz w:val="28"/>
                <w:szCs w:val="28"/>
                <w:lang w:eastAsia="cs-CZ"/>
              </w:rPr>
            </w:pPr>
            <w:r w:rsidRPr="00B14695">
              <w:rPr>
                <w:rFonts w:cs="Times New Roman"/>
                <w:b/>
                <w:sz w:val="28"/>
                <w:szCs w:val="28"/>
                <w:lang w:eastAsia="cs-CZ"/>
              </w:rPr>
              <w:t>Inhibitory MAO</w:t>
            </w:r>
          </w:p>
        </w:tc>
        <w:tc>
          <w:tcPr>
            <w:tcW w:w="3020"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II. generace:selektivní</w:t>
            </w:r>
          </w:p>
        </w:tc>
        <w:tc>
          <w:tcPr>
            <w:tcW w:w="3022"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I-MAO-A:reverzibilní-MOCLOBEMID</w:t>
            </w:r>
          </w:p>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I-MAO-B: ireverzibilní-selegilin</w:t>
            </w:r>
          </w:p>
        </w:tc>
      </w:tr>
      <w:tr w:rsidR="00B14695" w:rsidRPr="00B14695" w:rsidTr="008160E4">
        <w:trPr>
          <w:trHeight w:val="825"/>
        </w:trPr>
        <w:tc>
          <w:tcPr>
            <w:tcW w:w="3020" w:type="dxa"/>
            <w:shd w:val="clear" w:color="auto" w:fill="F2F2F2" w:themeFill="background1" w:themeFillShade="F2"/>
          </w:tcPr>
          <w:p w:rsidR="00B14695" w:rsidRPr="00B14695" w:rsidRDefault="00B14695" w:rsidP="00B14695">
            <w:pPr>
              <w:tabs>
                <w:tab w:val="left" w:pos="3686"/>
              </w:tabs>
              <w:spacing w:before="240" w:line="240" w:lineRule="auto"/>
              <w:jc w:val="center"/>
              <w:rPr>
                <w:rFonts w:cs="Times New Roman"/>
                <w:b/>
                <w:sz w:val="28"/>
                <w:szCs w:val="28"/>
                <w:lang w:eastAsia="cs-CZ"/>
              </w:rPr>
            </w:pPr>
            <w:r w:rsidRPr="00B14695">
              <w:rPr>
                <w:rFonts w:cs="Times New Roman"/>
                <w:b/>
                <w:sz w:val="28"/>
                <w:szCs w:val="28"/>
                <w:lang w:eastAsia="cs-CZ"/>
              </w:rPr>
              <w:lastRenderedPageBreak/>
              <w:t>Ostatní</w:t>
            </w:r>
          </w:p>
        </w:tc>
        <w:tc>
          <w:tcPr>
            <w:tcW w:w="3020"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SRE (stimulanty zpětného vychytávání serotoninu)</w:t>
            </w:r>
          </w:p>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RUI (reuptake inhibitory)</w:t>
            </w:r>
          </w:p>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MASSA (agonisté melatoninových receptorů a antagonisté serotoninových receptorů)</w:t>
            </w:r>
          </w:p>
        </w:tc>
        <w:tc>
          <w:tcPr>
            <w:tcW w:w="3022" w:type="dxa"/>
          </w:tcPr>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TIANEPTIN</w:t>
            </w:r>
          </w:p>
          <w:p w:rsidR="00B14695" w:rsidRPr="00B14695" w:rsidRDefault="00B14695" w:rsidP="00B14695">
            <w:pPr>
              <w:tabs>
                <w:tab w:val="left" w:pos="3686"/>
              </w:tabs>
              <w:spacing w:before="240" w:line="240" w:lineRule="auto"/>
              <w:jc w:val="left"/>
              <w:rPr>
                <w:rFonts w:cs="Times New Roman"/>
                <w:szCs w:val="24"/>
                <w:lang w:eastAsia="cs-CZ"/>
              </w:rPr>
            </w:pPr>
          </w:p>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Extrakt z třezalky</w:t>
            </w:r>
          </w:p>
          <w:p w:rsidR="00B14695" w:rsidRPr="00B14695" w:rsidRDefault="00B14695" w:rsidP="00B14695">
            <w:pPr>
              <w:tabs>
                <w:tab w:val="left" w:pos="3686"/>
              </w:tabs>
              <w:spacing w:before="240" w:line="240" w:lineRule="auto"/>
              <w:jc w:val="center"/>
              <w:rPr>
                <w:rFonts w:cs="Times New Roman"/>
                <w:szCs w:val="24"/>
                <w:lang w:eastAsia="cs-CZ"/>
              </w:rPr>
            </w:pPr>
            <w:r w:rsidRPr="00B14695">
              <w:rPr>
                <w:rFonts w:cs="Times New Roman"/>
                <w:szCs w:val="24"/>
                <w:lang w:eastAsia="cs-CZ"/>
              </w:rPr>
              <w:t>AGOMELATIN</w:t>
            </w:r>
          </w:p>
        </w:tc>
      </w:tr>
    </w:tbl>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rPr>
          <w:szCs w:val="24"/>
          <w:lang w:eastAsia="cs-CZ"/>
        </w:rPr>
      </w:pPr>
    </w:p>
    <w:p w:rsidR="00B14695" w:rsidRPr="00B14695" w:rsidRDefault="00B14695" w:rsidP="00B14695">
      <w:pPr>
        <w:tabs>
          <w:tab w:val="left" w:pos="3686"/>
        </w:tabs>
        <w:rPr>
          <w:rFonts w:cs="Times New Roman"/>
          <w:szCs w:val="24"/>
          <w:lang w:eastAsia="cs-CZ"/>
        </w:rPr>
      </w:pPr>
      <w:r w:rsidRPr="00B14695">
        <w:rPr>
          <w:rFonts w:cs="Times New Roman"/>
          <w:szCs w:val="24"/>
          <w:lang w:eastAsia="cs-CZ"/>
        </w:rPr>
        <w:t xml:space="preserve">Raboch a Zvolský (2001) popisují i V. generaci antidepresiv, tam se zařazují inhibitory reuptake serotoninu, noradrenalinu a dopaminu. </w:t>
      </w: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line="240" w:lineRule="auto"/>
        <w:jc w:val="left"/>
        <w:rPr>
          <w:szCs w:val="24"/>
          <w:lang w:eastAsia="cs-CZ"/>
        </w:rPr>
      </w:pPr>
    </w:p>
    <w:p w:rsidR="00AF40D1" w:rsidRDefault="00AF40D1" w:rsidP="00B14695">
      <w:pPr>
        <w:tabs>
          <w:tab w:val="left" w:pos="3686"/>
        </w:tabs>
        <w:spacing w:line="240" w:lineRule="auto"/>
        <w:jc w:val="left"/>
        <w:rPr>
          <w:b/>
          <w:szCs w:val="24"/>
          <w:lang w:eastAsia="cs-CZ"/>
        </w:rPr>
      </w:pPr>
    </w:p>
    <w:p w:rsidR="00AF40D1" w:rsidRDefault="00AF40D1" w:rsidP="00B14695">
      <w:pPr>
        <w:tabs>
          <w:tab w:val="left" w:pos="3686"/>
        </w:tabs>
        <w:spacing w:line="240" w:lineRule="auto"/>
        <w:jc w:val="left"/>
        <w:rPr>
          <w:b/>
          <w:szCs w:val="24"/>
          <w:lang w:eastAsia="cs-CZ"/>
        </w:rPr>
      </w:pPr>
    </w:p>
    <w:p w:rsidR="00AF40D1" w:rsidRDefault="00AF40D1" w:rsidP="00B14695">
      <w:pPr>
        <w:tabs>
          <w:tab w:val="left" w:pos="3686"/>
        </w:tabs>
        <w:spacing w:line="240" w:lineRule="auto"/>
        <w:jc w:val="left"/>
        <w:rPr>
          <w:b/>
          <w:szCs w:val="24"/>
          <w:lang w:eastAsia="cs-CZ"/>
        </w:rPr>
      </w:pPr>
    </w:p>
    <w:p w:rsidR="00B14695" w:rsidRPr="00B14695" w:rsidRDefault="008C13F1" w:rsidP="00B14695">
      <w:pPr>
        <w:tabs>
          <w:tab w:val="left" w:pos="3686"/>
        </w:tabs>
        <w:spacing w:line="240" w:lineRule="auto"/>
        <w:jc w:val="left"/>
        <w:rPr>
          <w:szCs w:val="24"/>
          <w:lang w:eastAsia="cs-CZ"/>
        </w:rPr>
      </w:pPr>
      <w:r w:rsidRPr="008C13F1">
        <w:rPr>
          <w:b/>
          <w:szCs w:val="24"/>
          <w:lang w:eastAsia="cs-CZ"/>
        </w:rPr>
        <w:lastRenderedPageBreak/>
        <w:t xml:space="preserve">Příloha č. 4: </w:t>
      </w:r>
      <w:r w:rsidRPr="008C13F1">
        <w:rPr>
          <w:szCs w:val="24"/>
          <w:lang w:eastAsia="cs-CZ"/>
        </w:rPr>
        <w:t>Vývoj antidepresiv (Čéšková, 2008)</w:t>
      </w:r>
    </w:p>
    <w:tbl>
      <w:tblPr>
        <w:tblStyle w:val="Mkatabulky1"/>
        <w:tblpPr w:leftFromText="141" w:rightFromText="141" w:horzAnchor="margin" w:tblpY="975"/>
        <w:tblW w:w="9435" w:type="dxa"/>
        <w:tblBorders>
          <w:top w:val="triple" w:sz="4" w:space="0" w:color="auto"/>
          <w:left w:val="triple" w:sz="4" w:space="0" w:color="auto"/>
          <w:bottom w:val="triple" w:sz="4" w:space="0" w:color="auto"/>
          <w:right w:val="triple" w:sz="4" w:space="0" w:color="auto"/>
          <w:insideH w:val="none" w:sz="0" w:space="0" w:color="auto"/>
          <w:insideV w:val="none" w:sz="0" w:space="0" w:color="auto"/>
        </w:tblBorders>
        <w:tblLook w:val="04A0" w:firstRow="1" w:lastRow="0" w:firstColumn="1" w:lastColumn="0" w:noHBand="0" w:noVBand="1"/>
      </w:tblPr>
      <w:tblGrid>
        <w:gridCol w:w="4449"/>
        <w:gridCol w:w="4986"/>
      </w:tblGrid>
      <w:tr w:rsidR="00B14695" w:rsidRPr="00B14695" w:rsidTr="008160E4">
        <w:trPr>
          <w:trHeight w:val="6135"/>
        </w:trPr>
        <w:tc>
          <w:tcPr>
            <w:tcW w:w="4449" w:type="dxa"/>
            <w:shd w:val="clear" w:color="auto" w:fill="EEECE1" w:themeFill="background2"/>
          </w:tcPr>
          <w:p w:rsidR="00B14695" w:rsidRPr="00B14695" w:rsidRDefault="002B44ED" w:rsidP="00B14695">
            <w:pPr>
              <w:tabs>
                <w:tab w:val="left" w:pos="3686"/>
              </w:tabs>
              <w:spacing w:before="240" w:line="600" w:lineRule="auto"/>
              <w:jc w:val="center"/>
              <w:rPr>
                <w:szCs w:val="24"/>
                <w:lang w:eastAsia="cs-CZ"/>
              </w:rPr>
            </w:pPr>
            <w:r>
              <w:rPr>
                <w:noProof/>
                <w:szCs w:val="24"/>
                <w:lang w:eastAsia="cs-CZ"/>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1" type="#_x0000_t67" style="position:absolute;left:0;text-align:left;margin-left:33.4pt;margin-top:18.8pt;width:18.75pt;height:175.45pt;z-index:251666432" fillcolor="black [3200]" strokecolor="#f2f2f2 [3041]" strokeweight="3pt">
                  <v:shadow on="t" type="perspective" color="#7f7f7f [1601]" opacity=".5" offset="1pt" offset2="-1pt"/>
                </v:shape>
              </w:pict>
            </w:r>
            <w:r w:rsidR="00B14695" w:rsidRPr="00B14695">
              <w:rPr>
                <w:szCs w:val="24"/>
                <w:lang w:eastAsia="cs-CZ"/>
              </w:rPr>
              <w:t>1950:</w:t>
            </w:r>
          </w:p>
          <w:p w:rsidR="00B14695" w:rsidRPr="00B14695" w:rsidRDefault="00B14695" w:rsidP="00B14695">
            <w:pPr>
              <w:tabs>
                <w:tab w:val="left" w:pos="3686"/>
              </w:tabs>
              <w:spacing w:before="240" w:line="600" w:lineRule="auto"/>
              <w:jc w:val="center"/>
              <w:rPr>
                <w:szCs w:val="24"/>
                <w:lang w:eastAsia="cs-CZ"/>
              </w:rPr>
            </w:pPr>
            <w:r w:rsidRPr="00B14695">
              <w:rPr>
                <w:szCs w:val="24"/>
                <w:lang w:eastAsia="cs-CZ"/>
              </w:rPr>
              <w:t>1960:</w:t>
            </w:r>
          </w:p>
          <w:p w:rsidR="00B14695" w:rsidRPr="00B14695" w:rsidRDefault="00B14695" w:rsidP="00B14695">
            <w:pPr>
              <w:tabs>
                <w:tab w:val="left" w:pos="3686"/>
              </w:tabs>
              <w:spacing w:before="240" w:line="600" w:lineRule="auto"/>
              <w:jc w:val="center"/>
              <w:rPr>
                <w:szCs w:val="24"/>
                <w:lang w:eastAsia="cs-CZ"/>
              </w:rPr>
            </w:pPr>
            <w:r w:rsidRPr="00B14695">
              <w:rPr>
                <w:szCs w:val="24"/>
                <w:lang w:eastAsia="cs-CZ"/>
              </w:rPr>
              <w:t>1970:</w:t>
            </w:r>
          </w:p>
          <w:p w:rsidR="00B14695" w:rsidRPr="00B14695" w:rsidRDefault="00B14695" w:rsidP="00B14695">
            <w:pPr>
              <w:tabs>
                <w:tab w:val="left" w:pos="3686"/>
              </w:tabs>
              <w:spacing w:before="240" w:line="600" w:lineRule="auto"/>
              <w:jc w:val="center"/>
              <w:rPr>
                <w:szCs w:val="24"/>
                <w:lang w:eastAsia="cs-CZ"/>
              </w:rPr>
            </w:pPr>
            <w:r w:rsidRPr="00B14695">
              <w:rPr>
                <w:szCs w:val="24"/>
                <w:lang w:eastAsia="cs-CZ"/>
              </w:rPr>
              <w:t>1980:</w:t>
            </w:r>
          </w:p>
          <w:p w:rsidR="00B14695" w:rsidRPr="00B14695" w:rsidRDefault="00B14695" w:rsidP="00B14695">
            <w:pPr>
              <w:tabs>
                <w:tab w:val="left" w:pos="3686"/>
              </w:tabs>
              <w:spacing w:before="240" w:line="600" w:lineRule="auto"/>
              <w:jc w:val="center"/>
              <w:rPr>
                <w:szCs w:val="24"/>
                <w:lang w:eastAsia="cs-CZ"/>
              </w:rPr>
            </w:pPr>
            <w:r w:rsidRPr="00B14695">
              <w:rPr>
                <w:szCs w:val="24"/>
                <w:lang w:eastAsia="cs-CZ"/>
              </w:rPr>
              <w:t>1990:</w:t>
            </w:r>
          </w:p>
          <w:p w:rsidR="00B14695" w:rsidRPr="00B14695" w:rsidRDefault="00B14695" w:rsidP="00B14695">
            <w:pPr>
              <w:tabs>
                <w:tab w:val="left" w:pos="3686"/>
              </w:tabs>
              <w:spacing w:before="240" w:line="600" w:lineRule="auto"/>
              <w:jc w:val="left"/>
              <w:rPr>
                <w:szCs w:val="24"/>
                <w:lang w:eastAsia="cs-CZ"/>
              </w:rPr>
            </w:pPr>
          </w:p>
          <w:p w:rsidR="00B14695" w:rsidRPr="00B14695" w:rsidRDefault="00B14695" w:rsidP="00B14695">
            <w:pPr>
              <w:tabs>
                <w:tab w:val="left" w:pos="3686"/>
              </w:tabs>
              <w:spacing w:before="240" w:line="600" w:lineRule="auto"/>
              <w:jc w:val="left"/>
              <w:rPr>
                <w:b/>
                <w:color w:val="000000" w:themeColor="text1"/>
                <w:szCs w:val="24"/>
                <w:lang w:eastAsia="cs-CZ"/>
              </w:rPr>
            </w:pPr>
            <w:r w:rsidRPr="00B14695">
              <w:rPr>
                <w:b/>
                <w:color w:val="000000" w:themeColor="text1"/>
                <w:szCs w:val="24"/>
                <w:lang w:eastAsia="cs-CZ"/>
              </w:rPr>
              <w:t xml:space="preserve">   Větší specifita</w:t>
            </w:r>
          </w:p>
        </w:tc>
        <w:tc>
          <w:tcPr>
            <w:tcW w:w="4986" w:type="dxa"/>
            <w:shd w:val="clear" w:color="auto" w:fill="EEECE1" w:themeFill="background2"/>
          </w:tcPr>
          <w:p w:rsidR="00B14695" w:rsidRPr="00B14695" w:rsidRDefault="00B14695" w:rsidP="00B14695">
            <w:pPr>
              <w:tabs>
                <w:tab w:val="left" w:pos="3686"/>
              </w:tabs>
              <w:spacing w:before="240" w:line="600" w:lineRule="auto"/>
              <w:ind w:firstLine="175"/>
              <w:jc w:val="left"/>
              <w:rPr>
                <w:szCs w:val="24"/>
                <w:lang w:eastAsia="cs-CZ"/>
              </w:rPr>
            </w:pPr>
            <w:r w:rsidRPr="00B14695">
              <w:rPr>
                <w:szCs w:val="24"/>
                <w:lang w:eastAsia="cs-CZ"/>
              </w:rPr>
              <w:t>IMAO</w:t>
            </w:r>
          </w:p>
          <w:p w:rsidR="00B14695" w:rsidRPr="00B14695" w:rsidRDefault="00B14695" w:rsidP="00B14695">
            <w:pPr>
              <w:tabs>
                <w:tab w:val="left" w:pos="3686"/>
              </w:tabs>
              <w:spacing w:before="240" w:line="600" w:lineRule="auto"/>
              <w:ind w:firstLine="175"/>
              <w:jc w:val="left"/>
              <w:rPr>
                <w:szCs w:val="24"/>
                <w:lang w:eastAsia="cs-CZ"/>
              </w:rPr>
            </w:pPr>
            <w:r w:rsidRPr="00B14695">
              <w:rPr>
                <w:szCs w:val="24"/>
                <w:lang w:eastAsia="cs-CZ"/>
              </w:rPr>
              <w:t>TCA (I. generace)</w:t>
            </w:r>
          </w:p>
          <w:p w:rsidR="00B14695" w:rsidRPr="00B14695" w:rsidRDefault="00B14695" w:rsidP="00B14695">
            <w:pPr>
              <w:tabs>
                <w:tab w:val="left" w:pos="3686"/>
              </w:tabs>
              <w:spacing w:before="240" w:line="600" w:lineRule="auto"/>
              <w:ind w:firstLine="175"/>
              <w:jc w:val="left"/>
              <w:rPr>
                <w:szCs w:val="24"/>
                <w:lang w:eastAsia="cs-CZ"/>
              </w:rPr>
            </w:pPr>
            <w:r w:rsidRPr="00B14695">
              <w:rPr>
                <w:szCs w:val="24"/>
                <w:lang w:eastAsia="cs-CZ"/>
              </w:rPr>
              <w:t>Heterocyklika (II. generace)</w:t>
            </w:r>
          </w:p>
          <w:p w:rsidR="00B14695" w:rsidRPr="00B14695" w:rsidRDefault="00B14695" w:rsidP="00B14695">
            <w:pPr>
              <w:tabs>
                <w:tab w:val="left" w:pos="3686"/>
              </w:tabs>
              <w:spacing w:before="240" w:line="600" w:lineRule="auto"/>
              <w:ind w:firstLine="175"/>
              <w:jc w:val="left"/>
              <w:rPr>
                <w:szCs w:val="24"/>
                <w:lang w:eastAsia="cs-CZ"/>
              </w:rPr>
            </w:pPr>
            <w:r w:rsidRPr="00B14695">
              <w:rPr>
                <w:szCs w:val="24"/>
                <w:lang w:eastAsia="cs-CZ"/>
              </w:rPr>
              <w:t>SSRI (III. generace)</w:t>
            </w:r>
          </w:p>
          <w:p w:rsidR="00B14695" w:rsidRPr="00B14695" w:rsidRDefault="00B14695" w:rsidP="00B14695">
            <w:pPr>
              <w:numPr>
                <w:ilvl w:val="0"/>
                <w:numId w:val="33"/>
              </w:numPr>
              <w:tabs>
                <w:tab w:val="left" w:pos="3686"/>
              </w:tabs>
              <w:spacing w:before="240" w:line="600" w:lineRule="auto"/>
              <w:ind w:left="175" w:hanging="283"/>
              <w:contextualSpacing/>
              <w:jc w:val="left"/>
              <w:rPr>
                <w:szCs w:val="24"/>
                <w:lang w:eastAsia="cs-CZ"/>
              </w:rPr>
            </w:pPr>
            <w:r w:rsidRPr="00B14695">
              <w:rPr>
                <w:szCs w:val="24"/>
                <w:lang w:eastAsia="cs-CZ"/>
              </w:rPr>
              <w:t>Receptorový modulátor (nefrazodon, mirtazapin)</w:t>
            </w:r>
          </w:p>
          <w:p w:rsidR="00B14695" w:rsidRPr="00B14695" w:rsidRDefault="00B14695" w:rsidP="00B14695">
            <w:pPr>
              <w:numPr>
                <w:ilvl w:val="0"/>
                <w:numId w:val="33"/>
              </w:numPr>
              <w:tabs>
                <w:tab w:val="left" w:pos="3686"/>
              </w:tabs>
              <w:spacing w:before="240" w:line="600" w:lineRule="auto"/>
              <w:ind w:left="175" w:hanging="283"/>
              <w:contextualSpacing/>
              <w:jc w:val="left"/>
              <w:rPr>
                <w:szCs w:val="24"/>
                <w:lang w:eastAsia="cs-CZ"/>
              </w:rPr>
            </w:pPr>
            <w:r w:rsidRPr="00B14695">
              <w:rPr>
                <w:szCs w:val="24"/>
                <w:lang w:eastAsia="cs-CZ"/>
              </w:rPr>
              <w:t>Duální inhibitor reuptaku (IV. generace)</w:t>
            </w:r>
          </w:p>
          <w:p w:rsidR="00B14695" w:rsidRPr="00B14695" w:rsidRDefault="00B14695" w:rsidP="00B14695">
            <w:pPr>
              <w:numPr>
                <w:ilvl w:val="0"/>
                <w:numId w:val="33"/>
              </w:numPr>
              <w:tabs>
                <w:tab w:val="left" w:pos="3686"/>
              </w:tabs>
              <w:spacing w:before="240" w:line="600" w:lineRule="auto"/>
              <w:ind w:left="175" w:hanging="283"/>
              <w:contextualSpacing/>
              <w:jc w:val="left"/>
              <w:rPr>
                <w:szCs w:val="24"/>
                <w:lang w:eastAsia="cs-CZ"/>
              </w:rPr>
            </w:pPr>
            <w:r w:rsidRPr="00B14695">
              <w:rPr>
                <w:szCs w:val="24"/>
                <w:lang w:eastAsia="cs-CZ"/>
              </w:rPr>
              <w:t>Selektivní inhibitor reuptaku NA-reboxetin</w:t>
            </w:r>
          </w:p>
          <w:p w:rsidR="00B14695" w:rsidRPr="00B14695" w:rsidRDefault="00B14695" w:rsidP="00B14695">
            <w:pPr>
              <w:numPr>
                <w:ilvl w:val="0"/>
                <w:numId w:val="33"/>
              </w:numPr>
              <w:tabs>
                <w:tab w:val="left" w:pos="3686"/>
              </w:tabs>
              <w:spacing w:before="240" w:line="600" w:lineRule="auto"/>
              <w:ind w:left="175" w:hanging="283"/>
              <w:contextualSpacing/>
              <w:jc w:val="left"/>
              <w:rPr>
                <w:szCs w:val="24"/>
                <w:lang w:eastAsia="cs-CZ"/>
              </w:rPr>
            </w:pPr>
            <w:r w:rsidRPr="00B14695">
              <w:rPr>
                <w:szCs w:val="24"/>
                <w:lang w:eastAsia="cs-CZ"/>
              </w:rPr>
              <w:t>Selektivní stimulátor reuptaku</w:t>
            </w:r>
          </w:p>
        </w:tc>
      </w:tr>
    </w:tbl>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Default="00B14695" w:rsidP="00B14695">
      <w:pPr>
        <w:tabs>
          <w:tab w:val="left" w:pos="3686"/>
        </w:tabs>
        <w:spacing w:before="240" w:line="240" w:lineRule="auto"/>
        <w:jc w:val="left"/>
        <w:rPr>
          <w:szCs w:val="24"/>
          <w:lang w:eastAsia="cs-CZ"/>
        </w:rPr>
      </w:pPr>
    </w:p>
    <w:p w:rsidR="001A39C6" w:rsidRDefault="001A39C6"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267359" w:rsidP="00B14695">
      <w:pPr>
        <w:tabs>
          <w:tab w:val="left" w:pos="3686"/>
        </w:tabs>
        <w:spacing w:line="240" w:lineRule="auto"/>
        <w:jc w:val="left"/>
        <w:rPr>
          <w:szCs w:val="24"/>
          <w:lang w:eastAsia="cs-CZ"/>
        </w:rPr>
      </w:pPr>
      <w:r>
        <w:rPr>
          <w:szCs w:val="24"/>
          <w:lang w:eastAsia="cs-CZ"/>
        </w:rPr>
        <w:lastRenderedPageBreak/>
        <w:t> </w:t>
      </w:r>
      <w:r w:rsidR="00B14695" w:rsidRPr="00B14695">
        <w:rPr>
          <w:szCs w:val="24"/>
          <w:lang w:eastAsia="cs-CZ"/>
        </w:rPr>
        <w:t> </w:t>
      </w:r>
      <w:r w:rsidR="008C13F1">
        <w:rPr>
          <w:szCs w:val="24"/>
          <w:lang w:eastAsia="cs-CZ"/>
        </w:rPr>
        <w:t> </w:t>
      </w:r>
      <w:r w:rsidR="00B14695" w:rsidRPr="00B14695">
        <w:rPr>
          <w:b/>
          <w:szCs w:val="24"/>
          <w:lang w:eastAsia="cs-CZ"/>
        </w:rPr>
        <w:t>Příloha č. 5:</w:t>
      </w:r>
      <w:r w:rsidR="00B14695" w:rsidRPr="00B14695">
        <w:rPr>
          <w:szCs w:val="24"/>
          <w:lang w:eastAsia="cs-CZ"/>
        </w:rPr>
        <w:t xml:space="preserve"> Antidepresiva I. generace (L</w:t>
      </w:r>
      <w:r w:rsidR="00B14695" w:rsidRPr="00B14695">
        <w:rPr>
          <w:rFonts w:cs="Times New Roman"/>
          <w:szCs w:val="24"/>
          <w:lang w:eastAsia="cs-CZ"/>
        </w:rPr>
        <w:t>ü</w:t>
      </w:r>
      <w:r w:rsidR="00B14695" w:rsidRPr="00B14695">
        <w:rPr>
          <w:szCs w:val="24"/>
          <w:lang w:eastAsia="cs-CZ"/>
        </w:rPr>
        <w:t>llman, Mohr, Hein, 2001)</w:t>
      </w:r>
    </w:p>
    <w:p w:rsidR="00B14695" w:rsidRPr="00B14695" w:rsidRDefault="00B14695" w:rsidP="00B14695">
      <w:pPr>
        <w:tabs>
          <w:tab w:val="left" w:pos="3686"/>
        </w:tabs>
        <w:spacing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r w:rsidRPr="00B14695">
        <w:rPr>
          <w:noProof/>
          <w:szCs w:val="24"/>
          <w:lang w:eastAsia="cs-CZ"/>
        </w:rPr>
        <w:drawing>
          <wp:inline distT="0" distB="0" distL="0" distR="0" wp14:anchorId="217F5F31" wp14:editId="2E73A8BA">
            <wp:extent cx="4489340" cy="3489901"/>
            <wp:effectExtent l="19050" t="0" r="6460" b="0"/>
            <wp:docPr id="16" name="Obrázok 4" descr="C:\Users\Uživatel\AppData\Local\Microsoft\Windows\Temporary Internet Files\Content.Word\barevný atlas farmakolog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živatel\AppData\Local\Microsoft\Windows\Temporary Internet Files\Content.Word\barevný atlas farmakologie.jpg"/>
                    <pic:cNvPicPr>
                      <a:picLocks noChangeAspect="1" noChangeArrowheads="1"/>
                    </pic:cNvPicPr>
                  </pic:nvPicPr>
                  <pic:blipFill>
                    <a:blip r:embed="rId41" cstate="print"/>
                    <a:srcRect/>
                    <a:stretch>
                      <a:fillRect/>
                    </a:stretch>
                  </pic:blipFill>
                  <pic:spPr bwMode="auto">
                    <a:xfrm>
                      <a:off x="0" y="0"/>
                      <a:ext cx="4492974" cy="3492726"/>
                    </a:xfrm>
                    <a:prstGeom prst="rect">
                      <a:avLst/>
                    </a:prstGeom>
                    <a:noFill/>
                    <a:ln w="9525">
                      <a:noFill/>
                      <a:miter lim="800000"/>
                      <a:headEnd/>
                      <a:tailEnd/>
                    </a:ln>
                  </pic:spPr>
                </pic:pic>
              </a:graphicData>
            </a:graphic>
          </wp:inline>
        </w:drawing>
      </w: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Default="00B14695" w:rsidP="00B14695">
      <w:pPr>
        <w:tabs>
          <w:tab w:val="left" w:pos="3686"/>
        </w:tabs>
        <w:spacing w:before="240" w:line="240" w:lineRule="auto"/>
        <w:jc w:val="left"/>
        <w:rPr>
          <w:szCs w:val="24"/>
          <w:lang w:eastAsia="cs-CZ"/>
        </w:rPr>
      </w:pPr>
    </w:p>
    <w:p w:rsidR="008C13F1" w:rsidRDefault="008C13F1" w:rsidP="00B14695">
      <w:pPr>
        <w:tabs>
          <w:tab w:val="left" w:pos="3686"/>
        </w:tabs>
        <w:spacing w:line="240" w:lineRule="auto"/>
        <w:jc w:val="left"/>
        <w:rPr>
          <w:szCs w:val="24"/>
          <w:lang w:eastAsia="cs-CZ"/>
        </w:rPr>
      </w:pPr>
    </w:p>
    <w:p w:rsidR="008C13F1" w:rsidRDefault="008C13F1" w:rsidP="00B14695">
      <w:pPr>
        <w:tabs>
          <w:tab w:val="left" w:pos="3686"/>
        </w:tabs>
        <w:spacing w:line="240" w:lineRule="auto"/>
        <w:jc w:val="left"/>
        <w:rPr>
          <w:szCs w:val="24"/>
          <w:lang w:eastAsia="cs-CZ"/>
        </w:rPr>
      </w:pPr>
    </w:p>
    <w:p w:rsidR="001A39C6" w:rsidRDefault="001A39C6" w:rsidP="00B14695">
      <w:pPr>
        <w:tabs>
          <w:tab w:val="left" w:pos="3686"/>
        </w:tabs>
        <w:spacing w:line="240" w:lineRule="auto"/>
        <w:jc w:val="left"/>
        <w:rPr>
          <w:szCs w:val="24"/>
          <w:lang w:eastAsia="cs-CZ"/>
        </w:rPr>
      </w:pPr>
    </w:p>
    <w:p w:rsidR="001A39C6" w:rsidRDefault="001A39C6" w:rsidP="00B14695">
      <w:pPr>
        <w:tabs>
          <w:tab w:val="left" w:pos="3686"/>
        </w:tabs>
        <w:spacing w:line="240" w:lineRule="auto"/>
        <w:jc w:val="left"/>
        <w:rPr>
          <w:szCs w:val="24"/>
          <w:lang w:eastAsia="cs-CZ"/>
        </w:rPr>
      </w:pPr>
    </w:p>
    <w:p w:rsidR="001A39C6" w:rsidRDefault="001A39C6" w:rsidP="00B14695">
      <w:pPr>
        <w:tabs>
          <w:tab w:val="left" w:pos="3686"/>
        </w:tabs>
        <w:spacing w:line="240" w:lineRule="auto"/>
        <w:jc w:val="left"/>
        <w:rPr>
          <w:szCs w:val="24"/>
          <w:lang w:eastAsia="cs-CZ"/>
        </w:rPr>
      </w:pPr>
    </w:p>
    <w:p w:rsidR="00B14695" w:rsidRPr="00B14695" w:rsidRDefault="008C13F1" w:rsidP="00B14695">
      <w:pPr>
        <w:tabs>
          <w:tab w:val="left" w:pos="3686"/>
        </w:tabs>
        <w:spacing w:line="240" w:lineRule="auto"/>
        <w:jc w:val="left"/>
        <w:rPr>
          <w:szCs w:val="24"/>
          <w:lang w:eastAsia="cs-CZ"/>
        </w:rPr>
      </w:pPr>
      <w:r>
        <w:rPr>
          <w:szCs w:val="24"/>
          <w:lang w:eastAsia="cs-CZ"/>
        </w:rPr>
        <w:lastRenderedPageBreak/>
        <w:t> </w:t>
      </w:r>
      <w:r w:rsidR="00267359">
        <w:rPr>
          <w:b/>
          <w:szCs w:val="24"/>
          <w:lang w:eastAsia="cs-CZ"/>
        </w:rPr>
        <w:t> </w:t>
      </w:r>
      <w:r w:rsidR="00B14695" w:rsidRPr="00B14695">
        <w:rPr>
          <w:b/>
          <w:szCs w:val="24"/>
          <w:lang w:eastAsia="cs-CZ"/>
        </w:rPr>
        <w:t>Příloha č. 6:</w:t>
      </w:r>
      <w:r w:rsidR="001A39C6">
        <w:rPr>
          <w:szCs w:val="24"/>
          <w:lang w:eastAsia="cs-CZ"/>
        </w:rPr>
        <w:t xml:space="preserve"> SSRI (</w:t>
      </w:r>
      <w:r w:rsidR="00B14695" w:rsidRPr="00B14695">
        <w:rPr>
          <w:szCs w:val="24"/>
          <w:lang w:eastAsia="cs-CZ"/>
        </w:rPr>
        <w:t>L</w:t>
      </w:r>
      <w:r w:rsidR="00B14695" w:rsidRPr="00B14695">
        <w:rPr>
          <w:rFonts w:cs="Times New Roman"/>
          <w:szCs w:val="24"/>
          <w:lang w:eastAsia="cs-CZ"/>
        </w:rPr>
        <w:t>ü</w:t>
      </w:r>
      <w:r w:rsidR="00B14695" w:rsidRPr="00B14695">
        <w:rPr>
          <w:szCs w:val="24"/>
          <w:lang w:eastAsia="cs-CZ"/>
        </w:rPr>
        <w:t>llman, Mohr, Hein, 2001)</w:t>
      </w: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r w:rsidRPr="00B14695">
        <w:rPr>
          <w:noProof/>
          <w:szCs w:val="24"/>
          <w:lang w:eastAsia="cs-CZ"/>
        </w:rPr>
        <w:drawing>
          <wp:inline distT="0" distB="0" distL="0" distR="0" wp14:anchorId="261CBDD1" wp14:editId="37AAB106">
            <wp:extent cx="5060242" cy="1304014"/>
            <wp:effectExtent l="19050" t="0" r="7058" b="0"/>
            <wp:docPr id="21" name="Obrázok 7" descr="C:\Users\Uživatel\AppData\Local\Microsoft\Windows\Temporary Internet Files\Content.Word\barevný atlas farmakolog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živatel\AppData\Local\Microsoft\Windows\Temporary Internet Files\Content.Word\barevný atlas farmakologie.jpg"/>
                    <pic:cNvPicPr>
                      <a:picLocks noChangeAspect="1" noChangeArrowheads="1"/>
                    </pic:cNvPicPr>
                  </pic:nvPicPr>
                  <pic:blipFill>
                    <a:blip r:embed="rId42" cstate="print"/>
                    <a:srcRect/>
                    <a:stretch>
                      <a:fillRect/>
                    </a:stretch>
                  </pic:blipFill>
                  <pic:spPr bwMode="auto">
                    <a:xfrm>
                      <a:off x="0" y="0"/>
                      <a:ext cx="5064338" cy="1305070"/>
                    </a:xfrm>
                    <a:prstGeom prst="rect">
                      <a:avLst/>
                    </a:prstGeom>
                    <a:noFill/>
                    <a:ln w="9525">
                      <a:noFill/>
                      <a:miter lim="800000"/>
                      <a:headEnd/>
                      <a:tailEnd/>
                    </a:ln>
                  </pic:spPr>
                </pic:pic>
              </a:graphicData>
            </a:graphic>
          </wp:inline>
        </w:drawing>
      </w: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B14695" w:rsidRPr="00B14695" w:rsidRDefault="00B14695" w:rsidP="00B14695">
      <w:pPr>
        <w:tabs>
          <w:tab w:val="left" w:pos="3686"/>
        </w:tabs>
        <w:spacing w:before="240" w:line="240" w:lineRule="auto"/>
        <w:jc w:val="left"/>
        <w:rPr>
          <w:szCs w:val="24"/>
          <w:lang w:eastAsia="cs-CZ"/>
        </w:rPr>
      </w:pPr>
    </w:p>
    <w:p w:rsidR="008C13F1" w:rsidRDefault="008C13F1" w:rsidP="00B14695">
      <w:pPr>
        <w:tabs>
          <w:tab w:val="left" w:pos="3686"/>
        </w:tabs>
        <w:spacing w:before="240" w:line="240" w:lineRule="auto"/>
        <w:jc w:val="left"/>
        <w:rPr>
          <w:szCs w:val="24"/>
          <w:lang w:eastAsia="cs-CZ"/>
        </w:rPr>
      </w:pPr>
    </w:p>
    <w:p w:rsidR="001A39C6" w:rsidRDefault="001A39C6" w:rsidP="00B14695">
      <w:pPr>
        <w:tabs>
          <w:tab w:val="left" w:pos="3686"/>
        </w:tabs>
        <w:spacing w:before="240" w:line="240" w:lineRule="auto"/>
        <w:jc w:val="left"/>
        <w:rPr>
          <w:szCs w:val="24"/>
          <w:lang w:eastAsia="cs-CZ"/>
        </w:rPr>
      </w:pPr>
    </w:p>
    <w:p w:rsidR="001A39C6" w:rsidRDefault="001A39C6" w:rsidP="00B14695">
      <w:pPr>
        <w:tabs>
          <w:tab w:val="left" w:pos="3686"/>
        </w:tabs>
        <w:spacing w:before="240" w:line="240" w:lineRule="auto"/>
        <w:jc w:val="left"/>
        <w:rPr>
          <w:szCs w:val="24"/>
          <w:lang w:eastAsia="cs-CZ"/>
        </w:rPr>
      </w:pPr>
    </w:p>
    <w:p w:rsidR="001A39C6" w:rsidRDefault="001A39C6" w:rsidP="00B14695">
      <w:pPr>
        <w:tabs>
          <w:tab w:val="left" w:pos="3686"/>
        </w:tabs>
        <w:spacing w:before="240" w:line="240" w:lineRule="auto"/>
        <w:jc w:val="left"/>
        <w:rPr>
          <w:szCs w:val="24"/>
          <w:lang w:eastAsia="cs-CZ"/>
        </w:rPr>
      </w:pPr>
    </w:p>
    <w:p w:rsidR="00B14695" w:rsidRPr="001A39C6" w:rsidRDefault="008C13F1" w:rsidP="00B14695">
      <w:pPr>
        <w:tabs>
          <w:tab w:val="left" w:pos="3686"/>
        </w:tabs>
        <w:spacing w:before="240" w:line="240" w:lineRule="auto"/>
        <w:jc w:val="left"/>
        <w:rPr>
          <w:szCs w:val="24"/>
          <w:lang w:eastAsia="cs-CZ"/>
        </w:rPr>
      </w:pPr>
      <w:r>
        <w:rPr>
          <w:szCs w:val="24"/>
          <w:lang w:eastAsia="cs-CZ"/>
        </w:rPr>
        <w:lastRenderedPageBreak/>
        <w:t> </w:t>
      </w:r>
      <w:r w:rsidR="00B14695" w:rsidRPr="00B14695">
        <w:rPr>
          <w:b/>
          <w:szCs w:val="24"/>
          <w:lang w:eastAsia="cs-CZ"/>
        </w:rPr>
        <w:t xml:space="preserve">Příloha č. 7: </w:t>
      </w:r>
      <w:r w:rsidR="00B14695" w:rsidRPr="00B14695">
        <w:rPr>
          <w:szCs w:val="24"/>
          <w:lang w:eastAsia="cs-CZ"/>
        </w:rPr>
        <w:t>Mýty a pověry o antidepresivech</w:t>
      </w:r>
    </w:p>
    <w:p w:rsidR="00B14695" w:rsidRPr="00B14695" w:rsidRDefault="00B14695" w:rsidP="00B14695">
      <w:pPr>
        <w:tabs>
          <w:tab w:val="left" w:pos="3686"/>
        </w:tabs>
        <w:spacing w:line="240" w:lineRule="auto"/>
        <w:jc w:val="left"/>
        <w:rPr>
          <w:szCs w:val="24"/>
          <w:lang w:eastAsia="cs-CZ"/>
        </w:rPr>
      </w:pPr>
    </w:p>
    <w:p w:rsidR="00B14695" w:rsidRPr="00B14695" w:rsidRDefault="00B14695" w:rsidP="00592449">
      <w:pPr>
        <w:tabs>
          <w:tab w:val="left" w:pos="3686"/>
        </w:tabs>
        <w:rPr>
          <w:szCs w:val="24"/>
          <w:lang w:eastAsia="cs-CZ"/>
        </w:rPr>
      </w:pPr>
      <w:r w:rsidRPr="00B14695">
        <w:rPr>
          <w:szCs w:val="24"/>
          <w:lang w:eastAsia="cs-CZ"/>
        </w:rPr>
        <w:t>Někteří pacienti se nechtějí léčit z důvodu různých mýtů a pověr. Přestože se srovnáním s minulostí se dostává médiím více pozornosti o psychiatrické osvětě, stále se ještě setkáváme s různými předsudky a neinformovanosti (Skopová, 2011).</w:t>
      </w:r>
    </w:p>
    <w:p w:rsidR="00B14695" w:rsidRPr="00B14695" w:rsidRDefault="00B14695" w:rsidP="00592449">
      <w:pPr>
        <w:tabs>
          <w:tab w:val="left" w:pos="3686"/>
        </w:tabs>
        <w:rPr>
          <w:szCs w:val="24"/>
          <w:lang w:eastAsia="cs-CZ"/>
        </w:rPr>
      </w:pPr>
    </w:p>
    <w:p w:rsidR="00B14695" w:rsidRPr="00B14695" w:rsidRDefault="00B14695" w:rsidP="00592449">
      <w:pPr>
        <w:numPr>
          <w:ilvl w:val="0"/>
          <w:numId w:val="22"/>
        </w:numPr>
        <w:tabs>
          <w:tab w:val="left" w:pos="3686"/>
        </w:tabs>
        <w:contextualSpacing/>
        <w:rPr>
          <w:szCs w:val="24"/>
          <w:lang w:eastAsia="cs-CZ"/>
        </w:rPr>
      </w:pPr>
      <w:r w:rsidRPr="00B14695">
        <w:rPr>
          <w:szCs w:val="24"/>
          <w:lang w:eastAsia="cs-CZ"/>
        </w:rPr>
        <w:t xml:space="preserve">Pokud budu užívat léky, už to nebudu opravdu já, budu vypadat a jednat nepřirozeně.  </w:t>
      </w:r>
    </w:p>
    <w:p w:rsidR="00B14695" w:rsidRPr="00B14695" w:rsidRDefault="00B14695" w:rsidP="00592449">
      <w:pPr>
        <w:numPr>
          <w:ilvl w:val="0"/>
          <w:numId w:val="22"/>
        </w:numPr>
        <w:tabs>
          <w:tab w:val="left" w:pos="3686"/>
        </w:tabs>
        <w:contextualSpacing/>
        <w:rPr>
          <w:szCs w:val="24"/>
          <w:lang w:eastAsia="cs-CZ"/>
        </w:rPr>
      </w:pPr>
      <w:r w:rsidRPr="00B14695">
        <w:rPr>
          <w:szCs w:val="24"/>
          <w:lang w:eastAsia="cs-CZ"/>
        </w:rPr>
        <w:t>Tyto léky jsou zdraví škodlivé a proto nebezpečné.</w:t>
      </w:r>
    </w:p>
    <w:p w:rsidR="00B14695" w:rsidRPr="00B14695" w:rsidRDefault="00B14695" w:rsidP="00592449">
      <w:pPr>
        <w:numPr>
          <w:ilvl w:val="0"/>
          <w:numId w:val="22"/>
        </w:numPr>
        <w:tabs>
          <w:tab w:val="left" w:pos="3686"/>
        </w:tabs>
        <w:contextualSpacing/>
        <w:rPr>
          <w:szCs w:val="24"/>
          <w:lang w:eastAsia="cs-CZ"/>
        </w:rPr>
      </w:pPr>
      <w:r w:rsidRPr="00B14695">
        <w:rPr>
          <w:szCs w:val="24"/>
          <w:lang w:eastAsia="cs-CZ"/>
        </w:rPr>
        <w:t>Pokud budu užívat antidepresiva, budu na nich závislá.</w:t>
      </w:r>
    </w:p>
    <w:p w:rsidR="00B14695" w:rsidRPr="00B14695" w:rsidRDefault="00B14695" w:rsidP="00592449">
      <w:pPr>
        <w:numPr>
          <w:ilvl w:val="0"/>
          <w:numId w:val="22"/>
        </w:numPr>
        <w:tabs>
          <w:tab w:val="left" w:pos="3686"/>
        </w:tabs>
        <w:contextualSpacing/>
        <w:rPr>
          <w:szCs w:val="24"/>
          <w:lang w:eastAsia="cs-CZ"/>
        </w:rPr>
      </w:pPr>
      <w:r w:rsidRPr="00B14695">
        <w:rPr>
          <w:szCs w:val="24"/>
          <w:lang w:eastAsia="cs-CZ"/>
        </w:rPr>
        <w:t>Nežádoucí účinky léků jsou nesnesitelné.</w:t>
      </w:r>
    </w:p>
    <w:p w:rsidR="00B14695" w:rsidRPr="00B14695" w:rsidRDefault="00B14695" w:rsidP="00592449">
      <w:pPr>
        <w:numPr>
          <w:ilvl w:val="0"/>
          <w:numId w:val="22"/>
        </w:numPr>
        <w:tabs>
          <w:tab w:val="left" w:pos="3686"/>
        </w:tabs>
        <w:contextualSpacing/>
        <w:rPr>
          <w:szCs w:val="24"/>
          <w:lang w:eastAsia="cs-CZ"/>
        </w:rPr>
      </w:pPr>
      <w:r w:rsidRPr="00B14695">
        <w:rPr>
          <w:szCs w:val="24"/>
          <w:lang w:eastAsia="cs-CZ"/>
        </w:rPr>
        <w:t>Pokud se dostanu do velkého vypětí a ztratím kontrolu, mohu léky použít ke spáchání sebevraždy.</w:t>
      </w:r>
    </w:p>
    <w:p w:rsidR="00B14695" w:rsidRPr="00B14695" w:rsidRDefault="00B14695" w:rsidP="00592449">
      <w:pPr>
        <w:numPr>
          <w:ilvl w:val="0"/>
          <w:numId w:val="22"/>
        </w:numPr>
        <w:tabs>
          <w:tab w:val="left" w:pos="3686"/>
        </w:tabs>
        <w:contextualSpacing/>
        <w:rPr>
          <w:szCs w:val="24"/>
          <w:lang w:eastAsia="cs-CZ"/>
        </w:rPr>
      </w:pPr>
      <w:r w:rsidRPr="00B14695">
        <w:rPr>
          <w:szCs w:val="24"/>
          <w:lang w:eastAsia="cs-CZ"/>
        </w:rPr>
        <w:t>Nechci je brát, budu si připadat jako blázen.</w:t>
      </w:r>
    </w:p>
    <w:p w:rsidR="00B14695" w:rsidRPr="00B14695" w:rsidRDefault="00B14695" w:rsidP="00592449">
      <w:pPr>
        <w:numPr>
          <w:ilvl w:val="0"/>
          <w:numId w:val="22"/>
        </w:numPr>
        <w:tabs>
          <w:tab w:val="left" w:pos="3686"/>
        </w:tabs>
        <w:contextualSpacing/>
        <w:rPr>
          <w:szCs w:val="24"/>
          <w:lang w:eastAsia="cs-CZ"/>
        </w:rPr>
      </w:pPr>
      <w:r w:rsidRPr="00B14695">
        <w:rPr>
          <w:szCs w:val="24"/>
          <w:lang w:eastAsia="cs-CZ"/>
        </w:rPr>
        <w:t>Lidi se na mě budou dívat svrchu, když budu brát antidepresiva, uvidí, že jsem k ničemu.</w:t>
      </w:r>
    </w:p>
    <w:p w:rsidR="00B14695" w:rsidRPr="00B14695" w:rsidRDefault="00B14695" w:rsidP="00592449">
      <w:pPr>
        <w:numPr>
          <w:ilvl w:val="0"/>
          <w:numId w:val="22"/>
        </w:numPr>
        <w:tabs>
          <w:tab w:val="left" w:pos="3686"/>
        </w:tabs>
        <w:contextualSpacing/>
        <w:rPr>
          <w:szCs w:val="24"/>
          <w:lang w:eastAsia="cs-CZ"/>
        </w:rPr>
      </w:pPr>
      <w:r w:rsidRPr="00B14695">
        <w:rPr>
          <w:szCs w:val="24"/>
          <w:lang w:eastAsia="cs-CZ"/>
        </w:rPr>
        <w:t>Je zahanbující brát léky, měl/a bych si pomoct vlastní vůlí.</w:t>
      </w:r>
    </w:p>
    <w:p w:rsidR="00B14695" w:rsidRPr="00B14695" w:rsidRDefault="00B14695" w:rsidP="00592449">
      <w:pPr>
        <w:numPr>
          <w:ilvl w:val="0"/>
          <w:numId w:val="22"/>
        </w:numPr>
        <w:tabs>
          <w:tab w:val="left" w:pos="3686"/>
        </w:tabs>
        <w:contextualSpacing/>
        <w:rPr>
          <w:szCs w:val="24"/>
          <w:lang w:eastAsia="cs-CZ"/>
        </w:rPr>
      </w:pPr>
      <w:r w:rsidRPr="00B14695">
        <w:rPr>
          <w:szCs w:val="24"/>
          <w:lang w:eastAsia="cs-CZ"/>
        </w:rPr>
        <w:t>Když se napiju alkoholu, uleví se mi líp než po práškách.</w:t>
      </w:r>
    </w:p>
    <w:p w:rsidR="00B14695" w:rsidRPr="00B14695" w:rsidRDefault="00B14695" w:rsidP="00592449">
      <w:pPr>
        <w:numPr>
          <w:ilvl w:val="0"/>
          <w:numId w:val="22"/>
        </w:numPr>
        <w:tabs>
          <w:tab w:val="left" w:pos="3686"/>
        </w:tabs>
        <w:contextualSpacing/>
        <w:rPr>
          <w:szCs w:val="24"/>
          <w:lang w:eastAsia="cs-CZ"/>
        </w:rPr>
      </w:pPr>
      <w:r w:rsidRPr="00B14695">
        <w:rPr>
          <w:szCs w:val="24"/>
          <w:lang w:eastAsia="cs-CZ"/>
        </w:rPr>
        <w:t>Léky mi zhorší paměť.</w:t>
      </w:r>
    </w:p>
    <w:p w:rsidR="00B14695" w:rsidRPr="00B14695" w:rsidRDefault="00B14695" w:rsidP="00592449">
      <w:pPr>
        <w:numPr>
          <w:ilvl w:val="0"/>
          <w:numId w:val="22"/>
        </w:numPr>
        <w:tabs>
          <w:tab w:val="left" w:pos="3686"/>
        </w:tabs>
        <w:contextualSpacing/>
        <w:rPr>
          <w:szCs w:val="24"/>
          <w:lang w:eastAsia="cs-CZ"/>
        </w:rPr>
      </w:pPr>
      <w:r w:rsidRPr="00B14695">
        <w:rPr>
          <w:szCs w:val="24"/>
          <w:lang w:eastAsia="cs-CZ"/>
        </w:rPr>
        <w:t>Po lécích budu ospalý/á (Praško, Buliková, Sigmundová, 2009).</w:t>
      </w:r>
    </w:p>
    <w:p w:rsidR="00B14695" w:rsidRPr="00B14695" w:rsidRDefault="00B14695" w:rsidP="00592449">
      <w:pPr>
        <w:tabs>
          <w:tab w:val="left" w:pos="3686"/>
        </w:tabs>
        <w:rPr>
          <w:szCs w:val="24"/>
          <w:lang w:eastAsia="cs-CZ"/>
        </w:rPr>
      </w:pPr>
    </w:p>
    <w:p w:rsidR="00B14695" w:rsidRPr="00B14695" w:rsidRDefault="00B14695" w:rsidP="00592449">
      <w:pPr>
        <w:tabs>
          <w:tab w:val="left" w:pos="3686"/>
        </w:tabs>
        <w:rPr>
          <w:szCs w:val="24"/>
          <w:lang w:eastAsia="cs-CZ"/>
        </w:rPr>
      </w:pPr>
      <w:r w:rsidRPr="00B14695">
        <w:rPr>
          <w:szCs w:val="24"/>
          <w:lang w:eastAsia="cs-CZ"/>
        </w:rPr>
        <w:t>V důsledku těchto pověr trpící a váhající nemocný nejde k lékaři. Někdy není povzbuzován nebo je dokonce odrazován od léčby, i ze strany rodiny. (Skopová, 2011).</w:t>
      </w:r>
    </w:p>
    <w:p w:rsidR="00B14695" w:rsidRPr="00B14695" w:rsidRDefault="00B14695" w:rsidP="00B14695">
      <w:pPr>
        <w:tabs>
          <w:tab w:val="left" w:pos="3686"/>
        </w:tabs>
        <w:spacing w:line="240" w:lineRule="auto"/>
        <w:ind w:left="862"/>
        <w:contextualSpacing/>
        <w:jc w:val="left"/>
        <w:rPr>
          <w:szCs w:val="24"/>
          <w:lang w:eastAsia="cs-CZ"/>
        </w:rPr>
      </w:pPr>
    </w:p>
    <w:p w:rsidR="00B14695" w:rsidRPr="00B14695" w:rsidRDefault="00B14695" w:rsidP="00B14695">
      <w:pPr>
        <w:tabs>
          <w:tab w:val="left" w:pos="3686"/>
        </w:tabs>
        <w:spacing w:before="240" w:line="240" w:lineRule="auto"/>
        <w:jc w:val="left"/>
        <w:rPr>
          <w:b/>
          <w:szCs w:val="24"/>
          <w:lang w:eastAsia="cs-CZ"/>
        </w:rPr>
      </w:pPr>
    </w:p>
    <w:p w:rsidR="00B14695" w:rsidRDefault="00B14695" w:rsidP="008F2B22">
      <w:pPr>
        <w:ind w:firstLine="284"/>
      </w:pPr>
    </w:p>
    <w:p w:rsidR="00B14695" w:rsidRDefault="00B14695" w:rsidP="008F2B22">
      <w:pPr>
        <w:ind w:firstLine="284"/>
      </w:pPr>
    </w:p>
    <w:p w:rsidR="00B14695" w:rsidRDefault="00B14695" w:rsidP="008F2B22">
      <w:pPr>
        <w:ind w:firstLine="284"/>
      </w:pPr>
    </w:p>
    <w:p w:rsidR="00B14695" w:rsidRDefault="00B14695" w:rsidP="008F2B22">
      <w:pPr>
        <w:ind w:firstLine="284"/>
      </w:pPr>
    </w:p>
    <w:p w:rsidR="001A39C6" w:rsidRDefault="001A39C6" w:rsidP="008F2B22">
      <w:pPr>
        <w:ind w:firstLine="284"/>
      </w:pPr>
    </w:p>
    <w:p w:rsidR="001A39C6" w:rsidRDefault="001A39C6" w:rsidP="008F2B22">
      <w:pPr>
        <w:ind w:firstLine="284"/>
      </w:pPr>
    </w:p>
    <w:p w:rsidR="001A39C6" w:rsidRDefault="001A39C6" w:rsidP="008F2B22">
      <w:pPr>
        <w:ind w:firstLine="284"/>
      </w:pPr>
    </w:p>
    <w:p w:rsidR="001A39C6" w:rsidRDefault="001A39C6" w:rsidP="008F2B22">
      <w:pPr>
        <w:ind w:firstLine="284"/>
      </w:pPr>
    </w:p>
    <w:p w:rsidR="008C13F1" w:rsidRDefault="008C13F1" w:rsidP="00B11353"/>
    <w:p w:rsidR="00B14695" w:rsidRDefault="008C13F1" w:rsidP="00B11353">
      <w:r>
        <w:lastRenderedPageBreak/>
        <w:t> </w:t>
      </w:r>
      <w:r w:rsidR="00B14695" w:rsidRPr="00B14695">
        <w:rPr>
          <w:b/>
        </w:rPr>
        <w:t>Příloha č. 8:</w:t>
      </w:r>
      <w:r w:rsidR="00B14695">
        <w:t xml:space="preserve"> Dotazník</w:t>
      </w:r>
    </w:p>
    <w:p w:rsidR="00B11353" w:rsidRDefault="00B11353" w:rsidP="00B11353"/>
    <w:p w:rsidR="00B11353" w:rsidRDefault="00B11353" w:rsidP="00B11353">
      <w:r>
        <w:t>Vážený respondente,</w:t>
      </w:r>
    </w:p>
    <w:p w:rsidR="00B11353" w:rsidRDefault="00B11353" w:rsidP="00B11353">
      <w:r>
        <w:t>jmenuji se Adéla Myslivcová a jsem studentkou Pedagogické fakulty na Univerzitě Palackého v Olomouci. Tímto bych Vás chtěla požádat o vyplnění dotazníku k mé diplomové práci, která se vztahuje k problematice Antidepresiva pohledem ambulantně léčených pacientů. Veškeré informace, které zde uvedete, budou anonymní. Ve většině otázek je možné vybrat jednu správnou odpověď, pokud nebude uvedeno jinak.</w:t>
      </w:r>
    </w:p>
    <w:p w:rsidR="00B11353" w:rsidRDefault="00B11353" w:rsidP="00B11353">
      <w:r>
        <w:t>Předem děkuji za Váš čas a ochotu                                   Bc. Adéla Myslivcová</w:t>
      </w:r>
    </w:p>
    <w:p w:rsidR="00B11353" w:rsidRDefault="00B11353" w:rsidP="00B11353"/>
    <w:p w:rsidR="00B11353" w:rsidRPr="00B11353" w:rsidRDefault="00B11353" w:rsidP="00B11353">
      <w:pPr>
        <w:spacing w:line="240" w:lineRule="auto"/>
        <w:rPr>
          <w:b/>
        </w:rPr>
      </w:pPr>
      <w:r w:rsidRPr="00B11353">
        <w:rPr>
          <w:b/>
        </w:rPr>
        <w:t>Jaký je Váš věk?</w:t>
      </w:r>
    </w:p>
    <w:p w:rsidR="00B11353" w:rsidRDefault="00B11353" w:rsidP="00B11353">
      <w:pPr>
        <w:spacing w:line="240" w:lineRule="auto"/>
      </w:pPr>
      <w:r>
        <w:t>a)</w:t>
      </w:r>
      <w:r>
        <w:tab/>
        <w:t>15-25</w:t>
      </w:r>
    </w:p>
    <w:p w:rsidR="00B11353" w:rsidRDefault="00B11353" w:rsidP="00B11353">
      <w:pPr>
        <w:spacing w:line="240" w:lineRule="auto"/>
      </w:pPr>
      <w:r>
        <w:t>b)</w:t>
      </w:r>
      <w:r>
        <w:tab/>
        <w:t>26-35</w:t>
      </w:r>
    </w:p>
    <w:p w:rsidR="00B11353" w:rsidRDefault="00B11353" w:rsidP="00B11353">
      <w:pPr>
        <w:spacing w:line="240" w:lineRule="auto"/>
      </w:pPr>
      <w:r>
        <w:t>c)</w:t>
      </w:r>
      <w:r>
        <w:tab/>
        <w:t>36-45</w:t>
      </w:r>
    </w:p>
    <w:p w:rsidR="00B11353" w:rsidRDefault="00B11353" w:rsidP="00B11353">
      <w:pPr>
        <w:spacing w:line="240" w:lineRule="auto"/>
      </w:pPr>
      <w:r>
        <w:t>d)</w:t>
      </w:r>
      <w:r>
        <w:tab/>
        <w:t>46-65</w:t>
      </w:r>
    </w:p>
    <w:p w:rsidR="00B11353" w:rsidRDefault="00B11353" w:rsidP="00B11353">
      <w:pPr>
        <w:spacing w:line="240" w:lineRule="auto"/>
      </w:pPr>
      <w:r>
        <w:t>e)</w:t>
      </w:r>
      <w:r>
        <w:tab/>
        <w:t>66 a více</w:t>
      </w:r>
    </w:p>
    <w:p w:rsidR="00B11353" w:rsidRDefault="00B11353" w:rsidP="00B11353">
      <w:pPr>
        <w:spacing w:line="240" w:lineRule="auto"/>
      </w:pPr>
    </w:p>
    <w:p w:rsidR="00B11353" w:rsidRPr="00B11353" w:rsidRDefault="00B11353" w:rsidP="00B11353">
      <w:pPr>
        <w:spacing w:line="240" w:lineRule="auto"/>
        <w:rPr>
          <w:b/>
        </w:rPr>
      </w:pPr>
      <w:r w:rsidRPr="00B11353">
        <w:rPr>
          <w:b/>
        </w:rPr>
        <w:t>Jaké je Vaše pohlaví?</w:t>
      </w:r>
    </w:p>
    <w:p w:rsidR="00B11353" w:rsidRDefault="00B11353" w:rsidP="00B11353">
      <w:pPr>
        <w:spacing w:line="240" w:lineRule="auto"/>
      </w:pPr>
      <w:r>
        <w:t>a)</w:t>
      </w:r>
      <w:r>
        <w:tab/>
        <w:t xml:space="preserve">ženské                              b) mužské </w:t>
      </w:r>
    </w:p>
    <w:p w:rsidR="00B11353" w:rsidRDefault="00B11353" w:rsidP="00B11353">
      <w:pPr>
        <w:spacing w:line="240" w:lineRule="auto"/>
      </w:pPr>
    </w:p>
    <w:p w:rsidR="00B11353" w:rsidRPr="00B11353" w:rsidRDefault="00B11353" w:rsidP="00B11353">
      <w:pPr>
        <w:spacing w:line="240" w:lineRule="auto"/>
        <w:rPr>
          <w:b/>
        </w:rPr>
      </w:pPr>
      <w:r w:rsidRPr="00B11353">
        <w:rPr>
          <w:b/>
        </w:rPr>
        <w:t>Jaké je Vaše nejvyšší dosažené vzdělání?</w:t>
      </w:r>
    </w:p>
    <w:p w:rsidR="00B11353" w:rsidRDefault="00B11353" w:rsidP="00B11353">
      <w:pPr>
        <w:spacing w:line="240" w:lineRule="auto"/>
      </w:pPr>
      <w:r>
        <w:t>a)</w:t>
      </w:r>
      <w:r>
        <w:tab/>
        <w:t>Základní</w:t>
      </w:r>
    </w:p>
    <w:p w:rsidR="00B11353" w:rsidRDefault="00B11353" w:rsidP="00B11353">
      <w:pPr>
        <w:spacing w:line="240" w:lineRule="auto"/>
      </w:pPr>
      <w:r>
        <w:t>b)</w:t>
      </w:r>
      <w:r>
        <w:tab/>
        <w:t>Vyučen(a)</w:t>
      </w:r>
    </w:p>
    <w:p w:rsidR="00B11353" w:rsidRDefault="00B11353" w:rsidP="00B11353">
      <w:pPr>
        <w:spacing w:line="240" w:lineRule="auto"/>
      </w:pPr>
      <w:r>
        <w:t>c)</w:t>
      </w:r>
      <w:r>
        <w:tab/>
        <w:t>Středoškolské</w:t>
      </w:r>
    </w:p>
    <w:p w:rsidR="00B11353" w:rsidRDefault="00B11353" w:rsidP="00B11353">
      <w:pPr>
        <w:spacing w:line="240" w:lineRule="auto"/>
      </w:pPr>
      <w:r>
        <w:t>d)</w:t>
      </w:r>
      <w:r>
        <w:tab/>
        <w:t>Vysokoškolské</w:t>
      </w:r>
    </w:p>
    <w:p w:rsidR="00B11353" w:rsidRDefault="00B11353" w:rsidP="00B11353">
      <w:pPr>
        <w:spacing w:line="240" w:lineRule="auto"/>
      </w:pPr>
      <w:r>
        <w:t>e)</w:t>
      </w:r>
      <w:r>
        <w:tab/>
        <w:t>Jiné………………………………</w:t>
      </w:r>
    </w:p>
    <w:p w:rsidR="00B11353" w:rsidRDefault="00B11353" w:rsidP="00B11353">
      <w:pPr>
        <w:spacing w:line="240" w:lineRule="auto"/>
      </w:pPr>
    </w:p>
    <w:p w:rsidR="00B11353" w:rsidRPr="00B11353" w:rsidRDefault="00B11353" w:rsidP="00B11353">
      <w:pPr>
        <w:spacing w:line="240" w:lineRule="auto"/>
        <w:rPr>
          <w:b/>
        </w:rPr>
      </w:pPr>
      <w:r w:rsidRPr="00B11353">
        <w:rPr>
          <w:b/>
        </w:rPr>
        <w:t>-----------------------------------------------------------------------------------------------------------</w:t>
      </w:r>
    </w:p>
    <w:p w:rsidR="00B11353" w:rsidRDefault="00B11353" w:rsidP="00B11353">
      <w:pPr>
        <w:spacing w:line="240" w:lineRule="auto"/>
      </w:pPr>
    </w:p>
    <w:p w:rsidR="00B11353" w:rsidRPr="00B11353" w:rsidRDefault="00B11353" w:rsidP="00B11353">
      <w:pPr>
        <w:spacing w:line="240" w:lineRule="auto"/>
        <w:rPr>
          <w:b/>
        </w:rPr>
      </w:pPr>
      <w:r w:rsidRPr="00B11353">
        <w:rPr>
          <w:b/>
        </w:rPr>
        <w:t>1)</w:t>
      </w:r>
      <w:r>
        <w:tab/>
      </w:r>
      <w:r w:rsidRPr="00B11353">
        <w:rPr>
          <w:b/>
        </w:rPr>
        <w:t>Jaký je název antidepresiva, který nyní užíváte?</w:t>
      </w:r>
    </w:p>
    <w:p w:rsidR="00B11353" w:rsidRDefault="00B11353" w:rsidP="00B11353">
      <w:pPr>
        <w:spacing w:line="240" w:lineRule="auto"/>
      </w:pPr>
    </w:p>
    <w:p w:rsidR="00B11353" w:rsidRDefault="00B11353" w:rsidP="00B11353">
      <w:pPr>
        <w:spacing w:line="240" w:lineRule="auto"/>
      </w:pPr>
      <w:r>
        <w:t>…………………………………………………………………………………….</w:t>
      </w:r>
    </w:p>
    <w:p w:rsidR="00B11353" w:rsidRDefault="00B11353" w:rsidP="00B11353">
      <w:pPr>
        <w:spacing w:line="240" w:lineRule="auto"/>
      </w:pPr>
    </w:p>
    <w:p w:rsidR="00B11353" w:rsidRPr="00B11353" w:rsidRDefault="00B11353" w:rsidP="00B11353">
      <w:pPr>
        <w:spacing w:line="240" w:lineRule="auto"/>
        <w:rPr>
          <w:b/>
        </w:rPr>
      </w:pPr>
      <w:r w:rsidRPr="00B11353">
        <w:rPr>
          <w:b/>
        </w:rPr>
        <w:t>2)</w:t>
      </w:r>
      <w:r w:rsidRPr="00B11353">
        <w:rPr>
          <w:b/>
        </w:rPr>
        <w:tab/>
        <w:t>Jak dlouho tento lék užíváte?</w:t>
      </w:r>
    </w:p>
    <w:p w:rsidR="00B11353" w:rsidRDefault="00B11353" w:rsidP="00B11353">
      <w:pPr>
        <w:spacing w:line="240" w:lineRule="auto"/>
      </w:pPr>
      <w:r>
        <w:t>a)</w:t>
      </w:r>
      <w:r>
        <w:tab/>
        <w:t>9 měsíců a méně</w:t>
      </w:r>
    </w:p>
    <w:p w:rsidR="00B11353" w:rsidRDefault="00B11353" w:rsidP="00B11353">
      <w:pPr>
        <w:spacing w:line="240" w:lineRule="auto"/>
      </w:pPr>
      <w:r>
        <w:t>b)</w:t>
      </w:r>
      <w:r>
        <w:tab/>
        <w:t>10 měsíců až 2 roky</w:t>
      </w:r>
    </w:p>
    <w:p w:rsidR="00B11353" w:rsidRDefault="00B11353" w:rsidP="00B11353">
      <w:pPr>
        <w:spacing w:line="240" w:lineRule="auto"/>
      </w:pPr>
      <w:r>
        <w:t>c)</w:t>
      </w:r>
      <w:r>
        <w:tab/>
        <w:t>3-5 let</w:t>
      </w:r>
    </w:p>
    <w:p w:rsidR="00B11353" w:rsidRDefault="00B11353" w:rsidP="00B11353">
      <w:pPr>
        <w:spacing w:line="240" w:lineRule="auto"/>
      </w:pPr>
      <w:r>
        <w:t>d)</w:t>
      </w:r>
      <w:r>
        <w:tab/>
        <w:t>Více než 5 let</w:t>
      </w:r>
    </w:p>
    <w:p w:rsidR="00B11353" w:rsidRDefault="00B11353" w:rsidP="00B11353">
      <w:pPr>
        <w:spacing w:line="240" w:lineRule="auto"/>
      </w:pPr>
      <w:r>
        <w:t>e)</w:t>
      </w:r>
      <w:r>
        <w:tab/>
        <w:t xml:space="preserve">Nevím </w:t>
      </w:r>
    </w:p>
    <w:p w:rsidR="00B11353" w:rsidRDefault="00B11353" w:rsidP="00B11353">
      <w:pPr>
        <w:spacing w:line="240" w:lineRule="auto"/>
      </w:pPr>
    </w:p>
    <w:p w:rsidR="00B11353" w:rsidRDefault="00B11353" w:rsidP="00B11353">
      <w:pPr>
        <w:spacing w:line="240" w:lineRule="auto"/>
      </w:pPr>
    </w:p>
    <w:p w:rsidR="00B11353" w:rsidRDefault="00B11353" w:rsidP="00B11353">
      <w:pPr>
        <w:spacing w:line="240" w:lineRule="auto"/>
      </w:pPr>
    </w:p>
    <w:p w:rsidR="00B11353" w:rsidRDefault="00B11353" w:rsidP="00B11353">
      <w:pPr>
        <w:spacing w:line="240" w:lineRule="auto"/>
      </w:pPr>
    </w:p>
    <w:p w:rsidR="00B11353" w:rsidRDefault="00B11353" w:rsidP="00B11353">
      <w:pPr>
        <w:spacing w:line="240" w:lineRule="auto"/>
      </w:pPr>
    </w:p>
    <w:p w:rsidR="00B11353" w:rsidRDefault="00B11353" w:rsidP="00B11353">
      <w:pPr>
        <w:spacing w:line="240" w:lineRule="auto"/>
      </w:pPr>
    </w:p>
    <w:p w:rsidR="00B11353" w:rsidRDefault="00B11353" w:rsidP="00B11353">
      <w:pPr>
        <w:spacing w:line="240" w:lineRule="auto"/>
        <w:rPr>
          <w:b/>
        </w:rPr>
      </w:pPr>
      <w:r w:rsidRPr="00B11353">
        <w:rPr>
          <w:b/>
        </w:rPr>
        <w:lastRenderedPageBreak/>
        <w:t>3)</w:t>
      </w:r>
      <w:r w:rsidRPr="00B11353">
        <w:rPr>
          <w:b/>
        </w:rPr>
        <w:tab/>
        <w:t>Vyskytly se u Vás během užívání antidepresiv tyto nežádoucí účinky? (Pokud ano, můžete zvolit více než jednu odpověď)</w:t>
      </w:r>
    </w:p>
    <w:p w:rsidR="00B11353" w:rsidRPr="00B11353" w:rsidRDefault="00B11353" w:rsidP="00B11353">
      <w:pPr>
        <w:spacing w:line="240" w:lineRule="auto"/>
        <w:rPr>
          <w:b/>
        </w:rPr>
      </w:pPr>
    </w:p>
    <w:p w:rsidR="00B11353" w:rsidRPr="00B11353" w:rsidRDefault="00B11353" w:rsidP="00B11353">
      <w:pPr>
        <w:spacing w:line="240" w:lineRule="auto"/>
        <w:rPr>
          <w:u w:val="single"/>
        </w:rPr>
      </w:pPr>
      <w:r w:rsidRPr="00B11353">
        <w:rPr>
          <w:u w:val="single"/>
        </w:rPr>
        <w:t xml:space="preserve">a) ano, vyskytly </w:t>
      </w:r>
    </w:p>
    <w:p w:rsidR="00B11353" w:rsidRDefault="00B11353" w:rsidP="00B11353">
      <w:pPr>
        <w:spacing w:line="240" w:lineRule="auto"/>
        <w:rPr>
          <w:u w:val="single"/>
        </w:rPr>
      </w:pPr>
    </w:p>
    <w:p w:rsidR="00B11353" w:rsidRPr="00B11353" w:rsidRDefault="00B11353" w:rsidP="00B11353">
      <w:pPr>
        <w:spacing w:line="240" w:lineRule="auto"/>
        <w:rPr>
          <w:u w:val="single"/>
        </w:rPr>
        <w:sectPr w:rsidR="00B11353" w:rsidRPr="00B11353" w:rsidSect="00422D75">
          <w:footerReference w:type="default" r:id="rId43"/>
          <w:pgSz w:w="11906" w:h="16838"/>
          <w:pgMar w:top="1418" w:right="1247" w:bottom="1418" w:left="1985" w:header="709" w:footer="709" w:gutter="0"/>
          <w:pgNumType w:start="6"/>
          <w:cols w:space="708"/>
          <w:docGrid w:linePitch="360"/>
        </w:sectPr>
      </w:pPr>
    </w:p>
    <w:p w:rsidR="00B11353" w:rsidRDefault="00B11353" w:rsidP="00B11353">
      <w:pPr>
        <w:spacing w:line="240" w:lineRule="auto"/>
      </w:pPr>
      <w:r>
        <w:lastRenderedPageBreak/>
        <w:t></w:t>
      </w:r>
      <w:r>
        <w:tab/>
        <w:t>Třes</w:t>
      </w:r>
    </w:p>
    <w:p w:rsidR="00B11353" w:rsidRDefault="00B11353" w:rsidP="00B11353">
      <w:pPr>
        <w:spacing w:line="240" w:lineRule="auto"/>
      </w:pPr>
      <w:r>
        <w:t></w:t>
      </w:r>
      <w:r>
        <w:tab/>
        <w:t>Snížení krevního tlaku</w:t>
      </w:r>
    </w:p>
    <w:p w:rsidR="00B11353" w:rsidRDefault="00B11353" w:rsidP="00B11353">
      <w:pPr>
        <w:spacing w:line="240" w:lineRule="auto"/>
      </w:pPr>
      <w:r>
        <w:t></w:t>
      </w:r>
      <w:r>
        <w:tab/>
        <w:t>Zrychlení tepu</w:t>
      </w:r>
    </w:p>
    <w:p w:rsidR="00B11353" w:rsidRDefault="00B11353" w:rsidP="00B11353">
      <w:pPr>
        <w:spacing w:line="240" w:lineRule="auto"/>
      </w:pPr>
      <w:r>
        <w:t></w:t>
      </w:r>
      <w:r>
        <w:tab/>
        <w:t>Poruchy paměti</w:t>
      </w:r>
    </w:p>
    <w:p w:rsidR="00B11353" w:rsidRDefault="00B11353" w:rsidP="00B11353">
      <w:pPr>
        <w:spacing w:line="240" w:lineRule="auto"/>
      </w:pPr>
      <w:r>
        <w:t></w:t>
      </w:r>
      <w:r>
        <w:tab/>
        <w:t>Zmatenost</w:t>
      </w:r>
    </w:p>
    <w:p w:rsidR="00B11353" w:rsidRDefault="00B11353" w:rsidP="00B11353">
      <w:pPr>
        <w:spacing w:line="240" w:lineRule="auto"/>
      </w:pPr>
      <w:r>
        <w:t></w:t>
      </w:r>
      <w:r>
        <w:tab/>
        <w:t>Sucho v ústech</w:t>
      </w:r>
    </w:p>
    <w:p w:rsidR="00B11353" w:rsidRDefault="00B11353" w:rsidP="00B11353">
      <w:pPr>
        <w:spacing w:line="240" w:lineRule="auto"/>
      </w:pPr>
      <w:r>
        <w:t></w:t>
      </w:r>
      <w:r>
        <w:tab/>
        <w:t>Zácpa</w:t>
      </w:r>
    </w:p>
    <w:p w:rsidR="00B11353" w:rsidRDefault="00B11353" w:rsidP="00B11353">
      <w:pPr>
        <w:spacing w:line="240" w:lineRule="auto"/>
      </w:pPr>
      <w:r>
        <w:t></w:t>
      </w:r>
      <w:r>
        <w:tab/>
        <w:t>Zvýšení hmotnosti</w:t>
      </w:r>
    </w:p>
    <w:p w:rsidR="00B11353" w:rsidRDefault="00B11353" w:rsidP="00B11353">
      <w:pPr>
        <w:spacing w:line="240" w:lineRule="auto"/>
      </w:pPr>
      <w:r>
        <w:t></w:t>
      </w:r>
      <w:r>
        <w:tab/>
        <w:t>Poruchy močení</w:t>
      </w:r>
    </w:p>
    <w:p w:rsidR="00B11353" w:rsidRDefault="00B11353" w:rsidP="00B11353">
      <w:pPr>
        <w:spacing w:line="240" w:lineRule="auto"/>
      </w:pPr>
      <w:r>
        <w:t></w:t>
      </w:r>
      <w:r>
        <w:tab/>
        <w:t>Závratě</w:t>
      </w:r>
    </w:p>
    <w:p w:rsidR="00B11353" w:rsidRDefault="00B11353" w:rsidP="00B11353">
      <w:pPr>
        <w:spacing w:line="240" w:lineRule="auto"/>
      </w:pPr>
      <w:r>
        <w:t></w:t>
      </w:r>
      <w:r>
        <w:tab/>
        <w:t>Průjem</w:t>
      </w:r>
    </w:p>
    <w:p w:rsidR="00B11353" w:rsidRDefault="00B11353" w:rsidP="00B11353">
      <w:pPr>
        <w:spacing w:line="240" w:lineRule="auto"/>
      </w:pPr>
      <w:r>
        <w:lastRenderedPageBreak/>
        <w:t></w:t>
      </w:r>
      <w:r>
        <w:tab/>
        <w:t>Sexuální poruchy</w:t>
      </w:r>
    </w:p>
    <w:p w:rsidR="00B11353" w:rsidRDefault="00B11353" w:rsidP="00B11353">
      <w:pPr>
        <w:spacing w:line="240" w:lineRule="auto"/>
      </w:pPr>
      <w:r>
        <w:t></w:t>
      </w:r>
      <w:r>
        <w:tab/>
        <w:t>Nevolnost</w:t>
      </w:r>
    </w:p>
    <w:p w:rsidR="00B11353" w:rsidRDefault="00B11353" w:rsidP="00B11353">
      <w:pPr>
        <w:spacing w:line="240" w:lineRule="auto"/>
      </w:pPr>
      <w:r>
        <w:t></w:t>
      </w:r>
      <w:r>
        <w:tab/>
        <w:t>Zvýšené pocení</w:t>
      </w:r>
    </w:p>
    <w:p w:rsidR="00B11353" w:rsidRDefault="00B11353" w:rsidP="00B11353">
      <w:pPr>
        <w:spacing w:line="240" w:lineRule="auto"/>
      </w:pPr>
      <w:r>
        <w:t></w:t>
      </w:r>
      <w:r>
        <w:tab/>
        <w:t>Bolesti svalů, kloubů</w:t>
      </w:r>
    </w:p>
    <w:p w:rsidR="00B11353" w:rsidRDefault="00B11353" w:rsidP="00B11353">
      <w:pPr>
        <w:spacing w:line="240" w:lineRule="auto"/>
      </w:pPr>
      <w:r>
        <w:t></w:t>
      </w:r>
      <w:r>
        <w:tab/>
        <w:t>Zvracení</w:t>
      </w:r>
    </w:p>
    <w:p w:rsidR="00B11353" w:rsidRDefault="00B11353" w:rsidP="00B11353">
      <w:pPr>
        <w:spacing w:line="240" w:lineRule="auto"/>
      </w:pPr>
      <w:r>
        <w:t></w:t>
      </w:r>
      <w:r>
        <w:tab/>
        <w:t>Bolesti hlavy</w:t>
      </w:r>
    </w:p>
    <w:p w:rsidR="00B11353" w:rsidRDefault="00B11353" w:rsidP="00B11353">
      <w:pPr>
        <w:spacing w:line="240" w:lineRule="auto"/>
      </w:pPr>
      <w:r>
        <w:t></w:t>
      </w:r>
      <w:r>
        <w:tab/>
        <w:t>Úzkostnost</w:t>
      </w:r>
    </w:p>
    <w:p w:rsidR="00B11353" w:rsidRDefault="00B11353" w:rsidP="00B11353">
      <w:pPr>
        <w:spacing w:line="240" w:lineRule="auto"/>
      </w:pPr>
      <w:r>
        <w:t></w:t>
      </w:r>
      <w:r>
        <w:tab/>
        <w:t>Vyrážka, svědění</w:t>
      </w:r>
    </w:p>
    <w:p w:rsidR="00B11353" w:rsidRDefault="00B11353" w:rsidP="00B11353">
      <w:pPr>
        <w:spacing w:line="240" w:lineRule="auto"/>
      </w:pPr>
      <w:r>
        <w:t></w:t>
      </w:r>
      <w:r>
        <w:tab/>
        <w:t xml:space="preserve">Jiné……………………… </w:t>
      </w:r>
    </w:p>
    <w:p w:rsidR="00B11353" w:rsidRDefault="00B11353" w:rsidP="00B11353">
      <w:pPr>
        <w:spacing w:line="240" w:lineRule="auto"/>
      </w:pPr>
    </w:p>
    <w:p w:rsidR="00B11353" w:rsidRDefault="00B11353" w:rsidP="00B11353">
      <w:pPr>
        <w:spacing w:line="240" w:lineRule="auto"/>
        <w:sectPr w:rsidR="00B11353" w:rsidSect="00B11353">
          <w:type w:val="continuous"/>
          <w:pgSz w:w="11906" w:h="16838"/>
          <w:pgMar w:top="1418" w:right="1247" w:bottom="1418" w:left="1985" w:header="709" w:footer="709" w:gutter="0"/>
          <w:cols w:num="2" w:space="708"/>
          <w:docGrid w:linePitch="360"/>
        </w:sectPr>
      </w:pPr>
    </w:p>
    <w:p w:rsidR="00B11353" w:rsidRDefault="00B11353" w:rsidP="00B11353">
      <w:pPr>
        <w:spacing w:line="240" w:lineRule="auto"/>
      </w:pPr>
      <w:r>
        <w:lastRenderedPageBreak/>
        <w:t xml:space="preserve"> </w:t>
      </w:r>
    </w:p>
    <w:p w:rsidR="00B11353" w:rsidRPr="00B11353" w:rsidRDefault="00B11353" w:rsidP="00B11353">
      <w:pPr>
        <w:spacing w:line="240" w:lineRule="auto"/>
        <w:rPr>
          <w:u w:val="single"/>
        </w:rPr>
      </w:pPr>
      <w:r w:rsidRPr="00B11353">
        <w:rPr>
          <w:u w:val="single"/>
        </w:rPr>
        <w:t>b)</w:t>
      </w:r>
      <w:r w:rsidRPr="00B11353">
        <w:rPr>
          <w:u w:val="single"/>
        </w:rPr>
        <w:tab/>
        <w:t>Ne, žádné nežádoucí účinky se nevyskytly</w:t>
      </w:r>
    </w:p>
    <w:p w:rsidR="00B11353" w:rsidRDefault="00B11353" w:rsidP="00B11353">
      <w:pPr>
        <w:spacing w:line="240" w:lineRule="auto"/>
      </w:pPr>
    </w:p>
    <w:p w:rsidR="00B11353" w:rsidRDefault="00B11353" w:rsidP="00B11353">
      <w:pPr>
        <w:spacing w:line="240" w:lineRule="auto"/>
      </w:pPr>
      <w:r w:rsidRPr="00B11353">
        <w:rPr>
          <w:b/>
        </w:rPr>
        <w:t>4)</w:t>
      </w:r>
      <w:r w:rsidRPr="00B11353">
        <w:rPr>
          <w:b/>
        </w:rPr>
        <w:tab/>
        <w:t>Byl(a) jste informován(a) o tom, že při užívání antidepresiv se mohou nežádoucí účinky objevit</w:t>
      </w:r>
      <w:r>
        <w:t>?</w:t>
      </w:r>
    </w:p>
    <w:p w:rsidR="00B11353" w:rsidRDefault="00B11353" w:rsidP="00B11353">
      <w:pPr>
        <w:spacing w:line="240" w:lineRule="auto"/>
      </w:pPr>
      <w:r>
        <w:t>a)</w:t>
      </w:r>
      <w:r>
        <w:tab/>
        <w:t>Určitě ano</w:t>
      </w:r>
    </w:p>
    <w:p w:rsidR="00B11353" w:rsidRDefault="00B11353" w:rsidP="00B11353">
      <w:pPr>
        <w:spacing w:line="240" w:lineRule="auto"/>
      </w:pPr>
      <w:r>
        <w:t>b)</w:t>
      </w:r>
      <w:r>
        <w:tab/>
        <w:t>Spíše ano</w:t>
      </w:r>
    </w:p>
    <w:p w:rsidR="00B11353" w:rsidRDefault="00B11353" w:rsidP="00B11353">
      <w:pPr>
        <w:spacing w:line="240" w:lineRule="auto"/>
      </w:pPr>
      <w:r>
        <w:t>c)</w:t>
      </w:r>
      <w:r>
        <w:tab/>
        <w:t>Spíše ne</w:t>
      </w:r>
    </w:p>
    <w:p w:rsidR="00B11353" w:rsidRDefault="00B11353" w:rsidP="00B11353">
      <w:pPr>
        <w:spacing w:line="240" w:lineRule="auto"/>
      </w:pPr>
      <w:r>
        <w:t>d)</w:t>
      </w:r>
      <w:r>
        <w:tab/>
        <w:t>Rozhodně ne</w:t>
      </w:r>
    </w:p>
    <w:p w:rsidR="00B11353" w:rsidRDefault="00B11353" w:rsidP="00B11353">
      <w:pPr>
        <w:spacing w:line="240" w:lineRule="auto"/>
      </w:pPr>
      <w:r>
        <w:t>e)</w:t>
      </w:r>
      <w:r>
        <w:tab/>
        <w:t xml:space="preserve">Nevím </w:t>
      </w:r>
    </w:p>
    <w:p w:rsidR="00B11353" w:rsidRDefault="00B11353" w:rsidP="00B11353">
      <w:pPr>
        <w:spacing w:line="240" w:lineRule="auto"/>
      </w:pPr>
    </w:p>
    <w:p w:rsidR="00B11353" w:rsidRPr="00B11353" w:rsidRDefault="00B11353" w:rsidP="00B11353">
      <w:pPr>
        <w:spacing w:line="240" w:lineRule="auto"/>
        <w:rPr>
          <w:b/>
        </w:rPr>
      </w:pPr>
      <w:r w:rsidRPr="00B11353">
        <w:rPr>
          <w:b/>
        </w:rPr>
        <w:t>5)</w:t>
      </w:r>
      <w:r w:rsidRPr="00B11353">
        <w:rPr>
          <w:b/>
        </w:rPr>
        <w:tab/>
        <w:t>Pokud se u Vás vyskytly nežádoucí účinky, ovlivnily tyto nežádoucí účinky Vaši léčbu?(Pokud se u Vás nežádoucí účinky nevyskytly, můžete přejít na další otázku)</w:t>
      </w:r>
    </w:p>
    <w:p w:rsidR="00B11353" w:rsidRDefault="00B11353" w:rsidP="00B11353">
      <w:pPr>
        <w:spacing w:line="240" w:lineRule="auto"/>
        <w:jc w:val="left"/>
      </w:pPr>
      <w:r>
        <w:t>a)</w:t>
      </w:r>
      <w:r>
        <w:tab/>
        <w:t>Určitě ano, kvůli výskytu nežádoucích účinků mi musel lékař změnit antidepresivum</w:t>
      </w:r>
    </w:p>
    <w:p w:rsidR="00B11353" w:rsidRDefault="00B11353" w:rsidP="00B11353">
      <w:pPr>
        <w:spacing w:line="240" w:lineRule="auto"/>
        <w:jc w:val="left"/>
      </w:pPr>
      <w:r>
        <w:t>b)     Spíše ano, z důvodu nežádoucích účinků antidepresiv musím užívat ještě jiné léky,        které   tlumí tyto účinky</w:t>
      </w:r>
    </w:p>
    <w:p w:rsidR="00B11353" w:rsidRDefault="00B11353" w:rsidP="00B11353">
      <w:pPr>
        <w:spacing w:line="240" w:lineRule="auto"/>
        <w:jc w:val="left"/>
      </w:pPr>
      <w:r>
        <w:t>c)</w:t>
      </w:r>
      <w:r>
        <w:tab/>
        <w:t>Spíše ne, nežádoucí účinky nejsou natolik závažné</w:t>
      </w:r>
    </w:p>
    <w:p w:rsidR="00B11353" w:rsidRDefault="00B11353" w:rsidP="00B11353">
      <w:pPr>
        <w:spacing w:line="240" w:lineRule="auto"/>
        <w:jc w:val="left"/>
      </w:pPr>
      <w:r>
        <w:t>d)</w:t>
      </w:r>
      <w:r>
        <w:tab/>
        <w:t>Rozhodně ne</w:t>
      </w:r>
    </w:p>
    <w:p w:rsidR="00B11353" w:rsidRDefault="00B11353" w:rsidP="00B11353">
      <w:pPr>
        <w:spacing w:line="240" w:lineRule="auto"/>
        <w:jc w:val="left"/>
      </w:pPr>
      <w:r>
        <w:t>e)</w:t>
      </w:r>
      <w:r>
        <w:tab/>
        <w:t>Nevím</w:t>
      </w:r>
    </w:p>
    <w:p w:rsidR="00B11353" w:rsidRDefault="00B11353" w:rsidP="00B11353">
      <w:pPr>
        <w:spacing w:line="240" w:lineRule="auto"/>
      </w:pPr>
    </w:p>
    <w:p w:rsidR="00B11353" w:rsidRPr="00B11353" w:rsidRDefault="00B11353" w:rsidP="00B11353">
      <w:pPr>
        <w:spacing w:line="240" w:lineRule="auto"/>
        <w:rPr>
          <w:b/>
        </w:rPr>
      </w:pPr>
      <w:r w:rsidRPr="00B11353">
        <w:rPr>
          <w:b/>
        </w:rPr>
        <w:t>6)</w:t>
      </w:r>
      <w:r w:rsidRPr="00B11353">
        <w:rPr>
          <w:b/>
        </w:rPr>
        <w:tab/>
        <w:t>Vysadil jste někdy antidepresivum bez předchozí konzultace s lékařem?</w:t>
      </w:r>
    </w:p>
    <w:p w:rsidR="00B11353" w:rsidRDefault="00B11353" w:rsidP="00B11353">
      <w:pPr>
        <w:spacing w:line="240" w:lineRule="auto"/>
      </w:pPr>
      <w:r>
        <w:t>a)</w:t>
      </w:r>
      <w:r>
        <w:tab/>
        <w:t>Ano, vysadil(a) jsem léky</w:t>
      </w:r>
    </w:p>
    <w:p w:rsidR="00B11353" w:rsidRDefault="00B11353" w:rsidP="00B11353">
      <w:pPr>
        <w:spacing w:line="240" w:lineRule="auto"/>
      </w:pPr>
      <w:r>
        <w:t>b)</w:t>
      </w:r>
      <w:r>
        <w:tab/>
        <w:t>Záměrně jsem si snížil(a) dávku antidepresiva</w:t>
      </w:r>
    </w:p>
    <w:p w:rsidR="00B11353" w:rsidRDefault="00B11353" w:rsidP="00B11353">
      <w:pPr>
        <w:spacing w:line="240" w:lineRule="auto"/>
      </w:pPr>
      <w:r>
        <w:t>c)</w:t>
      </w:r>
      <w:r>
        <w:tab/>
        <w:t>Ne, nevysadil(a) jsem nikdy léky</w:t>
      </w:r>
    </w:p>
    <w:p w:rsidR="00B11353" w:rsidRDefault="00B11353" w:rsidP="00B11353">
      <w:pPr>
        <w:spacing w:line="240" w:lineRule="auto"/>
      </w:pPr>
    </w:p>
    <w:p w:rsidR="00B11353" w:rsidRDefault="00B11353" w:rsidP="00B11353">
      <w:pPr>
        <w:spacing w:line="240" w:lineRule="auto"/>
      </w:pPr>
      <w:r>
        <w:t>7)</w:t>
      </w:r>
      <w:r>
        <w:tab/>
      </w:r>
      <w:r w:rsidRPr="00B11353">
        <w:rPr>
          <w:b/>
        </w:rPr>
        <w:t>Pokud jste vysadil(a) léky nebo si záměrně snížil(a) dávku, jaký důvod Vás k tomu vedl?</w:t>
      </w:r>
      <w:r>
        <w:t xml:space="preserve"> </w:t>
      </w:r>
    </w:p>
    <w:p w:rsidR="00B11353" w:rsidRDefault="00B11353" w:rsidP="00B11353">
      <w:pPr>
        <w:spacing w:line="240" w:lineRule="auto"/>
      </w:pPr>
      <w:r>
        <w:t>a)</w:t>
      </w:r>
      <w:r>
        <w:tab/>
        <w:t xml:space="preserve">Z důvodu zlepšení stavu </w:t>
      </w:r>
    </w:p>
    <w:p w:rsidR="00B11353" w:rsidRDefault="00B11353" w:rsidP="00B11353">
      <w:pPr>
        <w:spacing w:line="240" w:lineRule="auto"/>
      </w:pPr>
      <w:r>
        <w:t>b)</w:t>
      </w:r>
      <w:r>
        <w:tab/>
        <w:t>Z důvodu výskytu nežádoucích účinků</w:t>
      </w:r>
    </w:p>
    <w:p w:rsidR="00B11353" w:rsidRDefault="00B11353" w:rsidP="00B11353">
      <w:pPr>
        <w:spacing w:line="240" w:lineRule="auto"/>
      </w:pPr>
      <w:r>
        <w:t>c)</w:t>
      </w:r>
      <w:r>
        <w:tab/>
        <w:t>Z přesvědčení, že jsou tyto léky pro mě nevhodné</w:t>
      </w:r>
    </w:p>
    <w:p w:rsidR="00B11353" w:rsidRDefault="00B11353" w:rsidP="00B11353">
      <w:pPr>
        <w:spacing w:line="240" w:lineRule="auto"/>
      </w:pPr>
      <w:r>
        <w:t>d)</w:t>
      </w:r>
      <w:r>
        <w:tab/>
        <w:t>Nepomáhaly mi zbavit se deprese</w:t>
      </w:r>
    </w:p>
    <w:p w:rsidR="00B11353" w:rsidRDefault="00B11353" w:rsidP="00B11353">
      <w:pPr>
        <w:spacing w:line="240" w:lineRule="auto"/>
      </w:pPr>
      <w:r>
        <w:t>e)</w:t>
      </w:r>
      <w:r>
        <w:tab/>
        <w:t>Jiná odpověď……………………………………………………………………….</w:t>
      </w:r>
    </w:p>
    <w:p w:rsidR="00B11353" w:rsidRDefault="00B11353" w:rsidP="00B11353">
      <w:pPr>
        <w:spacing w:line="240" w:lineRule="auto"/>
      </w:pPr>
    </w:p>
    <w:p w:rsidR="00B11353" w:rsidRPr="00B11353" w:rsidRDefault="00170DCB" w:rsidP="00B11353">
      <w:pPr>
        <w:spacing w:line="240" w:lineRule="auto"/>
        <w:rPr>
          <w:b/>
        </w:rPr>
      </w:pPr>
      <w:r>
        <w:rPr>
          <w:b/>
        </w:rPr>
        <w:t>8)</w:t>
      </w:r>
      <w:r>
        <w:rPr>
          <w:b/>
        </w:rPr>
        <w:tab/>
        <w:t xml:space="preserve">Pokud jste vysadil(a) </w:t>
      </w:r>
      <w:r w:rsidR="00B11353" w:rsidRPr="00B11353">
        <w:rPr>
          <w:b/>
        </w:rPr>
        <w:t>léky nebo si snížil(a) dávku, došlo u Vás k návratu deprese?</w:t>
      </w:r>
    </w:p>
    <w:p w:rsidR="00B11353" w:rsidRDefault="00B11353" w:rsidP="00B11353">
      <w:pPr>
        <w:spacing w:line="240" w:lineRule="auto"/>
      </w:pPr>
      <w:r>
        <w:t>a)</w:t>
      </w:r>
      <w:r>
        <w:tab/>
        <w:t>Určitě ano</w:t>
      </w:r>
    </w:p>
    <w:p w:rsidR="00B11353" w:rsidRDefault="00B11353" w:rsidP="00B11353">
      <w:pPr>
        <w:spacing w:line="240" w:lineRule="auto"/>
      </w:pPr>
      <w:r>
        <w:t>b)</w:t>
      </w:r>
      <w:r>
        <w:tab/>
        <w:t>Spíše ano</w:t>
      </w:r>
    </w:p>
    <w:p w:rsidR="00B11353" w:rsidRDefault="00B11353" w:rsidP="00B11353">
      <w:pPr>
        <w:spacing w:line="240" w:lineRule="auto"/>
      </w:pPr>
      <w:r>
        <w:t>c)</w:t>
      </w:r>
      <w:r>
        <w:tab/>
        <w:t>Spíše ne</w:t>
      </w:r>
    </w:p>
    <w:p w:rsidR="00B11353" w:rsidRDefault="00B11353" w:rsidP="00B11353">
      <w:pPr>
        <w:spacing w:line="240" w:lineRule="auto"/>
      </w:pPr>
      <w:r>
        <w:t>d)</w:t>
      </w:r>
      <w:r>
        <w:tab/>
        <w:t>Určitě ne</w:t>
      </w:r>
    </w:p>
    <w:p w:rsidR="00B11353" w:rsidRDefault="00B11353" w:rsidP="00B11353">
      <w:pPr>
        <w:spacing w:line="240" w:lineRule="auto"/>
      </w:pPr>
      <w:r>
        <w:t>e)</w:t>
      </w:r>
      <w:r>
        <w:tab/>
        <w:t>Nevím</w:t>
      </w:r>
    </w:p>
    <w:p w:rsidR="00B11353" w:rsidRDefault="00B11353" w:rsidP="00B11353">
      <w:pPr>
        <w:spacing w:line="240" w:lineRule="auto"/>
      </w:pPr>
    </w:p>
    <w:p w:rsidR="00B11353" w:rsidRDefault="00B11353" w:rsidP="00B11353">
      <w:pPr>
        <w:spacing w:line="240" w:lineRule="auto"/>
      </w:pPr>
    </w:p>
    <w:p w:rsidR="00B11353" w:rsidRDefault="00B11353" w:rsidP="00B11353"/>
    <w:p w:rsidR="00B11353" w:rsidRDefault="00B11353" w:rsidP="00B11353"/>
    <w:p w:rsidR="00B11353" w:rsidRDefault="00B11353" w:rsidP="00B11353"/>
    <w:p w:rsidR="00B11353" w:rsidRDefault="00B11353" w:rsidP="00B11353"/>
    <w:p w:rsidR="00B11353" w:rsidRDefault="00B11353" w:rsidP="00B11353"/>
    <w:p w:rsidR="00B11353" w:rsidRDefault="00B11353" w:rsidP="00B11353"/>
    <w:p w:rsidR="00B11353" w:rsidRDefault="00B11353" w:rsidP="00B11353"/>
    <w:p w:rsidR="00B11353" w:rsidRDefault="00B11353" w:rsidP="00B11353"/>
    <w:p w:rsidR="00B11353" w:rsidRDefault="00B11353" w:rsidP="00B11353"/>
    <w:p w:rsidR="00B11353" w:rsidRDefault="00B11353" w:rsidP="00B11353"/>
    <w:p w:rsidR="00B11353" w:rsidRDefault="00B11353"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A50671" w:rsidRDefault="00A50671" w:rsidP="00B11353"/>
    <w:p w:rsidR="001A39C6" w:rsidRDefault="001A39C6" w:rsidP="00B11353"/>
    <w:p w:rsidR="001A39C6" w:rsidRDefault="001A39C6" w:rsidP="00B11353"/>
    <w:p w:rsidR="001A39C6" w:rsidRDefault="001A39C6" w:rsidP="00B11353"/>
    <w:p w:rsidR="001A39C6" w:rsidRDefault="00A50671" w:rsidP="00B11353">
      <w:r>
        <w:rPr>
          <w:b/>
        </w:rPr>
        <w:lastRenderedPageBreak/>
        <w:t> </w:t>
      </w:r>
      <w:r w:rsidR="001A39C6" w:rsidRPr="001A39C6">
        <w:rPr>
          <w:b/>
        </w:rPr>
        <w:t>Příloha č. 9:</w:t>
      </w:r>
      <w:r w:rsidR="001A39C6">
        <w:t xml:space="preserve"> Souhlas s dotazníkovým šetřením</w:t>
      </w:r>
    </w:p>
    <w:p w:rsidR="001A39C6" w:rsidRDefault="001A39C6" w:rsidP="00B11353"/>
    <w:p w:rsidR="001A39C6" w:rsidRPr="001A39C6" w:rsidRDefault="001A39C6" w:rsidP="001A39C6">
      <w:pPr>
        <w:jc w:val="center"/>
        <w:rPr>
          <w:sz w:val="28"/>
          <w:szCs w:val="28"/>
        </w:rPr>
      </w:pPr>
    </w:p>
    <w:p w:rsidR="001A39C6" w:rsidRPr="001A39C6" w:rsidRDefault="001A39C6" w:rsidP="001A39C6">
      <w:pPr>
        <w:jc w:val="center"/>
        <w:rPr>
          <w:sz w:val="28"/>
          <w:szCs w:val="28"/>
          <w:u w:val="single"/>
        </w:rPr>
      </w:pPr>
      <w:r w:rsidRPr="001A39C6">
        <w:rPr>
          <w:sz w:val="28"/>
          <w:szCs w:val="28"/>
          <w:u w:val="single"/>
        </w:rPr>
        <w:t>Věc: Žádost o umožnění dotazníkové akce</w:t>
      </w:r>
    </w:p>
    <w:p w:rsidR="001A39C6" w:rsidRDefault="001A39C6" w:rsidP="001A39C6"/>
    <w:p w:rsidR="001A39C6" w:rsidRDefault="001A39C6" w:rsidP="001A39C6"/>
    <w:p w:rsidR="001A39C6" w:rsidRDefault="001A39C6" w:rsidP="001A39C6">
      <w:r w:rsidRPr="001A39C6">
        <w:rPr>
          <w:b/>
        </w:rPr>
        <w:t>Jméno a příjmení</w:t>
      </w:r>
      <w:r>
        <w:t>: Bc. Adéla Myslivcová</w:t>
      </w:r>
    </w:p>
    <w:p w:rsidR="001A39C6" w:rsidRDefault="001A39C6" w:rsidP="001A39C6">
      <w:r w:rsidRPr="001A39C6">
        <w:rPr>
          <w:b/>
        </w:rPr>
        <w:t>Datum narození</w:t>
      </w:r>
      <w:r>
        <w:t>: 5. 6. 1988</w:t>
      </w:r>
    </w:p>
    <w:p w:rsidR="001A39C6" w:rsidRDefault="001A39C6" w:rsidP="001A39C6">
      <w:r w:rsidRPr="001A39C6">
        <w:rPr>
          <w:b/>
        </w:rPr>
        <w:t xml:space="preserve">Telefon: </w:t>
      </w:r>
      <w:r>
        <w:t>774 042 186</w:t>
      </w:r>
    </w:p>
    <w:p w:rsidR="001A39C6" w:rsidRDefault="001A39C6" w:rsidP="001A39C6">
      <w:r w:rsidRPr="001A39C6">
        <w:rPr>
          <w:b/>
        </w:rPr>
        <w:t>Škola</w:t>
      </w:r>
      <w:r>
        <w:t>: Palackého Univerzita v Olomouci, PdF, Katedra antropologie a zdravovědy</w:t>
      </w:r>
    </w:p>
    <w:p w:rsidR="001A39C6" w:rsidRDefault="001A39C6" w:rsidP="001A39C6">
      <w:r w:rsidRPr="001A39C6">
        <w:rPr>
          <w:b/>
        </w:rPr>
        <w:t>Téma závěrečné práce:</w:t>
      </w:r>
      <w:r>
        <w:t xml:space="preserve"> Antidepresiva pohledem ambulantně léčených psychiatrických pacientů</w:t>
      </w:r>
    </w:p>
    <w:p w:rsidR="001A39C6" w:rsidRDefault="001A39C6" w:rsidP="001A39C6">
      <w:r w:rsidRPr="001A39C6">
        <w:rPr>
          <w:b/>
        </w:rPr>
        <w:t>Prezentace dat</w:t>
      </w:r>
      <w:r>
        <w:t>: Obhajoba diplomové práce</w:t>
      </w:r>
    </w:p>
    <w:p w:rsidR="001A39C6" w:rsidRDefault="001A39C6" w:rsidP="001A39C6">
      <w:r w:rsidRPr="001A39C6">
        <w:rPr>
          <w:b/>
        </w:rPr>
        <w:t>Pracoviště:</w:t>
      </w:r>
      <w:r>
        <w:t xml:space="preserve"> Psychiatrická ambulance</w:t>
      </w:r>
    </w:p>
    <w:p w:rsidR="001A39C6" w:rsidRDefault="001A39C6" w:rsidP="001A39C6">
      <w:r>
        <w:t>Datum: 28. 11. 2012</w:t>
      </w:r>
    </w:p>
    <w:p w:rsidR="001A39C6" w:rsidRDefault="001A39C6" w:rsidP="001A39C6"/>
    <w:p w:rsidR="001A39C6" w:rsidRDefault="001A39C6" w:rsidP="001A39C6"/>
    <w:p w:rsidR="001A39C6" w:rsidRDefault="001A39C6" w:rsidP="001A39C6"/>
    <w:p w:rsidR="001A39C6" w:rsidRDefault="001A39C6" w:rsidP="001A39C6"/>
    <w:p w:rsidR="001A39C6" w:rsidRDefault="001A39C6" w:rsidP="001A39C6"/>
    <w:p w:rsidR="001A39C6" w:rsidRDefault="001A39C6" w:rsidP="001A39C6"/>
    <w:p w:rsidR="001A39C6" w:rsidRDefault="001A39C6" w:rsidP="001A39C6">
      <w:r>
        <w:t>……………………………………………………………</w:t>
      </w:r>
    </w:p>
    <w:p w:rsidR="001A39C6" w:rsidRDefault="001A39C6" w:rsidP="001A39C6">
      <w:r>
        <w:t>Podpis a razítko</w:t>
      </w:r>
    </w:p>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p w:rsidR="001A39C6" w:rsidRDefault="001A39C6" w:rsidP="00B11353"/>
    <w:bookmarkStart w:id="106" w:name="_MON_1427138750"/>
    <w:bookmarkEnd w:id="106"/>
    <w:p w:rsidR="000A75EA" w:rsidRPr="008C4722" w:rsidRDefault="000A75EA" w:rsidP="00B11353">
      <w:r w:rsidRPr="001A39C6">
        <w:object w:dxaOrig="9318" w:dyaOrig="11758">
          <v:shape id="_x0000_i1026" type="#_x0000_t75" style="width:465.5pt;height:587.7pt" o:ole="">
            <v:imagedata r:id="rId44" o:title=""/>
          </v:shape>
          <o:OLEObject Type="Embed" ProgID="Word.Document.8" ShapeID="_x0000_i1026" DrawAspect="Content" ObjectID="_1427175485" r:id="rId45">
            <o:FieldCodes>\s</o:FieldCodes>
          </o:OLEObject>
        </w:obje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7"/>
        <w:gridCol w:w="6043"/>
      </w:tblGrid>
      <w:tr w:rsidR="000A75EA" w:rsidTr="00E27EFE">
        <w:trPr>
          <w:trHeight w:val="2375"/>
        </w:trPr>
        <w:tc>
          <w:tcPr>
            <w:tcW w:w="2943" w:type="dxa"/>
            <w:tcBorders>
              <w:top w:val="single" w:sz="2" w:space="0" w:color="auto"/>
              <w:left w:val="double" w:sz="4" w:space="0" w:color="auto"/>
              <w:right w:val="single" w:sz="2" w:space="0" w:color="auto"/>
            </w:tcBorders>
            <w:shd w:val="clear" w:color="auto" w:fill="auto"/>
          </w:tcPr>
          <w:p w:rsidR="000A75EA" w:rsidRPr="00143CFE" w:rsidRDefault="000A75EA" w:rsidP="00E27EFE">
            <w:pPr>
              <w:rPr>
                <w:b/>
              </w:rPr>
            </w:pPr>
            <w:r w:rsidRPr="00143CFE">
              <w:rPr>
                <w:b/>
              </w:rPr>
              <w:lastRenderedPageBreak/>
              <w:t>Přílohy vázané v práci:</w:t>
            </w:r>
          </w:p>
        </w:tc>
        <w:tc>
          <w:tcPr>
            <w:tcW w:w="6269" w:type="dxa"/>
            <w:tcBorders>
              <w:top w:val="single" w:sz="2" w:space="0" w:color="auto"/>
              <w:left w:val="single" w:sz="2" w:space="0" w:color="auto"/>
              <w:right w:val="double" w:sz="4" w:space="0" w:color="auto"/>
            </w:tcBorders>
            <w:shd w:val="clear" w:color="auto" w:fill="auto"/>
          </w:tcPr>
          <w:p w:rsidR="000A75EA" w:rsidRDefault="000A75EA" w:rsidP="00E27EFE">
            <w:r>
              <w:t>Příloha 1: Sbeposuzovací škála deprese</w:t>
            </w:r>
          </w:p>
          <w:p w:rsidR="000A75EA" w:rsidRDefault="000A75EA" w:rsidP="00E27EFE">
            <w:r>
              <w:t>Příloha 2:PHQ-9</w:t>
            </w:r>
          </w:p>
          <w:p w:rsidR="000A75EA" w:rsidRDefault="000A75EA" w:rsidP="00E27EFE">
            <w:r>
              <w:t>Příloha 3: Dělení antidepresiv dle mechanismu účinků</w:t>
            </w:r>
          </w:p>
          <w:p w:rsidR="000A75EA" w:rsidRDefault="000A75EA" w:rsidP="00E27EFE">
            <w:r>
              <w:t>Příloha 4: Vývoj antidepresiv</w:t>
            </w:r>
          </w:p>
          <w:p w:rsidR="000A75EA" w:rsidRDefault="000A75EA" w:rsidP="00E27EFE">
            <w:r>
              <w:t>Příloha 5: Antidepresiva I. generace</w:t>
            </w:r>
          </w:p>
          <w:p w:rsidR="000A75EA" w:rsidRDefault="000A75EA" w:rsidP="00E27EFE">
            <w:r>
              <w:t>Příloha 6: SSRI</w:t>
            </w:r>
          </w:p>
          <w:p w:rsidR="000A75EA" w:rsidRDefault="000A75EA" w:rsidP="00E27EFE">
            <w:r>
              <w:t>Příloha 7: Mýty a pověry o antidepresivech</w:t>
            </w:r>
          </w:p>
          <w:p w:rsidR="000A75EA" w:rsidRDefault="000A75EA" w:rsidP="00E27EFE">
            <w:r>
              <w:t>Příloha 8: Dotazník</w:t>
            </w:r>
          </w:p>
          <w:p w:rsidR="000A75EA" w:rsidRDefault="000A75EA" w:rsidP="00E27EFE">
            <w:r>
              <w:t>Příloha 9: Souhlas s dotazníkovým šetřením</w:t>
            </w:r>
          </w:p>
          <w:p w:rsidR="000A75EA" w:rsidRPr="00AC6323" w:rsidRDefault="000A75EA" w:rsidP="00E27EFE"/>
        </w:tc>
      </w:tr>
      <w:tr w:rsidR="000A75EA" w:rsidTr="00E27EFE">
        <w:trPr>
          <w:trHeight w:val="415"/>
        </w:trPr>
        <w:tc>
          <w:tcPr>
            <w:tcW w:w="2943" w:type="dxa"/>
            <w:tcBorders>
              <w:top w:val="single" w:sz="4" w:space="0" w:color="auto"/>
              <w:left w:val="double" w:sz="4" w:space="0" w:color="auto"/>
              <w:bottom w:val="single" w:sz="4" w:space="0" w:color="auto"/>
              <w:right w:val="single" w:sz="2" w:space="0" w:color="auto"/>
            </w:tcBorders>
            <w:shd w:val="clear" w:color="auto" w:fill="auto"/>
          </w:tcPr>
          <w:p w:rsidR="000A75EA" w:rsidRPr="00143CFE" w:rsidRDefault="000A75EA" w:rsidP="00E27EFE">
            <w:pPr>
              <w:rPr>
                <w:b/>
              </w:rPr>
            </w:pPr>
            <w:r w:rsidRPr="00143CFE">
              <w:rPr>
                <w:b/>
              </w:rPr>
              <w:t>Rozsah práce:</w:t>
            </w:r>
          </w:p>
        </w:tc>
        <w:tc>
          <w:tcPr>
            <w:tcW w:w="6269" w:type="dxa"/>
            <w:tcBorders>
              <w:top w:val="single" w:sz="2" w:space="0" w:color="auto"/>
              <w:left w:val="single" w:sz="2" w:space="0" w:color="auto"/>
              <w:bottom w:val="single" w:sz="4" w:space="0" w:color="auto"/>
              <w:right w:val="double" w:sz="4" w:space="0" w:color="auto"/>
            </w:tcBorders>
            <w:shd w:val="clear" w:color="auto" w:fill="auto"/>
          </w:tcPr>
          <w:p w:rsidR="000A75EA" w:rsidRPr="00AC6323" w:rsidRDefault="000A75EA" w:rsidP="00E27EFE">
            <w:r>
              <w:t>94 stran</w:t>
            </w:r>
          </w:p>
        </w:tc>
      </w:tr>
      <w:tr w:rsidR="000A75EA" w:rsidTr="00E27EFE">
        <w:trPr>
          <w:trHeight w:val="415"/>
        </w:trPr>
        <w:tc>
          <w:tcPr>
            <w:tcW w:w="2943" w:type="dxa"/>
            <w:tcBorders>
              <w:top w:val="single" w:sz="4" w:space="0" w:color="auto"/>
              <w:left w:val="double" w:sz="4" w:space="0" w:color="auto"/>
              <w:bottom w:val="double" w:sz="4" w:space="0" w:color="auto"/>
              <w:right w:val="single" w:sz="2" w:space="0" w:color="auto"/>
            </w:tcBorders>
            <w:shd w:val="clear" w:color="auto" w:fill="auto"/>
          </w:tcPr>
          <w:p w:rsidR="000A75EA" w:rsidRPr="00143CFE" w:rsidRDefault="000A75EA" w:rsidP="00E27EFE">
            <w:pPr>
              <w:rPr>
                <w:b/>
              </w:rPr>
            </w:pPr>
            <w:r w:rsidRPr="00143CFE">
              <w:rPr>
                <w:b/>
              </w:rPr>
              <w:t>Jazyk práce:</w:t>
            </w:r>
          </w:p>
        </w:tc>
        <w:tc>
          <w:tcPr>
            <w:tcW w:w="6269" w:type="dxa"/>
            <w:tcBorders>
              <w:top w:val="single" w:sz="4" w:space="0" w:color="auto"/>
              <w:left w:val="single" w:sz="2" w:space="0" w:color="auto"/>
              <w:bottom w:val="double" w:sz="4" w:space="0" w:color="auto"/>
              <w:right w:val="double" w:sz="4" w:space="0" w:color="auto"/>
            </w:tcBorders>
            <w:shd w:val="clear" w:color="auto" w:fill="auto"/>
          </w:tcPr>
          <w:p w:rsidR="000A75EA" w:rsidRPr="00AC6323" w:rsidRDefault="000A75EA" w:rsidP="00E27EFE">
            <w:r>
              <w:t>Český jazyk</w:t>
            </w:r>
          </w:p>
        </w:tc>
      </w:tr>
    </w:tbl>
    <w:p w:rsidR="000A75EA" w:rsidRDefault="000A75EA" w:rsidP="000A75EA"/>
    <w:p w:rsidR="001A39C6" w:rsidRPr="008C4722" w:rsidRDefault="001A39C6" w:rsidP="00B11353"/>
    <w:sectPr w:rsidR="001A39C6" w:rsidRPr="008C4722" w:rsidSect="00B11353">
      <w:type w:val="continuous"/>
      <w:pgSz w:w="11906" w:h="16838"/>
      <w:pgMar w:top="1418" w:right="1247" w:bottom="1418"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F4A" w:rsidRDefault="005F3F4A" w:rsidP="00D47047">
      <w:pPr>
        <w:spacing w:line="240" w:lineRule="auto"/>
      </w:pPr>
      <w:r>
        <w:separator/>
      </w:r>
    </w:p>
  </w:endnote>
  <w:endnote w:type="continuationSeparator" w:id="0">
    <w:p w:rsidR="005F3F4A" w:rsidRDefault="005F3F4A" w:rsidP="00D470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MinionPro-Bold">
    <w:panose1 w:val="00000000000000000000"/>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831806"/>
      <w:docPartObj>
        <w:docPartGallery w:val="Page Numbers (Bottom of Page)"/>
        <w:docPartUnique/>
      </w:docPartObj>
    </w:sdtPr>
    <w:sdtEndPr/>
    <w:sdtContent>
      <w:p w:rsidR="006928C7" w:rsidRDefault="006928C7">
        <w:pPr>
          <w:pStyle w:val="Zpat"/>
          <w:jc w:val="right"/>
        </w:pPr>
        <w:r>
          <w:fldChar w:fldCharType="begin"/>
        </w:r>
        <w:r>
          <w:instrText>PAGE   \* MERGEFORMAT</w:instrText>
        </w:r>
        <w:r>
          <w:fldChar w:fldCharType="separate"/>
        </w:r>
        <w:r w:rsidR="002B44ED">
          <w:rPr>
            <w:noProof/>
          </w:rPr>
          <w:t>94</w:t>
        </w:r>
        <w:r>
          <w:fldChar w:fldCharType="end"/>
        </w:r>
      </w:p>
    </w:sdtContent>
  </w:sdt>
  <w:p w:rsidR="006928C7" w:rsidRDefault="006928C7">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8C7" w:rsidRDefault="006928C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F4A" w:rsidRDefault="005F3F4A" w:rsidP="00D47047">
      <w:pPr>
        <w:spacing w:line="240" w:lineRule="auto"/>
      </w:pPr>
      <w:r>
        <w:separator/>
      </w:r>
    </w:p>
  </w:footnote>
  <w:footnote w:type="continuationSeparator" w:id="0">
    <w:p w:rsidR="005F3F4A" w:rsidRDefault="005F3F4A" w:rsidP="00D47047">
      <w:pPr>
        <w:spacing w:line="240" w:lineRule="auto"/>
      </w:pPr>
      <w:r>
        <w:continuationSeparator/>
      </w:r>
    </w:p>
  </w:footnote>
  <w:footnote w:id="1">
    <w:p w:rsidR="006928C7" w:rsidRPr="00E90A29" w:rsidRDefault="006928C7">
      <w:pPr>
        <w:pStyle w:val="Textpoznpodarou"/>
        <w:rPr>
          <w:lang w:val="sk-SK"/>
        </w:rPr>
      </w:pPr>
      <w:r>
        <w:rPr>
          <w:rStyle w:val="Znakapoznpodarou"/>
        </w:rPr>
        <w:footnoteRef/>
      </w:r>
      <w:r>
        <w:rPr>
          <w:lang w:val="sk-SK"/>
        </w:rPr>
        <w:t xml:space="preserve">Compliance - </w:t>
      </w:r>
      <w:r>
        <w:t>dodržování předepsaného léčebného režimu či jiné intervence; ochota nemocného spolupracovat při léčbě (Vokurka, Hugo, 2008).</w:t>
      </w:r>
    </w:p>
  </w:footnote>
  <w:footnote w:id="2">
    <w:p w:rsidR="006928C7" w:rsidRDefault="006928C7">
      <w:pPr>
        <w:pStyle w:val="Textpoznpodarou"/>
      </w:pPr>
      <w:r>
        <w:rPr>
          <w:rStyle w:val="Znakapoznpodarou"/>
        </w:rPr>
        <w:footnoteRef/>
      </w:r>
      <w:r>
        <w:t xml:space="preserve"> MKN-Mezinárodní klasifikace nemocí (Smolík, 2002).</w:t>
      </w:r>
    </w:p>
  </w:footnote>
  <w:footnote w:id="3">
    <w:p w:rsidR="006928C7" w:rsidRPr="00EB2125" w:rsidRDefault="006928C7">
      <w:pPr>
        <w:pStyle w:val="Textpoznpodarou"/>
        <w:rPr>
          <w:rFonts w:cs="Times New Roman"/>
        </w:rPr>
      </w:pPr>
      <w:r>
        <w:rPr>
          <w:rStyle w:val="Znakapoznpodarou"/>
        </w:rPr>
        <w:footnoteRef/>
      </w:r>
      <w:r>
        <w:t xml:space="preserve"> Hypokampus </w:t>
      </w:r>
      <w:r w:rsidRPr="009C0E27">
        <w:rPr>
          <w:rFonts w:cs="Times New Roman"/>
        </w:rPr>
        <w:t>-</w:t>
      </w:r>
      <w:r w:rsidRPr="009C0E27">
        <w:rPr>
          <w:rFonts w:cs="Times New Roman"/>
          <w:color w:val="333333"/>
          <w:shd w:val="clear" w:color="auto" w:fill="FFFFFF"/>
        </w:rPr>
        <w:t xml:space="preserve"> </w:t>
      </w:r>
      <w:r>
        <w:rPr>
          <w:rFonts w:cs="Times New Roman"/>
          <w:shd w:val="clear" w:color="auto" w:fill="FFFFFF"/>
        </w:rPr>
        <w:t>lat. oblou</w:t>
      </w:r>
      <w:r w:rsidRPr="00EB2125">
        <w:rPr>
          <w:rFonts w:cs="Times New Roman"/>
          <w:shd w:val="clear" w:color="auto" w:fill="FFFFFF"/>
        </w:rPr>
        <w:t>kový závit ve spodní části mozku, součást limbického systému</w:t>
      </w:r>
      <w:r>
        <w:rPr>
          <w:rFonts w:cs="Times New Roman"/>
          <w:color w:val="333333"/>
          <w:shd w:val="clear" w:color="auto" w:fill="FFFFFF"/>
        </w:rPr>
        <w:t xml:space="preserve"> </w:t>
      </w:r>
      <w:r>
        <w:rPr>
          <w:rFonts w:cs="Times New Roman"/>
          <w:shd w:val="clear" w:color="auto" w:fill="FFFFFF"/>
        </w:rPr>
        <w:t>(Vokurka, Hugo, 2007).</w:t>
      </w:r>
    </w:p>
  </w:footnote>
  <w:footnote w:id="4">
    <w:p w:rsidR="006928C7" w:rsidRDefault="006928C7">
      <w:pPr>
        <w:pStyle w:val="Textpoznpodarou"/>
      </w:pPr>
      <w:r>
        <w:rPr>
          <w:rStyle w:val="Znakapoznpodarou"/>
        </w:rPr>
        <w:footnoteRef/>
      </w:r>
      <w:r>
        <w:t xml:space="preserve"> Ventrální striga - jádro nukleus caudatus, které je součástí corpus striatum, nejobjemnější částí bazálních ganglií (H</w:t>
      </w:r>
      <w:r>
        <w:rPr>
          <w:rFonts w:cs="Times New Roman"/>
        </w:rPr>
        <w:t>ö</w:t>
      </w:r>
      <w:r>
        <w:t>schl, Libiger, Švestka, 2002)</w:t>
      </w:r>
    </w:p>
  </w:footnote>
  <w:footnote w:id="5">
    <w:p w:rsidR="006928C7" w:rsidRDefault="006928C7">
      <w:pPr>
        <w:pStyle w:val="Textpoznpodarou"/>
      </w:pPr>
      <w:r>
        <w:rPr>
          <w:rStyle w:val="Znakapoznpodarou"/>
        </w:rPr>
        <w:footnoteRef/>
      </w:r>
      <w:r>
        <w:t xml:space="preserve"> Neurotransmiter </w:t>
      </w:r>
      <w:r w:rsidRPr="00EB2125">
        <w:rPr>
          <w:rFonts w:cs="Times New Roman"/>
        </w:rPr>
        <w:t>-</w:t>
      </w:r>
      <w:r w:rsidRPr="00EB2125">
        <w:rPr>
          <w:rFonts w:cs="Times New Roman"/>
          <w:shd w:val="clear" w:color="auto" w:fill="FFFFFF"/>
        </w:rPr>
        <w:t xml:space="preserve"> nervový přenašeč, chemická látka uvolňovaná z nervového zakončení na synapsi.</w:t>
      </w:r>
      <w:r>
        <w:rPr>
          <w:rFonts w:cs="Times New Roman"/>
          <w:shd w:val="clear" w:color="auto" w:fill="FFFFFF"/>
        </w:rPr>
        <w:t>(Vokurka, Hugo, 2007).</w:t>
      </w:r>
    </w:p>
  </w:footnote>
  <w:footnote w:id="6">
    <w:p w:rsidR="006928C7" w:rsidRDefault="006928C7">
      <w:pPr>
        <w:pStyle w:val="Textpoznpodarou"/>
      </w:pPr>
      <w:r>
        <w:rPr>
          <w:rStyle w:val="Znakapoznpodarou"/>
        </w:rPr>
        <w:footnoteRef/>
      </w:r>
      <w:r>
        <w:t xml:space="preserve"> Ruminace -obsedantní uvažování (Vokurka, Hugo, 2000).</w:t>
      </w:r>
    </w:p>
  </w:footnote>
  <w:footnote w:id="7">
    <w:p w:rsidR="006928C7" w:rsidRDefault="006928C7">
      <w:pPr>
        <w:pStyle w:val="Textpoznpodarou"/>
      </w:pPr>
      <w:r>
        <w:rPr>
          <w:rStyle w:val="Znakapoznpodarou"/>
        </w:rPr>
        <w:footnoteRef/>
      </w:r>
      <w:r>
        <w:t xml:space="preserve"> Mutismus -neschopnost mluvení z psychických příčin (Vokurka, Hugo, 2007).</w:t>
      </w:r>
    </w:p>
  </w:footnote>
  <w:footnote w:id="8">
    <w:p w:rsidR="006928C7" w:rsidRDefault="006928C7">
      <w:pPr>
        <w:pStyle w:val="Textpoznpodarou"/>
      </w:pPr>
      <w:r>
        <w:rPr>
          <w:rStyle w:val="Znakapoznpodarou"/>
        </w:rPr>
        <w:footnoteRef/>
      </w:r>
      <w:r>
        <w:t>Katatonie-pohybové abnormality způsobené duševním stavem (chorobou), projevují se nadměrnou aktivitou nebo naopak sníženou aktivitou až ztrnutím (stuporem); (Vokurka, Hugo, 2007)</w:t>
      </w:r>
    </w:p>
  </w:footnote>
  <w:footnote w:id="9">
    <w:p w:rsidR="006928C7" w:rsidRDefault="006928C7">
      <w:pPr>
        <w:pStyle w:val="Textpoznpodarou"/>
      </w:pPr>
      <w:r>
        <w:rPr>
          <w:rStyle w:val="Znakapoznpodarou"/>
        </w:rPr>
        <w:footnoteRef/>
      </w:r>
      <w:r>
        <w:t xml:space="preserve"> Metamfetamin- pervitin (Vokurka, Hugo, 2007).</w:t>
      </w:r>
    </w:p>
  </w:footnote>
  <w:footnote w:id="10">
    <w:p w:rsidR="006928C7" w:rsidRDefault="006928C7">
      <w:pPr>
        <w:pStyle w:val="Textpoznpodarou"/>
      </w:pPr>
      <w:r>
        <w:rPr>
          <w:rStyle w:val="Znakapoznpodarou"/>
        </w:rPr>
        <w:footnoteRef/>
      </w:r>
      <w:r>
        <w:t xml:space="preserve"> Barbituráty- léky dříve užívané při nespavosti, při dlouhodobém podávání dochází k závislosti (Vokurka, Hugo , 2007)</w:t>
      </w:r>
    </w:p>
  </w:footnote>
  <w:footnote w:id="11">
    <w:p w:rsidR="006928C7" w:rsidRDefault="006928C7">
      <w:pPr>
        <w:pStyle w:val="Textpoznpodarou"/>
      </w:pPr>
      <w:r>
        <w:rPr>
          <w:rStyle w:val="Znakapoznpodarou"/>
        </w:rPr>
        <w:footnoteRef/>
      </w:r>
      <w:r>
        <w:t xml:space="preserve"> Antikonvulziva- antiepileptika, léky proti křečím (Vokurka, Hugo, 2000).</w:t>
      </w:r>
    </w:p>
  </w:footnote>
  <w:footnote w:id="12">
    <w:p w:rsidR="006928C7" w:rsidRDefault="006928C7">
      <w:pPr>
        <w:pStyle w:val="Textpoznpodarou"/>
      </w:pPr>
      <w:r>
        <w:rPr>
          <w:rStyle w:val="Znakapoznpodarou"/>
        </w:rPr>
        <w:footnoteRef/>
      </w:r>
      <w:r>
        <w:t xml:space="preserve"> Remise- vymizení příznaků a projevů onemocnění, nikoliv nemoci samé. (Vokurka, Hugo, 2007)</w:t>
      </w:r>
    </w:p>
  </w:footnote>
  <w:footnote w:id="13">
    <w:p w:rsidR="006928C7" w:rsidRDefault="006928C7">
      <w:pPr>
        <w:pStyle w:val="Textpoznpodarou"/>
      </w:pPr>
      <w:r>
        <w:rPr>
          <w:rStyle w:val="Znakapoznpodarou"/>
        </w:rPr>
        <w:footnoteRef/>
      </w:r>
      <w:r>
        <w:t xml:space="preserve"> Recidiva- návrat nemoci, která již byla vyléčena nebo u níž vymizely příznaky. (Vokurka, Hugo, 2007)</w:t>
      </w:r>
    </w:p>
  </w:footnote>
  <w:footnote w:id="14">
    <w:p w:rsidR="006928C7" w:rsidRDefault="006928C7">
      <w:pPr>
        <w:pStyle w:val="Textpoznpodarou"/>
      </w:pPr>
      <w:r>
        <w:rPr>
          <w:rStyle w:val="Znakapoznpodarou"/>
        </w:rPr>
        <w:footnoteRef/>
      </w:r>
      <w:r>
        <w:t xml:space="preserve"> Kontaktní cyklus- cyklus seberegulace organismu (Roubal, 2005).</w:t>
      </w:r>
    </w:p>
  </w:footnote>
  <w:footnote w:id="15">
    <w:p w:rsidR="006928C7" w:rsidRDefault="006928C7" w:rsidP="00890D8F">
      <w:pPr>
        <w:pStyle w:val="Textpoznpodarou"/>
      </w:pPr>
      <w:r>
        <w:rPr>
          <w:rStyle w:val="Znakapoznpodarou"/>
        </w:rPr>
        <w:footnoteRef/>
      </w:r>
      <w:r>
        <w:t xml:space="preserve"> Neurotické poruchy- </w:t>
      </w:r>
      <w:r w:rsidRPr="00AA0567">
        <w:rPr>
          <w:rFonts w:cs="Times New Roman"/>
          <w:shd w:val="clear" w:color="auto" w:fill="FFFFFF"/>
        </w:rPr>
        <w:t xml:space="preserve">poruchy charakteru neurózy, v současnosti se k nim řadí anxiózní poruchy, disociační poruchy, fobické úzkostné poruchy, obsedantně-kompulzivní poruchy, panická porucha, somatoformní </w:t>
      </w:r>
      <w:r>
        <w:rPr>
          <w:rFonts w:cs="Times New Roman"/>
          <w:shd w:val="clear" w:color="auto" w:fill="FFFFFF"/>
        </w:rPr>
        <w:t>poruchy aj. (Vokurka, Hugo, 2007</w:t>
      </w:r>
      <w:r w:rsidRPr="00AA0567">
        <w:rPr>
          <w:rFonts w:cs="Times New Roman"/>
          <w:shd w:val="clear" w:color="auto" w:fill="FFFFFF"/>
        </w:rPr>
        <w:t>)</w:t>
      </w:r>
    </w:p>
  </w:footnote>
  <w:footnote w:id="16">
    <w:p w:rsidR="006928C7" w:rsidRDefault="006928C7" w:rsidP="00890D8F">
      <w:pPr>
        <w:pStyle w:val="Textpoznpodarou"/>
      </w:pPr>
      <w:r>
        <w:rPr>
          <w:rStyle w:val="Znakapoznpodarou"/>
        </w:rPr>
        <w:footnoteRef/>
      </w:r>
      <w:r>
        <w:t xml:space="preserve"> Afektivní poruchy- týkající se citové (emoční) stránky člověka. K těmto poruchám patří poruchy nálady, deprese aj. (Vokurka, Hugo, 2000)</w:t>
      </w:r>
    </w:p>
  </w:footnote>
  <w:footnote w:id="17">
    <w:p w:rsidR="006928C7" w:rsidRDefault="006928C7">
      <w:pPr>
        <w:pStyle w:val="Textpoznpodarou"/>
      </w:pPr>
      <w:r>
        <w:rPr>
          <w:rStyle w:val="Znakapoznpodarou"/>
        </w:rPr>
        <w:footnoteRef/>
      </w:r>
      <w:r>
        <w:t xml:space="preserve"> ÚZIS-ústav zdravotnických informací a statistiky ČR.</w:t>
      </w:r>
    </w:p>
  </w:footnote>
  <w:footnote w:id="18">
    <w:p w:rsidR="006928C7" w:rsidRDefault="006928C7">
      <w:pPr>
        <w:pStyle w:val="Textpoznpodarou"/>
      </w:pPr>
      <w:r>
        <w:rPr>
          <w:rStyle w:val="Znakapoznpodarou"/>
        </w:rPr>
        <w:footnoteRef/>
      </w:r>
      <w:r>
        <w:t xml:space="preserve"> SÚKL- Státní ústav pro kontrolu léčiv</w:t>
      </w:r>
    </w:p>
  </w:footnote>
  <w:footnote w:id="19">
    <w:p w:rsidR="006928C7" w:rsidRDefault="006928C7">
      <w:pPr>
        <w:pStyle w:val="Textpoznpodarou"/>
      </w:pPr>
      <w:r>
        <w:rPr>
          <w:rStyle w:val="Znakapoznpodarou"/>
        </w:rPr>
        <w:footnoteRef/>
      </w:r>
      <w:r>
        <w:t xml:space="preserve"> Sympatomimetický- mající účinky na sympatický nervový systém (způsobují zvýšení krevního tlaku, zúžení cév apod.);(Vokurka, Hugo, 2007).</w:t>
      </w:r>
    </w:p>
  </w:footnote>
  <w:footnote w:id="20">
    <w:p w:rsidR="006928C7" w:rsidRDefault="006928C7">
      <w:pPr>
        <w:pStyle w:val="Textpoznpodarou"/>
      </w:pPr>
      <w:r>
        <w:rPr>
          <w:rStyle w:val="Znakapoznpodarou"/>
        </w:rPr>
        <w:footnoteRef/>
      </w:r>
      <w:r>
        <w:t xml:space="preserve"> Neurotransmise- přenos nervového signálu skrz synaptickou štěrbinu a umožňuje tak další šíření a podráždění nebo vyvolání určité reakce (Vokurka, Hugo, 2007).</w:t>
      </w:r>
    </w:p>
  </w:footnote>
  <w:footnote w:id="21">
    <w:p w:rsidR="006928C7" w:rsidRDefault="006928C7">
      <w:pPr>
        <w:pStyle w:val="Textpoznpodarou"/>
      </w:pPr>
      <w:r>
        <w:rPr>
          <w:rStyle w:val="Znakapoznpodarou"/>
        </w:rPr>
        <w:footnoteRef/>
      </w:r>
      <w:r>
        <w:t xml:space="preserve"> CNS- Centrální nervový systém.</w:t>
      </w:r>
    </w:p>
  </w:footnote>
  <w:footnote w:id="22">
    <w:p w:rsidR="006928C7" w:rsidRDefault="006928C7">
      <w:pPr>
        <w:pStyle w:val="Textpoznpodarou"/>
      </w:pPr>
      <w:r>
        <w:rPr>
          <w:rStyle w:val="Znakapoznpodarou"/>
        </w:rPr>
        <w:footnoteRef/>
      </w:r>
      <w:r>
        <w:t xml:space="preserve"> Craving- bažení, velmi silná touha po psychoaktivní látce nebo droze, která byla již v minulosti opakovaně užívána a která navozuje příjemné pocity spojené s užitím (Vokurka, Hugo, 2007).</w:t>
      </w:r>
    </w:p>
  </w:footnote>
  <w:footnote w:id="23">
    <w:p w:rsidR="006928C7" w:rsidRDefault="006928C7">
      <w:pPr>
        <w:pStyle w:val="Textpoznpodarou"/>
      </w:pPr>
      <w:r>
        <w:rPr>
          <w:rStyle w:val="Znakapoznpodarou"/>
        </w:rPr>
        <w:footnoteRef/>
      </w:r>
      <w:r>
        <w:t xml:space="preserve"> Polypragmázie-podávání mnoha léků současně (Vokurka, Hugo, 2000)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05pt" o:bullet="t">
        <v:imagedata r:id="rId1" o:title="BD21295_"/>
      </v:shape>
    </w:pict>
  </w:numPicBullet>
  <w:abstractNum w:abstractNumId="0">
    <w:nsid w:val="001B2DCC"/>
    <w:multiLevelType w:val="hybridMultilevel"/>
    <w:tmpl w:val="737E129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0211D6A"/>
    <w:multiLevelType w:val="hybridMultilevel"/>
    <w:tmpl w:val="A0A2DC50"/>
    <w:lvl w:ilvl="0" w:tplc="873ECAE0">
      <w:start w:val="1"/>
      <w:numFmt w:val="decimal"/>
      <w:lvlText w:val="%1."/>
      <w:lvlJc w:val="left"/>
      <w:pPr>
        <w:ind w:left="720" w:hanging="360"/>
      </w:pPr>
      <w:rPr>
        <w:b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68F5C34"/>
    <w:multiLevelType w:val="hybridMultilevel"/>
    <w:tmpl w:val="FBE66CC2"/>
    <w:lvl w:ilvl="0" w:tplc="04050001">
      <w:start w:val="1"/>
      <w:numFmt w:val="bullet"/>
      <w:lvlText w:val=""/>
      <w:lvlJc w:val="left"/>
      <w:pPr>
        <w:ind w:left="862" w:hanging="360"/>
      </w:pPr>
      <w:rPr>
        <w:rFonts w:ascii="Symbol" w:hAnsi="Symbol" w:hint="default"/>
      </w:rPr>
    </w:lvl>
    <w:lvl w:ilvl="1" w:tplc="04050003" w:tentative="1">
      <w:start w:val="1"/>
      <w:numFmt w:val="bullet"/>
      <w:lvlText w:val="o"/>
      <w:lvlJc w:val="left"/>
      <w:pPr>
        <w:ind w:left="1582" w:hanging="360"/>
      </w:pPr>
      <w:rPr>
        <w:rFonts w:ascii="Courier New" w:hAnsi="Courier New" w:cs="Courier New" w:hint="default"/>
      </w:rPr>
    </w:lvl>
    <w:lvl w:ilvl="2" w:tplc="04050005" w:tentative="1">
      <w:start w:val="1"/>
      <w:numFmt w:val="bullet"/>
      <w:lvlText w:val=""/>
      <w:lvlJc w:val="left"/>
      <w:pPr>
        <w:ind w:left="2302" w:hanging="360"/>
      </w:pPr>
      <w:rPr>
        <w:rFonts w:ascii="Wingdings" w:hAnsi="Wingdings" w:hint="default"/>
      </w:rPr>
    </w:lvl>
    <w:lvl w:ilvl="3" w:tplc="04050001" w:tentative="1">
      <w:start w:val="1"/>
      <w:numFmt w:val="bullet"/>
      <w:lvlText w:val=""/>
      <w:lvlJc w:val="left"/>
      <w:pPr>
        <w:ind w:left="3022" w:hanging="360"/>
      </w:pPr>
      <w:rPr>
        <w:rFonts w:ascii="Symbol" w:hAnsi="Symbol" w:hint="default"/>
      </w:rPr>
    </w:lvl>
    <w:lvl w:ilvl="4" w:tplc="04050003" w:tentative="1">
      <w:start w:val="1"/>
      <w:numFmt w:val="bullet"/>
      <w:lvlText w:val="o"/>
      <w:lvlJc w:val="left"/>
      <w:pPr>
        <w:ind w:left="3742" w:hanging="360"/>
      </w:pPr>
      <w:rPr>
        <w:rFonts w:ascii="Courier New" w:hAnsi="Courier New" w:cs="Courier New" w:hint="default"/>
      </w:rPr>
    </w:lvl>
    <w:lvl w:ilvl="5" w:tplc="04050005" w:tentative="1">
      <w:start w:val="1"/>
      <w:numFmt w:val="bullet"/>
      <w:lvlText w:val=""/>
      <w:lvlJc w:val="left"/>
      <w:pPr>
        <w:ind w:left="4462" w:hanging="360"/>
      </w:pPr>
      <w:rPr>
        <w:rFonts w:ascii="Wingdings" w:hAnsi="Wingdings" w:hint="default"/>
      </w:rPr>
    </w:lvl>
    <w:lvl w:ilvl="6" w:tplc="04050001" w:tentative="1">
      <w:start w:val="1"/>
      <w:numFmt w:val="bullet"/>
      <w:lvlText w:val=""/>
      <w:lvlJc w:val="left"/>
      <w:pPr>
        <w:ind w:left="5182" w:hanging="360"/>
      </w:pPr>
      <w:rPr>
        <w:rFonts w:ascii="Symbol" w:hAnsi="Symbol" w:hint="default"/>
      </w:rPr>
    </w:lvl>
    <w:lvl w:ilvl="7" w:tplc="04050003" w:tentative="1">
      <w:start w:val="1"/>
      <w:numFmt w:val="bullet"/>
      <w:lvlText w:val="o"/>
      <w:lvlJc w:val="left"/>
      <w:pPr>
        <w:ind w:left="5902" w:hanging="360"/>
      </w:pPr>
      <w:rPr>
        <w:rFonts w:ascii="Courier New" w:hAnsi="Courier New" w:cs="Courier New" w:hint="default"/>
      </w:rPr>
    </w:lvl>
    <w:lvl w:ilvl="8" w:tplc="04050005" w:tentative="1">
      <w:start w:val="1"/>
      <w:numFmt w:val="bullet"/>
      <w:lvlText w:val=""/>
      <w:lvlJc w:val="left"/>
      <w:pPr>
        <w:ind w:left="6622" w:hanging="360"/>
      </w:pPr>
      <w:rPr>
        <w:rFonts w:ascii="Wingdings" w:hAnsi="Wingdings" w:hint="default"/>
      </w:rPr>
    </w:lvl>
  </w:abstractNum>
  <w:abstractNum w:abstractNumId="3">
    <w:nsid w:val="0EA571A8"/>
    <w:multiLevelType w:val="hybridMultilevel"/>
    <w:tmpl w:val="1264FD42"/>
    <w:lvl w:ilvl="0" w:tplc="6C36AD70">
      <w:start w:val="1"/>
      <w:numFmt w:val="bullet"/>
      <w:lvlText w:val=""/>
      <w:lvlPicBulletId w:val="0"/>
      <w:lvlJc w:val="right"/>
      <w:pPr>
        <w:ind w:left="4122"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2BF4FC3"/>
    <w:multiLevelType w:val="hybridMultilevel"/>
    <w:tmpl w:val="8E20EF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26249BC"/>
    <w:multiLevelType w:val="hybridMultilevel"/>
    <w:tmpl w:val="4446ACE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25CA01F4"/>
    <w:multiLevelType w:val="hybridMultilevel"/>
    <w:tmpl w:val="3912EF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D043D58"/>
    <w:multiLevelType w:val="hybridMultilevel"/>
    <w:tmpl w:val="A8DA4380"/>
    <w:lvl w:ilvl="0" w:tplc="12489376">
      <w:start w:val="1"/>
      <w:numFmt w:val="decimal"/>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68F546E"/>
    <w:multiLevelType w:val="hybridMultilevel"/>
    <w:tmpl w:val="87DCA7FA"/>
    <w:lvl w:ilvl="0" w:tplc="6C36AD70">
      <w:start w:val="1"/>
      <w:numFmt w:val="bullet"/>
      <w:lvlText w:val=""/>
      <w:lvlPicBulletId w:val="0"/>
      <w:lvlJc w:val="right"/>
      <w:pPr>
        <w:ind w:left="4122"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6C36AD70">
      <w:start w:val="1"/>
      <w:numFmt w:val="bullet"/>
      <w:lvlText w:val=""/>
      <w:lvlPicBulletId w:val="0"/>
      <w:lvlJc w:val="right"/>
      <w:pPr>
        <w:ind w:left="2160" w:hanging="360"/>
      </w:pPr>
      <w:rPr>
        <w:rFonts w:ascii="Symbol" w:hAnsi="Symbol" w:hint="default"/>
        <w:color w:val="auto"/>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373110DA"/>
    <w:multiLevelType w:val="hybridMultilevel"/>
    <w:tmpl w:val="5E2A06D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976207C"/>
    <w:multiLevelType w:val="hybridMultilevel"/>
    <w:tmpl w:val="57B2C56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F31772F"/>
    <w:multiLevelType w:val="hybridMultilevel"/>
    <w:tmpl w:val="D662F776"/>
    <w:lvl w:ilvl="0" w:tplc="BD3E6B24">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42405ACD"/>
    <w:multiLevelType w:val="hybridMultilevel"/>
    <w:tmpl w:val="41AE33D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43D4543A"/>
    <w:multiLevelType w:val="hybridMultilevel"/>
    <w:tmpl w:val="05F862A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44746955"/>
    <w:multiLevelType w:val="hybridMultilevel"/>
    <w:tmpl w:val="62969BBA"/>
    <w:lvl w:ilvl="0" w:tplc="A80ECB12">
      <w:start w:val="1"/>
      <w:numFmt w:val="upp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482E4CF4"/>
    <w:multiLevelType w:val="hybridMultilevel"/>
    <w:tmpl w:val="503CA0F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49D0696A"/>
    <w:multiLevelType w:val="hybridMultilevel"/>
    <w:tmpl w:val="229AE3B8"/>
    <w:lvl w:ilvl="0" w:tplc="CB8C4EC0">
      <w:start w:val="1"/>
      <w:numFmt w:val="decimal"/>
      <w:lvlText w:val="%1."/>
      <w:lvlJc w:val="left"/>
      <w:pPr>
        <w:ind w:left="720" w:hanging="360"/>
      </w:pPr>
      <w:rPr>
        <w:rFonts w:ascii="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4A5B48BD"/>
    <w:multiLevelType w:val="hybridMultilevel"/>
    <w:tmpl w:val="651EA82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4EFB495F"/>
    <w:multiLevelType w:val="hybridMultilevel"/>
    <w:tmpl w:val="1F1866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50CC5B68"/>
    <w:multiLevelType w:val="hybridMultilevel"/>
    <w:tmpl w:val="BE9AD1B6"/>
    <w:lvl w:ilvl="0" w:tplc="04050001">
      <w:start w:val="1"/>
      <w:numFmt w:val="bullet"/>
      <w:lvlText w:val=""/>
      <w:lvlJc w:val="left"/>
      <w:pPr>
        <w:ind w:left="-74" w:hanging="360"/>
      </w:pPr>
      <w:rPr>
        <w:rFonts w:ascii="Symbol" w:hAnsi="Symbol" w:hint="default"/>
      </w:rPr>
    </w:lvl>
    <w:lvl w:ilvl="1" w:tplc="04050003" w:tentative="1">
      <w:start w:val="1"/>
      <w:numFmt w:val="bullet"/>
      <w:lvlText w:val="o"/>
      <w:lvlJc w:val="left"/>
      <w:pPr>
        <w:ind w:left="646" w:hanging="360"/>
      </w:pPr>
      <w:rPr>
        <w:rFonts w:ascii="Courier New" w:hAnsi="Courier New" w:cs="Courier New" w:hint="default"/>
      </w:rPr>
    </w:lvl>
    <w:lvl w:ilvl="2" w:tplc="04050005" w:tentative="1">
      <w:start w:val="1"/>
      <w:numFmt w:val="bullet"/>
      <w:lvlText w:val=""/>
      <w:lvlJc w:val="left"/>
      <w:pPr>
        <w:ind w:left="1366" w:hanging="360"/>
      </w:pPr>
      <w:rPr>
        <w:rFonts w:ascii="Wingdings" w:hAnsi="Wingdings" w:hint="default"/>
      </w:rPr>
    </w:lvl>
    <w:lvl w:ilvl="3" w:tplc="04050001" w:tentative="1">
      <w:start w:val="1"/>
      <w:numFmt w:val="bullet"/>
      <w:lvlText w:val=""/>
      <w:lvlJc w:val="left"/>
      <w:pPr>
        <w:ind w:left="2086" w:hanging="360"/>
      </w:pPr>
      <w:rPr>
        <w:rFonts w:ascii="Symbol" w:hAnsi="Symbol" w:hint="default"/>
      </w:rPr>
    </w:lvl>
    <w:lvl w:ilvl="4" w:tplc="04050003" w:tentative="1">
      <w:start w:val="1"/>
      <w:numFmt w:val="bullet"/>
      <w:lvlText w:val="o"/>
      <w:lvlJc w:val="left"/>
      <w:pPr>
        <w:ind w:left="2806" w:hanging="360"/>
      </w:pPr>
      <w:rPr>
        <w:rFonts w:ascii="Courier New" w:hAnsi="Courier New" w:cs="Courier New" w:hint="default"/>
      </w:rPr>
    </w:lvl>
    <w:lvl w:ilvl="5" w:tplc="04050005" w:tentative="1">
      <w:start w:val="1"/>
      <w:numFmt w:val="bullet"/>
      <w:lvlText w:val=""/>
      <w:lvlJc w:val="left"/>
      <w:pPr>
        <w:ind w:left="3526" w:hanging="360"/>
      </w:pPr>
      <w:rPr>
        <w:rFonts w:ascii="Wingdings" w:hAnsi="Wingdings" w:hint="default"/>
      </w:rPr>
    </w:lvl>
    <w:lvl w:ilvl="6" w:tplc="04050001" w:tentative="1">
      <w:start w:val="1"/>
      <w:numFmt w:val="bullet"/>
      <w:lvlText w:val=""/>
      <w:lvlJc w:val="left"/>
      <w:pPr>
        <w:ind w:left="4246" w:hanging="360"/>
      </w:pPr>
      <w:rPr>
        <w:rFonts w:ascii="Symbol" w:hAnsi="Symbol" w:hint="default"/>
      </w:rPr>
    </w:lvl>
    <w:lvl w:ilvl="7" w:tplc="04050003" w:tentative="1">
      <w:start w:val="1"/>
      <w:numFmt w:val="bullet"/>
      <w:lvlText w:val="o"/>
      <w:lvlJc w:val="left"/>
      <w:pPr>
        <w:ind w:left="4966" w:hanging="360"/>
      </w:pPr>
      <w:rPr>
        <w:rFonts w:ascii="Courier New" w:hAnsi="Courier New" w:cs="Courier New" w:hint="default"/>
      </w:rPr>
    </w:lvl>
    <w:lvl w:ilvl="8" w:tplc="04050005" w:tentative="1">
      <w:start w:val="1"/>
      <w:numFmt w:val="bullet"/>
      <w:lvlText w:val=""/>
      <w:lvlJc w:val="left"/>
      <w:pPr>
        <w:ind w:left="5686" w:hanging="360"/>
      </w:pPr>
      <w:rPr>
        <w:rFonts w:ascii="Wingdings" w:hAnsi="Wingdings" w:hint="default"/>
      </w:rPr>
    </w:lvl>
  </w:abstractNum>
  <w:abstractNum w:abstractNumId="20">
    <w:nsid w:val="5A152A71"/>
    <w:multiLevelType w:val="hybridMultilevel"/>
    <w:tmpl w:val="F00A402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5A315A51"/>
    <w:multiLevelType w:val="multilevel"/>
    <w:tmpl w:val="4F5C038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nsid w:val="5B755AEF"/>
    <w:multiLevelType w:val="hybridMultilevel"/>
    <w:tmpl w:val="B6C2BB82"/>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23">
    <w:nsid w:val="639D4650"/>
    <w:multiLevelType w:val="hybridMultilevel"/>
    <w:tmpl w:val="BF4ECB14"/>
    <w:lvl w:ilvl="0" w:tplc="23B4FE6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65BE6A84"/>
    <w:multiLevelType w:val="hybridMultilevel"/>
    <w:tmpl w:val="1BCCD904"/>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25">
    <w:nsid w:val="6AE10CDA"/>
    <w:multiLevelType w:val="multilevel"/>
    <w:tmpl w:val="828C9988"/>
    <w:lvl w:ilvl="0">
      <w:start w:val="3"/>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2"/>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BB0002C"/>
    <w:multiLevelType w:val="multilevel"/>
    <w:tmpl w:val="64302184"/>
    <w:lvl w:ilvl="0">
      <w:start w:val="1"/>
      <w:numFmt w:val="decimal"/>
      <w:pStyle w:val="Nadpis1"/>
      <w:suff w:val="space"/>
      <w:lvlText w:val="Kapitola %1"/>
      <w:lvlJc w:val="left"/>
      <w:pPr>
        <w:ind w:left="0" w:firstLine="0"/>
      </w:pPr>
    </w:lvl>
    <w:lvl w:ilvl="1">
      <w:start w:val="1"/>
      <w:numFmt w:val="none"/>
      <w:pStyle w:val="Nadpis2"/>
      <w:suff w:val="nothing"/>
      <w:lvlText w:val=""/>
      <w:lvlJc w:val="left"/>
      <w:pPr>
        <w:ind w:left="0" w:firstLine="0"/>
      </w:pPr>
    </w:lvl>
    <w:lvl w:ilvl="2">
      <w:start w:val="1"/>
      <w:numFmt w:val="none"/>
      <w:pStyle w:val="Nadpis3"/>
      <w:suff w:val="nothing"/>
      <w:lvlText w:val=""/>
      <w:lvlJc w:val="left"/>
      <w:pPr>
        <w:ind w:left="0" w:firstLine="0"/>
      </w:pPr>
    </w:lvl>
    <w:lvl w:ilvl="3">
      <w:start w:val="1"/>
      <w:numFmt w:val="none"/>
      <w:pStyle w:val="Nadpis4"/>
      <w:suff w:val="nothing"/>
      <w:lvlText w:val=""/>
      <w:lvlJc w:val="left"/>
      <w:pPr>
        <w:ind w:left="0" w:firstLine="0"/>
      </w:pPr>
    </w:lvl>
    <w:lvl w:ilvl="4">
      <w:start w:val="1"/>
      <w:numFmt w:val="none"/>
      <w:pStyle w:val="Nadpis5"/>
      <w:suff w:val="nothing"/>
      <w:lvlText w:val=""/>
      <w:lvlJc w:val="left"/>
      <w:pPr>
        <w:ind w:left="0" w:firstLine="0"/>
      </w:pPr>
    </w:lvl>
    <w:lvl w:ilvl="5">
      <w:start w:val="1"/>
      <w:numFmt w:val="none"/>
      <w:pStyle w:val="Nadpis6"/>
      <w:suff w:val="nothing"/>
      <w:lvlText w:val=""/>
      <w:lvlJc w:val="left"/>
      <w:pPr>
        <w:ind w:left="0" w:firstLine="0"/>
      </w:pPr>
    </w:lvl>
    <w:lvl w:ilvl="6">
      <w:start w:val="1"/>
      <w:numFmt w:val="none"/>
      <w:pStyle w:val="Nadpis7"/>
      <w:suff w:val="nothing"/>
      <w:lvlText w:val=""/>
      <w:lvlJc w:val="left"/>
      <w:pPr>
        <w:ind w:left="0" w:firstLine="0"/>
      </w:pPr>
    </w:lvl>
    <w:lvl w:ilvl="7">
      <w:start w:val="1"/>
      <w:numFmt w:val="none"/>
      <w:pStyle w:val="Nadpis8"/>
      <w:suff w:val="nothing"/>
      <w:lvlText w:val=""/>
      <w:lvlJc w:val="left"/>
      <w:pPr>
        <w:ind w:left="0" w:firstLine="0"/>
      </w:pPr>
    </w:lvl>
    <w:lvl w:ilvl="8">
      <w:start w:val="1"/>
      <w:numFmt w:val="none"/>
      <w:pStyle w:val="Nadpis9"/>
      <w:suff w:val="nothing"/>
      <w:lvlText w:val=""/>
      <w:lvlJc w:val="left"/>
      <w:pPr>
        <w:ind w:left="0" w:firstLine="0"/>
      </w:pPr>
    </w:lvl>
  </w:abstractNum>
  <w:abstractNum w:abstractNumId="27">
    <w:nsid w:val="6C9271EC"/>
    <w:multiLevelType w:val="hybridMultilevel"/>
    <w:tmpl w:val="59B4C73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6CD56C4C"/>
    <w:multiLevelType w:val="hybridMultilevel"/>
    <w:tmpl w:val="0DD4EF94"/>
    <w:lvl w:ilvl="0" w:tplc="50344C86">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9">
    <w:nsid w:val="6E18629B"/>
    <w:multiLevelType w:val="hybridMultilevel"/>
    <w:tmpl w:val="8E76A84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6E806261"/>
    <w:multiLevelType w:val="hybridMultilevel"/>
    <w:tmpl w:val="C9986E3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F950577"/>
    <w:multiLevelType w:val="hybridMultilevel"/>
    <w:tmpl w:val="8E6E746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747B5740"/>
    <w:multiLevelType w:val="hybridMultilevel"/>
    <w:tmpl w:val="0FD0E372"/>
    <w:lvl w:ilvl="0" w:tplc="4F6C5A4E">
      <w:start w:val="1"/>
      <w:numFmt w:val="decimal"/>
      <w:lvlText w:val="%1."/>
      <w:lvlJc w:val="left"/>
      <w:pPr>
        <w:ind w:left="644" w:hanging="360"/>
      </w:pPr>
      <w:rPr>
        <w:rFonts w:ascii="Times New Roman" w:hAnsi="Times New Roman" w:cs="Times New Roman" w:hint="default"/>
        <w:color w:val="auto"/>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77D204AB"/>
    <w:multiLevelType w:val="multilevel"/>
    <w:tmpl w:val="68167A1A"/>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7DC75A9"/>
    <w:multiLevelType w:val="hybridMultilevel"/>
    <w:tmpl w:val="1902BE4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78C20E42"/>
    <w:multiLevelType w:val="hybridMultilevel"/>
    <w:tmpl w:val="6F2412CE"/>
    <w:lvl w:ilvl="0" w:tplc="0405000F">
      <w:start w:val="1"/>
      <w:numFmt w:val="decimal"/>
      <w:lvlText w:val="%1."/>
      <w:lvlJc w:val="left"/>
      <w:pPr>
        <w:ind w:left="64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7BB64869"/>
    <w:multiLevelType w:val="multilevel"/>
    <w:tmpl w:val="6B587ED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33"/>
  </w:num>
  <w:num w:numId="3">
    <w:abstractNumId w:val="9"/>
  </w:num>
  <w:num w:numId="4">
    <w:abstractNumId w:val="36"/>
  </w:num>
  <w:num w:numId="5">
    <w:abstractNumId w:val="29"/>
  </w:num>
  <w:num w:numId="6">
    <w:abstractNumId w:val="10"/>
  </w:num>
  <w:num w:numId="7">
    <w:abstractNumId w:val="14"/>
  </w:num>
  <w:num w:numId="8">
    <w:abstractNumId w:val="28"/>
  </w:num>
  <w:num w:numId="9">
    <w:abstractNumId w:val="22"/>
  </w:num>
  <w:num w:numId="10">
    <w:abstractNumId w:val="23"/>
  </w:num>
  <w:num w:numId="11">
    <w:abstractNumId w:val="11"/>
  </w:num>
  <w:num w:numId="12">
    <w:abstractNumId w:val="25"/>
  </w:num>
  <w:num w:numId="13">
    <w:abstractNumId w:val="4"/>
  </w:num>
  <w:num w:numId="14">
    <w:abstractNumId w:val="6"/>
  </w:num>
  <w:num w:numId="15">
    <w:abstractNumId w:val="34"/>
  </w:num>
  <w:num w:numId="16">
    <w:abstractNumId w:val="20"/>
  </w:num>
  <w:num w:numId="17">
    <w:abstractNumId w:val="21"/>
  </w:num>
  <w:num w:numId="18">
    <w:abstractNumId w:val="24"/>
  </w:num>
  <w:num w:numId="19">
    <w:abstractNumId w:val="18"/>
  </w:num>
  <w:num w:numId="20">
    <w:abstractNumId w:val="3"/>
  </w:num>
  <w:num w:numId="21">
    <w:abstractNumId w:val="8"/>
  </w:num>
  <w:num w:numId="22">
    <w:abstractNumId w:val="2"/>
  </w:num>
  <w:num w:numId="23">
    <w:abstractNumId w:val="17"/>
  </w:num>
  <w:num w:numId="24">
    <w:abstractNumId w:val="12"/>
  </w:num>
  <w:num w:numId="25">
    <w:abstractNumId w:val="15"/>
  </w:num>
  <w:num w:numId="26">
    <w:abstractNumId w:val="13"/>
  </w:num>
  <w:num w:numId="27">
    <w:abstractNumId w:val="5"/>
  </w:num>
  <w:num w:numId="28">
    <w:abstractNumId w:val="31"/>
  </w:num>
  <w:num w:numId="29">
    <w:abstractNumId w:val="0"/>
  </w:num>
  <w:num w:numId="30">
    <w:abstractNumId w:val="27"/>
  </w:num>
  <w:num w:numId="31">
    <w:abstractNumId w:val="30"/>
  </w:num>
  <w:num w:numId="32">
    <w:abstractNumId w:val="35"/>
  </w:num>
  <w:num w:numId="33">
    <w:abstractNumId w:val="19"/>
  </w:num>
  <w:num w:numId="34">
    <w:abstractNumId w:val="7"/>
  </w:num>
  <w:num w:numId="35">
    <w:abstractNumId w:val="1"/>
  </w:num>
  <w:num w:numId="36">
    <w:abstractNumId w:val="32"/>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47047"/>
    <w:rsid w:val="00002352"/>
    <w:rsid w:val="0001007E"/>
    <w:rsid w:val="000105B2"/>
    <w:rsid w:val="00015D7F"/>
    <w:rsid w:val="00016813"/>
    <w:rsid w:val="00017B15"/>
    <w:rsid w:val="000242E4"/>
    <w:rsid w:val="00026B29"/>
    <w:rsid w:val="00027E78"/>
    <w:rsid w:val="000373C5"/>
    <w:rsid w:val="00037445"/>
    <w:rsid w:val="000403FE"/>
    <w:rsid w:val="00041803"/>
    <w:rsid w:val="00041C3D"/>
    <w:rsid w:val="00041EFD"/>
    <w:rsid w:val="00044A50"/>
    <w:rsid w:val="00050945"/>
    <w:rsid w:val="00052AE8"/>
    <w:rsid w:val="000573A3"/>
    <w:rsid w:val="00065685"/>
    <w:rsid w:val="000657A6"/>
    <w:rsid w:val="000765F4"/>
    <w:rsid w:val="000806E5"/>
    <w:rsid w:val="000821FE"/>
    <w:rsid w:val="00085FC0"/>
    <w:rsid w:val="0008727D"/>
    <w:rsid w:val="00087990"/>
    <w:rsid w:val="00094668"/>
    <w:rsid w:val="000A6D9F"/>
    <w:rsid w:val="000A75EA"/>
    <w:rsid w:val="000B0248"/>
    <w:rsid w:val="000B4941"/>
    <w:rsid w:val="000C1A49"/>
    <w:rsid w:val="000D0BAA"/>
    <w:rsid w:val="000E2F42"/>
    <w:rsid w:val="000E3797"/>
    <w:rsid w:val="000E71C8"/>
    <w:rsid w:val="000F27D2"/>
    <w:rsid w:val="000F2EC7"/>
    <w:rsid w:val="000F2F10"/>
    <w:rsid w:val="000F3632"/>
    <w:rsid w:val="000F3B0F"/>
    <w:rsid w:val="000F4699"/>
    <w:rsid w:val="000F49D9"/>
    <w:rsid w:val="000F690F"/>
    <w:rsid w:val="00107B3D"/>
    <w:rsid w:val="00110E56"/>
    <w:rsid w:val="00113ACD"/>
    <w:rsid w:val="0011740D"/>
    <w:rsid w:val="00133CB4"/>
    <w:rsid w:val="001362C8"/>
    <w:rsid w:val="00137BC4"/>
    <w:rsid w:val="00141002"/>
    <w:rsid w:val="00141C7F"/>
    <w:rsid w:val="001463A6"/>
    <w:rsid w:val="001508A3"/>
    <w:rsid w:val="0015792E"/>
    <w:rsid w:val="00160234"/>
    <w:rsid w:val="001609E5"/>
    <w:rsid w:val="00162EF5"/>
    <w:rsid w:val="001636C1"/>
    <w:rsid w:val="00167E56"/>
    <w:rsid w:val="00170DCB"/>
    <w:rsid w:val="001755D8"/>
    <w:rsid w:val="0018330A"/>
    <w:rsid w:val="00190474"/>
    <w:rsid w:val="00193B6D"/>
    <w:rsid w:val="001A0A0C"/>
    <w:rsid w:val="001A0D61"/>
    <w:rsid w:val="001A2DCC"/>
    <w:rsid w:val="001A2E21"/>
    <w:rsid w:val="001A39C6"/>
    <w:rsid w:val="001A43D9"/>
    <w:rsid w:val="001A709F"/>
    <w:rsid w:val="001A7414"/>
    <w:rsid w:val="001B0E6D"/>
    <w:rsid w:val="001B56F8"/>
    <w:rsid w:val="001B7593"/>
    <w:rsid w:val="001B7CB5"/>
    <w:rsid w:val="001C7CA2"/>
    <w:rsid w:val="001E1930"/>
    <w:rsid w:val="001E4897"/>
    <w:rsid w:val="001F2F64"/>
    <w:rsid w:val="001F44DA"/>
    <w:rsid w:val="001F5292"/>
    <w:rsid w:val="001F67AD"/>
    <w:rsid w:val="001F7129"/>
    <w:rsid w:val="002008D7"/>
    <w:rsid w:val="00202DD9"/>
    <w:rsid w:val="002047BB"/>
    <w:rsid w:val="00206017"/>
    <w:rsid w:val="00207B20"/>
    <w:rsid w:val="00220C95"/>
    <w:rsid w:val="0022144D"/>
    <w:rsid w:val="002303D8"/>
    <w:rsid w:val="00237D26"/>
    <w:rsid w:val="00241290"/>
    <w:rsid w:val="002468BF"/>
    <w:rsid w:val="00267359"/>
    <w:rsid w:val="00267941"/>
    <w:rsid w:val="00273572"/>
    <w:rsid w:val="00275E4C"/>
    <w:rsid w:val="00282DFA"/>
    <w:rsid w:val="002861E1"/>
    <w:rsid w:val="002A5FED"/>
    <w:rsid w:val="002B0622"/>
    <w:rsid w:val="002B44ED"/>
    <w:rsid w:val="002D3859"/>
    <w:rsid w:val="002D52B4"/>
    <w:rsid w:val="002D5B11"/>
    <w:rsid w:val="002E2AC0"/>
    <w:rsid w:val="002F50C7"/>
    <w:rsid w:val="002F66BC"/>
    <w:rsid w:val="002F6B17"/>
    <w:rsid w:val="002F738C"/>
    <w:rsid w:val="00301E0D"/>
    <w:rsid w:val="0030315C"/>
    <w:rsid w:val="003041AC"/>
    <w:rsid w:val="003051C1"/>
    <w:rsid w:val="003157C0"/>
    <w:rsid w:val="00320E05"/>
    <w:rsid w:val="00321250"/>
    <w:rsid w:val="00322B81"/>
    <w:rsid w:val="003236E7"/>
    <w:rsid w:val="00333112"/>
    <w:rsid w:val="003365D6"/>
    <w:rsid w:val="00347102"/>
    <w:rsid w:val="00353D11"/>
    <w:rsid w:val="0036073C"/>
    <w:rsid w:val="00365FA8"/>
    <w:rsid w:val="003709E3"/>
    <w:rsid w:val="003712E7"/>
    <w:rsid w:val="00377026"/>
    <w:rsid w:val="00380A34"/>
    <w:rsid w:val="003822C8"/>
    <w:rsid w:val="00383877"/>
    <w:rsid w:val="00384579"/>
    <w:rsid w:val="00385286"/>
    <w:rsid w:val="003864E0"/>
    <w:rsid w:val="00390343"/>
    <w:rsid w:val="00393359"/>
    <w:rsid w:val="003A0C89"/>
    <w:rsid w:val="003A4A29"/>
    <w:rsid w:val="003B049B"/>
    <w:rsid w:val="003B29A4"/>
    <w:rsid w:val="003B7A5D"/>
    <w:rsid w:val="003C48A2"/>
    <w:rsid w:val="003D2916"/>
    <w:rsid w:val="003E3181"/>
    <w:rsid w:val="003E4357"/>
    <w:rsid w:val="003E5309"/>
    <w:rsid w:val="003E7027"/>
    <w:rsid w:val="003F1F38"/>
    <w:rsid w:val="003F3369"/>
    <w:rsid w:val="003F3667"/>
    <w:rsid w:val="003F43C0"/>
    <w:rsid w:val="00403144"/>
    <w:rsid w:val="00404545"/>
    <w:rsid w:val="004048BF"/>
    <w:rsid w:val="00407621"/>
    <w:rsid w:val="004078ED"/>
    <w:rsid w:val="00414C11"/>
    <w:rsid w:val="00421277"/>
    <w:rsid w:val="00422D75"/>
    <w:rsid w:val="004246EC"/>
    <w:rsid w:val="00426203"/>
    <w:rsid w:val="004275B0"/>
    <w:rsid w:val="00427EB0"/>
    <w:rsid w:val="00430704"/>
    <w:rsid w:val="00442706"/>
    <w:rsid w:val="0044518A"/>
    <w:rsid w:val="004479C2"/>
    <w:rsid w:val="00454D02"/>
    <w:rsid w:val="00455D7E"/>
    <w:rsid w:val="004615C6"/>
    <w:rsid w:val="00464919"/>
    <w:rsid w:val="0047012C"/>
    <w:rsid w:val="00471550"/>
    <w:rsid w:val="00474F44"/>
    <w:rsid w:val="004840E7"/>
    <w:rsid w:val="004875DD"/>
    <w:rsid w:val="00495196"/>
    <w:rsid w:val="0049663D"/>
    <w:rsid w:val="004A44E8"/>
    <w:rsid w:val="004B136E"/>
    <w:rsid w:val="004B6DB4"/>
    <w:rsid w:val="004B6FD8"/>
    <w:rsid w:val="004B775B"/>
    <w:rsid w:val="004C0F59"/>
    <w:rsid w:val="004C6D45"/>
    <w:rsid w:val="004D41C6"/>
    <w:rsid w:val="004D58BF"/>
    <w:rsid w:val="004D5F42"/>
    <w:rsid w:val="004E12FB"/>
    <w:rsid w:val="004E190E"/>
    <w:rsid w:val="004E2AA0"/>
    <w:rsid w:val="004E2B2B"/>
    <w:rsid w:val="004E505B"/>
    <w:rsid w:val="004F59DF"/>
    <w:rsid w:val="004F7CE6"/>
    <w:rsid w:val="00501FA6"/>
    <w:rsid w:val="00503D07"/>
    <w:rsid w:val="00506DF7"/>
    <w:rsid w:val="00510E20"/>
    <w:rsid w:val="005153E5"/>
    <w:rsid w:val="00521D09"/>
    <w:rsid w:val="00526CDE"/>
    <w:rsid w:val="005341E5"/>
    <w:rsid w:val="005369E7"/>
    <w:rsid w:val="005418E8"/>
    <w:rsid w:val="00542000"/>
    <w:rsid w:val="00544838"/>
    <w:rsid w:val="005515E8"/>
    <w:rsid w:val="005535B0"/>
    <w:rsid w:val="00556F02"/>
    <w:rsid w:val="005576C1"/>
    <w:rsid w:val="00557DA8"/>
    <w:rsid w:val="00560221"/>
    <w:rsid w:val="00562588"/>
    <w:rsid w:val="005734F3"/>
    <w:rsid w:val="00573575"/>
    <w:rsid w:val="0057512C"/>
    <w:rsid w:val="005803FF"/>
    <w:rsid w:val="005851B6"/>
    <w:rsid w:val="00586D3A"/>
    <w:rsid w:val="0059094D"/>
    <w:rsid w:val="00591203"/>
    <w:rsid w:val="00592449"/>
    <w:rsid w:val="005A06E4"/>
    <w:rsid w:val="005A0C4D"/>
    <w:rsid w:val="005A1725"/>
    <w:rsid w:val="005A32B2"/>
    <w:rsid w:val="005B07C8"/>
    <w:rsid w:val="005B2404"/>
    <w:rsid w:val="005B2DA3"/>
    <w:rsid w:val="005B57E9"/>
    <w:rsid w:val="005C024E"/>
    <w:rsid w:val="005C19CD"/>
    <w:rsid w:val="005C2CEB"/>
    <w:rsid w:val="005C32E4"/>
    <w:rsid w:val="005C55C5"/>
    <w:rsid w:val="005D1289"/>
    <w:rsid w:val="005D25C0"/>
    <w:rsid w:val="005D40F2"/>
    <w:rsid w:val="005D45E1"/>
    <w:rsid w:val="005D7E26"/>
    <w:rsid w:val="005E5A17"/>
    <w:rsid w:val="005F3F4A"/>
    <w:rsid w:val="00603D4F"/>
    <w:rsid w:val="00604AEF"/>
    <w:rsid w:val="00605EC9"/>
    <w:rsid w:val="006100A4"/>
    <w:rsid w:val="00611F10"/>
    <w:rsid w:val="006139F0"/>
    <w:rsid w:val="00624580"/>
    <w:rsid w:val="0062539C"/>
    <w:rsid w:val="00626D59"/>
    <w:rsid w:val="00631F90"/>
    <w:rsid w:val="0063213F"/>
    <w:rsid w:val="0063268F"/>
    <w:rsid w:val="00633BC8"/>
    <w:rsid w:val="00635367"/>
    <w:rsid w:val="0063608C"/>
    <w:rsid w:val="00665D86"/>
    <w:rsid w:val="00670642"/>
    <w:rsid w:val="00676BA4"/>
    <w:rsid w:val="00681126"/>
    <w:rsid w:val="0068196D"/>
    <w:rsid w:val="0068264F"/>
    <w:rsid w:val="00686255"/>
    <w:rsid w:val="00686E95"/>
    <w:rsid w:val="006928C7"/>
    <w:rsid w:val="006A5F59"/>
    <w:rsid w:val="006B1567"/>
    <w:rsid w:val="006B55BC"/>
    <w:rsid w:val="006B61B7"/>
    <w:rsid w:val="006B7D6C"/>
    <w:rsid w:val="006C544A"/>
    <w:rsid w:val="006C7321"/>
    <w:rsid w:val="006D30F4"/>
    <w:rsid w:val="006E2277"/>
    <w:rsid w:val="006E59CD"/>
    <w:rsid w:val="006F25D8"/>
    <w:rsid w:val="006F6C3C"/>
    <w:rsid w:val="007013D3"/>
    <w:rsid w:val="00703CD5"/>
    <w:rsid w:val="007060A1"/>
    <w:rsid w:val="007206C2"/>
    <w:rsid w:val="00722E0B"/>
    <w:rsid w:val="007308D2"/>
    <w:rsid w:val="00735447"/>
    <w:rsid w:val="00735898"/>
    <w:rsid w:val="00741B21"/>
    <w:rsid w:val="007502E7"/>
    <w:rsid w:val="00762E8D"/>
    <w:rsid w:val="007660D8"/>
    <w:rsid w:val="00766281"/>
    <w:rsid w:val="00767270"/>
    <w:rsid w:val="00767467"/>
    <w:rsid w:val="00770A9F"/>
    <w:rsid w:val="00771175"/>
    <w:rsid w:val="00771F5B"/>
    <w:rsid w:val="0078130F"/>
    <w:rsid w:val="00787211"/>
    <w:rsid w:val="0078723A"/>
    <w:rsid w:val="007A0647"/>
    <w:rsid w:val="007A2BA1"/>
    <w:rsid w:val="007A3ECA"/>
    <w:rsid w:val="007A609D"/>
    <w:rsid w:val="007A642E"/>
    <w:rsid w:val="007B2379"/>
    <w:rsid w:val="007B5EE8"/>
    <w:rsid w:val="007C0CDB"/>
    <w:rsid w:val="007C3954"/>
    <w:rsid w:val="007C6D95"/>
    <w:rsid w:val="007C7A35"/>
    <w:rsid w:val="007D2CEE"/>
    <w:rsid w:val="007D46C9"/>
    <w:rsid w:val="007E19D1"/>
    <w:rsid w:val="007F0C91"/>
    <w:rsid w:val="00801899"/>
    <w:rsid w:val="00803F22"/>
    <w:rsid w:val="00804072"/>
    <w:rsid w:val="00806A63"/>
    <w:rsid w:val="00810368"/>
    <w:rsid w:val="008153D9"/>
    <w:rsid w:val="008160E4"/>
    <w:rsid w:val="00820F5D"/>
    <w:rsid w:val="0082111D"/>
    <w:rsid w:val="00824789"/>
    <w:rsid w:val="008263B3"/>
    <w:rsid w:val="00831062"/>
    <w:rsid w:val="00831489"/>
    <w:rsid w:val="008317F4"/>
    <w:rsid w:val="008354F8"/>
    <w:rsid w:val="008400AC"/>
    <w:rsid w:val="008401E3"/>
    <w:rsid w:val="00840FAF"/>
    <w:rsid w:val="008441F4"/>
    <w:rsid w:val="008459D0"/>
    <w:rsid w:val="0086167F"/>
    <w:rsid w:val="0087093D"/>
    <w:rsid w:val="008727CC"/>
    <w:rsid w:val="008750DC"/>
    <w:rsid w:val="00875591"/>
    <w:rsid w:val="008773E8"/>
    <w:rsid w:val="00884720"/>
    <w:rsid w:val="008856DE"/>
    <w:rsid w:val="00886A60"/>
    <w:rsid w:val="00890D8F"/>
    <w:rsid w:val="00892282"/>
    <w:rsid w:val="008959A7"/>
    <w:rsid w:val="008A3C0C"/>
    <w:rsid w:val="008A47CE"/>
    <w:rsid w:val="008B0719"/>
    <w:rsid w:val="008B459E"/>
    <w:rsid w:val="008B46CB"/>
    <w:rsid w:val="008C0F86"/>
    <w:rsid w:val="008C13F1"/>
    <w:rsid w:val="008C2C5E"/>
    <w:rsid w:val="008C4722"/>
    <w:rsid w:val="008C4CB8"/>
    <w:rsid w:val="008D680B"/>
    <w:rsid w:val="008D7310"/>
    <w:rsid w:val="008E4EEB"/>
    <w:rsid w:val="008F2B22"/>
    <w:rsid w:val="008F327D"/>
    <w:rsid w:val="0090391D"/>
    <w:rsid w:val="0091164C"/>
    <w:rsid w:val="00912F28"/>
    <w:rsid w:val="009137FA"/>
    <w:rsid w:val="00916A5C"/>
    <w:rsid w:val="009176AA"/>
    <w:rsid w:val="00917D16"/>
    <w:rsid w:val="00925484"/>
    <w:rsid w:val="0092743D"/>
    <w:rsid w:val="009339A2"/>
    <w:rsid w:val="00941BA8"/>
    <w:rsid w:val="00943B2A"/>
    <w:rsid w:val="00954B43"/>
    <w:rsid w:val="009579C7"/>
    <w:rsid w:val="00960F90"/>
    <w:rsid w:val="0097239F"/>
    <w:rsid w:val="00981B14"/>
    <w:rsid w:val="00982B96"/>
    <w:rsid w:val="00984727"/>
    <w:rsid w:val="00987FCE"/>
    <w:rsid w:val="009942F9"/>
    <w:rsid w:val="00995D30"/>
    <w:rsid w:val="009971C8"/>
    <w:rsid w:val="009A1800"/>
    <w:rsid w:val="009A25F4"/>
    <w:rsid w:val="009A4B70"/>
    <w:rsid w:val="009B1277"/>
    <w:rsid w:val="009B2CC1"/>
    <w:rsid w:val="009C0E27"/>
    <w:rsid w:val="009C3DD3"/>
    <w:rsid w:val="009D2A9B"/>
    <w:rsid w:val="009D7D1A"/>
    <w:rsid w:val="009E3F17"/>
    <w:rsid w:val="009E583D"/>
    <w:rsid w:val="009E6304"/>
    <w:rsid w:val="009E72C1"/>
    <w:rsid w:val="009F1E7F"/>
    <w:rsid w:val="00A0565C"/>
    <w:rsid w:val="00A0750A"/>
    <w:rsid w:val="00A10042"/>
    <w:rsid w:val="00A12EED"/>
    <w:rsid w:val="00A17D6E"/>
    <w:rsid w:val="00A236DF"/>
    <w:rsid w:val="00A2584C"/>
    <w:rsid w:val="00A3671F"/>
    <w:rsid w:val="00A435EB"/>
    <w:rsid w:val="00A44428"/>
    <w:rsid w:val="00A50671"/>
    <w:rsid w:val="00A60103"/>
    <w:rsid w:val="00A640FD"/>
    <w:rsid w:val="00A64FAA"/>
    <w:rsid w:val="00A64FD5"/>
    <w:rsid w:val="00A6721D"/>
    <w:rsid w:val="00A708F7"/>
    <w:rsid w:val="00A724CF"/>
    <w:rsid w:val="00A72637"/>
    <w:rsid w:val="00A73C78"/>
    <w:rsid w:val="00A80342"/>
    <w:rsid w:val="00A82242"/>
    <w:rsid w:val="00A84FE5"/>
    <w:rsid w:val="00A860ED"/>
    <w:rsid w:val="00A86F06"/>
    <w:rsid w:val="00A9187D"/>
    <w:rsid w:val="00A935D3"/>
    <w:rsid w:val="00A93B5E"/>
    <w:rsid w:val="00A94A09"/>
    <w:rsid w:val="00A972C4"/>
    <w:rsid w:val="00AA0567"/>
    <w:rsid w:val="00AA7956"/>
    <w:rsid w:val="00AB1A72"/>
    <w:rsid w:val="00AB5734"/>
    <w:rsid w:val="00AB607E"/>
    <w:rsid w:val="00AB63D4"/>
    <w:rsid w:val="00AC2AE6"/>
    <w:rsid w:val="00AC47AA"/>
    <w:rsid w:val="00AC593D"/>
    <w:rsid w:val="00AC78A3"/>
    <w:rsid w:val="00AD7F90"/>
    <w:rsid w:val="00AF29E3"/>
    <w:rsid w:val="00AF40D1"/>
    <w:rsid w:val="00AF4806"/>
    <w:rsid w:val="00AF7B88"/>
    <w:rsid w:val="00B04A17"/>
    <w:rsid w:val="00B069FA"/>
    <w:rsid w:val="00B074F8"/>
    <w:rsid w:val="00B10A64"/>
    <w:rsid w:val="00B11353"/>
    <w:rsid w:val="00B12C99"/>
    <w:rsid w:val="00B1368E"/>
    <w:rsid w:val="00B138E2"/>
    <w:rsid w:val="00B14695"/>
    <w:rsid w:val="00B223B2"/>
    <w:rsid w:val="00B31725"/>
    <w:rsid w:val="00B33838"/>
    <w:rsid w:val="00B37DCA"/>
    <w:rsid w:val="00B40FD5"/>
    <w:rsid w:val="00B56A5C"/>
    <w:rsid w:val="00B57E80"/>
    <w:rsid w:val="00B729C9"/>
    <w:rsid w:val="00BB50F3"/>
    <w:rsid w:val="00BB7B60"/>
    <w:rsid w:val="00BC77AC"/>
    <w:rsid w:val="00BE1578"/>
    <w:rsid w:val="00BE3ED2"/>
    <w:rsid w:val="00BE59DB"/>
    <w:rsid w:val="00BF0B3D"/>
    <w:rsid w:val="00BF4FDF"/>
    <w:rsid w:val="00C1066D"/>
    <w:rsid w:val="00C13421"/>
    <w:rsid w:val="00C13CCC"/>
    <w:rsid w:val="00C15332"/>
    <w:rsid w:val="00C15AF8"/>
    <w:rsid w:val="00C17211"/>
    <w:rsid w:val="00C23DB2"/>
    <w:rsid w:val="00C2692E"/>
    <w:rsid w:val="00C327C3"/>
    <w:rsid w:val="00C34093"/>
    <w:rsid w:val="00C35110"/>
    <w:rsid w:val="00C35561"/>
    <w:rsid w:val="00C35EE7"/>
    <w:rsid w:val="00C406BA"/>
    <w:rsid w:val="00C447AF"/>
    <w:rsid w:val="00C460F8"/>
    <w:rsid w:val="00C5058D"/>
    <w:rsid w:val="00C50E6E"/>
    <w:rsid w:val="00C510AA"/>
    <w:rsid w:val="00C53FD3"/>
    <w:rsid w:val="00C56437"/>
    <w:rsid w:val="00C6023D"/>
    <w:rsid w:val="00C66726"/>
    <w:rsid w:val="00C670A2"/>
    <w:rsid w:val="00C71C52"/>
    <w:rsid w:val="00C72630"/>
    <w:rsid w:val="00C741D2"/>
    <w:rsid w:val="00C85549"/>
    <w:rsid w:val="00C87734"/>
    <w:rsid w:val="00C9220C"/>
    <w:rsid w:val="00C96C19"/>
    <w:rsid w:val="00CA0FCA"/>
    <w:rsid w:val="00CA10E4"/>
    <w:rsid w:val="00CA7363"/>
    <w:rsid w:val="00CB07B3"/>
    <w:rsid w:val="00CB1844"/>
    <w:rsid w:val="00CB7516"/>
    <w:rsid w:val="00CC0F6C"/>
    <w:rsid w:val="00CC6358"/>
    <w:rsid w:val="00CC7DFE"/>
    <w:rsid w:val="00CD0708"/>
    <w:rsid w:val="00CD689E"/>
    <w:rsid w:val="00CD792A"/>
    <w:rsid w:val="00CE2F1E"/>
    <w:rsid w:val="00CE58E3"/>
    <w:rsid w:val="00CF5B31"/>
    <w:rsid w:val="00D01CF8"/>
    <w:rsid w:val="00D026E7"/>
    <w:rsid w:val="00D03E9B"/>
    <w:rsid w:val="00D10483"/>
    <w:rsid w:val="00D109D6"/>
    <w:rsid w:val="00D21869"/>
    <w:rsid w:val="00D243F0"/>
    <w:rsid w:val="00D314E6"/>
    <w:rsid w:val="00D33775"/>
    <w:rsid w:val="00D34B53"/>
    <w:rsid w:val="00D46552"/>
    <w:rsid w:val="00D47047"/>
    <w:rsid w:val="00D537FD"/>
    <w:rsid w:val="00D60481"/>
    <w:rsid w:val="00D60F84"/>
    <w:rsid w:val="00D62F3D"/>
    <w:rsid w:val="00D64EC1"/>
    <w:rsid w:val="00D66105"/>
    <w:rsid w:val="00D678A5"/>
    <w:rsid w:val="00D713EE"/>
    <w:rsid w:val="00D736D3"/>
    <w:rsid w:val="00D74A6A"/>
    <w:rsid w:val="00D77DBF"/>
    <w:rsid w:val="00D81FC0"/>
    <w:rsid w:val="00D8516C"/>
    <w:rsid w:val="00D915DC"/>
    <w:rsid w:val="00D966F9"/>
    <w:rsid w:val="00D9779A"/>
    <w:rsid w:val="00DA3CDA"/>
    <w:rsid w:val="00DA631D"/>
    <w:rsid w:val="00DC3C76"/>
    <w:rsid w:val="00DC7C8E"/>
    <w:rsid w:val="00DD1429"/>
    <w:rsid w:val="00DD1835"/>
    <w:rsid w:val="00DD5D48"/>
    <w:rsid w:val="00E04F41"/>
    <w:rsid w:val="00E06772"/>
    <w:rsid w:val="00E07D95"/>
    <w:rsid w:val="00E14D0B"/>
    <w:rsid w:val="00E15D3D"/>
    <w:rsid w:val="00E15F91"/>
    <w:rsid w:val="00E21E07"/>
    <w:rsid w:val="00E221F8"/>
    <w:rsid w:val="00E22DCF"/>
    <w:rsid w:val="00E25671"/>
    <w:rsid w:val="00E32532"/>
    <w:rsid w:val="00E33F67"/>
    <w:rsid w:val="00E35E20"/>
    <w:rsid w:val="00E3661D"/>
    <w:rsid w:val="00E400E4"/>
    <w:rsid w:val="00E4233F"/>
    <w:rsid w:val="00E42363"/>
    <w:rsid w:val="00E45DF6"/>
    <w:rsid w:val="00E4679F"/>
    <w:rsid w:val="00E47693"/>
    <w:rsid w:val="00E52C83"/>
    <w:rsid w:val="00E53E78"/>
    <w:rsid w:val="00E54DA8"/>
    <w:rsid w:val="00E55909"/>
    <w:rsid w:val="00E60ED2"/>
    <w:rsid w:val="00E65BE3"/>
    <w:rsid w:val="00E6773F"/>
    <w:rsid w:val="00E749D7"/>
    <w:rsid w:val="00E82EF5"/>
    <w:rsid w:val="00E82F1E"/>
    <w:rsid w:val="00E8387C"/>
    <w:rsid w:val="00E87DE8"/>
    <w:rsid w:val="00E90A29"/>
    <w:rsid w:val="00E910EE"/>
    <w:rsid w:val="00E91326"/>
    <w:rsid w:val="00E9525C"/>
    <w:rsid w:val="00E95C4D"/>
    <w:rsid w:val="00EA053B"/>
    <w:rsid w:val="00EA2115"/>
    <w:rsid w:val="00EA3BD2"/>
    <w:rsid w:val="00EA5CDD"/>
    <w:rsid w:val="00EA77E1"/>
    <w:rsid w:val="00EB06B8"/>
    <w:rsid w:val="00EB2125"/>
    <w:rsid w:val="00EB28D4"/>
    <w:rsid w:val="00EB3475"/>
    <w:rsid w:val="00EB6C39"/>
    <w:rsid w:val="00EB784E"/>
    <w:rsid w:val="00EC011F"/>
    <w:rsid w:val="00EC025A"/>
    <w:rsid w:val="00ED4150"/>
    <w:rsid w:val="00ED507E"/>
    <w:rsid w:val="00EE1A40"/>
    <w:rsid w:val="00EE2F4E"/>
    <w:rsid w:val="00EE3EDF"/>
    <w:rsid w:val="00EE715A"/>
    <w:rsid w:val="00EF2DD6"/>
    <w:rsid w:val="00EF3E25"/>
    <w:rsid w:val="00EF5DB6"/>
    <w:rsid w:val="00EF7909"/>
    <w:rsid w:val="00EF7DBA"/>
    <w:rsid w:val="00F00D3B"/>
    <w:rsid w:val="00F010E3"/>
    <w:rsid w:val="00F1114E"/>
    <w:rsid w:val="00F16E4C"/>
    <w:rsid w:val="00F17337"/>
    <w:rsid w:val="00F255D3"/>
    <w:rsid w:val="00F26CB3"/>
    <w:rsid w:val="00F30DEB"/>
    <w:rsid w:val="00F3111A"/>
    <w:rsid w:val="00F34149"/>
    <w:rsid w:val="00F35078"/>
    <w:rsid w:val="00F40824"/>
    <w:rsid w:val="00F40D80"/>
    <w:rsid w:val="00F429A6"/>
    <w:rsid w:val="00F42AE2"/>
    <w:rsid w:val="00F448B6"/>
    <w:rsid w:val="00F45B80"/>
    <w:rsid w:val="00F507EF"/>
    <w:rsid w:val="00F525E2"/>
    <w:rsid w:val="00F53742"/>
    <w:rsid w:val="00F55DF1"/>
    <w:rsid w:val="00F65589"/>
    <w:rsid w:val="00F70576"/>
    <w:rsid w:val="00F709A0"/>
    <w:rsid w:val="00F7293E"/>
    <w:rsid w:val="00F753A8"/>
    <w:rsid w:val="00F80AC9"/>
    <w:rsid w:val="00F81AD4"/>
    <w:rsid w:val="00F82374"/>
    <w:rsid w:val="00F9629C"/>
    <w:rsid w:val="00F9726F"/>
    <w:rsid w:val="00FB1508"/>
    <w:rsid w:val="00FB537F"/>
    <w:rsid w:val="00FB69BE"/>
    <w:rsid w:val="00FB7034"/>
    <w:rsid w:val="00FC1396"/>
    <w:rsid w:val="00FC2A11"/>
    <w:rsid w:val="00FD10B6"/>
    <w:rsid w:val="00FD1F96"/>
    <w:rsid w:val="00FD44F0"/>
    <w:rsid w:val="00FD482F"/>
    <w:rsid w:val="00FE21F5"/>
    <w:rsid w:val="00FE5DC2"/>
    <w:rsid w:val="00FE6F0D"/>
    <w:rsid w:val="00FF0B2D"/>
    <w:rsid w:val="00FF2296"/>
    <w:rsid w:val="00FF49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allout" idref="#_x0000_s1032"/>
        <o:r id="V:Rule2" type="callout" idref="#_x0000_s1035"/>
        <o:r id="V:Rule3" type="callout" idref="#_x0000_s1037"/>
        <o:r id="V:Rule4" type="callout" idref="#_x0000_s103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35"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Normln">
    <w:name w:val="Normal"/>
    <w:qFormat/>
    <w:rsid w:val="007060A1"/>
    <w:pPr>
      <w:spacing w:line="360" w:lineRule="auto"/>
      <w:jc w:val="both"/>
    </w:pPr>
    <w:rPr>
      <w:rFonts w:ascii="Times New Roman" w:eastAsiaTheme="minorHAnsi" w:hAnsi="Times New Roman" w:cstheme="minorBidi"/>
      <w:sz w:val="24"/>
      <w:szCs w:val="22"/>
      <w:lang w:eastAsia="en-US"/>
    </w:rPr>
  </w:style>
  <w:style w:type="paragraph" w:styleId="Nadpis1">
    <w:name w:val="heading 1"/>
    <w:aliases w:val="t+p část"/>
    <w:basedOn w:val="Normln"/>
    <w:next w:val="Normln"/>
    <w:link w:val="Nadpis1Char"/>
    <w:qFormat/>
    <w:locked/>
    <w:rsid w:val="00320E05"/>
    <w:pPr>
      <w:keepNext/>
      <w:keepLines/>
      <w:numPr>
        <w:numId w:val="1"/>
      </w:numPr>
      <w:spacing w:before="480"/>
      <w:outlineLvl w:val="0"/>
    </w:pPr>
    <w:rPr>
      <w:rFonts w:eastAsiaTheme="majorEastAsia" w:cstheme="majorBidi"/>
      <w:b/>
      <w:bCs/>
      <w:sz w:val="32"/>
      <w:szCs w:val="28"/>
    </w:rPr>
  </w:style>
  <w:style w:type="paragraph" w:styleId="Nadpis2">
    <w:name w:val="heading 2"/>
    <w:basedOn w:val="Normln"/>
    <w:link w:val="Nadpis2Char"/>
    <w:uiPriority w:val="9"/>
    <w:qFormat/>
    <w:rsid w:val="003712E7"/>
    <w:pPr>
      <w:numPr>
        <w:ilvl w:val="1"/>
        <w:numId w:val="1"/>
      </w:numPr>
      <w:spacing w:line="240" w:lineRule="auto"/>
      <w:outlineLvl w:val="1"/>
    </w:pPr>
    <w:rPr>
      <w:rFonts w:eastAsia="Times New Roman"/>
      <w:b/>
      <w:bCs/>
      <w:szCs w:val="21"/>
      <w:lang w:eastAsia="cs-CZ"/>
    </w:rPr>
  </w:style>
  <w:style w:type="paragraph" w:styleId="Nadpis3">
    <w:name w:val="heading 3"/>
    <w:aliases w:val="PODKAPITOLA"/>
    <w:basedOn w:val="Normln"/>
    <w:next w:val="Normln"/>
    <w:link w:val="Nadpis3Char"/>
    <w:unhideWhenUsed/>
    <w:qFormat/>
    <w:locked/>
    <w:rsid w:val="005576C1"/>
    <w:pPr>
      <w:keepNext/>
      <w:keepLines/>
      <w:numPr>
        <w:ilvl w:val="2"/>
        <w:numId w:val="1"/>
      </w:numPr>
      <w:spacing w:before="120" w:after="240"/>
      <w:outlineLvl w:val="2"/>
    </w:pPr>
    <w:rPr>
      <w:rFonts w:eastAsiaTheme="majorEastAsia" w:cstheme="majorBidi"/>
      <w:b/>
      <w:bCs/>
      <w:sz w:val="32"/>
    </w:rPr>
  </w:style>
  <w:style w:type="paragraph" w:styleId="Nadpis4">
    <w:name w:val="heading 4"/>
    <w:aliases w:val="úsek"/>
    <w:basedOn w:val="Normln"/>
    <w:next w:val="Normln"/>
    <w:link w:val="Nadpis4Char"/>
    <w:unhideWhenUsed/>
    <w:qFormat/>
    <w:locked/>
    <w:rsid w:val="005576C1"/>
    <w:pPr>
      <w:keepNext/>
      <w:keepLines/>
      <w:numPr>
        <w:ilvl w:val="3"/>
        <w:numId w:val="1"/>
      </w:numPr>
      <w:spacing w:before="240" w:after="240"/>
      <w:outlineLvl w:val="3"/>
    </w:pPr>
    <w:rPr>
      <w:rFonts w:eastAsiaTheme="majorEastAsia" w:cstheme="majorBidi"/>
      <w:b/>
      <w:bCs/>
      <w:iCs/>
      <w:sz w:val="28"/>
    </w:rPr>
  </w:style>
  <w:style w:type="paragraph" w:styleId="Nadpis5">
    <w:name w:val="heading 5"/>
    <w:aliases w:val="podúsek"/>
    <w:basedOn w:val="Normln"/>
    <w:next w:val="Normln"/>
    <w:link w:val="Nadpis5Char"/>
    <w:unhideWhenUsed/>
    <w:qFormat/>
    <w:locked/>
    <w:rsid w:val="005576C1"/>
    <w:pPr>
      <w:keepNext/>
      <w:keepLines/>
      <w:numPr>
        <w:ilvl w:val="4"/>
        <w:numId w:val="1"/>
      </w:numPr>
      <w:spacing w:before="240" w:after="240"/>
      <w:outlineLvl w:val="4"/>
    </w:pPr>
    <w:rPr>
      <w:rFonts w:eastAsiaTheme="majorEastAsia" w:cstheme="majorBidi"/>
      <w:sz w:val="28"/>
    </w:rPr>
  </w:style>
  <w:style w:type="paragraph" w:styleId="Nadpis6">
    <w:name w:val="heading 6"/>
    <w:aliases w:val="KAPITOLA"/>
    <w:basedOn w:val="Normln"/>
    <w:next w:val="Normln"/>
    <w:link w:val="Nadpis6Char"/>
    <w:unhideWhenUsed/>
    <w:qFormat/>
    <w:locked/>
    <w:rsid w:val="00320E05"/>
    <w:pPr>
      <w:keepNext/>
      <w:keepLines/>
      <w:numPr>
        <w:ilvl w:val="5"/>
        <w:numId w:val="1"/>
      </w:numPr>
      <w:spacing w:before="360" w:after="240"/>
      <w:outlineLvl w:val="5"/>
    </w:pPr>
    <w:rPr>
      <w:rFonts w:eastAsiaTheme="majorEastAsia" w:cstheme="majorBidi"/>
      <w:b/>
      <w:iCs/>
      <w:sz w:val="32"/>
      <w:szCs w:val="24"/>
    </w:rPr>
  </w:style>
  <w:style w:type="paragraph" w:styleId="Nadpis7">
    <w:name w:val="heading 7"/>
    <w:basedOn w:val="Normln"/>
    <w:next w:val="Normln"/>
    <w:link w:val="Nadpis7Char"/>
    <w:semiHidden/>
    <w:unhideWhenUsed/>
    <w:qFormat/>
    <w:locked/>
    <w:rsid w:val="00F45B80"/>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semiHidden/>
    <w:unhideWhenUsed/>
    <w:qFormat/>
    <w:locked/>
    <w:rsid w:val="00F45B80"/>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semiHidden/>
    <w:unhideWhenUsed/>
    <w:qFormat/>
    <w:locked/>
    <w:rsid w:val="00F45B80"/>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3712E7"/>
    <w:rPr>
      <w:rFonts w:ascii="Times New Roman" w:eastAsia="Times New Roman" w:hAnsi="Times New Roman" w:cstheme="minorBidi"/>
      <w:b/>
      <w:bCs/>
      <w:sz w:val="24"/>
      <w:szCs w:val="21"/>
    </w:rPr>
  </w:style>
  <w:style w:type="paragraph" w:styleId="Odstavecseseznamem">
    <w:name w:val="List Paragraph"/>
    <w:basedOn w:val="Normln"/>
    <w:uiPriority w:val="34"/>
    <w:qFormat/>
    <w:rsid w:val="00DA3CDA"/>
    <w:pPr>
      <w:ind w:left="720"/>
      <w:contextualSpacing/>
    </w:pPr>
  </w:style>
  <w:style w:type="paragraph" w:styleId="Vrazncitt">
    <w:name w:val="Intense Quote"/>
    <w:basedOn w:val="Normln"/>
    <w:next w:val="Normln"/>
    <w:link w:val="VrazncittChar"/>
    <w:uiPriority w:val="99"/>
    <w:qFormat/>
    <w:rsid w:val="00DA3CDA"/>
    <w:pPr>
      <w:pBdr>
        <w:bottom w:val="single" w:sz="4" w:space="4" w:color="4F81BD"/>
      </w:pBdr>
      <w:spacing w:before="200" w:after="280"/>
      <w:ind w:left="936" w:right="936"/>
    </w:pPr>
    <w:rPr>
      <w:b/>
      <w:bCs/>
      <w:i/>
      <w:iCs/>
      <w:color w:val="4F81BD"/>
      <w:sz w:val="20"/>
      <w:szCs w:val="20"/>
      <w:lang w:eastAsia="cs-CZ"/>
    </w:rPr>
  </w:style>
  <w:style w:type="character" w:customStyle="1" w:styleId="VrazncittChar">
    <w:name w:val="Výrazný citát Char"/>
    <w:basedOn w:val="Standardnpsmoodstavce"/>
    <w:link w:val="Vrazncitt"/>
    <w:uiPriority w:val="99"/>
    <w:rsid w:val="00DA3CDA"/>
    <w:rPr>
      <w:rFonts w:cs="Times New Roman"/>
      <w:b/>
      <w:bCs/>
      <w:i/>
      <w:iCs/>
      <w:color w:val="4F81BD"/>
    </w:rPr>
  </w:style>
  <w:style w:type="character" w:styleId="Odkazjemn">
    <w:name w:val="Subtle Reference"/>
    <w:basedOn w:val="Standardnpsmoodstavce"/>
    <w:uiPriority w:val="99"/>
    <w:qFormat/>
    <w:rsid w:val="00DA3CDA"/>
    <w:rPr>
      <w:rFonts w:cs="Times New Roman"/>
      <w:smallCaps/>
      <w:color w:val="C0504D"/>
      <w:u w:val="single"/>
    </w:rPr>
  </w:style>
  <w:style w:type="character" w:styleId="Odkazintenzivn">
    <w:name w:val="Intense Reference"/>
    <w:basedOn w:val="Standardnpsmoodstavce"/>
    <w:uiPriority w:val="99"/>
    <w:qFormat/>
    <w:rsid w:val="00DA3CDA"/>
    <w:rPr>
      <w:rFonts w:cs="Times New Roman"/>
      <w:b/>
      <w:bCs/>
      <w:smallCaps/>
      <w:color w:val="C0504D"/>
      <w:spacing w:val="5"/>
      <w:u w:val="single"/>
    </w:rPr>
  </w:style>
  <w:style w:type="character" w:styleId="Nzevknihy">
    <w:name w:val="Book Title"/>
    <w:basedOn w:val="Standardnpsmoodstavce"/>
    <w:uiPriority w:val="99"/>
    <w:qFormat/>
    <w:rsid w:val="00DA3CDA"/>
    <w:rPr>
      <w:rFonts w:cs="Times New Roman"/>
      <w:b/>
      <w:bCs/>
      <w:smallCaps/>
      <w:spacing w:val="5"/>
    </w:rPr>
  </w:style>
  <w:style w:type="paragraph" w:styleId="Textpoznpodarou">
    <w:name w:val="footnote text"/>
    <w:basedOn w:val="Normln"/>
    <w:link w:val="TextpoznpodarouChar"/>
    <w:uiPriority w:val="99"/>
    <w:semiHidden/>
    <w:unhideWhenUsed/>
    <w:rsid w:val="00D47047"/>
    <w:pPr>
      <w:spacing w:line="240" w:lineRule="auto"/>
    </w:pPr>
    <w:rPr>
      <w:sz w:val="20"/>
      <w:szCs w:val="20"/>
    </w:rPr>
  </w:style>
  <w:style w:type="character" w:customStyle="1" w:styleId="TextpoznpodarouChar">
    <w:name w:val="Text pozn. pod čarou Char"/>
    <w:basedOn w:val="Standardnpsmoodstavce"/>
    <w:link w:val="Textpoznpodarou"/>
    <w:uiPriority w:val="99"/>
    <w:semiHidden/>
    <w:rsid w:val="00D47047"/>
    <w:rPr>
      <w:rFonts w:asciiTheme="minorHAnsi" w:eastAsiaTheme="minorHAnsi" w:hAnsiTheme="minorHAnsi" w:cstheme="minorBidi"/>
      <w:lang w:eastAsia="en-US"/>
    </w:rPr>
  </w:style>
  <w:style w:type="character" w:styleId="Znakapoznpodarou">
    <w:name w:val="footnote reference"/>
    <w:basedOn w:val="Standardnpsmoodstavce"/>
    <w:uiPriority w:val="99"/>
    <w:semiHidden/>
    <w:unhideWhenUsed/>
    <w:rsid w:val="00D47047"/>
    <w:rPr>
      <w:vertAlign w:val="superscript"/>
    </w:rPr>
  </w:style>
  <w:style w:type="character" w:customStyle="1" w:styleId="apple-converted-space">
    <w:name w:val="apple-converted-space"/>
    <w:basedOn w:val="Standardnpsmoodstavce"/>
    <w:rsid w:val="00D47047"/>
  </w:style>
  <w:style w:type="character" w:customStyle="1" w:styleId="Nadpis3Char">
    <w:name w:val="Nadpis 3 Char"/>
    <w:aliases w:val="PODKAPITOLA Char"/>
    <w:basedOn w:val="Standardnpsmoodstavce"/>
    <w:link w:val="Nadpis3"/>
    <w:rsid w:val="005576C1"/>
    <w:rPr>
      <w:rFonts w:ascii="Times New Roman" w:eastAsiaTheme="majorEastAsia" w:hAnsi="Times New Roman" w:cstheme="majorBidi"/>
      <w:b/>
      <w:bCs/>
      <w:sz w:val="32"/>
      <w:szCs w:val="22"/>
      <w:lang w:eastAsia="en-US"/>
    </w:rPr>
  </w:style>
  <w:style w:type="character" w:customStyle="1" w:styleId="Nadpis1Char">
    <w:name w:val="Nadpis 1 Char"/>
    <w:aliases w:val="t+p část Char"/>
    <w:basedOn w:val="Standardnpsmoodstavce"/>
    <w:link w:val="Nadpis1"/>
    <w:rsid w:val="00320E05"/>
    <w:rPr>
      <w:rFonts w:ascii="Times New Roman" w:eastAsiaTheme="majorEastAsia" w:hAnsi="Times New Roman" w:cstheme="majorBidi"/>
      <w:b/>
      <w:bCs/>
      <w:sz w:val="32"/>
      <w:szCs w:val="28"/>
      <w:lang w:eastAsia="en-US"/>
    </w:rPr>
  </w:style>
  <w:style w:type="character" w:customStyle="1" w:styleId="Nadpis4Char">
    <w:name w:val="Nadpis 4 Char"/>
    <w:aliases w:val="úsek Char"/>
    <w:basedOn w:val="Standardnpsmoodstavce"/>
    <w:link w:val="Nadpis4"/>
    <w:rsid w:val="005576C1"/>
    <w:rPr>
      <w:rFonts w:ascii="Times New Roman" w:eastAsiaTheme="majorEastAsia" w:hAnsi="Times New Roman" w:cstheme="majorBidi"/>
      <w:b/>
      <w:bCs/>
      <w:iCs/>
      <w:sz w:val="28"/>
      <w:szCs w:val="22"/>
      <w:lang w:eastAsia="en-US"/>
    </w:rPr>
  </w:style>
  <w:style w:type="character" w:customStyle="1" w:styleId="Nadpis5Char">
    <w:name w:val="Nadpis 5 Char"/>
    <w:aliases w:val="podúsek Char"/>
    <w:basedOn w:val="Standardnpsmoodstavce"/>
    <w:link w:val="Nadpis5"/>
    <w:rsid w:val="005576C1"/>
    <w:rPr>
      <w:rFonts w:ascii="Times New Roman" w:eastAsiaTheme="majorEastAsia" w:hAnsi="Times New Roman" w:cstheme="majorBidi"/>
      <w:sz w:val="28"/>
      <w:szCs w:val="22"/>
      <w:lang w:eastAsia="en-US"/>
    </w:rPr>
  </w:style>
  <w:style w:type="character" w:customStyle="1" w:styleId="Nadpis6Char">
    <w:name w:val="Nadpis 6 Char"/>
    <w:aliases w:val="KAPITOLA Char"/>
    <w:basedOn w:val="Standardnpsmoodstavce"/>
    <w:link w:val="Nadpis6"/>
    <w:rsid w:val="00320E05"/>
    <w:rPr>
      <w:rFonts w:ascii="Times New Roman" w:eastAsiaTheme="majorEastAsia" w:hAnsi="Times New Roman" w:cstheme="majorBidi"/>
      <w:b/>
      <w:iCs/>
      <w:sz w:val="32"/>
      <w:szCs w:val="24"/>
      <w:lang w:eastAsia="en-US"/>
    </w:rPr>
  </w:style>
  <w:style w:type="character" w:customStyle="1" w:styleId="Nadpis7Char">
    <w:name w:val="Nadpis 7 Char"/>
    <w:basedOn w:val="Standardnpsmoodstavce"/>
    <w:link w:val="Nadpis7"/>
    <w:semiHidden/>
    <w:rsid w:val="00F45B80"/>
    <w:rPr>
      <w:rFonts w:asciiTheme="majorHAnsi" w:eastAsiaTheme="majorEastAsia" w:hAnsiTheme="majorHAnsi" w:cstheme="majorBidi"/>
      <w:i/>
      <w:iCs/>
      <w:color w:val="404040" w:themeColor="text1" w:themeTint="BF"/>
      <w:sz w:val="22"/>
      <w:szCs w:val="22"/>
      <w:lang w:eastAsia="en-US"/>
    </w:rPr>
  </w:style>
  <w:style w:type="character" w:customStyle="1" w:styleId="Nadpis8Char">
    <w:name w:val="Nadpis 8 Char"/>
    <w:basedOn w:val="Standardnpsmoodstavce"/>
    <w:link w:val="Nadpis8"/>
    <w:semiHidden/>
    <w:rsid w:val="00F45B80"/>
    <w:rPr>
      <w:rFonts w:asciiTheme="majorHAnsi" w:eastAsiaTheme="majorEastAsia" w:hAnsiTheme="majorHAnsi" w:cstheme="majorBidi"/>
      <w:color w:val="404040" w:themeColor="text1" w:themeTint="BF"/>
      <w:lang w:eastAsia="en-US"/>
    </w:rPr>
  </w:style>
  <w:style w:type="character" w:customStyle="1" w:styleId="Nadpis9Char">
    <w:name w:val="Nadpis 9 Char"/>
    <w:basedOn w:val="Standardnpsmoodstavce"/>
    <w:link w:val="Nadpis9"/>
    <w:semiHidden/>
    <w:rsid w:val="00F45B80"/>
    <w:rPr>
      <w:rFonts w:asciiTheme="majorHAnsi" w:eastAsiaTheme="majorEastAsia" w:hAnsiTheme="majorHAnsi" w:cstheme="majorBidi"/>
      <w:i/>
      <w:iCs/>
      <w:color w:val="404040" w:themeColor="text1" w:themeTint="BF"/>
      <w:lang w:eastAsia="en-US"/>
    </w:rPr>
  </w:style>
  <w:style w:type="character" w:styleId="Hypertextovodkaz">
    <w:name w:val="Hyperlink"/>
    <w:basedOn w:val="Standardnpsmoodstavce"/>
    <w:uiPriority w:val="99"/>
    <w:unhideWhenUsed/>
    <w:rsid w:val="00206017"/>
    <w:rPr>
      <w:color w:val="0000FF" w:themeColor="hyperlink"/>
      <w:u w:val="single"/>
    </w:rPr>
  </w:style>
  <w:style w:type="paragraph" w:styleId="FormtovanvHTML">
    <w:name w:val="HTML Preformatted"/>
    <w:basedOn w:val="Normln"/>
    <w:link w:val="FormtovanvHTMLChar"/>
    <w:uiPriority w:val="99"/>
    <w:unhideWhenUsed/>
    <w:rsid w:val="00206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rsid w:val="00206017"/>
    <w:rPr>
      <w:rFonts w:ascii="Courier New" w:eastAsia="Times New Roman" w:hAnsi="Courier New" w:cs="Courier New"/>
    </w:rPr>
  </w:style>
  <w:style w:type="table" w:styleId="Svtlmkazvraznn3">
    <w:name w:val="Light Grid Accent 3"/>
    <w:basedOn w:val="Normlntabulka"/>
    <w:uiPriority w:val="62"/>
    <w:rsid w:val="005341E5"/>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Mkatabulky">
    <w:name w:val="Table Grid"/>
    <w:basedOn w:val="Normlntabulka"/>
    <w:uiPriority w:val="59"/>
    <w:rsid w:val="002E2A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C47AA"/>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C47AA"/>
    <w:rPr>
      <w:rFonts w:ascii="Tahoma" w:eastAsiaTheme="minorHAnsi" w:hAnsi="Tahoma" w:cs="Tahoma"/>
      <w:sz w:val="16"/>
      <w:szCs w:val="16"/>
      <w:lang w:eastAsia="en-US"/>
    </w:rPr>
  </w:style>
  <w:style w:type="paragraph" w:styleId="Podtitul">
    <w:name w:val="Subtitle"/>
    <w:basedOn w:val="Normln"/>
    <w:next w:val="Normln"/>
    <w:link w:val="PodtitulChar"/>
    <w:qFormat/>
    <w:locked/>
    <w:rsid w:val="00320E05"/>
    <w:pPr>
      <w:numPr>
        <w:ilvl w:val="1"/>
      </w:numPr>
      <w:spacing w:before="240" w:after="360"/>
    </w:pPr>
    <w:rPr>
      <w:rFonts w:eastAsiaTheme="majorEastAsia" w:cstheme="majorBidi"/>
      <w:b/>
      <w:iCs/>
      <w:spacing w:val="15"/>
      <w:sz w:val="32"/>
      <w:szCs w:val="24"/>
    </w:rPr>
  </w:style>
  <w:style w:type="character" w:customStyle="1" w:styleId="PodtitulChar">
    <w:name w:val="Podtitul Char"/>
    <w:basedOn w:val="Standardnpsmoodstavce"/>
    <w:link w:val="Podtitul"/>
    <w:rsid w:val="00320E05"/>
    <w:rPr>
      <w:rFonts w:ascii="Times New Roman" w:eastAsiaTheme="majorEastAsia" w:hAnsi="Times New Roman" w:cstheme="majorBidi"/>
      <w:b/>
      <w:iCs/>
      <w:spacing w:val="15"/>
      <w:sz w:val="32"/>
      <w:szCs w:val="24"/>
      <w:lang w:eastAsia="en-US"/>
    </w:rPr>
  </w:style>
  <w:style w:type="paragraph" w:styleId="Nadpisobsahu">
    <w:name w:val="TOC Heading"/>
    <w:basedOn w:val="Nadpis1"/>
    <w:next w:val="Normln"/>
    <w:uiPriority w:val="39"/>
    <w:unhideWhenUsed/>
    <w:qFormat/>
    <w:rsid w:val="00AB607E"/>
    <w:pPr>
      <w:numPr>
        <w:numId w:val="0"/>
      </w:numPr>
      <w:spacing w:line="276" w:lineRule="auto"/>
      <w:jc w:val="left"/>
      <w:outlineLvl w:val="9"/>
    </w:pPr>
    <w:rPr>
      <w:rFonts w:asciiTheme="majorHAnsi" w:hAnsiTheme="majorHAnsi"/>
      <w:color w:val="365F91" w:themeColor="accent1" w:themeShade="BF"/>
      <w:sz w:val="28"/>
    </w:rPr>
  </w:style>
  <w:style w:type="paragraph" w:styleId="Obsah3">
    <w:name w:val="toc 3"/>
    <w:basedOn w:val="Normln"/>
    <w:next w:val="Normln"/>
    <w:autoRedefine/>
    <w:uiPriority w:val="39"/>
    <w:unhideWhenUsed/>
    <w:qFormat/>
    <w:rsid w:val="003D2916"/>
    <w:pPr>
      <w:tabs>
        <w:tab w:val="right" w:leader="dot" w:pos="8664"/>
      </w:tabs>
      <w:ind w:left="482"/>
    </w:pPr>
    <w:rPr>
      <w:b/>
      <w:noProof/>
    </w:rPr>
  </w:style>
  <w:style w:type="paragraph" w:styleId="Obsah2">
    <w:name w:val="toc 2"/>
    <w:basedOn w:val="Normln"/>
    <w:next w:val="Normln"/>
    <w:autoRedefine/>
    <w:uiPriority w:val="39"/>
    <w:semiHidden/>
    <w:unhideWhenUsed/>
    <w:qFormat/>
    <w:rsid w:val="00A12EED"/>
    <w:pPr>
      <w:spacing w:after="100" w:line="276" w:lineRule="auto"/>
      <w:ind w:left="220"/>
      <w:jc w:val="left"/>
    </w:pPr>
    <w:rPr>
      <w:rFonts w:asciiTheme="minorHAnsi" w:eastAsiaTheme="minorEastAsia" w:hAnsiTheme="minorHAnsi"/>
      <w:sz w:val="22"/>
    </w:rPr>
  </w:style>
  <w:style w:type="paragraph" w:styleId="Obsah1">
    <w:name w:val="toc 1"/>
    <w:basedOn w:val="Normln"/>
    <w:next w:val="Normln"/>
    <w:autoRedefine/>
    <w:uiPriority w:val="39"/>
    <w:unhideWhenUsed/>
    <w:qFormat/>
    <w:rsid w:val="00320E05"/>
    <w:pPr>
      <w:tabs>
        <w:tab w:val="right" w:leader="dot" w:pos="8664"/>
      </w:tabs>
      <w:spacing w:after="100" w:line="276" w:lineRule="auto"/>
    </w:pPr>
    <w:rPr>
      <w:rFonts w:eastAsiaTheme="minorEastAsia" w:cs="Times New Roman"/>
      <w:b/>
      <w:noProof/>
      <w:sz w:val="28"/>
      <w:szCs w:val="28"/>
    </w:rPr>
  </w:style>
  <w:style w:type="paragraph" w:styleId="Obsah4">
    <w:name w:val="toc 4"/>
    <w:basedOn w:val="Normln"/>
    <w:next w:val="Normln"/>
    <w:autoRedefine/>
    <w:uiPriority w:val="39"/>
    <w:unhideWhenUsed/>
    <w:rsid w:val="003D2916"/>
    <w:pPr>
      <w:tabs>
        <w:tab w:val="right" w:leader="dot" w:pos="8664"/>
      </w:tabs>
      <w:spacing w:after="100" w:line="240" w:lineRule="auto"/>
      <w:ind w:left="720"/>
    </w:pPr>
  </w:style>
  <w:style w:type="paragraph" w:styleId="Obsah5">
    <w:name w:val="toc 5"/>
    <w:basedOn w:val="Normln"/>
    <w:next w:val="Normln"/>
    <w:autoRedefine/>
    <w:uiPriority w:val="39"/>
    <w:unhideWhenUsed/>
    <w:rsid w:val="00A12EED"/>
    <w:pPr>
      <w:spacing w:after="100"/>
      <w:ind w:left="960"/>
    </w:pPr>
  </w:style>
  <w:style w:type="paragraph" w:styleId="Zhlav">
    <w:name w:val="header"/>
    <w:basedOn w:val="Normln"/>
    <w:link w:val="ZhlavChar"/>
    <w:uiPriority w:val="99"/>
    <w:unhideWhenUsed/>
    <w:rsid w:val="00A12EED"/>
    <w:pPr>
      <w:tabs>
        <w:tab w:val="center" w:pos="4536"/>
        <w:tab w:val="right" w:pos="9072"/>
      </w:tabs>
      <w:spacing w:line="240" w:lineRule="auto"/>
    </w:pPr>
  </w:style>
  <w:style w:type="character" w:customStyle="1" w:styleId="ZhlavChar">
    <w:name w:val="Záhlaví Char"/>
    <w:basedOn w:val="Standardnpsmoodstavce"/>
    <w:link w:val="Zhlav"/>
    <w:uiPriority w:val="99"/>
    <w:rsid w:val="00A12EED"/>
    <w:rPr>
      <w:rFonts w:ascii="Times New Roman" w:eastAsiaTheme="minorHAnsi" w:hAnsi="Times New Roman" w:cstheme="minorBidi"/>
      <w:sz w:val="24"/>
      <w:szCs w:val="22"/>
      <w:lang w:eastAsia="en-US"/>
    </w:rPr>
  </w:style>
  <w:style w:type="paragraph" w:styleId="Zpat">
    <w:name w:val="footer"/>
    <w:basedOn w:val="Normln"/>
    <w:link w:val="ZpatChar"/>
    <w:uiPriority w:val="99"/>
    <w:unhideWhenUsed/>
    <w:rsid w:val="00A12EED"/>
    <w:pPr>
      <w:tabs>
        <w:tab w:val="center" w:pos="4536"/>
        <w:tab w:val="right" w:pos="9072"/>
      </w:tabs>
      <w:spacing w:line="240" w:lineRule="auto"/>
    </w:pPr>
  </w:style>
  <w:style w:type="character" w:customStyle="1" w:styleId="ZpatChar">
    <w:name w:val="Zápatí Char"/>
    <w:basedOn w:val="Standardnpsmoodstavce"/>
    <w:link w:val="Zpat"/>
    <w:uiPriority w:val="99"/>
    <w:rsid w:val="00A12EED"/>
    <w:rPr>
      <w:rFonts w:ascii="Times New Roman" w:eastAsiaTheme="minorHAnsi" w:hAnsi="Times New Roman" w:cstheme="minorBidi"/>
      <w:sz w:val="24"/>
      <w:szCs w:val="22"/>
      <w:lang w:eastAsia="en-US"/>
    </w:rPr>
  </w:style>
  <w:style w:type="paragraph" w:styleId="Obsah6">
    <w:name w:val="toc 6"/>
    <w:basedOn w:val="Normln"/>
    <w:next w:val="Normln"/>
    <w:autoRedefine/>
    <w:uiPriority w:val="39"/>
    <w:unhideWhenUsed/>
    <w:rsid w:val="00320E05"/>
    <w:pPr>
      <w:tabs>
        <w:tab w:val="right" w:leader="dot" w:pos="8664"/>
      </w:tabs>
      <w:spacing w:after="100"/>
    </w:pPr>
    <w:rPr>
      <w:rFonts w:cs="Times New Roman"/>
      <w:b/>
      <w:noProof/>
      <w:szCs w:val="24"/>
    </w:rPr>
  </w:style>
  <w:style w:type="character" w:styleId="Odkaznakoment">
    <w:name w:val="annotation reference"/>
    <w:basedOn w:val="Standardnpsmoodstavce"/>
    <w:uiPriority w:val="99"/>
    <w:semiHidden/>
    <w:unhideWhenUsed/>
    <w:rsid w:val="002F50C7"/>
    <w:rPr>
      <w:sz w:val="16"/>
      <w:szCs w:val="16"/>
    </w:rPr>
  </w:style>
  <w:style w:type="paragraph" w:styleId="Textkomente">
    <w:name w:val="annotation text"/>
    <w:basedOn w:val="Normln"/>
    <w:link w:val="TextkomenteChar"/>
    <w:uiPriority w:val="99"/>
    <w:semiHidden/>
    <w:unhideWhenUsed/>
    <w:rsid w:val="002F50C7"/>
    <w:pPr>
      <w:spacing w:line="240" w:lineRule="auto"/>
    </w:pPr>
    <w:rPr>
      <w:sz w:val="20"/>
      <w:szCs w:val="20"/>
    </w:rPr>
  </w:style>
  <w:style w:type="character" w:customStyle="1" w:styleId="TextkomenteChar">
    <w:name w:val="Text komentáře Char"/>
    <w:basedOn w:val="Standardnpsmoodstavce"/>
    <w:link w:val="Textkomente"/>
    <w:uiPriority w:val="99"/>
    <w:semiHidden/>
    <w:rsid w:val="002F50C7"/>
    <w:rPr>
      <w:rFonts w:ascii="Times New Roman" w:eastAsiaTheme="minorHAnsi" w:hAnsi="Times New Roman" w:cstheme="minorBidi"/>
      <w:lang w:eastAsia="en-US"/>
    </w:rPr>
  </w:style>
  <w:style w:type="paragraph" w:styleId="Pedmtkomente">
    <w:name w:val="annotation subject"/>
    <w:basedOn w:val="Textkomente"/>
    <w:next w:val="Textkomente"/>
    <w:link w:val="PedmtkomenteChar"/>
    <w:uiPriority w:val="99"/>
    <w:semiHidden/>
    <w:unhideWhenUsed/>
    <w:rsid w:val="002F50C7"/>
    <w:rPr>
      <w:b/>
      <w:bCs/>
    </w:rPr>
  </w:style>
  <w:style w:type="character" w:customStyle="1" w:styleId="PedmtkomenteChar">
    <w:name w:val="Předmět komentáře Char"/>
    <w:basedOn w:val="TextkomenteChar"/>
    <w:link w:val="Pedmtkomente"/>
    <w:uiPriority w:val="99"/>
    <w:semiHidden/>
    <w:rsid w:val="002F50C7"/>
    <w:rPr>
      <w:rFonts w:ascii="Times New Roman" w:eastAsiaTheme="minorHAnsi" w:hAnsi="Times New Roman" w:cstheme="minorBidi"/>
      <w:b/>
      <w:bCs/>
      <w:lang w:eastAsia="en-US"/>
    </w:rPr>
  </w:style>
  <w:style w:type="paragraph" w:styleId="Titulek">
    <w:name w:val="caption"/>
    <w:basedOn w:val="Normln"/>
    <w:next w:val="Normln"/>
    <w:uiPriority w:val="35"/>
    <w:semiHidden/>
    <w:unhideWhenUsed/>
    <w:qFormat/>
    <w:locked/>
    <w:rsid w:val="002D3859"/>
    <w:pPr>
      <w:spacing w:after="200" w:line="240" w:lineRule="auto"/>
      <w:jc w:val="left"/>
    </w:pPr>
    <w:rPr>
      <w:b/>
      <w:bCs/>
      <w:color w:val="4F81BD" w:themeColor="accent1"/>
      <w:sz w:val="18"/>
      <w:szCs w:val="18"/>
    </w:rPr>
  </w:style>
  <w:style w:type="table" w:customStyle="1" w:styleId="Mkatabulky1">
    <w:name w:val="Mřížka tabulky1"/>
    <w:basedOn w:val="Normlntabulka"/>
    <w:next w:val="Mkatabulky"/>
    <w:uiPriority w:val="59"/>
    <w:rsid w:val="00B14695"/>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29871">
      <w:bodyDiv w:val="1"/>
      <w:marLeft w:val="0"/>
      <w:marRight w:val="0"/>
      <w:marTop w:val="0"/>
      <w:marBottom w:val="0"/>
      <w:divBdr>
        <w:top w:val="none" w:sz="0" w:space="0" w:color="auto"/>
        <w:left w:val="none" w:sz="0" w:space="0" w:color="auto"/>
        <w:bottom w:val="none" w:sz="0" w:space="0" w:color="auto"/>
        <w:right w:val="none" w:sz="0" w:space="0" w:color="auto"/>
      </w:divBdr>
    </w:div>
    <w:div w:id="128062309">
      <w:bodyDiv w:val="1"/>
      <w:marLeft w:val="0"/>
      <w:marRight w:val="0"/>
      <w:marTop w:val="0"/>
      <w:marBottom w:val="0"/>
      <w:divBdr>
        <w:top w:val="none" w:sz="0" w:space="0" w:color="auto"/>
        <w:left w:val="none" w:sz="0" w:space="0" w:color="auto"/>
        <w:bottom w:val="none" w:sz="0" w:space="0" w:color="auto"/>
        <w:right w:val="none" w:sz="0" w:space="0" w:color="auto"/>
      </w:divBdr>
    </w:div>
    <w:div w:id="241065977">
      <w:bodyDiv w:val="1"/>
      <w:marLeft w:val="0"/>
      <w:marRight w:val="0"/>
      <w:marTop w:val="0"/>
      <w:marBottom w:val="0"/>
      <w:divBdr>
        <w:top w:val="none" w:sz="0" w:space="0" w:color="auto"/>
        <w:left w:val="none" w:sz="0" w:space="0" w:color="auto"/>
        <w:bottom w:val="none" w:sz="0" w:space="0" w:color="auto"/>
        <w:right w:val="none" w:sz="0" w:space="0" w:color="auto"/>
      </w:divBdr>
    </w:div>
    <w:div w:id="425006629">
      <w:bodyDiv w:val="1"/>
      <w:marLeft w:val="0"/>
      <w:marRight w:val="0"/>
      <w:marTop w:val="0"/>
      <w:marBottom w:val="0"/>
      <w:divBdr>
        <w:top w:val="none" w:sz="0" w:space="0" w:color="auto"/>
        <w:left w:val="none" w:sz="0" w:space="0" w:color="auto"/>
        <w:bottom w:val="none" w:sz="0" w:space="0" w:color="auto"/>
        <w:right w:val="none" w:sz="0" w:space="0" w:color="auto"/>
      </w:divBdr>
    </w:div>
    <w:div w:id="446852065">
      <w:bodyDiv w:val="1"/>
      <w:marLeft w:val="0"/>
      <w:marRight w:val="0"/>
      <w:marTop w:val="0"/>
      <w:marBottom w:val="0"/>
      <w:divBdr>
        <w:top w:val="none" w:sz="0" w:space="0" w:color="auto"/>
        <w:left w:val="none" w:sz="0" w:space="0" w:color="auto"/>
        <w:bottom w:val="none" w:sz="0" w:space="0" w:color="auto"/>
        <w:right w:val="none" w:sz="0" w:space="0" w:color="auto"/>
      </w:divBdr>
    </w:div>
    <w:div w:id="449862978">
      <w:bodyDiv w:val="1"/>
      <w:marLeft w:val="0"/>
      <w:marRight w:val="0"/>
      <w:marTop w:val="0"/>
      <w:marBottom w:val="0"/>
      <w:divBdr>
        <w:top w:val="none" w:sz="0" w:space="0" w:color="auto"/>
        <w:left w:val="none" w:sz="0" w:space="0" w:color="auto"/>
        <w:bottom w:val="none" w:sz="0" w:space="0" w:color="auto"/>
        <w:right w:val="none" w:sz="0" w:space="0" w:color="auto"/>
      </w:divBdr>
    </w:div>
    <w:div w:id="559293543">
      <w:bodyDiv w:val="1"/>
      <w:marLeft w:val="0"/>
      <w:marRight w:val="0"/>
      <w:marTop w:val="0"/>
      <w:marBottom w:val="0"/>
      <w:divBdr>
        <w:top w:val="none" w:sz="0" w:space="0" w:color="auto"/>
        <w:left w:val="none" w:sz="0" w:space="0" w:color="auto"/>
        <w:bottom w:val="none" w:sz="0" w:space="0" w:color="auto"/>
        <w:right w:val="none" w:sz="0" w:space="0" w:color="auto"/>
      </w:divBdr>
    </w:div>
    <w:div w:id="561139742">
      <w:bodyDiv w:val="1"/>
      <w:marLeft w:val="0"/>
      <w:marRight w:val="0"/>
      <w:marTop w:val="0"/>
      <w:marBottom w:val="0"/>
      <w:divBdr>
        <w:top w:val="none" w:sz="0" w:space="0" w:color="auto"/>
        <w:left w:val="none" w:sz="0" w:space="0" w:color="auto"/>
        <w:bottom w:val="none" w:sz="0" w:space="0" w:color="auto"/>
        <w:right w:val="none" w:sz="0" w:space="0" w:color="auto"/>
      </w:divBdr>
    </w:div>
    <w:div w:id="758253673">
      <w:bodyDiv w:val="1"/>
      <w:marLeft w:val="0"/>
      <w:marRight w:val="0"/>
      <w:marTop w:val="0"/>
      <w:marBottom w:val="0"/>
      <w:divBdr>
        <w:top w:val="none" w:sz="0" w:space="0" w:color="auto"/>
        <w:left w:val="none" w:sz="0" w:space="0" w:color="auto"/>
        <w:bottom w:val="none" w:sz="0" w:space="0" w:color="auto"/>
        <w:right w:val="none" w:sz="0" w:space="0" w:color="auto"/>
      </w:divBdr>
    </w:div>
    <w:div w:id="796070604">
      <w:bodyDiv w:val="1"/>
      <w:marLeft w:val="0"/>
      <w:marRight w:val="0"/>
      <w:marTop w:val="0"/>
      <w:marBottom w:val="0"/>
      <w:divBdr>
        <w:top w:val="none" w:sz="0" w:space="0" w:color="auto"/>
        <w:left w:val="none" w:sz="0" w:space="0" w:color="auto"/>
        <w:bottom w:val="none" w:sz="0" w:space="0" w:color="auto"/>
        <w:right w:val="none" w:sz="0" w:space="0" w:color="auto"/>
      </w:divBdr>
    </w:div>
    <w:div w:id="819923371">
      <w:bodyDiv w:val="1"/>
      <w:marLeft w:val="0"/>
      <w:marRight w:val="0"/>
      <w:marTop w:val="0"/>
      <w:marBottom w:val="0"/>
      <w:divBdr>
        <w:top w:val="none" w:sz="0" w:space="0" w:color="auto"/>
        <w:left w:val="none" w:sz="0" w:space="0" w:color="auto"/>
        <w:bottom w:val="none" w:sz="0" w:space="0" w:color="auto"/>
        <w:right w:val="none" w:sz="0" w:space="0" w:color="auto"/>
      </w:divBdr>
    </w:div>
    <w:div w:id="833645465">
      <w:bodyDiv w:val="1"/>
      <w:marLeft w:val="0"/>
      <w:marRight w:val="0"/>
      <w:marTop w:val="0"/>
      <w:marBottom w:val="0"/>
      <w:divBdr>
        <w:top w:val="none" w:sz="0" w:space="0" w:color="auto"/>
        <w:left w:val="none" w:sz="0" w:space="0" w:color="auto"/>
        <w:bottom w:val="none" w:sz="0" w:space="0" w:color="auto"/>
        <w:right w:val="none" w:sz="0" w:space="0" w:color="auto"/>
      </w:divBdr>
    </w:div>
    <w:div w:id="981738439">
      <w:bodyDiv w:val="1"/>
      <w:marLeft w:val="0"/>
      <w:marRight w:val="0"/>
      <w:marTop w:val="0"/>
      <w:marBottom w:val="0"/>
      <w:divBdr>
        <w:top w:val="none" w:sz="0" w:space="0" w:color="auto"/>
        <w:left w:val="none" w:sz="0" w:space="0" w:color="auto"/>
        <w:bottom w:val="none" w:sz="0" w:space="0" w:color="auto"/>
        <w:right w:val="none" w:sz="0" w:space="0" w:color="auto"/>
      </w:divBdr>
    </w:div>
    <w:div w:id="1075005291">
      <w:bodyDiv w:val="1"/>
      <w:marLeft w:val="0"/>
      <w:marRight w:val="0"/>
      <w:marTop w:val="0"/>
      <w:marBottom w:val="0"/>
      <w:divBdr>
        <w:top w:val="none" w:sz="0" w:space="0" w:color="auto"/>
        <w:left w:val="none" w:sz="0" w:space="0" w:color="auto"/>
        <w:bottom w:val="none" w:sz="0" w:space="0" w:color="auto"/>
        <w:right w:val="none" w:sz="0" w:space="0" w:color="auto"/>
      </w:divBdr>
    </w:div>
    <w:div w:id="1118523397">
      <w:bodyDiv w:val="1"/>
      <w:marLeft w:val="0"/>
      <w:marRight w:val="0"/>
      <w:marTop w:val="0"/>
      <w:marBottom w:val="0"/>
      <w:divBdr>
        <w:top w:val="none" w:sz="0" w:space="0" w:color="auto"/>
        <w:left w:val="none" w:sz="0" w:space="0" w:color="auto"/>
        <w:bottom w:val="none" w:sz="0" w:space="0" w:color="auto"/>
        <w:right w:val="none" w:sz="0" w:space="0" w:color="auto"/>
      </w:divBdr>
    </w:div>
    <w:div w:id="1186796996">
      <w:bodyDiv w:val="1"/>
      <w:marLeft w:val="0"/>
      <w:marRight w:val="0"/>
      <w:marTop w:val="0"/>
      <w:marBottom w:val="0"/>
      <w:divBdr>
        <w:top w:val="none" w:sz="0" w:space="0" w:color="auto"/>
        <w:left w:val="none" w:sz="0" w:space="0" w:color="auto"/>
        <w:bottom w:val="none" w:sz="0" w:space="0" w:color="auto"/>
        <w:right w:val="none" w:sz="0" w:space="0" w:color="auto"/>
      </w:divBdr>
    </w:div>
    <w:div w:id="1372655173">
      <w:bodyDiv w:val="1"/>
      <w:marLeft w:val="0"/>
      <w:marRight w:val="0"/>
      <w:marTop w:val="0"/>
      <w:marBottom w:val="0"/>
      <w:divBdr>
        <w:top w:val="none" w:sz="0" w:space="0" w:color="auto"/>
        <w:left w:val="none" w:sz="0" w:space="0" w:color="auto"/>
        <w:bottom w:val="none" w:sz="0" w:space="0" w:color="auto"/>
        <w:right w:val="none" w:sz="0" w:space="0" w:color="auto"/>
      </w:divBdr>
    </w:div>
    <w:div w:id="1375957425">
      <w:bodyDiv w:val="1"/>
      <w:marLeft w:val="0"/>
      <w:marRight w:val="0"/>
      <w:marTop w:val="0"/>
      <w:marBottom w:val="0"/>
      <w:divBdr>
        <w:top w:val="none" w:sz="0" w:space="0" w:color="auto"/>
        <w:left w:val="none" w:sz="0" w:space="0" w:color="auto"/>
        <w:bottom w:val="none" w:sz="0" w:space="0" w:color="auto"/>
        <w:right w:val="none" w:sz="0" w:space="0" w:color="auto"/>
      </w:divBdr>
    </w:div>
    <w:div w:id="1469401678">
      <w:bodyDiv w:val="1"/>
      <w:marLeft w:val="0"/>
      <w:marRight w:val="0"/>
      <w:marTop w:val="0"/>
      <w:marBottom w:val="0"/>
      <w:divBdr>
        <w:top w:val="none" w:sz="0" w:space="0" w:color="auto"/>
        <w:left w:val="none" w:sz="0" w:space="0" w:color="auto"/>
        <w:bottom w:val="none" w:sz="0" w:space="0" w:color="auto"/>
        <w:right w:val="none" w:sz="0" w:space="0" w:color="auto"/>
      </w:divBdr>
    </w:div>
    <w:div w:id="1621840398">
      <w:bodyDiv w:val="1"/>
      <w:marLeft w:val="0"/>
      <w:marRight w:val="0"/>
      <w:marTop w:val="0"/>
      <w:marBottom w:val="0"/>
      <w:divBdr>
        <w:top w:val="none" w:sz="0" w:space="0" w:color="auto"/>
        <w:left w:val="none" w:sz="0" w:space="0" w:color="auto"/>
        <w:bottom w:val="none" w:sz="0" w:space="0" w:color="auto"/>
        <w:right w:val="none" w:sz="0" w:space="0" w:color="auto"/>
      </w:divBdr>
    </w:div>
    <w:div w:id="1794783718">
      <w:bodyDiv w:val="1"/>
      <w:marLeft w:val="0"/>
      <w:marRight w:val="0"/>
      <w:marTop w:val="0"/>
      <w:marBottom w:val="0"/>
      <w:divBdr>
        <w:top w:val="none" w:sz="0" w:space="0" w:color="auto"/>
        <w:left w:val="none" w:sz="0" w:space="0" w:color="auto"/>
        <w:bottom w:val="none" w:sz="0" w:space="0" w:color="auto"/>
        <w:right w:val="none" w:sz="0" w:space="0" w:color="auto"/>
      </w:divBdr>
    </w:div>
    <w:div w:id="1891964598">
      <w:bodyDiv w:val="1"/>
      <w:marLeft w:val="0"/>
      <w:marRight w:val="0"/>
      <w:marTop w:val="0"/>
      <w:marBottom w:val="0"/>
      <w:divBdr>
        <w:top w:val="none" w:sz="0" w:space="0" w:color="auto"/>
        <w:left w:val="none" w:sz="0" w:space="0" w:color="auto"/>
        <w:bottom w:val="none" w:sz="0" w:space="0" w:color="auto"/>
        <w:right w:val="none" w:sz="0" w:space="0" w:color="auto"/>
      </w:divBdr>
    </w:div>
    <w:div w:id="1938177246">
      <w:bodyDiv w:val="1"/>
      <w:marLeft w:val="0"/>
      <w:marRight w:val="0"/>
      <w:marTop w:val="0"/>
      <w:marBottom w:val="0"/>
      <w:divBdr>
        <w:top w:val="none" w:sz="0" w:space="0" w:color="auto"/>
        <w:left w:val="none" w:sz="0" w:space="0" w:color="auto"/>
        <w:bottom w:val="none" w:sz="0" w:space="0" w:color="auto"/>
        <w:right w:val="none" w:sz="0" w:space="0" w:color="auto"/>
      </w:divBdr>
    </w:div>
    <w:div w:id="206270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image" Target="media/image3.emf"/><Relationship Id="rId26" Type="http://schemas.openxmlformats.org/officeDocument/2006/relationships/chart" Target="charts/chart9.xm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5.xml"/><Relationship Id="rId34" Type="http://schemas.openxmlformats.org/officeDocument/2006/relationships/hyperlink" Target="http://www.florence.cz/odborne-clanky/recenzovane-clanky/pacient-s-depresivni-poruchou-v-psychiatricke-ambulanci-praxe/" TargetMode="External"/><Relationship Id="rId42" Type="http://schemas.openxmlformats.org/officeDocument/2006/relationships/image" Target="media/image8.jpe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chart" Target="charts/chart3.xml"/><Relationship Id="rId25" Type="http://schemas.openxmlformats.org/officeDocument/2006/relationships/chart" Target="charts/chart8.xml"/><Relationship Id="rId33" Type="http://schemas.openxmlformats.org/officeDocument/2006/relationships/hyperlink" Target="http://www.mentalhealth.com/" TargetMode="External"/><Relationship Id="rId38" Type="http://schemas.openxmlformats.org/officeDocument/2006/relationships/hyperlink" Target="http://cmps.ecn.cz/pd/2004/texty/pdf/turbova-deprese.pdf"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image" Target="media/image4.emf"/><Relationship Id="rId29" Type="http://schemas.openxmlformats.org/officeDocument/2006/relationships/chart" Target="charts/chart12.xml"/><Relationship Id="rId41"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chart" Target="charts/chart7.xml"/><Relationship Id="rId32" Type="http://schemas.openxmlformats.org/officeDocument/2006/relationships/hyperlink" Target="http://zdravi.e15.cz/clanek/postgradualni-medicina/deprese-a-antidepresiva-v-prubehu-zivota-zeny-462919" TargetMode="External"/><Relationship Id="rId37" Type="http://schemas.openxmlformats.org/officeDocument/2006/relationships/hyperlink" Target="http://www.solen.sk/index.php?page=pdf_view&amp;pdf_id=1538&amp;magazine_id=2" TargetMode="External"/><Relationship Id="rId40" Type="http://schemas.openxmlformats.org/officeDocument/2006/relationships/image" Target="media/image6.jpeg"/><Relationship Id="rId45" Type="http://schemas.openxmlformats.org/officeDocument/2006/relationships/oleObject" Target="embeddings/Microsoft_Word_97_-_2003_Document1.doc"/><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chart" Target="charts/chart6.xml"/><Relationship Id="rId28" Type="http://schemas.openxmlformats.org/officeDocument/2006/relationships/chart" Target="charts/chart11.xml"/><Relationship Id="rId36" Type="http://schemas.openxmlformats.org/officeDocument/2006/relationships/hyperlink" Target="http://www.uzis.cz/rychle-informace/cinnost-ambulantnich-psychiatrickych-zarizeni-roce-2011" TargetMode="External"/><Relationship Id="rId10" Type="http://schemas.openxmlformats.org/officeDocument/2006/relationships/diagramData" Target="diagrams/data1.xml"/><Relationship Id="rId19" Type="http://schemas.openxmlformats.org/officeDocument/2006/relationships/chart" Target="charts/chart4.xml"/><Relationship Id="rId31" Type="http://schemas.openxmlformats.org/officeDocument/2006/relationships/hyperlink" Target="http://www.ncbi.nlm.nih.gov/pmc/articles/PMC2954275/" TargetMode="External"/><Relationship Id="rId44" Type="http://schemas.openxmlformats.org/officeDocument/2006/relationships/image" Target="media/image9.emf"/><Relationship Id="rId4" Type="http://schemas.microsoft.com/office/2007/relationships/stylesWithEffects" Target="stylesWithEffect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image" Target="media/image5.emf"/><Relationship Id="rId27" Type="http://schemas.openxmlformats.org/officeDocument/2006/relationships/chart" Target="charts/chart10.xml"/><Relationship Id="rId30" Type="http://schemas.openxmlformats.org/officeDocument/2006/relationships/chart" Target="charts/chart13.xml"/><Relationship Id="rId35" Type="http://schemas.openxmlformats.org/officeDocument/2006/relationships/hyperlink" Target="http://www.demografie.info/?cz_detail_clanku&amp;artclID=516" TargetMode="External"/><Relationship Id="rId43"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oleObject" Target="file:///E:\diplomka\vysledky%20DP.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diplomka\vysledky%20DP.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1" Type="http://schemas.openxmlformats.org/officeDocument/2006/relationships/oleObject" Target="file:///E:\diplomka\vysledky%20DP.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diplomka\vysledky%20DP.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diplomka\vysledky%20DP.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G:\diplomka\vysledky%20DP.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G:\diplomka\vysledky%20DP.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G:\diplomka\vysledky%20DP.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G:\diplomka\vysledky%20DP.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G:\diplomka\vysledky%20DP.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G:\diplomka\vysledky%20D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Pohlaví</a:t>
            </a:r>
            <a:r>
              <a:rPr lang="cs-CZ" baseline="0"/>
              <a:t> respondentů</a:t>
            </a:r>
          </a:p>
        </c:rich>
      </c:tx>
      <c:layout/>
      <c:overlay val="0"/>
    </c:title>
    <c:autoTitleDeleted val="0"/>
    <c:view3D>
      <c:rotX val="15"/>
      <c:rotY val="0"/>
      <c:rAngAx val="0"/>
      <c:perspective val="30"/>
    </c:view3D>
    <c:floor>
      <c:thickness val="0"/>
    </c:floor>
    <c:sideWall>
      <c:thickness val="0"/>
    </c:sideWall>
    <c:backWall>
      <c:thickness val="0"/>
    </c:backWall>
    <c:plotArea>
      <c:layout/>
      <c:pie3DChart>
        <c:varyColors val="1"/>
        <c:ser>
          <c:idx val="0"/>
          <c:order val="0"/>
          <c:dLbls>
            <c:txPr>
              <a:bodyPr/>
              <a:lstStyle/>
              <a:p>
                <a:pPr>
                  <a:defRPr sz="1050" b="1">
                    <a:solidFill>
                      <a:schemeClr val="bg1"/>
                    </a:solidFill>
                  </a:defRPr>
                </a:pPr>
                <a:endParaRPr lang="cs-CZ"/>
              </a:p>
            </c:txPr>
            <c:showLegendKey val="0"/>
            <c:showVal val="0"/>
            <c:showCatName val="0"/>
            <c:showSerName val="0"/>
            <c:showPercent val="1"/>
            <c:showBubbleSize val="0"/>
            <c:showLeaderLines val="1"/>
          </c:dLbls>
          <c:cat>
            <c:strRef>
              <c:f>List1!$A$10:$A$11</c:f>
              <c:strCache>
                <c:ptCount val="2"/>
                <c:pt idx="0">
                  <c:v>Ženské</c:v>
                </c:pt>
                <c:pt idx="1">
                  <c:v>Mužské</c:v>
                </c:pt>
              </c:strCache>
            </c:strRef>
          </c:cat>
          <c:val>
            <c:numRef>
              <c:f>List1!$B$10:$B$11</c:f>
              <c:numCache>
                <c:formatCode>General</c:formatCode>
                <c:ptCount val="2"/>
                <c:pt idx="0">
                  <c:v>62</c:v>
                </c:pt>
                <c:pt idx="1">
                  <c:v>25</c:v>
                </c:pt>
              </c:numCache>
            </c:numRef>
          </c:val>
        </c:ser>
        <c:dLbls>
          <c:showLegendKey val="0"/>
          <c:showVal val="0"/>
          <c:showCatName val="0"/>
          <c:showSerName val="0"/>
          <c:showPercent val="1"/>
          <c:showBubbleSize val="0"/>
          <c:showLeaderLines val="1"/>
        </c:dLbls>
      </c:pie3DChart>
    </c:plotArea>
    <c:legend>
      <c:legendPos val="r"/>
      <c:layou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baseline="0"/>
              <a:t>Výsledky BDI u respondentů </a:t>
            </a:r>
            <a:endParaRPr lang="cs-CZ"/>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dLbls>
            <c:txPr>
              <a:bodyPr/>
              <a:lstStyle/>
              <a:p>
                <a:pPr>
                  <a:defRPr sz="1100" b="1">
                    <a:solidFill>
                      <a:schemeClr val="bg1"/>
                    </a:solidFill>
                  </a:defRPr>
                </a:pPr>
                <a:endParaRPr lang="cs-CZ"/>
              </a:p>
            </c:txPr>
            <c:showLegendKey val="0"/>
            <c:showVal val="0"/>
            <c:showCatName val="0"/>
            <c:showSerName val="0"/>
            <c:showPercent val="1"/>
            <c:showBubbleSize val="0"/>
            <c:showLeaderLines val="1"/>
          </c:dLbls>
          <c:cat>
            <c:strRef>
              <c:f>List1!$A$62:$A$65</c:f>
              <c:strCache>
                <c:ptCount val="4"/>
                <c:pt idx="0">
                  <c:v>0-13 bodů</c:v>
                </c:pt>
                <c:pt idx="1">
                  <c:v>14-19 bodů</c:v>
                </c:pt>
                <c:pt idx="2">
                  <c:v>20-28 bodů</c:v>
                </c:pt>
                <c:pt idx="3">
                  <c:v>29-63 bodů</c:v>
                </c:pt>
              </c:strCache>
            </c:strRef>
          </c:cat>
          <c:val>
            <c:numRef>
              <c:f>List1!$B$62:$B$65</c:f>
              <c:numCache>
                <c:formatCode>General</c:formatCode>
                <c:ptCount val="4"/>
                <c:pt idx="0">
                  <c:v>60</c:v>
                </c:pt>
                <c:pt idx="1">
                  <c:v>16</c:v>
                </c:pt>
                <c:pt idx="2">
                  <c:v>6</c:v>
                </c:pt>
                <c:pt idx="3">
                  <c:v>5</c:v>
                </c:pt>
              </c:numCache>
            </c:numRef>
          </c:val>
        </c:ser>
        <c:ser>
          <c:idx val="1"/>
          <c:order val="1"/>
          <c:dLbls>
            <c:showLegendKey val="0"/>
            <c:showVal val="0"/>
            <c:showCatName val="0"/>
            <c:showSerName val="0"/>
            <c:showPercent val="1"/>
            <c:showBubbleSize val="0"/>
            <c:showLeaderLines val="1"/>
          </c:dLbls>
          <c:cat>
            <c:strRef>
              <c:f>List1!$A$62:$A$65</c:f>
              <c:strCache>
                <c:ptCount val="4"/>
                <c:pt idx="0">
                  <c:v>0-13 bodů</c:v>
                </c:pt>
                <c:pt idx="1">
                  <c:v>14-19 bodů</c:v>
                </c:pt>
                <c:pt idx="2">
                  <c:v>20-28 bodů</c:v>
                </c:pt>
                <c:pt idx="3">
                  <c:v>29-63 bodů</c:v>
                </c:pt>
              </c:strCache>
            </c:strRef>
          </c:cat>
          <c:val>
            <c:numRef>
              <c:f>List1!$C$62:$C$65</c:f>
              <c:numCache>
                <c:formatCode>0.0%</c:formatCode>
                <c:ptCount val="4"/>
                <c:pt idx="0">
                  <c:v>0.6896551724137947</c:v>
                </c:pt>
                <c:pt idx="1">
                  <c:v>0.18390804597701174</c:v>
                </c:pt>
                <c:pt idx="2">
                  <c:v>6.8965517241379323E-2</c:v>
                </c:pt>
                <c:pt idx="3">
                  <c:v>5.7471264367816112E-2</c:v>
                </c:pt>
              </c:numCache>
            </c:numRef>
          </c:val>
        </c:ser>
        <c:dLbls>
          <c:showLegendKey val="0"/>
          <c:showVal val="0"/>
          <c:showCatName val="0"/>
          <c:showSerName val="0"/>
          <c:showPercent val="1"/>
          <c:showBubbleSize val="0"/>
          <c:showLeaderLines val="1"/>
        </c:dLbls>
      </c:pie3DChart>
    </c:plotArea>
    <c:legend>
      <c:legendPos val="r"/>
      <c:layout>
        <c:manualLayout>
          <c:xMode val="edge"/>
          <c:yMode val="edge"/>
          <c:x val="0.81004600865099163"/>
          <c:y val="0.41670369753629727"/>
          <c:w val="0.1764859755005834"/>
          <c:h val="0.33567634861352302"/>
        </c:manualLayout>
      </c:layout>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Typ</a:t>
            </a:r>
            <a:r>
              <a:rPr lang="cs-CZ" baseline="0"/>
              <a:t> užívaných antidepresiv</a:t>
            </a:r>
            <a:endParaRPr lang="cs-CZ"/>
          </a:p>
        </c:rich>
      </c:tx>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7.6348396059728804E-2"/>
          <c:y val="0.20916327766721471"/>
          <c:w val="0.71837596676969562"/>
          <c:h val="0.76473219693692129"/>
        </c:manualLayout>
      </c:layout>
      <c:pie3DChart>
        <c:varyColors val="1"/>
        <c:ser>
          <c:idx val="0"/>
          <c:order val="0"/>
          <c:dLbls>
            <c:dLbl>
              <c:idx val="0"/>
              <c:delete val="1"/>
            </c:dLbl>
            <c:dLbl>
              <c:idx val="1"/>
              <c:layout>
                <c:manualLayout>
                  <c:x val="-2.3709039926365191E-3"/>
                  <c:y val="5.5496259688850372E-2"/>
                </c:manualLayout>
              </c:layout>
              <c:showLegendKey val="0"/>
              <c:showVal val="0"/>
              <c:showCatName val="0"/>
              <c:showSerName val="0"/>
              <c:showPercent val="1"/>
              <c:showBubbleSize val="0"/>
            </c:dLbl>
            <c:dLbl>
              <c:idx val="4"/>
              <c:layout>
                <c:manualLayout>
                  <c:x val="7.4694949335575453E-2"/>
                  <c:y val="6.9102509727267711E-2"/>
                </c:manualLayout>
              </c:layout>
              <c:showLegendKey val="0"/>
              <c:showVal val="0"/>
              <c:showCatName val="0"/>
              <c:showSerName val="0"/>
              <c:showPercent val="1"/>
              <c:showBubbleSize val="0"/>
            </c:dLbl>
            <c:dLbl>
              <c:idx val="5"/>
              <c:layout>
                <c:manualLayout>
                  <c:x val="6.541785758048109E-2"/>
                  <c:y val="6.8861802110801729E-2"/>
                </c:manualLayout>
              </c:layout>
              <c:showLegendKey val="0"/>
              <c:showVal val="0"/>
              <c:showCatName val="0"/>
              <c:showSerName val="0"/>
              <c:showPercent val="1"/>
              <c:showBubbleSize val="0"/>
            </c:dLbl>
            <c:txPr>
              <a:bodyPr/>
              <a:lstStyle/>
              <a:p>
                <a:pPr>
                  <a:defRPr sz="1200" b="1">
                    <a:solidFill>
                      <a:schemeClr val="bg1"/>
                    </a:solidFill>
                  </a:defRPr>
                </a:pPr>
                <a:endParaRPr lang="cs-CZ"/>
              </a:p>
            </c:txPr>
            <c:showLegendKey val="0"/>
            <c:showVal val="0"/>
            <c:showCatName val="0"/>
            <c:showSerName val="0"/>
            <c:showPercent val="1"/>
            <c:showBubbleSize val="0"/>
            <c:showLeaderLines val="1"/>
          </c:dLbls>
          <c:cat>
            <c:strRef>
              <c:f>List1!$A$77:$A$83</c:f>
              <c:strCache>
                <c:ptCount val="7"/>
                <c:pt idx="0">
                  <c:v>I. generace</c:v>
                </c:pt>
                <c:pt idx="1">
                  <c:v>II. generace</c:v>
                </c:pt>
                <c:pt idx="2">
                  <c:v>III. generace</c:v>
                </c:pt>
                <c:pt idx="3">
                  <c:v>IV. generace</c:v>
                </c:pt>
                <c:pt idx="4">
                  <c:v>IMAO</c:v>
                </c:pt>
                <c:pt idx="5">
                  <c:v>Jiné AD</c:v>
                </c:pt>
                <c:pt idx="6">
                  <c:v>Kombinace AD</c:v>
                </c:pt>
              </c:strCache>
            </c:strRef>
          </c:cat>
          <c:val>
            <c:numRef>
              <c:f>List1!$B$77:$B$83</c:f>
              <c:numCache>
                <c:formatCode>General</c:formatCode>
                <c:ptCount val="7"/>
                <c:pt idx="0">
                  <c:v>0</c:v>
                </c:pt>
                <c:pt idx="1">
                  <c:v>1</c:v>
                </c:pt>
                <c:pt idx="2">
                  <c:v>54</c:v>
                </c:pt>
                <c:pt idx="3">
                  <c:v>20</c:v>
                </c:pt>
                <c:pt idx="4">
                  <c:v>4</c:v>
                </c:pt>
                <c:pt idx="5">
                  <c:v>3</c:v>
                </c:pt>
                <c:pt idx="6">
                  <c:v>5</c:v>
                </c:pt>
              </c:numCache>
            </c:numRef>
          </c:val>
        </c:ser>
        <c:ser>
          <c:idx val="1"/>
          <c:order val="1"/>
          <c:dLbls>
            <c:showLegendKey val="0"/>
            <c:showVal val="0"/>
            <c:showCatName val="0"/>
            <c:showSerName val="0"/>
            <c:showPercent val="1"/>
            <c:showBubbleSize val="0"/>
            <c:showLeaderLines val="1"/>
          </c:dLbls>
          <c:cat>
            <c:strRef>
              <c:f>List1!$A$77:$A$83</c:f>
              <c:strCache>
                <c:ptCount val="7"/>
                <c:pt idx="0">
                  <c:v>I. generace</c:v>
                </c:pt>
                <c:pt idx="1">
                  <c:v>II. generace</c:v>
                </c:pt>
                <c:pt idx="2">
                  <c:v>III. generace</c:v>
                </c:pt>
                <c:pt idx="3">
                  <c:v>IV. generace</c:v>
                </c:pt>
                <c:pt idx="4">
                  <c:v>IMAO</c:v>
                </c:pt>
                <c:pt idx="5">
                  <c:v>Jiné AD</c:v>
                </c:pt>
                <c:pt idx="6">
                  <c:v>Kombinace AD</c:v>
                </c:pt>
              </c:strCache>
            </c:strRef>
          </c:cat>
          <c:val>
            <c:numRef>
              <c:f>List1!$C$77:$C$83</c:f>
              <c:numCache>
                <c:formatCode>0.0%</c:formatCode>
                <c:ptCount val="7"/>
                <c:pt idx="0">
                  <c:v>0</c:v>
                </c:pt>
                <c:pt idx="1">
                  <c:v>1.1494252873563218E-2</c:v>
                </c:pt>
                <c:pt idx="2">
                  <c:v>0.62068965517241448</c:v>
                </c:pt>
                <c:pt idx="3">
                  <c:v>0.2298850574712645</c:v>
                </c:pt>
                <c:pt idx="4">
                  <c:v>4.5977011494252866E-2</c:v>
                </c:pt>
                <c:pt idx="5">
                  <c:v>3.4482758620689655E-2</c:v>
                </c:pt>
                <c:pt idx="6">
                  <c:v>5.7471264367816112E-2</c:v>
                </c:pt>
              </c:numCache>
            </c:numRef>
          </c:val>
        </c:ser>
        <c:dLbls>
          <c:showLegendKey val="0"/>
          <c:showVal val="0"/>
          <c:showCatName val="0"/>
          <c:showSerName val="0"/>
          <c:showPercent val="1"/>
          <c:showBubbleSize val="0"/>
          <c:showLeaderLines val="1"/>
        </c:dLbls>
      </c:pie3DChart>
    </c:plotArea>
    <c:legend>
      <c:legendPos val="r"/>
      <c:legendEntry>
        <c:idx val="0"/>
        <c:delete val="1"/>
      </c:legendEntry>
      <c:layout/>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Délka</a:t>
            </a:r>
            <a:r>
              <a:rPr lang="cs-CZ" baseline="0"/>
              <a:t> užívání antidepresiv</a:t>
            </a:r>
            <a:endParaRPr lang="cs-CZ"/>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0"/>
              <c:layout>
                <c:manualLayout>
                  <c:x val="-2.9828236107028862E-2"/>
                  <c:y val="7.5336774956110727E-2"/>
                </c:manualLayout>
              </c:layout>
              <c:showLegendKey val="0"/>
              <c:showVal val="0"/>
              <c:showCatName val="0"/>
              <c:showSerName val="0"/>
              <c:showPercent val="1"/>
              <c:showBubbleSize val="0"/>
            </c:dLbl>
            <c:dLbl>
              <c:idx val="4"/>
              <c:layout>
                <c:manualLayout>
                  <c:x val="2.42862078389514E-3"/>
                  <c:y val="8.3133614920651494E-2"/>
                </c:manualLayout>
              </c:layout>
              <c:showLegendKey val="0"/>
              <c:showVal val="0"/>
              <c:showCatName val="0"/>
              <c:showSerName val="0"/>
              <c:showPercent val="1"/>
              <c:showBubbleSize val="0"/>
            </c:dLbl>
            <c:txPr>
              <a:bodyPr/>
              <a:lstStyle/>
              <a:p>
                <a:pPr>
                  <a:defRPr sz="1100" b="1">
                    <a:solidFill>
                      <a:schemeClr val="bg1"/>
                    </a:solidFill>
                  </a:defRPr>
                </a:pPr>
                <a:endParaRPr lang="cs-CZ"/>
              </a:p>
            </c:txPr>
            <c:showLegendKey val="0"/>
            <c:showVal val="0"/>
            <c:showCatName val="0"/>
            <c:showSerName val="0"/>
            <c:showPercent val="1"/>
            <c:showBubbleSize val="0"/>
            <c:showLeaderLines val="1"/>
          </c:dLbls>
          <c:cat>
            <c:strRef>
              <c:f>List1!$A$88:$A$92</c:f>
              <c:strCache>
                <c:ptCount val="5"/>
                <c:pt idx="0">
                  <c:v>9 měsíců a méně</c:v>
                </c:pt>
                <c:pt idx="1">
                  <c:v>10 měsíců až dva roky</c:v>
                </c:pt>
                <c:pt idx="2">
                  <c:v>3-5 let</c:v>
                </c:pt>
                <c:pt idx="3">
                  <c:v>Více než 5 let</c:v>
                </c:pt>
                <c:pt idx="4">
                  <c:v>Nevím</c:v>
                </c:pt>
              </c:strCache>
            </c:strRef>
          </c:cat>
          <c:val>
            <c:numRef>
              <c:f>List1!$B$88:$B$92</c:f>
              <c:numCache>
                <c:formatCode>General</c:formatCode>
                <c:ptCount val="5"/>
                <c:pt idx="0">
                  <c:v>10</c:v>
                </c:pt>
                <c:pt idx="1">
                  <c:v>24</c:v>
                </c:pt>
                <c:pt idx="2">
                  <c:v>23</c:v>
                </c:pt>
                <c:pt idx="3">
                  <c:v>29</c:v>
                </c:pt>
                <c:pt idx="4">
                  <c:v>1</c:v>
                </c:pt>
              </c:numCache>
            </c:numRef>
          </c:val>
        </c:ser>
        <c:ser>
          <c:idx val="1"/>
          <c:order val="1"/>
          <c:dLbls>
            <c:showLegendKey val="0"/>
            <c:showVal val="0"/>
            <c:showCatName val="0"/>
            <c:showSerName val="0"/>
            <c:showPercent val="1"/>
            <c:showBubbleSize val="0"/>
            <c:showLeaderLines val="1"/>
          </c:dLbls>
          <c:cat>
            <c:strRef>
              <c:f>List1!$A$88:$A$92</c:f>
              <c:strCache>
                <c:ptCount val="5"/>
                <c:pt idx="0">
                  <c:v>9 měsíců a méně</c:v>
                </c:pt>
                <c:pt idx="1">
                  <c:v>10 měsíců až dva roky</c:v>
                </c:pt>
                <c:pt idx="2">
                  <c:v>3-5 let</c:v>
                </c:pt>
                <c:pt idx="3">
                  <c:v>Více než 5 let</c:v>
                </c:pt>
                <c:pt idx="4">
                  <c:v>Nevím</c:v>
                </c:pt>
              </c:strCache>
            </c:strRef>
          </c:cat>
          <c:val>
            <c:numRef>
              <c:f>List1!$C$88:$C$92</c:f>
              <c:numCache>
                <c:formatCode>0.0%</c:formatCode>
                <c:ptCount val="5"/>
                <c:pt idx="0">
                  <c:v>0.11494252873563222</c:v>
                </c:pt>
                <c:pt idx="1">
                  <c:v>0.27586206896551746</c:v>
                </c:pt>
                <c:pt idx="2">
                  <c:v>0.2643678160919542</c:v>
                </c:pt>
                <c:pt idx="3">
                  <c:v>0.33333333333333331</c:v>
                </c:pt>
                <c:pt idx="4">
                  <c:v>1.1494252873563218E-2</c:v>
                </c:pt>
              </c:numCache>
            </c:numRef>
          </c:val>
        </c:ser>
        <c:dLbls>
          <c:showLegendKey val="0"/>
          <c:showVal val="0"/>
          <c:showCatName val="0"/>
          <c:showSerName val="0"/>
          <c:showPercent val="1"/>
          <c:showBubbleSize val="0"/>
          <c:showLeaderLines val="1"/>
        </c:dLbls>
      </c:pie3DChart>
    </c:plotArea>
    <c:legend>
      <c:legendPos val="r"/>
      <c:layout/>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Pohlaví</a:t>
            </a:r>
            <a:r>
              <a:rPr lang="cs-CZ" baseline="0"/>
              <a:t> respondentů</a:t>
            </a:r>
          </a:p>
        </c:rich>
      </c:tx>
      <c:layout/>
      <c:overlay val="0"/>
    </c:title>
    <c:autoTitleDeleted val="0"/>
    <c:view3D>
      <c:rotX val="15"/>
      <c:rotY val="0"/>
      <c:rAngAx val="0"/>
      <c:perspective val="30"/>
    </c:view3D>
    <c:floor>
      <c:thickness val="0"/>
    </c:floor>
    <c:sideWall>
      <c:thickness val="0"/>
    </c:sideWall>
    <c:backWall>
      <c:thickness val="0"/>
    </c:backWall>
    <c:plotArea>
      <c:layout/>
      <c:pie3DChart>
        <c:varyColors val="1"/>
        <c:ser>
          <c:idx val="0"/>
          <c:order val="0"/>
          <c:dLbls>
            <c:txPr>
              <a:bodyPr/>
              <a:lstStyle/>
              <a:p>
                <a:pPr>
                  <a:defRPr sz="1050" b="1">
                    <a:solidFill>
                      <a:schemeClr val="bg1"/>
                    </a:solidFill>
                  </a:defRPr>
                </a:pPr>
                <a:endParaRPr lang="cs-CZ"/>
              </a:p>
            </c:txPr>
            <c:showLegendKey val="0"/>
            <c:showVal val="0"/>
            <c:showCatName val="0"/>
            <c:showSerName val="0"/>
            <c:showPercent val="1"/>
            <c:showBubbleSize val="0"/>
            <c:showLeaderLines val="1"/>
          </c:dLbls>
          <c:cat>
            <c:strRef>
              <c:f>List1!$A$10:$A$11</c:f>
              <c:strCache>
                <c:ptCount val="2"/>
                <c:pt idx="0">
                  <c:v>Ženské</c:v>
                </c:pt>
                <c:pt idx="1">
                  <c:v>Mužské</c:v>
                </c:pt>
              </c:strCache>
            </c:strRef>
          </c:cat>
          <c:val>
            <c:numRef>
              <c:f>List1!$B$10:$B$11</c:f>
              <c:numCache>
                <c:formatCode>General</c:formatCode>
                <c:ptCount val="2"/>
                <c:pt idx="0">
                  <c:v>62</c:v>
                </c:pt>
                <c:pt idx="1">
                  <c:v>25</c:v>
                </c:pt>
              </c:numCache>
            </c:numRef>
          </c:val>
        </c:ser>
        <c:dLbls>
          <c:showLegendKey val="0"/>
          <c:showVal val="0"/>
          <c:showCatName val="0"/>
          <c:showSerName val="0"/>
          <c:showPercent val="1"/>
          <c:showBubbleSize val="0"/>
          <c:showLeaderLines val="1"/>
        </c:dLbls>
      </c:pie3DChart>
    </c:plotArea>
    <c:legend>
      <c:legendPos val="r"/>
      <c:layout/>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Výskyt</a:t>
            </a:r>
            <a:r>
              <a:rPr lang="cs-CZ" baseline="0"/>
              <a:t> nežádoucích účinků</a:t>
            </a:r>
            <a:endParaRPr lang="en-US"/>
          </a:p>
        </c:rich>
      </c:tx>
      <c:layout/>
      <c:overlay val="0"/>
    </c:title>
    <c:autoTitleDeleted val="0"/>
    <c:view3D>
      <c:rotX val="15"/>
      <c:rotY val="0"/>
      <c:rAngAx val="0"/>
      <c:perspective val="30"/>
    </c:view3D>
    <c:floor>
      <c:thickness val="0"/>
    </c:floor>
    <c:sideWall>
      <c:thickness val="0"/>
    </c:sideWall>
    <c:backWall>
      <c:thickness val="0"/>
    </c:backWall>
    <c:plotArea>
      <c:layout/>
      <c:pie3DChart>
        <c:varyColors val="1"/>
        <c:ser>
          <c:idx val="0"/>
          <c:order val="0"/>
          <c:tx>
            <c:strRef>
              <c:f>List1!$B$48</c:f>
              <c:strCache>
                <c:ptCount val="1"/>
                <c:pt idx="0">
                  <c:v>absolutní četnost</c:v>
                </c:pt>
              </c:strCache>
            </c:strRef>
          </c:tx>
          <c:dLbls>
            <c:txPr>
              <a:bodyPr/>
              <a:lstStyle/>
              <a:p>
                <a:pPr>
                  <a:defRPr sz="1100" b="1">
                    <a:solidFill>
                      <a:schemeClr val="bg1"/>
                    </a:solidFill>
                  </a:defRPr>
                </a:pPr>
                <a:endParaRPr lang="cs-CZ"/>
              </a:p>
            </c:txPr>
            <c:showLegendKey val="0"/>
            <c:showVal val="0"/>
            <c:showCatName val="0"/>
            <c:showSerName val="0"/>
            <c:showPercent val="1"/>
            <c:showBubbleSize val="0"/>
            <c:showLeaderLines val="1"/>
          </c:dLbls>
          <c:cat>
            <c:strRef>
              <c:f>List1!$A$49:$A$50</c:f>
              <c:strCache>
                <c:ptCount val="2"/>
                <c:pt idx="0">
                  <c:v>ano, vyskytly se</c:v>
                </c:pt>
                <c:pt idx="1">
                  <c:v>ne, nevyskytly se</c:v>
                </c:pt>
              </c:strCache>
            </c:strRef>
          </c:cat>
          <c:val>
            <c:numRef>
              <c:f>List1!$B$49:$B$50</c:f>
              <c:numCache>
                <c:formatCode>General</c:formatCode>
                <c:ptCount val="2"/>
                <c:pt idx="0">
                  <c:v>53</c:v>
                </c:pt>
                <c:pt idx="1">
                  <c:v>34</c:v>
                </c:pt>
              </c:numCache>
            </c:numRef>
          </c:val>
        </c:ser>
        <c:dLbls>
          <c:showLegendKey val="0"/>
          <c:showVal val="0"/>
          <c:showCatName val="0"/>
          <c:showSerName val="0"/>
          <c:showPercent val="1"/>
          <c:showBubbleSize val="0"/>
          <c:showLeaderLines val="1"/>
        </c:dLbls>
      </c:pie3DChart>
    </c:plotArea>
    <c:legend>
      <c:legendPos val="r"/>
      <c:layout/>
      <c:overlay val="0"/>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Nežádoucí</a:t>
            </a:r>
            <a:r>
              <a:rPr lang="cs-CZ" baseline="0"/>
              <a:t> účinky</a:t>
            </a:r>
          </a:p>
        </c:rich>
      </c:tx>
      <c:layout>
        <c:manualLayout>
          <c:xMode val="edge"/>
          <c:yMode val="edge"/>
          <c:x val="0.39258650951731061"/>
          <c:y val="1.9728722301145741E-2"/>
        </c:manualLayout>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strRef>
              <c:f>List1!$A$24:$A$44</c:f>
              <c:strCache>
                <c:ptCount val="21"/>
                <c:pt idx="0">
                  <c:v>třes</c:v>
                </c:pt>
                <c:pt idx="1">
                  <c:v>snížený krevní tlak</c:v>
                </c:pt>
                <c:pt idx="2">
                  <c:v>zrychlení tepu</c:v>
                </c:pt>
                <c:pt idx="3">
                  <c:v>poruchy paměti</c:v>
                </c:pt>
                <c:pt idx="4">
                  <c:v>zmatenost</c:v>
                </c:pt>
                <c:pt idx="5">
                  <c:v>sucho v ústech</c:v>
                </c:pt>
                <c:pt idx="6">
                  <c:v>zácpa</c:v>
                </c:pt>
                <c:pt idx="7">
                  <c:v>zvýšení hmotnosti</c:v>
                </c:pt>
                <c:pt idx="8">
                  <c:v>poruchy močení</c:v>
                </c:pt>
                <c:pt idx="9">
                  <c:v>závratě</c:v>
                </c:pt>
                <c:pt idx="10">
                  <c:v>průjem</c:v>
                </c:pt>
                <c:pt idx="11">
                  <c:v>sexuální poruchy</c:v>
                </c:pt>
                <c:pt idx="12">
                  <c:v>nevolnost</c:v>
                </c:pt>
                <c:pt idx="13">
                  <c:v>zvýšené pocení</c:v>
                </c:pt>
                <c:pt idx="14">
                  <c:v>bolesti zubů a kloubů</c:v>
                </c:pt>
                <c:pt idx="15">
                  <c:v>zvracení</c:v>
                </c:pt>
                <c:pt idx="16">
                  <c:v>bolesti hlavy</c:v>
                </c:pt>
                <c:pt idx="17">
                  <c:v>úzkostnost</c:v>
                </c:pt>
                <c:pt idx="18">
                  <c:v>vyrážka, svědění</c:v>
                </c:pt>
                <c:pt idx="19">
                  <c:v>ospalost</c:v>
                </c:pt>
                <c:pt idx="20">
                  <c:v>únava</c:v>
                </c:pt>
              </c:strCache>
            </c:strRef>
          </c:cat>
          <c:val>
            <c:numRef>
              <c:f>List1!$C$24:$C$44</c:f>
              <c:numCache>
                <c:formatCode>0.0%</c:formatCode>
                <c:ptCount val="21"/>
                <c:pt idx="0">
                  <c:v>5.737704918032787E-2</c:v>
                </c:pt>
                <c:pt idx="1">
                  <c:v>1.6393442622950821E-2</c:v>
                </c:pt>
                <c:pt idx="2">
                  <c:v>1.6393442622950821E-2</c:v>
                </c:pt>
                <c:pt idx="3">
                  <c:v>5.737704918032787E-2</c:v>
                </c:pt>
                <c:pt idx="4">
                  <c:v>1.6393442622950821E-2</c:v>
                </c:pt>
                <c:pt idx="5">
                  <c:v>0.13934426229508196</c:v>
                </c:pt>
                <c:pt idx="6">
                  <c:v>6.5573770491803282E-2</c:v>
                </c:pt>
                <c:pt idx="7">
                  <c:v>0.1475409836065574</c:v>
                </c:pt>
                <c:pt idx="8">
                  <c:v>8.1967213114754103E-3</c:v>
                </c:pt>
                <c:pt idx="9">
                  <c:v>2.4590163934426229E-2</c:v>
                </c:pt>
                <c:pt idx="10">
                  <c:v>2.4590163934426229E-2</c:v>
                </c:pt>
                <c:pt idx="11">
                  <c:v>0.10655737704918032</c:v>
                </c:pt>
                <c:pt idx="12">
                  <c:v>5.737704918032787E-2</c:v>
                </c:pt>
                <c:pt idx="13">
                  <c:v>0.10655737704918032</c:v>
                </c:pt>
                <c:pt idx="14">
                  <c:v>2.4590163934426229E-2</c:v>
                </c:pt>
                <c:pt idx="15">
                  <c:v>0</c:v>
                </c:pt>
                <c:pt idx="16">
                  <c:v>4.0983606557377074E-2</c:v>
                </c:pt>
                <c:pt idx="17">
                  <c:v>5.737704918032787E-2</c:v>
                </c:pt>
                <c:pt idx="18">
                  <c:v>1.6393442622950821E-2</c:v>
                </c:pt>
                <c:pt idx="19">
                  <c:v>8.1967213114754103E-3</c:v>
                </c:pt>
                <c:pt idx="20">
                  <c:v>8.1967213114754103E-3</c:v>
                </c:pt>
              </c:numCache>
            </c:numRef>
          </c:val>
        </c:ser>
        <c:dLbls>
          <c:showLegendKey val="0"/>
          <c:showVal val="0"/>
          <c:showCatName val="0"/>
          <c:showSerName val="0"/>
          <c:showPercent val="0"/>
          <c:showBubbleSize val="0"/>
        </c:dLbls>
        <c:gapWidth val="150"/>
        <c:shape val="box"/>
        <c:axId val="83082240"/>
        <c:axId val="83084032"/>
        <c:axId val="0"/>
      </c:bar3DChart>
      <c:catAx>
        <c:axId val="83082240"/>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cs-CZ"/>
          </a:p>
        </c:txPr>
        <c:crossAx val="83084032"/>
        <c:crossesAt val="0"/>
        <c:auto val="1"/>
        <c:lblAlgn val="ctr"/>
        <c:lblOffset val="100"/>
        <c:noMultiLvlLbl val="0"/>
      </c:catAx>
      <c:valAx>
        <c:axId val="83084032"/>
        <c:scaling>
          <c:orientation val="minMax"/>
        </c:scaling>
        <c:delete val="0"/>
        <c:axPos val="l"/>
        <c:majorGridlines/>
        <c:title>
          <c:tx>
            <c:rich>
              <a:bodyPr/>
              <a:lstStyle/>
              <a:p>
                <a:pPr>
                  <a:defRPr/>
                </a:pPr>
                <a:r>
                  <a:rPr lang="cs-CZ" b="1" baseline="0"/>
                  <a:t>výskyt  nežádoucích účinků v %</a:t>
                </a:r>
                <a:endParaRPr lang="en-US" b="1"/>
              </a:p>
            </c:rich>
          </c:tx>
          <c:layout/>
          <c:overlay val="0"/>
        </c:title>
        <c:numFmt formatCode="0%" sourceLinked="0"/>
        <c:majorTickMark val="none"/>
        <c:minorTickMark val="none"/>
        <c:tickLblPos val="nextTo"/>
        <c:txPr>
          <a:bodyPr/>
          <a:lstStyle/>
          <a:p>
            <a:pPr>
              <a:defRPr b="1">
                <a:latin typeface="Times New Roman" pitchFamily="18" charset="0"/>
                <a:cs typeface="Times New Roman" pitchFamily="18" charset="0"/>
              </a:defRPr>
            </a:pPr>
            <a:endParaRPr lang="cs-CZ"/>
          </a:p>
        </c:txPr>
        <c:crossAx val="83082240"/>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Nežádoucí účinky dle generaceAD</a:t>
            </a:r>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0"/>
              <c:layout>
                <c:manualLayout>
                  <c:x val="7.1889713207814393E-3"/>
                  <c:y val="8.6031665396664292E-2"/>
                </c:manualLayout>
              </c:layout>
              <c:showLegendKey val="0"/>
              <c:showVal val="0"/>
              <c:showCatName val="0"/>
              <c:showSerName val="0"/>
              <c:showPercent val="1"/>
              <c:showBubbleSize val="0"/>
            </c:dLbl>
            <c:dLbl>
              <c:idx val="3"/>
              <c:layout>
                <c:manualLayout>
                  <c:x val="7.9478092795269711E-2"/>
                  <c:y val="8.2468842338104004E-2"/>
                </c:manualLayout>
              </c:layout>
              <c:showLegendKey val="0"/>
              <c:showVal val="0"/>
              <c:showCatName val="0"/>
              <c:showSerName val="0"/>
              <c:showPercent val="1"/>
              <c:showBubbleSize val="0"/>
            </c:dLbl>
            <c:dLbl>
              <c:idx val="5"/>
              <c:delete val="1"/>
            </c:dLbl>
            <c:txPr>
              <a:bodyPr/>
              <a:lstStyle/>
              <a:p>
                <a:pPr>
                  <a:defRPr sz="1100" b="1">
                    <a:solidFill>
                      <a:schemeClr val="bg1"/>
                    </a:solidFill>
                  </a:defRPr>
                </a:pPr>
                <a:endParaRPr lang="cs-CZ"/>
              </a:p>
            </c:txPr>
            <c:showLegendKey val="0"/>
            <c:showVal val="0"/>
            <c:showCatName val="0"/>
            <c:showSerName val="0"/>
            <c:showPercent val="1"/>
            <c:showBubbleSize val="0"/>
            <c:showLeaderLines val="1"/>
          </c:dLbls>
          <c:cat>
            <c:strRef>
              <c:f>List2!$A$17:$A$22</c:f>
              <c:strCache>
                <c:ptCount val="6"/>
                <c:pt idx="0">
                  <c:v>II. generace</c:v>
                </c:pt>
                <c:pt idx="1">
                  <c:v>III.generace</c:v>
                </c:pt>
                <c:pt idx="2">
                  <c:v>IV. generace</c:v>
                </c:pt>
                <c:pt idx="3">
                  <c:v>IMAO</c:v>
                </c:pt>
                <c:pt idx="4">
                  <c:v>Kombinace AD</c:v>
                </c:pt>
                <c:pt idx="5">
                  <c:v>Jiná AD</c:v>
                </c:pt>
              </c:strCache>
            </c:strRef>
          </c:cat>
          <c:val>
            <c:numRef>
              <c:f>List2!$B$17:$B$22</c:f>
              <c:numCache>
                <c:formatCode>General</c:formatCode>
                <c:ptCount val="6"/>
                <c:pt idx="0">
                  <c:v>1</c:v>
                </c:pt>
                <c:pt idx="1">
                  <c:v>34</c:v>
                </c:pt>
                <c:pt idx="2">
                  <c:v>11</c:v>
                </c:pt>
                <c:pt idx="3">
                  <c:v>3</c:v>
                </c:pt>
                <c:pt idx="4">
                  <c:v>4</c:v>
                </c:pt>
                <c:pt idx="5">
                  <c:v>0</c:v>
                </c:pt>
              </c:numCache>
            </c:numRef>
          </c:val>
        </c:ser>
        <c:ser>
          <c:idx val="1"/>
          <c:order val="1"/>
          <c:dLbls>
            <c:showLegendKey val="0"/>
            <c:showVal val="0"/>
            <c:showCatName val="0"/>
            <c:showSerName val="0"/>
            <c:showPercent val="1"/>
            <c:showBubbleSize val="0"/>
            <c:showLeaderLines val="1"/>
          </c:dLbls>
          <c:cat>
            <c:strRef>
              <c:f>List2!$A$17:$A$22</c:f>
              <c:strCache>
                <c:ptCount val="6"/>
                <c:pt idx="0">
                  <c:v>II. generace</c:v>
                </c:pt>
                <c:pt idx="1">
                  <c:v>III.generace</c:v>
                </c:pt>
                <c:pt idx="2">
                  <c:v>IV. generace</c:v>
                </c:pt>
                <c:pt idx="3">
                  <c:v>IMAO</c:v>
                </c:pt>
                <c:pt idx="4">
                  <c:v>Kombinace AD</c:v>
                </c:pt>
                <c:pt idx="5">
                  <c:v>Jiná AD</c:v>
                </c:pt>
              </c:strCache>
            </c:strRef>
          </c:cat>
          <c:val>
            <c:numRef>
              <c:f>List2!$C$17:$C$22</c:f>
              <c:numCache>
                <c:formatCode>0.0%</c:formatCode>
                <c:ptCount val="6"/>
                <c:pt idx="0">
                  <c:v>1.8867924528301886E-2</c:v>
                </c:pt>
                <c:pt idx="1">
                  <c:v>0.64150943396226412</c:v>
                </c:pt>
                <c:pt idx="2">
                  <c:v>0.20754716981132096</c:v>
                </c:pt>
                <c:pt idx="3">
                  <c:v>5.6603773584905662E-2</c:v>
                </c:pt>
                <c:pt idx="4">
                  <c:v>7.5471698113207544E-2</c:v>
                </c:pt>
                <c:pt idx="5">
                  <c:v>0</c:v>
                </c:pt>
              </c:numCache>
            </c:numRef>
          </c:val>
        </c:ser>
        <c:dLbls>
          <c:showLegendKey val="0"/>
          <c:showVal val="0"/>
          <c:showCatName val="0"/>
          <c:showSerName val="0"/>
          <c:showPercent val="1"/>
          <c:showBubbleSize val="0"/>
          <c:showLeaderLines val="1"/>
        </c:dLbls>
      </c:pie3DChart>
    </c:plotArea>
    <c:legend>
      <c:legendPos val="r"/>
      <c:legendEntry>
        <c:idx val="5"/>
        <c:delete val="1"/>
      </c:legendEntry>
      <c:layout/>
      <c:overlay val="0"/>
    </c:legend>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Ovlivnění</a:t>
            </a:r>
            <a:r>
              <a:rPr lang="cs-CZ" baseline="0"/>
              <a:t> užívání antidepresiv vlivem NÚ</a:t>
            </a:r>
            <a:endParaRPr lang="cs-CZ"/>
          </a:p>
        </c:rich>
      </c:tx>
      <c:layout/>
      <c:overlay val="0"/>
    </c:title>
    <c:autoTitleDeleted val="0"/>
    <c:plotArea>
      <c:layout>
        <c:manualLayout>
          <c:layoutTarget val="inner"/>
          <c:xMode val="edge"/>
          <c:yMode val="edge"/>
          <c:x val="9.5209812305974945E-2"/>
          <c:y val="0.14669657390749019"/>
          <c:w val="0.87901397211113164"/>
          <c:h val="0.39638309306292263"/>
        </c:manualLayout>
      </c:layout>
      <c:barChart>
        <c:barDir val="col"/>
        <c:grouping val="clustered"/>
        <c:varyColors val="0"/>
        <c:ser>
          <c:idx val="0"/>
          <c:order val="0"/>
          <c:invertIfNegative val="0"/>
          <c:cat>
            <c:strRef>
              <c:f>List3!$A$11:$A$15</c:f>
              <c:strCache>
                <c:ptCount val="5"/>
                <c:pt idx="0">
                  <c:v>určitě ano, kvůli nežádoucím účinkům mi musel lékař změnit antidepresivum</c:v>
                </c:pt>
                <c:pt idx="1">
                  <c:v>spíše ano, z důvodu nežádoucích účinků antidepresiv musím užívat i jiné léky, které tlumí tyto účinky</c:v>
                </c:pt>
                <c:pt idx="2">
                  <c:v>spíše ne, nežádoucí účinky nejsou natolik závažné</c:v>
                </c:pt>
                <c:pt idx="3">
                  <c:v>Rozhodně ne</c:v>
                </c:pt>
                <c:pt idx="4">
                  <c:v>Nevím</c:v>
                </c:pt>
              </c:strCache>
            </c:strRef>
          </c:cat>
          <c:val>
            <c:numRef>
              <c:f>List3!$C$11:$C$15</c:f>
              <c:numCache>
                <c:formatCode>0.0%</c:formatCode>
                <c:ptCount val="5"/>
                <c:pt idx="0">
                  <c:v>0.1111111111111111</c:v>
                </c:pt>
                <c:pt idx="1">
                  <c:v>3.7037037037037056E-2</c:v>
                </c:pt>
                <c:pt idx="2">
                  <c:v>0.53703703703703709</c:v>
                </c:pt>
                <c:pt idx="3">
                  <c:v>0.29629629629629628</c:v>
                </c:pt>
                <c:pt idx="4">
                  <c:v>1.8518518518518528E-2</c:v>
                </c:pt>
              </c:numCache>
            </c:numRef>
          </c:val>
        </c:ser>
        <c:dLbls>
          <c:showLegendKey val="0"/>
          <c:showVal val="0"/>
          <c:showCatName val="0"/>
          <c:showSerName val="0"/>
          <c:showPercent val="0"/>
          <c:showBubbleSize val="0"/>
        </c:dLbls>
        <c:gapWidth val="150"/>
        <c:axId val="82813696"/>
        <c:axId val="82815232"/>
      </c:barChart>
      <c:catAx>
        <c:axId val="82813696"/>
        <c:scaling>
          <c:orientation val="minMax"/>
        </c:scaling>
        <c:delete val="0"/>
        <c:axPos val="b"/>
        <c:majorTickMark val="none"/>
        <c:minorTickMark val="none"/>
        <c:tickLblPos val="nextTo"/>
        <c:crossAx val="82815232"/>
        <c:crosses val="autoZero"/>
        <c:auto val="1"/>
        <c:lblAlgn val="ctr"/>
        <c:lblOffset val="100"/>
        <c:noMultiLvlLbl val="0"/>
      </c:catAx>
      <c:valAx>
        <c:axId val="82815232"/>
        <c:scaling>
          <c:orientation val="minMax"/>
        </c:scaling>
        <c:delete val="0"/>
        <c:axPos val="l"/>
        <c:majorGridlines/>
        <c:numFmt formatCode="0.0%" sourceLinked="1"/>
        <c:majorTickMark val="none"/>
        <c:minorTickMark val="none"/>
        <c:tickLblPos val="nextTo"/>
        <c:crossAx val="82813696"/>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Informovanost o nežádoucích účincích</a:t>
            </a:r>
          </a:p>
        </c:rich>
      </c:tx>
      <c:layout/>
      <c:overlay val="0"/>
    </c:title>
    <c:autoTitleDeleted val="0"/>
    <c:plotArea>
      <c:layout/>
      <c:barChart>
        <c:barDir val="col"/>
        <c:grouping val="clustered"/>
        <c:varyColors val="0"/>
        <c:ser>
          <c:idx val="0"/>
          <c:order val="0"/>
          <c:invertIfNegative val="0"/>
          <c:cat>
            <c:strRef>
              <c:f>List3!$A$2:$A$6</c:f>
              <c:strCache>
                <c:ptCount val="5"/>
                <c:pt idx="0">
                  <c:v>určitě ano</c:v>
                </c:pt>
                <c:pt idx="1">
                  <c:v>spíše ano</c:v>
                </c:pt>
                <c:pt idx="2">
                  <c:v>spíše ne</c:v>
                </c:pt>
                <c:pt idx="3">
                  <c:v>rozhodně ne</c:v>
                </c:pt>
                <c:pt idx="4">
                  <c:v>nevím</c:v>
                </c:pt>
              </c:strCache>
            </c:strRef>
          </c:cat>
          <c:val>
            <c:numRef>
              <c:f>List3!$C$2:$C$6</c:f>
              <c:numCache>
                <c:formatCode>0.0%</c:formatCode>
                <c:ptCount val="5"/>
                <c:pt idx="0">
                  <c:v>0.66666666666666663</c:v>
                </c:pt>
                <c:pt idx="1">
                  <c:v>0.24137931034482768</c:v>
                </c:pt>
                <c:pt idx="2">
                  <c:v>6.8965517241379309E-2</c:v>
                </c:pt>
                <c:pt idx="3">
                  <c:v>0</c:v>
                </c:pt>
                <c:pt idx="4">
                  <c:v>2.2988505747126436E-2</c:v>
                </c:pt>
              </c:numCache>
            </c:numRef>
          </c:val>
        </c:ser>
        <c:dLbls>
          <c:showLegendKey val="0"/>
          <c:showVal val="0"/>
          <c:showCatName val="0"/>
          <c:showSerName val="0"/>
          <c:showPercent val="0"/>
          <c:showBubbleSize val="0"/>
        </c:dLbls>
        <c:gapWidth val="75"/>
        <c:overlap val="-25"/>
        <c:axId val="82823040"/>
        <c:axId val="82824576"/>
      </c:barChart>
      <c:catAx>
        <c:axId val="82823040"/>
        <c:scaling>
          <c:orientation val="minMax"/>
        </c:scaling>
        <c:delete val="0"/>
        <c:axPos val="b"/>
        <c:majorTickMark val="none"/>
        <c:minorTickMark val="none"/>
        <c:tickLblPos val="nextTo"/>
        <c:crossAx val="82824576"/>
        <c:crosses val="autoZero"/>
        <c:auto val="1"/>
        <c:lblAlgn val="ctr"/>
        <c:lblOffset val="100"/>
        <c:noMultiLvlLbl val="0"/>
      </c:catAx>
      <c:valAx>
        <c:axId val="82824576"/>
        <c:scaling>
          <c:orientation val="minMax"/>
        </c:scaling>
        <c:delete val="0"/>
        <c:axPos val="l"/>
        <c:majorGridlines/>
        <c:numFmt formatCode="0.0%" sourceLinked="1"/>
        <c:majorTickMark val="none"/>
        <c:minorTickMark val="none"/>
        <c:tickLblPos val="nextTo"/>
        <c:crossAx val="82823040"/>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Vysazení</a:t>
            </a:r>
            <a:r>
              <a:rPr lang="cs-CZ" baseline="0"/>
              <a:t> AD</a:t>
            </a:r>
            <a:endParaRPr lang="cs-CZ"/>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1"/>
              <c:layout>
                <c:manualLayout>
                  <c:x val="-7.9576654281076922E-2"/>
                  <c:y val="1.6536543204002843E-2"/>
                </c:manualLayout>
              </c:layout>
              <c:showLegendKey val="0"/>
              <c:showVal val="0"/>
              <c:showCatName val="0"/>
              <c:showSerName val="0"/>
              <c:showPercent val="1"/>
              <c:showBubbleSize val="0"/>
            </c:dLbl>
            <c:txPr>
              <a:bodyPr/>
              <a:lstStyle/>
              <a:p>
                <a:pPr>
                  <a:defRPr sz="1100" b="1">
                    <a:solidFill>
                      <a:schemeClr val="bg1"/>
                    </a:solidFill>
                  </a:defRPr>
                </a:pPr>
                <a:endParaRPr lang="cs-CZ"/>
              </a:p>
            </c:txPr>
            <c:showLegendKey val="0"/>
            <c:showVal val="0"/>
            <c:showCatName val="0"/>
            <c:showSerName val="0"/>
            <c:showPercent val="1"/>
            <c:showBubbleSize val="0"/>
            <c:showLeaderLines val="1"/>
          </c:dLbls>
          <c:cat>
            <c:strRef>
              <c:f>Hárok1!$A$2:$A$4</c:f>
              <c:strCache>
                <c:ptCount val="3"/>
                <c:pt idx="0">
                  <c:v>Ano, vysadil/a jsem léky</c:v>
                </c:pt>
                <c:pt idx="1">
                  <c:v>Záměrně jsem si snížil/a dávkuantidepresiva</c:v>
                </c:pt>
                <c:pt idx="2">
                  <c:v>Ne, nevysadil/a jsem nikdy léky</c:v>
                </c:pt>
              </c:strCache>
            </c:strRef>
          </c:cat>
          <c:val>
            <c:numRef>
              <c:f>Hárok1!$B$2:$B$4</c:f>
              <c:numCache>
                <c:formatCode>General</c:formatCode>
                <c:ptCount val="3"/>
                <c:pt idx="0">
                  <c:v>15</c:v>
                </c:pt>
                <c:pt idx="1">
                  <c:v>5</c:v>
                </c:pt>
                <c:pt idx="2">
                  <c:v>67</c:v>
                </c:pt>
              </c:numCache>
            </c:numRef>
          </c:val>
        </c:ser>
        <c:ser>
          <c:idx val="1"/>
          <c:order val="1"/>
          <c:dLbls>
            <c:showLegendKey val="0"/>
            <c:showVal val="0"/>
            <c:showCatName val="0"/>
            <c:showSerName val="0"/>
            <c:showPercent val="1"/>
            <c:showBubbleSize val="0"/>
            <c:showLeaderLines val="1"/>
          </c:dLbls>
          <c:cat>
            <c:strRef>
              <c:f>Hárok1!$A$2:$A$4</c:f>
              <c:strCache>
                <c:ptCount val="3"/>
                <c:pt idx="0">
                  <c:v>Ano, vysadil/a jsem léky</c:v>
                </c:pt>
                <c:pt idx="1">
                  <c:v>Záměrně jsem si snížil/a dávkuantidepresiva</c:v>
                </c:pt>
                <c:pt idx="2">
                  <c:v>Ne, nevysadil/a jsem nikdy léky</c:v>
                </c:pt>
              </c:strCache>
            </c:strRef>
          </c:cat>
          <c:val>
            <c:numRef>
              <c:f>Hárok1!$C$2:$C$4</c:f>
              <c:numCache>
                <c:formatCode>0.0%</c:formatCode>
                <c:ptCount val="3"/>
                <c:pt idx="0">
                  <c:v>0.17241379310344843</c:v>
                </c:pt>
                <c:pt idx="1">
                  <c:v>5.7471264367816112E-2</c:v>
                </c:pt>
                <c:pt idx="2">
                  <c:v>0.77011494252873602</c:v>
                </c:pt>
              </c:numCache>
            </c:numRef>
          </c:val>
        </c:ser>
        <c:dLbls>
          <c:showLegendKey val="0"/>
          <c:showVal val="0"/>
          <c:showCatName val="0"/>
          <c:showSerName val="0"/>
          <c:showPercent val="1"/>
          <c:showBubbleSize val="0"/>
          <c:showLeaderLines val="1"/>
        </c:dLbls>
      </c:pie3DChart>
    </c:plotArea>
    <c:legend>
      <c:legendPos val="r"/>
      <c:layout/>
      <c:overlay val="0"/>
    </c:legend>
    <c:plotVisOnly val="1"/>
    <c:dispBlanksAs val="zero"/>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Důvod</a:t>
            </a:r>
            <a:r>
              <a:rPr lang="cs-CZ" baseline="0"/>
              <a:t> k vysazení AD</a:t>
            </a:r>
            <a:endParaRPr lang="cs-CZ"/>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2"/>
              <c:delete val="1"/>
            </c:dLbl>
            <c:txPr>
              <a:bodyPr/>
              <a:lstStyle/>
              <a:p>
                <a:pPr>
                  <a:defRPr sz="1050" b="1">
                    <a:solidFill>
                      <a:schemeClr val="bg1"/>
                    </a:solidFill>
                  </a:defRPr>
                </a:pPr>
                <a:endParaRPr lang="cs-CZ"/>
              </a:p>
            </c:txPr>
            <c:showLegendKey val="0"/>
            <c:showVal val="0"/>
            <c:showCatName val="0"/>
            <c:showSerName val="0"/>
            <c:showPercent val="1"/>
            <c:showBubbleSize val="0"/>
            <c:showLeaderLines val="1"/>
          </c:dLbls>
          <c:cat>
            <c:strRef>
              <c:f>Hárok1!$A$18:$A$22</c:f>
              <c:strCache>
                <c:ptCount val="5"/>
                <c:pt idx="0">
                  <c:v>Zlepšení stavu</c:v>
                </c:pt>
                <c:pt idx="1">
                  <c:v>Z důvodu nevyhovujícího léku (nežádoucí účinky, dávkování..)</c:v>
                </c:pt>
                <c:pt idx="2">
                  <c:v>Nechuť užívat léky</c:v>
                </c:pt>
                <c:pt idx="3">
                  <c:v>Nepomáhaly mi zbavit se deprese</c:v>
                </c:pt>
                <c:pt idx="4">
                  <c:v>Jiné</c:v>
                </c:pt>
              </c:strCache>
            </c:strRef>
          </c:cat>
          <c:val>
            <c:numRef>
              <c:f>Hárok1!$B$18:$B$22</c:f>
              <c:numCache>
                <c:formatCode>General</c:formatCode>
                <c:ptCount val="5"/>
                <c:pt idx="0">
                  <c:v>12</c:v>
                </c:pt>
                <c:pt idx="1">
                  <c:v>5</c:v>
                </c:pt>
                <c:pt idx="2">
                  <c:v>0</c:v>
                </c:pt>
                <c:pt idx="3">
                  <c:v>2</c:v>
                </c:pt>
                <c:pt idx="4">
                  <c:v>1</c:v>
                </c:pt>
              </c:numCache>
            </c:numRef>
          </c:val>
        </c:ser>
        <c:ser>
          <c:idx val="1"/>
          <c:order val="1"/>
          <c:dLbls>
            <c:showLegendKey val="0"/>
            <c:showVal val="0"/>
            <c:showCatName val="0"/>
            <c:showSerName val="0"/>
            <c:showPercent val="1"/>
            <c:showBubbleSize val="0"/>
            <c:showLeaderLines val="1"/>
          </c:dLbls>
          <c:cat>
            <c:strRef>
              <c:f>Hárok1!$A$18:$A$22</c:f>
              <c:strCache>
                <c:ptCount val="5"/>
                <c:pt idx="0">
                  <c:v>Zlepšení stavu</c:v>
                </c:pt>
                <c:pt idx="1">
                  <c:v>Z důvodu nevyhovujícího léku (nežádoucí účinky, dávkování..)</c:v>
                </c:pt>
                <c:pt idx="2">
                  <c:v>Nechuť užívat léky</c:v>
                </c:pt>
                <c:pt idx="3">
                  <c:v>Nepomáhaly mi zbavit se deprese</c:v>
                </c:pt>
                <c:pt idx="4">
                  <c:v>Jiné</c:v>
                </c:pt>
              </c:strCache>
            </c:strRef>
          </c:cat>
          <c:val>
            <c:numRef>
              <c:f>Hárok1!$C$18:$C$22</c:f>
              <c:numCache>
                <c:formatCode>0.0%</c:formatCode>
                <c:ptCount val="5"/>
                <c:pt idx="0">
                  <c:v>0.60000000000000031</c:v>
                </c:pt>
                <c:pt idx="1">
                  <c:v>0.25</c:v>
                </c:pt>
                <c:pt idx="2" formatCode="0%">
                  <c:v>0</c:v>
                </c:pt>
                <c:pt idx="3">
                  <c:v>0.1</c:v>
                </c:pt>
                <c:pt idx="4">
                  <c:v>0.05</c:v>
                </c:pt>
              </c:numCache>
            </c:numRef>
          </c:val>
        </c:ser>
        <c:dLbls>
          <c:showLegendKey val="0"/>
          <c:showVal val="0"/>
          <c:showCatName val="0"/>
          <c:showSerName val="0"/>
          <c:showPercent val="1"/>
          <c:showBubbleSize val="0"/>
          <c:showLeaderLines val="1"/>
        </c:dLbls>
      </c:pie3DChart>
    </c:plotArea>
    <c:legend>
      <c:legendPos val="r"/>
      <c:legendEntry>
        <c:idx val="2"/>
        <c:delete val="1"/>
      </c:legendEntry>
      <c:layout>
        <c:manualLayout>
          <c:xMode val="edge"/>
          <c:yMode val="edge"/>
          <c:x val="0.68748248574191306"/>
          <c:y val="0.26441656937993202"/>
          <c:w val="0.29747992027312381"/>
          <c:h val="0.65613022346970085"/>
        </c:manualLayout>
      </c:layout>
      <c:overlay val="0"/>
    </c:legend>
    <c:plotVisOnly val="1"/>
    <c:dispBlanksAs val="zero"/>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12"/>
    </mc:Choice>
    <mc:Fallback>
      <c:style val="12"/>
    </mc:Fallback>
  </mc:AlternateContent>
  <c:chart>
    <c:title>
      <c:tx>
        <c:rich>
          <a:bodyPr/>
          <a:lstStyle/>
          <a:p>
            <a:pPr>
              <a:defRPr/>
            </a:pPr>
            <a:r>
              <a:rPr lang="cs-CZ"/>
              <a:t>Relaps</a:t>
            </a:r>
            <a:r>
              <a:rPr lang="cs-CZ" baseline="0"/>
              <a:t> deprese</a:t>
            </a:r>
            <a:endParaRPr lang="cs-CZ"/>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3"/>
              <c:layout>
                <c:manualLayout>
                  <c:x val="-5.1994860017497806E-2"/>
                  <c:y val="-5.3162729658792728E-2"/>
                </c:manualLayout>
              </c:layout>
              <c:spPr/>
              <c:txPr>
                <a:bodyPr/>
                <a:lstStyle/>
                <a:p>
                  <a:pPr>
                    <a:defRPr sz="1100" b="1">
                      <a:solidFill>
                        <a:sysClr val="windowText" lastClr="000000"/>
                      </a:solidFill>
                    </a:defRPr>
                  </a:pPr>
                  <a:endParaRPr lang="cs-CZ"/>
                </a:p>
              </c:txPr>
              <c:showLegendKey val="0"/>
              <c:showVal val="0"/>
              <c:showCatName val="0"/>
              <c:showSerName val="0"/>
              <c:showPercent val="1"/>
              <c:showBubbleSize val="0"/>
            </c:dLbl>
            <c:dLbl>
              <c:idx val="4"/>
              <c:layout>
                <c:manualLayout>
                  <c:x val="3.2294824901854154E-2"/>
                  <c:y val="-2.6215462871382524E-2"/>
                </c:manualLayout>
              </c:layout>
              <c:spPr/>
              <c:txPr>
                <a:bodyPr/>
                <a:lstStyle/>
                <a:p>
                  <a:pPr>
                    <a:defRPr sz="1100" b="1">
                      <a:solidFill>
                        <a:sysClr val="windowText" lastClr="000000"/>
                      </a:solidFill>
                    </a:defRPr>
                  </a:pPr>
                  <a:endParaRPr lang="cs-CZ"/>
                </a:p>
              </c:txPr>
              <c:showLegendKey val="0"/>
              <c:showVal val="0"/>
              <c:showCatName val="0"/>
              <c:showSerName val="0"/>
              <c:showPercent val="1"/>
              <c:showBubbleSize val="0"/>
            </c:dLbl>
            <c:txPr>
              <a:bodyPr/>
              <a:lstStyle/>
              <a:p>
                <a:pPr>
                  <a:defRPr sz="1100" b="1">
                    <a:solidFill>
                      <a:schemeClr val="bg1"/>
                    </a:solidFill>
                  </a:defRPr>
                </a:pPr>
                <a:endParaRPr lang="cs-CZ"/>
              </a:p>
            </c:txPr>
            <c:showLegendKey val="0"/>
            <c:showVal val="0"/>
            <c:showCatName val="0"/>
            <c:showSerName val="0"/>
            <c:showPercent val="1"/>
            <c:showBubbleSize val="0"/>
            <c:showLeaderLines val="1"/>
          </c:dLbls>
          <c:cat>
            <c:strRef>
              <c:f>Hárok1!$A$36:$A$40</c:f>
              <c:strCache>
                <c:ptCount val="5"/>
                <c:pt idx="0">
                  <c:v>Určitě ano</c:v>
                </c:pt>
                <c:pt idx="1">
                  <c:v>Spíše ano</c:v>
                </c:pt>
                <c:pt idx="2">
                  <c:v>Spíše ne</c:v>
                </c:pt>
                <c:pt idx="3">
                  <c:v>Určitě ne</c:v>
                </c:pt>
                <c:pt idx="4">
                  <c:v>Nevím</c:v>
                </c:pt>
              </c:strCache>
            </c:strRef>
          </c:cat>
          <c:val>
            <c:numRef>
              <c:f>Hárok1!$B$36:$B$40</c:f>
              <c:numCache>
                <c:formatCode>General</c:formatCode>
                <c:ptCount val="5"/>
                <c:pt idx="0">
                  <c:v>12</c:v>
                </c:pt>
                <c:pt idx="1">
                  <c:v>7</c:v>
                </c:pt>
                <c:pt idx="2">
                  <c:v>1</c:v>
                </c:pt>
                <c:pt idx="3">
                  <c:v>0</c:v>
                </c:pt>
                <c:pt idx="4">
                  <c:v>0</c:v>
                </c:pt>
              </c:numCache>
            </c:numRef>
          </c:val>
        </c:ser>
        <c:ser>
          <c:idx val="1"/>
          <c:order val="1"/>
          <c:dLbls>
            <c:showLegendKey val="0"/>
            <c:showVal val="0"/>
            <c:showCatName val="0"/>
            <c:showSerName val="0"/>
            <c:showPercent val="1"/>
            <c:showBubbleSize val="0"/>
            <c:showLeaderLines val="1"/>
          </c:dLbls>
          <c:cat>
            <c:strRef>
              <c:f>Hárok1!$A$36:$A$40</c:f>
              <c:strCache>
                <c:ptCount val="5"/>
                <c:pt idx="0">
                  <c:v>Určitě ano</c:v>
                </c:pt>
                <c:pt idx="1">
                  <c:v>Spíše ano</c:v>
                </c:pt>
                <c:pt idx="2">
                  <c:v>Spíše ne</c:v>
                </c:pt>
                <c:pt idx="3">
                  <c:v>Určitě ne</c:v>
                </c:pt>
                <c:pt idx="4">
                  <c:v>Nevím</c:v>
                </c:pt>
              </c:strCache>
            </c:strRef>
          </c:cat>
          <c:val>
            <c:numRef>
              <c:f>Hárok1!$C$36:$C$40</c:f>
              <c:numCache>
                <c:formatCode>0.0%</c:formatCode>
                <c:ptCount val="5"/>
                <c:pt idx="0">
                  <c:v>0.60000000000000031</c:v>
                </c:pt>
                <c:pt idx="1">
                  <c:v>0.35000000000000014</c:v>
                </c:pt>
                <c:pt idx="2">
                  <c:v>0.05</c:v>
                </c:pt>
                <c:pt idx="3">
                  <c:v>0</c:v>
                </c:pt>
                <c:pt idx="4">
                  <c:v>0</c:v>
                </c:pt>
              </c:numCache>
            </c:numRef>
          </c:val>
        </c:ser>
        <c:dLbls>
          <c:showLegendKey val="0"/>
          <c:showVal val="0"/>
          <c:showCatName val="0"/>
          <c:showSerName val="0"/>
          <c:showPercent val="1"/>
          <c:showBubbleSize val="0"/>
          <c:showLeaderLines val="1"/>
        </c:dLbls>
      </c:pie3DChart>
    </c:plotArea>
    <c:legend>
      <c:legendPos val="r"/>
      <c:layout/>
      <c:overlay val="0"/>
    </c:legend>
    <c:plotVisOnly val="1"/>
    <c:dispBlanksAs val="zero"/>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566DD5-34B4-4A65-9CE8-1B033FB163F4}" type="doc">
      <dgm:prSet loTypeId="urn:microsoft.com/office/officeart/2005/8/layout/venn1" loCatId="relationship" qsTypeId="urn:microsoft.com/office/officeart/2005/8/quickstyle/simple3" qsCatId="simple" csTypeId="urn:microsoft.com/office/officeart/2005/8/colors/accent1_2" csCatId="accent1" phldr="1"/>
      <dgm:spPr/>
    </dgm:pt>
    <dgm:pt modelId="{2DB92DC8-6450-4861-8C67-44F54F49D87E}">
      <dgm:prSet phldrT="[Text]"/>
      <dgm:spPr/>
      <dgm:t>
        <a:bodyPr/>
        <a:lstStyle/>
        <a:p>
          <a:r>
            <a:rPr lang="cs-CZ" b="1"/>
            <a:t>NÁHLED</a:t>
          </a:r>
        </a:p>
      </dgm:t>
    </dgm:pt>
    <dgm:pt modelId="{148D9277-5CEB-41FB-9155-5B947D38DC6D}" type="parTrans" cxnId="{847E55A9-9231-42D7-A52B-DE257C5B4DB7}">
      <dgm:prSet/>
      <dgm:spPr/>
      <dgm:t>
        <a:bodyPr/>
        <a:lstStyle/>
        <a:p>
          <a:endParaRPr lang="cs-CZ"/>
        </a:p>
      </dgm:t>
    </dgm:pt>
    <dgm:pt modelId="{12FF1B59-8696-44EE-A28C-CC291CEE8548}" type="sibTrans" cxnId="{847E55A9-9231-42D7-A52B-DE257C5B4DB7}">
      <dgm:prSet/>
      <dgm:spPr/>
      <dgm:t>
        <a:bodyPr/>
        <a:lstStyle/>
        <a:p>
          <a:endParaRPr lang="cs-CZ"/>
        </a:p>
      </dgm:t>
    </dgm:pt>
    <dgm:pt modelId="{5C99CEC2-3AB5-4190-976E-51A8CE55AEF0}">
      <dgm:prSet phldrT="[Text]"/>
      <dgm:spPr/>
      <dgm:t>
        <a:bodyPr/>
        <a:lstStyle/>
        <a:p>
          <a:r>
            <a:rPr lang="cs-CZ" b="1"/>
            <a:t>ÚČINNOST</a:t>
          </a:r>
        </a:p>
      </dgm:t>
    </dgm:pt>
    <dgm:pt modelId="{ECA60B6D-FA9C-4E2E-ACD7-843C7CF8D425}" type="parTrans" cxnId="{78F1175E-A21B-44DD-8477-07D5C65CD78C}">
      <dgm:prSet/>
      <dgm:spPr/>
      <dgm:t>
        <a:bodyPr/>
        <a:lstStyle/>
        <a:p>
          <a:endParaRPr lang="cs-CZ"/>
        </a:p>
      </dgm:t>
    </dgm:pt>
    <dgm:pt modelId="{76A26D3A-6717-4920-BE45-14B760F4E754}" type="sibTrans" cxnId="{78F1175E-A21B-44DD-8477-07D5C65CD78C}">
      <dgm:prSet/>
      <dgm:spPr/>
      <dgm:t>
        <a:bodyPr/>
        <a:lstStyle/>
        <a:p>
          <a:endParaRPr lang="cs-CZ"/>
        </a:p>
      </dgm:t>
    </dgm:pt>
    <dgm:pt modelId="{9CB5062E-A4A2-4560-9F6C-D2335C29B221}">
      <dgm:prSet phldrT="[Text]"/>
      <dgm:spPr/>
      <dgm:t>
        <a:bodyPr/>
        <a:lstStyle/>
        <a:p>
          <a:r>
            <a:rPr lang="cs-CZ" b="1"/>
            <a:t>NEŽÁDOUCÍ ÚČINKY</a:t>
          </a:r>
        </a:p>
      </dgm:t>
    </dgm:pt>
    <dgm:pt modelId="{AA098C1C-61C1-405D-9F33-CDA2D8DFAE46}" type="parTrans" cxnId="{0EDD1FB1-59F6-41B0-B9B5-B940F45D4358}">
      <dgm:prSet/>
      <dgm:spPr/>
      <dgm:t>
        <a:bodyPr/>
        <a:lstStyle/>
        <a:p>
          <a:endParaRPr lang="cs-CZ"/>
        </a:p>
      </dgm:t>
    </dgm:pt>
    <dgm:pt modelId="{018D36C5-0FEF-4AC6-8C99-9707516D6031}" type="sibTrans" cxnId="{0EDD1FB1-59F6-41B0-B9B5-B940F45D4358}">
      <dgm:prSet/>
      <dgm:spPr/>
      <dgm:t>
        <a:bodyPr/>
        <a:lstStyle/>
        <a:p>
          <a:endParaRPr lang="cs-CZ"/>
        </a:p>
      </dgm:t>
    </dgm:pt>
    <dgm:pt modelId="{018305A2-8115-48E8-9977-E7F9FC7E7E96}">
      <dgm:prSet/>
      <dgm:spPr/>
      <dgm:t>
        <a:bodyPr/>
        <a:lstStyle/>
        <a:p>
          <a:r>
            <a:rPr lang="cs-CZ" b="1"/>
            <a:t>MOTIVACE A PODPORA</a:t>
          </a:r>
        </a:p>
      </dgm:t>
    </dgm:pt>
    <dgm:pt modelId="{92CC89A0-A446-4D20-9DEA-CDF3DED5535B}" type="parTrans" cxnId="{C8194F47-6345-424A-98A5-C7710E48E3D6}">
      <dgm:prSet/>
      <dgm:spPr/>
      <dgm:t>
        <a:bodyPr/>
        <a:lstStyle/>
        <a:p>
          <a:endParaRPr lang="cs-CZ"/>
        </a:p>
      </dgm:t>
    </dgm:pt>
    <dgm:pt modelId="{E550560A-2E4C-4255-ABA4-E81506724B7F}" type="sibTrans" cxnId="{C8194F47-6345-424A-98A5-C7710E48E3D6}">
      <dgm:prSet/>
      <dgm:spPr/>
      <dgm:t>
        <a:bodyPr/>
        <a:lstStyle/>
        <a:p>
          <a:endParaRPr lang="cs-CZ"/>
        </a:p>
      </dgm:t>
    </dgm:pt>
    <dgm:pt modelId="{57F5DD20-88D1-4A65-899D-F5E9A832BD46}" type="pres">
      <dgm:prSet presAssocID="{2B566DD5-34B4-4A65-9CE8-1B033FB163F4}" presName="compositeShape" presStyleCnt="0">
        <dgm:presLayoutVars>
          <dgm:chMax val="7"/>
          <dgm:dir/>
          <dgm:resizeHandles val="exact"/>
        </dgm:presLayoutVars>
      </dgm:prSet>
      <dgm:spPr/>
    </dgm:pt>
    <dgm:pt modelId="{F8422C4C-8988-4DD7-B38F-00DCB710091E}" type="pres">
      <dgm:prSet presAssocID="{2DB92DC8-6450-4861-8C67-44F54F49D87E}" presName="circ1" presStyleLbl="vennNode1" presStyleIdx="0" presStyleCnt="4"/>
      <dgm:spPr/>
      <dgm:t>
        <a:bodyPr/>
        <a:lstStyle/>
        <a:p>
          <a:endParaRPr lang="cs-CZ"/>
        </a:p>
      </dgm:t>
    </dgm:pt>
    <dgm:pt modelId="{FCCF4E67-4B90-40C7-B46C-D8C80A02BA6E}" type="pres">
      <dgm:prSet presAssocID="{2DB92DC8-6450-4861-8C67-44F54F49D87E}" presName="circ1Tx" presStyleLbl="revTx" presStyleIdx="0" presStyleCnt="0">
        <dgm:presLayoutVars>
          <dgm:chMax val="0"/>
          <dgm:chPref val="0"/>
          <dgm:bulletEnabled val="1"/>
        </dgm:presLayoutVars>
      </dgm:prSet>
      <dgm:spPr/>
      <dgm:t>
        <a:bodyPr/>
        <a:lstStyle/>
        <a:p>
          <a:endParaRPr lang="cs-CZ"/>
        </a:p>
      </dgm:t>
    </dgm:pt>
    <dgm:pt modelId="{22A98684-9765-4891-BFF3-18EBEFA27972}" type="pres">
      <dgm:prSet presAssocID="{5C99CEC2-3AB5-4190-976E-51A8CE55AEF0}" presName="circ2" presStyleLbl="vennNode1" presStyleIdx="1" presStyleCnt="4"/>
      <dgm:spPr/>
      <dgm:t>
        <a:bodyPr/>
        <a:lstStyle/>
        <a:p>
          <a:endParaRPr lang="cs-CZ"/>
        </a:p>
      </dgm:t>
    </dgm:pt>
    <dgm:pt modelId="{DF4739AB-EA88-4FF5-980D-09FE18A3FBC2}" type="pres">
      <dgm:prSet presAssocID="{5C99CEC2-3AB5-4190-976E-51A8CE55AEF0}" presName="circ2Tx" presStyleLbl="revTx" presStyleIdx="0" presStyleCnt="0">
        <dgm:presLayoutVars>
          <dgm:chMax val="0"/>
          <dgm:chPref val="0"/>
          <dgm:bulletEnabled val="1"/>
        </dgm:presLayoutVars>
      </dgm:prSet>
      <dgm:spPr/>
      <dgm:t>
        <a:bodyPr/>
        <a:lstStyle/>
        <a:p>
          <a:endParaRPr lang="cs-CZ"/>
        </a:p>
      </dgm:t>
    </dgm:pt>
    <dgm:pt modelId="{9775982C-4A52-48D2-BFF9-4846716E0A62}" type="pres">
      <dgm:prSet presAssocID="{018305A2-8115-48E8-9977-E7F9FC7E7E96}" presName="circ3" presStyleLbl="vennNode1" presStyleIdx="2" presStyleCnt="4"/>
      <dgm:spPr/>
      <dgm:t>
        <a:bodyPr/>
        <a:lstStyle/>
        <a:p>
          <a:endParaRPr lang="cs-CZ"/>
        </a:p>
      </dgm:t>
    </dgm:pt>
    <dgm:pt modelId="{154A752B-8C12-4AD4-89EA-386BB09832C8}" type="pres">
      <dgm:prSet presAssocID="{018305A2-8115-48E8-9977-E7F9FC7E7E96}" presName="circ3Tx" presStyleLbl="revTx" presStyleIdx="0" presStyleCnt="0">
        <dgm:presLayoutVars>
          <dgm:chMax val="0"/>
          <dgm:chPref val="0"/>
          <dgm:bulletEnabled val="1"/>
        </dgm:presLayoutVars>
      </dgm:prSet>
      <dgm:spPr/>
      <dgm:t>
        <a:bodyPr/>
        <a:lstStyle/>
        <a:p>
          <a:endParaRPr lang="cs-CZ"/>
        </a:p>
      </dgm:t>
    </dgm:pt>
    <dgm:pt modelId="{65602496-75A4-405F-A5EF-C423F153787B}" type="pres">
      <dgm:prSet presAssocID="{9CB5062E-A4A2-4560-9F6C-D2335C29B221}" presName="circ4" presStyleLbl="vennNode1" presStyleIdx="3" presStyleCnt="4"/>
      <dgm:spPr/>
      <dgm:t>
        <a:bodyPr/>
        <a:lstStyle/>
        <a:p>
          <a:endParaRPr lang="cs-CZ"/>
        </a:p>
      </dgm:t>
    </dgm:pt>
    <dgm:pt modelId="{BD7BBEF1-F596-4BFE-AB30-338A377CF52F}" type="pres">
      <dgm:prSet presAssocID="{9CB5062E-A4A2-4560-9F6C-D2335C29B221}" presName="circ4Tx" presStyleLbl="revTx" presStyleIdx="0" presStyleCnt="0">
        <dgm:presLayoutVars>
          <dgm:chMax val="0"/>
          <dgm:chPref val="0"/>
          <dgm:bulletEnabled val="1"/>
        </dgm:presLayoutVars>
      </dgm:prSet>
      <dgm:spPr/>
      <dgm:t>
        <a:bodyPr/>
        <a:lstStyle/>
        <a:p>
          <a:endParaRPr lang="cs-CZ"/>
        </a:p>
      </dgm:t>
    </dgm:pt>
  </dgm:ptLst>
  <dgm:cxnLst>
    <dgm:cxn modelId="{41FD429C-766D-4DDE-BD1F-3BB9804AA67C}" type="presOf" srcId="{2DB92DC8-6450-4861-8C67-44F54F49D87E}" destId="{F8422C4C-8988-4DD7-B38F-00DCB710091E}" srcOrd="0" destOrd="0" presId="urn:microsoft.com/office/officeart/2005/8/layout/venn1"/>
    <dgm:cxn modelId="{C8194F47-6345-424A-98A5-C7710E48E3D6}" srcId="{2B566DD5-34B4-4A65-9CE8-1B033FB163F4}" destId="{018305A2-8115-48E8-9977-E7F9FC7E7E96}" srcOrd="2" destOrd="0" parTransId="{92CC89A0-A446-4D20-9DEA-CDF3DED5535B}" sibTransId="{E550560A-2E4C-4255-ABA4-E81506724B7F}"/>
    <dgm:cxn modelId="{02CA516B-5C51-4642-A4B5-6D92230A39B7}" type="presOf" srcId="{9CB5062E-A4A2-4560-9F6C-D2335C29B221}" destId="{65602496-75A4-405F-A5EF-C423F153787B}" srcOrd="0" destOrd="0" presId="urn:microsoft.com/office/officeart/2005/8/layout/venn1"/>
    <dgm:cxn modelId="{847E55A9-9231-42D7-A52B-DE257C5B4DB7}" srcId="{2B566DD5-34B4-4A65-9CE8-1B033FB163F4}" destId="{2DB92DC8-6450-4861-8C67-44F54F49D87E}" srcOrd="0" destOrd="0" parTransId="{148D9277-5CEB-41FB-9155-5B947D38DC6D}" sibTransId="{12FF1B59-8696-44EE-A28C-CC291CEE8548}"/>
    <dgm:cxn modelId="{639D5884-685F-4939-9B7C-33E605A1281E}" type="presOf" srcId="{018305A2-8115-48E8-9977-E7F9FC7E7E96}" destId="{9775982C-4A52-48D2-BFF9-4846716E0A62}" srcOrd="0" destOrd="0" presId="urn:microsoft.com/office/officeart/2005/8/layout/venn1"/>
    <dgm:cxn modelId="{1B9FB8D6-4113-4FB2-A9CA-70284B33D193}" type="presOf" srcId="{9CB5062E-A4A2-4560-9F6C-D2335C29B221}" destId="{BD7BBEF1-F596-4BFE-AB30-338A377CF52F}" srcOrd="1" destOrd="0" presId="urn:microsoft.com/office/officeart/2005/8/layout/venn1"/>
    <dgm:cxn modelId="{78F1175E-A21B-44DD-8477-07D5C65CD78C}" srcId="{2B566DD5-34B4-4A65-9CE8-1B033FB163F4}" destId="{5C99CEC2-3AB5-4190-976E-51A8CE55AEF0}" srcOrd="1" destOrd="0" parTransId="{ECA60B6D-FA9C-4E2E-ACD7-843C7CF8D425}" sibTransId="{76A26D3A-6717-4920-BE45-14B760F4E754}"/>
    <dgm:cxn modelId="{27E9D956-4AC3-403D-8E7F-42410D7FEFE9}" type="presOf" srcId="{2DB92DC8-6450-4861-8C67-44F54F49D87E}" destId="{FCCF4E67-4B90-40C7-B46C-D8C80A02BA6E}" srcOrd="1" destOrd="0" presId="urn:microsoft.com/office/officeart/2005/8/layout/venn1"/>
    <dgm:cxn modelId="{225E83E4-4146-4D05-9047-3503E2AA9547}" type="presOf" srcId="{5C99CEC2-3AB5-4190-976E-51A8CE55AEF0}" destId="{22A98684-9765-4891-BFF3-18EBEFA27972}" srcOrd="0" destOrd="0" presId="urn:microsoft.com/office/officeart/2005/8/layout/venn1"/>
    <dgm:cxn modelId="{0EDD1FB1-59F6-41B0-B9B5-B940F45D4358}" srcId="{2B566DD5-34B4-4A65-9CE8-1B033FB163F4}" destId="{9CB5062E-A4A2-4560-9F6C-D2335C29B221}" srcOrd="3" destOrd="0" parTransId="{AA098C1C-61C1-405D-9F33-CDA2D8DFAE46}" sibTransId="{018D36C5-0FEF-4AC6-8C99-9707516D6031}"/>
    <dgm:cxn modelId="{5D2C7391-85C6-495B-AF02-B1D91778F5D8}" type="presOf" srcId="{5C99CEC2-3AB5-4190-976E-51A8CE55AEF0}" destId="{DF4739AB-EA88-4FF5-980D-09FE18A3FBC2}" srcOrd="1" destOrd="0" presId="urn:microsoft.com/office/officeart/2005/8/layout/venn1"/>
    <dgm:cxn modelId="{03498F0A-3080-42B6-8767-69CE69732CE9}" type="presOf" srcId="{018305A2-8115-48E8-9977-E7F9FC7E7E96}" destId="{154A752B-8C12-4AD4-89EA-386BB09832C8}" srcOrd="1" destOrd="0" presId="urn:microsoft.com/office/officeart/2005/8/layout/venn1"/>
    <dgm:cxn modelId="{74B902E9-8C6E-4986-A7FC-8C84C6906AE9}" type="presOf" srcId="{2B566DD5-34B4-4A65-9CE8-1B033FB163F4}" destId="{57F5DD20-88D1-4A65-899D-F5E9A832BD46}" srcOrd="0" destOrd="0" presId="urn:microsoft.com/office/officeart/2005/8/layout/venn1"/>
    <dgm:cxn modelId="{D8183A5C-5005-4799-9B77-9DF115ABE794}" type="presParOf" srcId="{57F5DD20-88D1-4A65-899D-F5E9A832BD46}" destId="{F8422C4C-8988-4DD7-B38F-00DCB710091E}" srcOrd="0" destOrd="0" presId="urn:microsoft.com/office/officeart/2005/8/layout/venn1"/>
    <dgm:cxn modelId="{880466D9-A49A-4A40-94C8-0BE723DADDF6}" type="presParOf" srcId="{57F5DD20-88D1-4A65-899D-F5E9A832BD46}" destId="{FCCF4E67-4B90-40C7-B46C-D8C80A02BA6E}" srcOrd="1" destOrd="0" presId="urn:microsoft.com/office/officeart/2005/8/layout/venn1"/>
    <dgm:cxn modelId="{CF4A1601-0494-4C2D-955D-4ABA0255EBC9}" type="presParOf" srcId="{57F5DD20-88D1-4A65-899D-F5E9A832BD46}" destId="{22A98684-9765-4891-BFF3-18EBEFA27972}" srcOrd="2" destOrd="0" presId="urn:microsoft.com/office/officeart/2005/8/layout/venn1"/>
    <dgm:cxn modelId="{BCAC77FC-E9CC-4D5A-AFDA-F5AA3E3CA12B}" type="presParOf" srcId="{57F5DD20-88D1-4A65-899D-F5E9A832BD46}" destId="{DF4739AB-EA88-4FF5-980D-09FE18A3FBC2}" srcOrd="3" destOrd="0" presId="urn:microsoft.com/office/officeart/2005/8/layout/venn1"/>
    <dgm:cxn modelId="{7F2E5B45-12AB-43E7-A285-35E8FA0A77A4}" type="presParOf" srcId="{57F5DD20-88D1-4A65-899D-F5E9A832BD46}" destId="{9775982C-4A52-48D2-BFF9-4846716E0A62}" srcOrd="4" destOrd="0" presId="urn:microsoft.com/office/officeart/2005/8/layout/venn1"/>
    <dgm:cxn modelId="{C483E848-BCD8-4602-8020-4F90DEF474B5}" type="presParOf" srcId="{57F5DD20-88D1-4A65-899D-F5E9A832BD46}" destId="{154A752B-8C12-4AD4-89EA-386BB09832C8}" srcOrd="5" destOrd="0" presId="urn:microsoft.com/office/officeart/2005/8/layout/venn1"/>
    <dgm:cxn modelId="{527C8AF4-7D44-4E92-B1A1-EF2CA4165FA9}" type="presParOf" srcId="{57F5DD20-88D1-4A65-899D-F5E9A832BD46}" destId="{65602496-75A4-405F-A5EF-C423F153787B}" srcOrd="6" destOrd="0" presId="urn:microsoft.com/office/officeart/2005/8/layout/venn1"/>
    <dgm:cxn modelId="{28E12C63-33F3-4D59-81E9-C6EC26B41D1B}" type="presParOf" srcId="{57F5DD20-88D1-4A65-899D-F5E9A832BD46}" destId="{BD7BBEF1-F596-4BFE-AB30-338A377CF52F}" srcOrd="7" destOrd="0" presId="urn:microsoft.com/office/officeart/2005/8/layout/ven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422C4C-8988-4DD7-B38F-00DCB710091E}">
      <dsp:nvSpPr>
        <dsp:cNvPr id="0" name=""/>
        <dsp:cNvSpPr/>
      </dsp:nvSpPr>
      <dsp:spPr>
        <a:xfrm>
          <a:off x="1664779" y="33051"/>
          <a:ext cx="1718690" cy="1718690"/>
        </a:xfrm>
        <a:prstGeom prst="ellipse">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cs-CZ" sz="1000" b="1" kern="1200"/>
            <a:t>NÁHLED</a:t>
          </a:r>
        </a:p>
      </dsp:txBody>
      <dsp:txXfrm>
        <a:off x="1863089" y="264413"/>
        <a:ext cx="1322070" cy="545353"/>
      </dsp:txXfrm>
    </dsp:sp>
    <dsp:sp modelId="{22A98684-9765-4891-BFF3-18EBEFA27972}">
      <dsp:nvSpPr>
        <dsp:cNvPr id="0" name=""/>
        <dsp:cNvSpPr/>
      </dsp:nvSpPr>
      <dsp:spPr>
        <a:xfrm>
          <a:off x="2424969" y="793241"/>
          <a:ext cx="1718690" cy="1718690"/>
        </a:xfrm>
        <a:prstGeom prst="ellipse">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cs-CZ" sz="1000" b="1" kern="1200"/>
            <a:t>ÚČINNOST</a:t>
          </a:r>
        </a:p>
      </dsp:txBody>
      <dsp:txXfrm>
        <a:off x="3350418" y="991552"/>
        <a:ext cx="661035" cy="1322070"/>
      </dsp:txXfrm>
    </dsp:sp>
    <dsp:sp modelId="{9775982C-4A52-48D2-BFF9-4846716E0A62}">
      <dsp:nvSpPr>
        <dsp:cNvPr id="0" name=""/>
        <dsp:cNvSpPr/>
      </dsp:nvSpPr>
      <dsp:spPr>
        <a:xfrm>
          <a:off x="1664779" y="1553432"/>
          <a:ext cx="1718690" cy="1718690"/>
        </a:xfrm>
        <a:prstGeom prst="ellipse">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cs-CZ" sz="1000" b="1" kern="1200"/>
            <a:t>MOTIVACE A PODPORA</a:t>
          </a:r>
        </a:p>
      </dsp:txBody>
      <dsp:txXfrm>
        <a:off x="1863089" y="2495407"/>
        <a:ext cx="1322070" cy="545353"/>
      </dsp:txXfrm>
    </dsp:sp>
    <dsp:sp modelId="{65602496-75A4-405F-A5EF-C423F153787B}">
      <dsp:nvSpPr>
        <dsp:cNvPr id="0" name=""/>
        <dsp:cNvSpPr/>
      </dsp:nvSpPr>
      <dsp:spPr>
        <a:xfrm>
          <a:off x="904589" y="793241"/>
          <a:ext cx="1718690" cy="1718690"/>
        </a:xfrm>
        <a:prstGeom prst="ellipse">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cs-CZ" sz="1000" b="1" kern="1200"/>
            <a:t>NEŽÁDOUCÍ ÚČINKY</a:t>
          </a:r>
        </a:p>
      </dsp:txBody>
      <dsp:txXfrm>
        <a:off x="1036796" y="991552"/>
        <a:ext cx="661035" cy="1322070"/>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833BCC-8A45-4795-BA3A-8445E82F8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108</Pages>
  <Words>21100</Words>
  <Characters>124496</Characters>
  <Application>Microsoft Office Word</Application>
  <DocSecurity>0</DocSecurity>
  <Lines>1037</Lines>
  <Paragraphs>290</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145306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Myslivcovi</dc:creator>
  <cp:lastModifiedBy>Adélečka</cp:lastModifiedBy>
  <cp:revision>10</cp:revision>
  <cp:lastPrinted>2013-04-11T06:48:00Z</cp:lastPrinted>
  <dcterms:created xsi:type="dcterms:W3CDTF">2013-04-04T17:55:00Z</dcterms:created>
  <dcterms:modified xsi:type="dcterms:W3CDTF">2013-04-11T06:52:00Z</dcterms:modified>
</cp:coreProperties>
</file>