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D22D3" w14:textId="02313FE9" w:rsidR="008E2F33" w:rsidRDefault="008E2F33" w:rsidP="00621D09">
      <w:pPr>
        <w:jc w:val="center"/>
      </w:pPr>
      <w:bookmarkStart w:id="0" w:name="_Hlk71298077"/>
    </w:p>
    <w:p w14:paraId="2B4AAE88" w14:textId="72875029" w:rsidR="00621D09" w:rsidRPr="00621D09" w:rsidRDefault="00621D09" w:rsidP="00621D09">
      <w:pPr>
        <w:jc w:val="center"/>
        <w:rPr>
          <w:szCs w:val="24"/>
        </w:rPr>
      </w:pPr>
      <w:r w:rsidRPr="00621D09">
        <w:rPr>
          <w:szCs w:val="24"/>
        </w:rPr>
        <w:t>Univerzita Palackého v Olomouci</w:t>
      </w:r>
      <w:r w:rsidRPr="00621D09">
        <w:rPr>
          <w:szCs w:val="24"/>
        </w:rPr>
        <w:br/>
        <w:t>Právnická fakulta</w:t>
      </w:r>
    </w:p>
    <w:p w14:paraId="4C1B35C5" w14:textId="4AEAB097" w:rsidR="00621D09" w:rsidRDefault="00621D09" w:rsidP="00621D09">
      <w:pPr>
        <w:jc w:val="center"/>
      </w:pPr>
    </w:p>
    <w:p w14:paraId="28856B85" w14:textId="217A9EEA" w:rsidR="00621D09" w:rsidRDefault="00621D09" w:rsidP="00621D09">
      <w:pPr>
        <w:jc w:val="center"/>
      </w:pPr>
    </w:p>
    <w:p w14:paraId="782F496D" w14:textId="4920D34F" w:rsidR="00621D09" w:rsidRDefault="00621D09" w:rsidP="00621D09">
      <w:pPr>
        <w:jc w:val="center"/>
      </w:pPr>
    </w:p>
    <w:p w14:paraId="0B574928" w14:textId="26E196A1" w:rsidR="00621D09" w:rsidRDefault="00621D09" w:rsidP="00621D09">
      <w:pPr>
        <w:jc w:val="center"/>
        <w:rPr>
          <w:sz w:val="32"/>
          <w:szCs w:val="32"/>
        </w:rPr>
      </w:pPr>
      <w:r w:rsidRPr="00621D09">
        <w:rPr>
          <w:sz w:val="32"/>
          <w:szCs w:val="32"/>
        </w:rPr>
        <w:t>Vojtěch Šácha</w:t>
      </w:r>
    </w:p>
    <w:p w14:paraId="375C6AEA" w14:textId="1177211E" w:rsidR="00621D09" w:rsidRDefault="00621D09" w:rsidP="00621D09">
      <w:pPr>
        <w:jc w:val="center"/>
        <w:rPr>
          <w:sz w:val="28"/>
          <w:szCs w:val="28"/>
        </w:rPr>
      </w:pPr>
      <w:r w:rsidRPr="00621D09">
        <w:rPr>
          <w:sz w:val="28"/>
          <w:szCs w:val="28"/>
        </w:rPr>
        <w:t>Autonomní zbraňové systémy z pohledu mezinárodního</w:t>
      </w:r>
      <w:r w:rsidR="00505680">
        <w:rPr>
          <w:sz w:val="28"/>
          <w:szCs w:val="28"/>
        </w:rPr>
        <w:t xml:space="preserve"> </w:t>
      </w:r>
      <w:r w:rsidRPr="00621D09">
        <w:rPr>
          <w:sz w:val="28"/>
          <w:szCs w:val="28"/>
        </w:rPr>
        <w:t>práva</w:t>
      </w:r>
    </w:p>
    <w:p w14:paraId="133A10D5" w14:textId="35A486FC" w:rsidR="00621D09" w:rsidRDefault="00621D09" w:rsidP="00621D09">
      <w:pPr>
        <w:jc w:val="center"/>
        <w:rPr>
          <w:sz w:val="28"/>
          <w:szCs w:val="28"/>
        </w:rPr>
      </w:pPr>
    </w:p>
    <w:p w14:paraId="03DB2F97" w14:textId="6808A648" w:rsidR="00621D09" w:rsidRDefault="00621D09" w:rsidP="00621D09">
      <w:pPr>
        <w:jc w:val="center"/>
        <w:rPr>
          <w:szCs w:val="24"/>
        </w:rPr>
      </w:pPr>
      <w:r>
        <w:rPr>
          <w:szCs w:val="24"/>
        </w:rPr>
        <w:t>Diplomová práce</w:t>
      </w:r>
    </w:p>
    <w:p w14:paraId="2EE011C4" w14:textId="65165E79" w:rsidR="00621D09" w:rsidRDefault="00621D09" w:rsidP="00621D09">
      <w:pPr>
        <w:jc w:val="center"/>
        <w:rPr>
          <w:szCs w:val="24"/>
        </w:rPr>
      </w:pPr>
    </w:p>
    <w:p w14:paraId="263332BB" w14:textId="152E038E" w:rsidR="00621D09" w:rsidRDefault="00621D09" w:rsidP="00621D09">
      <w:pPr>
        <w:jc w:val="center"/>
        <w:rPr>
          <w:szCs w:val="24"/>
        </w:rPr>
      </w:pPr>
    </w:p>
    <w:p w14:paraId="214B2D56" w14:textId="5C171269" w:rsidR="00621D09" w:rsidRDefault="00621D09" w:rsidP="00621D09">
      <w:pPr>
        <w:jc w:val="center"/>
        <w:rPr>
          <w:szCs w:val="24"/>
        </w:rPr>
      </w:pPr>
    </w:p>
    <w:p w14:paraId="7C2A1BA2" w14:textId="76731FB7" w:rsidR="00621D09" w:rsidRDefault="00621D09" w:rsidP="00621D09">
      <w:pPr>
        <w:jc w:val="center"/>
        <w:rPr>
          <w:szCs w:val="24"/>
        </w:rPr>
      </w:pPr>
    </w:p>
    <w:p w14:paraId="3994B813" w14:textId="19668FD7" w:rsidR="00621D09" w:rsidRDefault="00621D09" w:rsidP="00621D09">
      <w:pPr>
        <w:jc w:val="center"/>
        <w:rPr>
          <w:szCs w:val="24"/>
        </w:rPr>
      </w:pPr>
    </w:p>
    <w:p w14:paraId="0EA8E3E8" w14:textId="003BE29F" w:rsidR="00621D09" w:rsidRDefault="00621D09" w:rsidP="00621D09">
      <w:pPr>
        <w:jc w:val="center"/>
        <w:rPr>
          <w:szCs w:val="24"/>
        </w:rPr>
      </w:pPr>
    </w:p>
    <w:p w14:paraId="1471AF1A" w14:textId="68573AE8" w:rsidR="00621D09" w:rsidRDefault="00621D09" w:rsidP="00621D09">
      <w:pPr>
        <w:jc w:val="center"/>
        <w:rPr>
          <w:szCs w:val="24"/>
        </w:rPr>
      </w:pPr>
    </w:p>
    <w:p w14:paraId="757BC2E8" w14:textId="27F12E87" w:rsidR="00621D09" w:rsidRDefault="00621D09" w:rsidP="00621D09">
      <w:pPr>
        <w:jc w:val="center"/>
        <w:rPr>
          <w:szCs w:val="24"/>
        </w:rPr>
      </w:pPr>
    </w:p>
    <w:p w14:paraId="6A92A86A" w14:textId="1753CD44" w:rsidR="00621D09" w:rsidRDefault="00621D09" w:rsidP="00621D09">
      <w:pPr>
        <w:jc w:val="center"/>
        <w:rPr>
          <w:szCs w:val="24"/>
        </w:rPr>
      </w:pPr>
    </w:p>
    <w:p w14:paraId="04F66C9E" w14:textId="7CB1A4BD" w:rsidR="00621D09" w:rsidRDefault="00621D09" w:rsidP="00621D09">
      <w:pPr>
        <w:jc w:val="center"/>
        <w:rPr>
          <w:szCs w:val="24"/>
        </w:rPr>
      </w:pPr>
    </w:p>
    <w:p w14:paraId="2F241123" w14:textId="71FDA9FA" w:rsidR="00621D09" w:rsidRDefault="00621D09" w:rsidP="00621D09">
      <w:pPr>
        <w:jc w:val="center"/>
        <w:rPr>
          <w:szCs w:val="24"/>
        </w:rPr>
      </w:pPr>
      <w:r>
        <w:rPr>
          <w:szCs w:val="24"/>
        </w:rPr>
        <w:t>Olomouc 202</w:t>
      </w:r>
      <w:r w:rsidR="0056136A">
        <w:rPr>
          <w:szCs w:val="24"/>
        </w:rPr>
        <w:t>4</w:t>
      </w:r>
    </w:p>
    <w:p w14:paraId="69ED96C0" w14:textId="5ABD31E5" w:rsidR="0088060C" w:rsidRDefault="0088060C" w:rsidP="00621D09">
      <w:pPr>
        <w:jc w:val="center"/>
        <w:rPr>
          <w:szCs w:val="24"/>
        </w:rPr>
      </w:pPr>
    </w:p>
    <w:p w14:paraId="272FF87B" w14:textId="765C5BCD" w:rsidR="0088060C" w:rsidRDefault="0088060C" w:rsidP="00621D09">
      <w:pPr>
        <w:jc w:val="center"/>
        <w:rPr>
          <w:szCs w:val="24"/>
        </w:rPr>
      </w:pPr>
    </w:p>
    <w:p w14:paraId="503AAE80" w14:textId="7645350C" w:rsidR="0088060C" w:rsidRDefault="0088060C" w:rsidP="00621D09">
      <w:pPr>
        <w:jc w:val="center"/>
        <w:rPr>
          <w:szCs w:val="24"/>
        </w:rPr>
      </w:pPr>
    </w:p>
    <w:p w14:paraId="5810F150" w14:textId="1D066FE4" w:rsidR="0088060C" w:rsidRDefault="0088060C" w:rsidP="00621D09">
      <w:pPr>
        <w:jc w:val="center"/>
        <w:rPr>
          <w:szCs w:val="24"/>
        </w:rPr>
      </w:pPr>
    </w:p>
    <w:p w14:paraId="1AFF51E6" w14:textId="217253DA" w:rsidR="0088060C" w:rsidRDefault="0088060C" w:rsidP="00621D09">
      <w:pPr>
        <w:jc w:val="center"/>
        <w:rPr>
          <w:szCs w:val="24"/>
        </w:rPr>
      </w:pPr>
    </w:p>
    <w:p w14:paraId="3A0795EE" w14:textId="500FAD18" w:rsidR="00F3629B" w:rsidRPr="00F3629B" w:rsidRDefault="00F3629B" w:rsidP="00F3629B">
      <w:pPr>
        <w:rPr>
          <w:szCs w:val="24"/>
        </w:rPr>
      </w:pPr>
    </w:p>
    <w:p w14:paraId="04703F33" w14:textId="613533F5" w:rsidR="00F3629B" w:rsidRPr="00F3629B" w:rsidRDefault="00F3629B" w:rsidP="00F3629B">
      <w:pPr>
        <w:rPr>
          <w:szCs w:val="24"/>
        </w:rPr>
      </w:pPr>
    </w:p>
    <w:p w14:paraId="51173331" w14:textId="0213BBF1" w:rsidR="00F3629B" w:rsidRPr="00F3629B" w:rsidRDefault="00F3629B" w:rsidP="00F3629B">
      <w:pPr>
        <w:rPr>
          <w:szCs w:val="24"/>
        </w:rPr>
      </w:pPr>
    </w:p>
    <w:p w14:paraId="4A1DB78F" w14:textId="7117CCD4" w:rsidR="00F3629B" w:rsidRPr="00F3629B" w:rsidRDefault="00F3629B" w:rsidP="00F3629B">
      <w:pPr>
        <w:rPr>
          <w:szCs w:val="24"/>
        </w:rPr>
      </w:pPr>
    </w:p>
    <w:p w14:paraId="3919D6BB" w14:textId="2F4F8533" w:rsidR="00F3629B" w:rsidRPr="00F3629B" w:rsidRDefault="00F3629B" w:rsidP="00F3629B">
      <w:pPr>
        <w:rPr>
          <w:szCs w:val="24"/>
        </w:rPr>
      </w:pPr>
    </w:p>
    <w:p w14:paraId="18B5B106" w14:textId="0D54EF33" w:rsidR="00F3629B" w:rsidRPr="00F3629B" w:rsidRDefault="00F3629B" w:rsidP="00F3629B">
      <w:pPr>
        <w:rPr>
          <w:szCs w:val="24"/>
        </w:rPr>
      </w:pPr>
    </w:p>
    <w:p w14:paraId="0E693DF7" w14:textId="767AD650" w:rsidR="00F3629B" w:rsidRPr="00F3629B" w:rsidRDefault="00F3629B" w:rsidP="00F3629B">
      <w:pPr>
        <w:rPr>
          <w:szCs w:val="24"/>
        </w:rPr>
      </w:pPr>
    </w:p>
    <w:p w14:paraId="617CB3FF" w14:textId="08121E13" w:rsidR="00F3629B" w:rsidRPr="00F3629B" w:rsidRDefault="00F3629B" w:rsidP="00F3629B">
      <w:pPr>
        <w:rPr>
          <w:szCs w:val="24"/>
        </w:rPr>
      </w:pPr>
    </w:p>
    <w:p w14:paraId="3A18699D" w14:textId="5598740A" w:rsidR="00F3629B" w:rsidRPr="00F3629B" w:rsidRDefault="00F3629B" w:rsidP="00F3629B">
      <w:pPr>
        <w:rPr>
          <w:szCs w:val="24"/>
        </w:rPr>
      </w:pPr>
    </w:p>
    <w:p w14:paraId="54A892D3" w14:textId="621597C5" w:rsidR="00F3629B" w:rsidRPr="00F3629B" w:rsidRDefault="00F3629B" w:rsidP="00F3629B">
      <w:pPr>
        <w:rPr>
          <w:szCs w:val="24"/>
        </w:rPr>
      </w:pPr>
    </w:p>
    <w:p w14:paraId="4162CA05" w14:textId="77777777" w:rsidR="00517191" w:rsidRDefault="00517191" w:rsidP="00F3629B">
      <w:pPr>
        <w:rPr>
          <w:szCs w:val="24"/>
        </w:rPr>
      </w:pPr>
    </w:p>
    <w:p w14:paraId="2CB29658" w14:textId="77777777" w:rsidR="00782C2F" w:rsidRDefault="00782C2F" w:rsidP="00F3629B">
      <w:pPr>
        <w:rPr>
          <w:szCs w:val="24"/>
        </w:rPr>
      </w:pPr>
    </w:p>
    <w:p w14:paraId="078394B6" w14:textId="2124CFAB" w:rsidR="00782C2F" w:rsidRPr="00782C2F" w:rsidRDefault="00F3629B" w:rsidP="001E754B">
      <w:pPr>
        <w:jc w:val="both"/>
        <w:rPr>
          <w:szCs w:val="24"/>
        </w:rPr>
      </w:pPr>
      <w:r w:rsidRPr="00F3629B">
        <w:rPr>
          <w:szCs w:val="24"/>
        </w:rPr>
        <w:t>„Prohlašuji, že jsem diplomovou práci na téma Autonomní zbraňové systémy z pohledu mezinárodního práva</w:t>
      </w:r>
      <w:r w:rsidR="00C53A99">
        <w:rPr>
          <w:szCs w:val="24"/>
        </w:rPr>
        <w:t xml:space="preserve"> </w:t>
      </w:r>
      <w:r w:rsidRPr="00F3629B">
        <w:rPr>
          <w:szCs w:val="24"/>
        </w:rPr>
        <w:t>vypracoval samostatně a citoval jsem všechny použité zdroje.</w:t>
      </w:r>
      <w:r w:rsidR="00782C2F">
        <w:rPr>
          <w:szCs w:val="24"/>
        </w:rPr>
        <w:t xml:space="preserve"> </w:t>
      </w:r>
      <w:r w:rsidR="00782C2F" w:rsidRPr="00782C2F">
        <w:rPr>
          <w:szCs w:val="24"/>
        </w:rPr>
        <w:t xml:space="preserve">Dále prohlašuji, že vlastní text této práce včetně poznámek pod čarou má </w:t>
      </w:r>
      <w:r w:rsidR="004A29C4">
        <w:rPr>
          <w:szCs w:val="24"/>
        </w:rPr>
        <w:t>11</w:t>
      </w:r>
      <w:r w:rsidR="00976B58">
        <w:rPr>
          <w:szCs w:val="24"/>
        </w:rPr>
        <w:t>6</w:t>
      </w:r>
      <w:r w:rsidR="004A29C4">
        <w:rPr>
          <w:szCs w:val="24"/>
        </w:rPr>
        <w:t xml:space="preserve"> </w:t>
      </w:r>
      <w:r w:rsidR="000332C5">
        <w:rPr>
          <w:szCs w:val="24"/>
        </w:rPr>
        <w:t>727</w:t>
      </w:r>
      <w:r w:rsidR="00782C2F" w:rsidRPr="00782C2F">
        <w:rPr>
          <w:szCs w:val="24"/>
        </w:rPr>
        <w:t xml:space="preserve"> znaků včetně mezer.</w:t>
      </w:r>
      <w:r>
        <w:rPr>
          <w:szCs w:val="24"/>
        </w:rPr>
        <w:t>“</w:t>
      </w:r>
    </w:p>
    <w:p w14:paraId="2D5A41BB" w14:textId="3A31DCD8" w:rsidR="00782C2F" w:rsidRDefault="00F3629B" w:rsidP="00621414">
      <w:pPr>
        <w:ind w:firstLine="432"/>
        <w:rPr>
          <w:szCs w:val="24"/>
        </w:rPr>
      </w:pPr>
      <w:r w:rsidRPr="00F3629B">
        <w:rPr>
          <w:szCs w:val="24"/>
        </w:rPr>
        <w:t>V</w:t>
      </w:r>
      <w:r>
        <w:rPr>
          <w:szCs w:val="24"/>
        </w:rPr>
        <w:t> Olomouci</w:t>
      </w:r>
      <w:r w:rsidRPr="00F3629B">
        <w:rPr>
          <w:szCs w:val="24"/>
        </w:rPr>
        <w:t xml:space="preserve"> dne </w:t>
      </w:r>
      <w:r w:rsidR="00976B58">
        <w:rPr>
          <w:szCs w:val="24"/>
        </w:rPr>
        <w:t>22</w:t>
      </w:r>
      <w:r w:rsidR="00782C2F">
        <w:rPr>
          <w:szCs w:val="24"/>
        </w:rPr>
        <w:t xml:space="preserve">. </w:t>
      </w:r>
      <w:r w:rsidR="001E754B">
        <w:rPr>
          <w:szCs w:val="24"/>
        </w:rPr>
        <w:t>dubna</w:t>
      </w:r>
      <w:r w:rsidR="00782C2F">
        <w:rPr>
          <w:szCs w:val="24"/>
        </w:rPr>
        <w:t xml:space="preserve"> 2024</w:t>
      </w:r>
      <w:r>
        <w:rPr>
          <w:szCs w:val="24"/>
        </w:rPr>
        <w:tab/>
      </w:r>
      <w:r>
        <w:rPr>
          <w:szCs w:val="24"/>
        </w:rPr>
        <w:tab/>
      </w:r>
      <w:r>
        <w:rPr>
          <w:szCs w:val="24"/>
        </w:rPr>
        <w:tab/>
      </w:r>
      <w:r>
        <w:rPr>
          <w:szCs w:val="24"/>
        </w:rPr>
        <w:tab/>
      </w:r>
      <w:r>
        <w:rPr>
          <w:szCs w:val="24"/>
        </w:rPr>
        <w:tab/>
        <w:t>Vojtěch Šácha</w:t>
      </w:r>
    </w:p>
    <w:p w14:paraId="1FB21F11" w14:textId="77777777" w:rsidR="001E754B" w:rsidRDefault="001E754B" w:rsidP="00621414">
      <w:pPr>
        <w:ind w:firstLine="432"/>
        <w:rPr>
          <w:szCs w:val="24"/>
        </w:rPr>
      </w:pPr>
    </w:p>
    <w:p w14:paraId="3A8192EA" w14:textId="77777777" w:rsidR="001E754B" w:rsidRDefault="001E754B" w:rsidP="00621414">
      <w:pPr>
        <w:ind w:firstLine="432"/>
        <w:rPr>
          <w:szCs w:val="24"/>
        </w:rPr>
      </w:pPr>
    </w:p>
    <w:p w14:paraId="1E2D6223" w14:textId="77777777" w:rsidR="001E754B" w:rsidRDefault="001E754B" w:rsidP="00621414">
      <w:pPr>
        <w:ind w:firstLine="432"/>
        <w:rPr>
          <w:szCs w:val="24"/>
        </w:rPr>
      </w:pPr>
    </w:p>
    <w:p w14:paraId="6D610FDF" w14:textId="77777777" w:rsidR="001E754B" w:rsidRDefault="001E754B" w:rsidP="00621414">
      <w:pPr>
        <w:ind w:firstLine="432"/>
        <w:rPr>
          <w:szCs w:val="24"/>
        </w:rPr>
      </w:pPr>
    </w:p>
    <w:p w14:paraId="1963926C" w14:textId="77777777" w:rsidR="001E754B" w:rsidRDefault="001E754B" w:rsidP="00621414">
      <w:pPr>
        <w:ind w:firstLine="432"/>
        <w:rPr>
          <w:szCs w:val="24"/>
        </w:rPr>
      </w:pPr>
    </w:p>
    <w:p w14:paraId="1FE75FBF" w14:textId="77777777" w:rsidR="001E754B" w:rsidRDefault="001E754B" w:rsidP="00621414">
      <w:pPr>
        <w:ind w:firstLine="432"/>
        <w:rPr>
          <w:szCs w:val="24"/>
        </w:rPr>
      </w:pPr>
    </w:p>
    <w:p w14:paraId="5C1A9A95" w14:textId="77777777" w:rsidR="001E754B" w:rsidRDefault="001E754B" w:rsidP="00621414">
      <w:pPr>
        <w:ind w:firstLine="432"/>
        <w:rPr>
          <w:szCs w:val="24"/>
        </w:rPr>
      </w:pPr>
    </w:p>
    <w:p w14:paraId="0C8F4400" w14:textId="77777777" w:rsidR="001E754B" w:rsidRDefault="001E754B" w:rsidP="00621414">
      <w:pPr>
        <w:ind w:firstLine="432"/>
        <w:rPr>
          <w:szCs w:val="24"/>
        </w:rPr>
      </w:pPr>
    </w:p>
    <w:p w14:paraId="2D91756B" w14:textId="77777777" w:rsidR="001E754B" w:rsidRDefault="001E754B" w:rsidP="00621414">
      <w:pPr>
        <w:ind w:firstLine="432"/>
        <w:rPr>
          <w:szCs w:val="24"/>
        </w:rPr>
      </w:pPr>
    </w:p>
    <w:p w14:paraId="31ABA71A" w14:textId="77777777" w:rsidR="001E754B" w:rsidRDefault="001E754B" w:rsidP="00621414">
      <w:pPr>
        <w:ind w:firstLine="432"/>
        <w:rPr>
          <w:szCs w:val="24"/>
        </w:rPr>
      </w:pPr>
    </w:p>
    <w:p w14:paraId="40A67809" w14:textId="77777777" w:rsidR="001E754B" w:rsidRDefault="001E754B" w:rsidP="00621414">
      <w:pPr>
        <w:ind w:firstLine="432"/>
        <w:rPr>
          <w:szCs w:val="24"/>
        </w:rPr>
      </w:pPr>
    </w:p>
    <w:p w14:paraId="3B76CA16" w14:textId="77777777" w:rsidR="001E754B" w:rsidRDefault="001E754B" w:rsidP="00621414">
      <w:pPr>
        <w:ind w:firstLine="432"/>
        <w:rPr>
          <w:szCs w:val="24"/>
        </w:rPr>
      </w:pPr>
    </w:p>
    <w:p w14:paraId="6EF487CA" w14:textId="77777777" w:rsidR="001E754B" w:rsidRDefault="001E754B" w:rsidP="00621414">
      <w:pPr>
        <w:ind w:firstLine="432"/>
        <w:rPr>
          <w:szCs w:val="24"/>
        </w:rPr>
      </w:pPr>
    </w:p>
    <w:p w14:paraId="4374EB3E" w14:textId="77777777" w:rsidR="001E754B" w:rsidRDefault="001E754B" w:rsidP="00621414">
      <w:pPr>
        <w:ind w:firstLine="432"/>
        <w:rPr>
          <w:szCs w:val="24"/>
        </w:rPr>
      </w:pPr>
    </w:p>
    <w:p w14:paraId="56AA10E6" w14:textId="77777777" w:rsidR="001E754B" w:rsidRDefault="001E754B" w:rsidP="00621414">
      <w:pPr>
        <w:ind w:firstLine="432"/>
        <w:rPr>
          <w:szCs w:val="24"/>
        </w:rPr>
      </w:pPr>
    </w:p>
    <w:p w14:paraId="0C581DF8" w14:textId="77777777" w:rsidR="001E754B" w:rsidRDefault="001E754B" w:rsidP="00621414">
      <w:pPr>
        <w:ind w:firstLine="432"/>
        <w:rPr>
          <w:szCs w:val="24"/>
        </w:rPr>
      </w:pPr>
    </w:p>
    <w:p w14:paraId="43EDC8FD" w14:textId="77777777" w:rsidR="001E754B" w:rsidRDefault="001E754B" w:rsidP="00621414">
      <w:pPr>
        <w:ind w:firstLine="432"/>
        <w:rPr>
          <w:szCs w:val="24"/>
        </w:rPr>
      </w:pPr>
    </w:p>
    <w:p w14:paraId="0B2FE51B" w14:textId="77777777" w:rsidR="00726507" w:rsidRDefault="00726507" w:rsidP="00621414">
      <w:pPr>
        <w:ind w:firstLine="432"/>
        <w:rPr>
          <w:szCs w:val="24"/>
        </w:rPr>
      </w:pPr>
    </w:p>
    <w:p w14:paraId="6E8BB729" w14:textId="77777777" w:rsidR="00726507" w:rsidRDefault="00726507" w:rsidP="00621414">
      <w:pPr>
        <w:ind w:firstLine="432"/>
        <w:rPr>
          <w:szCs w:val="24"/>
        </w:rPr>
      </w:pPr>
    </w:p>
    <w:p w14:paraId="40A76F8E" w14:textId="77777777" w:rsidR="00726507" w:rsidRDefault="00726507" w:rsidP="00621414">
      <w:pPr>
        <w:ind w:firstLine="432"/>
        <w:rPr>
          <w:szCs w:val="24"/>
        </w:rPr>
      </w:pPr>
    </w:p>
    <w:p w14:paraId="474E5893" w14:textId="2D0F29E3" w:rsidR="00726507" w:rsidRDefault="00726507" w:rsidP="00726507">
      <w:pPr>
        <w:rPr>
          <w:szCs w:val="24"/>
        </w:rPr>
      </w:pPr>
      <w:r>
        <w:rPr>
          <w:szCs w:val="24"/>
        </w:rPr>
        <w:t xml:space="preserve">Zde bych rád ocenil věcné připomínky </w:t>
      </w:r>
      <w:r w:rsidR="00DD4FA6">
        <w:rPr>
          <w:szCs w:val="24"/>
        </w:rPr>
        <w:t xml:space="preserve">a </w:t>
      </w:r>
      <w:r>
        <w:rPr>
          <w:szCs w:val="24"/>
        </w:rPr>
        <w:t xml:space="preserve">organizační rady, které mi během psaní poskytl vedoucí práce </w:t>
      </w:r>
      <w:r w:rsidRPr="00726507">
        <w:rPr>
          <w:szCs w:val="24"/>
        </w:rPr>
        <w:t xml:space="preserve">JUDr. Martin </w:t>
      </w:r>
      <w:proofErr w:type="spellStart"/>
      <w:r w:rsidRPr="00726507">
        <w:rPr>
          <w:szCs w:val="24"/>
        </w:rPr>
        <w:t>Faix</w:t>
      </w:r>
      <w:proofErr w:type="spellEnd"/>
      <w:r w:rsidRPr="00726507">
        <w:rPr>
          <w:szCs w:val="24"/>
        </w:rPr>
        <w:t>, Ph.D.,</w:t>
      </w:r>
      <w:r>
        <w:rPr>
          <w:szCs w:val="24"/>
        </w:rPr>
        <w:t xml:space="preserve"> </w:t>
      </w:r>
      <w:proofErr w:type="gramStart"/>
      <w:r w:rsidRPr="00726507">
        <w:rPr>
          <w:szCs w:val="24"/>
        </w:rPr>
        <w:t>MJI</w:t>
      </w:r>
      <w:proofErr w:type="gramEnd"/>
      <w:r>
        <w:rPr>
          <w:szCs w:val="24"/>
        </w:rPr>
        <w:t xml:space="preserve"> bez nichž by tuto práci bylo nesnadné dokončit.</w:t>
      </w:r>
    </w:p>
    <w:sdt>
      <w:sdtPr>
        <w:rPr>
          <w:rFonts w:eastAsiaTheme="minorHAnsi" w:cstheme="minorBidi"/>
          <w:b w:val="0"/>
          <w:color w:val="auto"/>
          <w:sz w:val="24"/>
          <w:szCs w:val="22"/>
          <w:lang w:eastAsia="en-US"/>
        </w:rPr>
        <w:id w:val="1247608692"/>
        <w:docPartObj>
          <w:docPartGallery w:val="Table of Contents"/>
          <w:docPartUnique/>
        </w:docPartObj>
      </w:sdtPr>
      <w:sdtEndPr>
        <w:rPr>
          <w:bCs/>
        </w:rPr>
      </w:sdtEndPr>
      <w:sdtContent>
        <w:p w14:paraId="39DB45B5" w14:textId="2B924358" w:rsidR="00305DFA" w:rsidRDefault="00305DFA" w:rsidP="001250C8">
          <w:pPr>
            <w:pStyle w:val="Nadpisobsahu"/>
            <w:numPr>
              <w:ilvl w:val="0"/>
              <w:numId w:val="0"/>
            </w:numPr>
            <w:ind w:left="432" w:hanging="432"/>
          </w:pPr>
          <w:r>
            <w:t>Obsah</w:t>
          </w:r>
        </w:p>
        <w:p w14:paraId="7D5CA520" w14:textId="6BE03797" w:rsidR="00901743" w:rsidRDefault="00305DFA">
          <w:pPr>
            <w:pStyle w:val="Obsah1"/>
            <w:tabs>
              <w:tab w:val="left" w:pos="480"/>
            </w:tabs>
            <w:rPr>
              <w:rFonts w:asciiTheme="minorHAnsi" w:eastAsiaTheme="minorEastAsia" w:hAnsiTheme="minorHAnsi"/>
              <w:noProof/>
              <w:kern w:val="2"/>
              <w:szCs w:val="24"/>
              <w:lang w:eastAsia="cs-CZ"/>
              <w14:ligatures w14:val="standardContextual"/>
            </w:rPr>
          </w:pPr>
          <w:r w:rsidRPr="004457B1">
            <w:rPr>
              <w:sz w:val="22"/>
              <w:szCs w:val="20"/>
            </w:rPr>
            <w:fldChar w:fldCharType="begin"/>
          </w:r>
          <w:r w:rsidRPr="004457B1">
            <w:rPr>
              <w:sz w:val="22"/>
              <w:szCs w:val="20"/>
            </w:rPr>
            <w:instrText xml:space="preserve"> TOC \o "1-3" \h \z \u </w:instrText>
          </w:r>
          <w:r w:rsidRPr="004457B1">
            <w:rPr>
              <w:sz w:val="22"/>
              <w:szCs w:val="20"/>
            </w:rPr>
            <w:fldChar w:fldCharType="separate"/>
          </w:r>
          <w:hyperlink w:anchor="_Toc164801748" w:history="1">
            <w:r w:rsidR="00901743" w:rsidRPr="00720F9F">
              <w:rPr>
                <w:rStyle w:val="Hypertextovodkaz"/>
                <w:noProof/>
              </w:rPr>
              <w:t>1.</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rFonts w:hint="eastAsia"/>
                <w:noProof/>
              </w:rPr>
              <w:t>Ú</w:t>
            </w:r>
            <w:r w:rsidR="00901743" w:rsidRPr="00720F9F">
              <w:rPr>
                <w:rStyle w:val="Hypertextovodkaz"/>
                <w:noProof/>
              </w:rPr>
              <w:t>vod</w:t>
            </w:r>
            <w:r w:rsidR="00901743">
              <w:rPr>
                <w:noProof/>
                <w:webHidden/>
              </w:rPr>
              <w:tab/>
            </w:r>
            <w:r w:rsidR="00901743">
              <w:rPr>
                <w:noProof/>
                <w:webHidden/>
              </w:rPr>
              <w:fldChar w:fldCharType="begin"/>
            </w:r>
            <w:r w:rsidR="00901743">
              <w:rPr>
                <w:noProof/>
                <w:webHidden/>
              </w:rPr>
              <w:instrText xml:space="preserve"> PAGEREF _Toc164801748 \h </w:instrText>
            </w:r>
            <w:r w:rsidR="00901743">
              <w:rPr>
                <w:noProof/>
                <w:webHidden/>
              </w:rPr>
            </w:r>
            <w:r w:rsidR="00901743">
              <w:rPr>
                <w:noProof/>
                <w:webHidden/>
              </w:rPr>
              <w:fldChar w:fldCharType="separate"/>
            </w:r>
            <w:r w:rsidR="00901743">
              <w:rPr>
                <w:noProof/>
                <w:webHidden/>
              </w:rPr>
              <w:t>6</w:t>
            </w:r>
            <w:r w:rsidR="00901743">
              <w:rPr>
                <w:noProof/>
                <w:webHidden/>
              </w:rPr>
              <w:fldChar w:fldCharType="end"/>
            </w:r>
          </w:hyperlink>
        </w:p>
        <w:p w14:paraId="6637B209" w14:textId="4068B16D"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49" w:history="1">
            <w:r w:rsidR="00901743" w:rsidRPr="00720F9F">
              <w:rPr>
                <w:rStyle w:val="Hypertextovodkaz"/>
                <w:noProof/>
              </w:rPr>
              <w:t>1.1</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Vymezen</w:t>
            </w:r>
            <w:r w:rsidR="00901743" w:rsidRPr="00720F9F">
              <w:rPr>
                <w:rStyle w:val="Hypertextovodkaz"/>
                <w:rFonts w:hint="eastAsia"/>
                <w:noProof/>
              </w:rPr>
              <w:t>í</w:t>
            </w:r>
            <w:r w:rsidR="00901743" w:rsidRPr="00720F9F">
              <w:rPr>
                <w:rStyle w:val="Hypertextovodkaz"/>
                <w:noProof/>
              </w:rPr>
              <w:t xml:space="preserve"> c</w:t>
            </w:r>
            <w:r w:rsidR="00901743" w:rsidRPr="00720F9F">
              <w:rPr>
                <w:rStyle w:val="Hypertextovodkaz"/>
                <w:rFonts w:hint="eastAsia"/>
                <w:noProof/>
              </w:rPr>
              <w:t>í</w:t>
            </w:r>
            <w:r w:rsidR="00901743" w:rsidRPr="00720F9F">
              <w:rPr>
                <w:rStyle w:val="Hypertextovodkaz"/>
                <w:noProof/>
              </w:rPr>
              <w:t>le a t</w:t>
            </w:r>
            <w:r w:rsidR="00901743" w:rsidRPr="00720F9F">
              <w:rPr>
                <w:rStyle w:val="Hypertextovodkaz"/>
                <w:rFonts w:hint="eastAsia"/>
                <w:noProof/>
              </w:rPr>
              <w:t>é</w:t>
            </w:r>
            <w:r w:rsidR="00901743" w:rsidRPr="00720F9F">
              <w:rPr>
                <w:rStyle w:val="Hypertextovodkaz"/>
                <w:noProof/>
              </w:rPr>
              <w:t>matu pr</w:t>
            </w:r>
            <w:r w:rsidR="00901743" w:rsidRPr="00720F9F">
              <w:rPr>
                <w:rStyle w:val="Hypertextovodkaz"/>
                <w:rFonts w:hint="eastAsia"/>
                <w:noProof/>
              </w:rPr>
              <w:t>á</w:t>
            </w:r>
            <w:r w:rsidR="00901743" w:rsidRPr="00720F9F">
              <w:rPr>
                <w:rStyle w:val="Hypertextovodkaz"/>
                <w:noProof/>
              </w:rPr>
              <w:t>ce</w:t>
            </w:r>
            <w:r w:rsidR="00901743">
              <w:rPr>
                <w:noProof/>
                <w:webHidden/>
              </w:rPr>
              <w:tab/>
            </w:r>
            <w:r w:rsidR="00901743">
              <w:rPr>
                <w:noProof/>
                <w:webHidden/>
              </w:rPr>
              <w:fldChar w:fldCharType="begin"/>
            </w:r>
            <w:r w:rsidR="00901743">
              <w:rPr>
                <w:noProof/>
                <w:webHidden/>
              </w:rPr>
              <w:instrText xml:space="preserve"> PAGEREF _Toc164801749 \h </w:instrText>
            </w:r>
            <w:r w:rsidR="00901743">
              <w:rPr>
                <w:noProof/>
                <w:webHidden/>
              </w:rPr>
            </w:r>
            <w:r w:rsidR="00901743">
              <w:rPr>
                <w:noProof/>
                <w:webHidden/>
              </w:rPr>
              <w:fldChar w:fldCharType="separate"/>
            </w:r>
            <w:r w:rsidR="00901743">
              <w:rPr>
                <w:noProof/>
                <w:webHidden/>
              </w:rPr>
              <w:t>6</w:t>
            </w:r>
            <w:r w:rsidR="00901743">
              <w:rPr>
                <w:noProof/>
                <w:webHidden/>
              </w:rPr>
              <w:fldChar w:fldCharType="end"/>
            </w:r>
          </w:hyperlink>
        </w:p>
        <w:p w14:paraId="01B5F564" w14:textId="78752D4F"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50" w:history="1">
            <w:r w:rsidR="00901743" w:rsidRPr="00720F9F">
              <w:rPr>
                <w:rStyle w:val="Hypertextovodkaz"/>
                <w:noProof/>
              </w:rPr>
              <w:t>1.2</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Aktualizace t</w:t>
            </w:r>
            <w:r w:rsidR="00901743" w:rsidRPr="00720F9F">
              <w:rPr>
                <w:rStyle w:val="Hypertextovodkaz"/>
                <w:rFonts w:hint="eastAsia"/>
                <w:noProof/>
              </w:rPr>
              <w:t>é</w:t>
            </w:r>
            <w:r w:rsidR="00901743" w:rsidRPr="00720F9F">
              <w:rPr>
                <w:rStyle w:val="Hypertextovodkaz"/>
                <w:noProof/>
              </w:rPr>
              <w:t>matu autonomn</w:t>
            </w:r>
            <w:r w:rsidR="00901743" w:rsidRPr="00720F9F">
              <w:rPr>
                <w:rStyle w:val="Hypertextovodkaz"/>
                <w:rFonts w:hint="eastAsia"/>
                <w:noProof/>
              </w:rPr>
              <w:t>í</w:t>
            </w:r>
            <w:r w:rsidR="00901743" w:rsidRPr="00720F9F">
              <w:rPr>
                <w:rStyle w:val="Hypertextovodkaz"/>
                <w:noProof/>
              </w:rPr>
              <w:t>ch syst</w:t>
            </w:r>
            <w:r w:rsidR="00901743" w:rsidRPr="00720F9F">
              <w:rPr>
                <w:rStyle w:val="Hypertextovodkaz"/>
                <w:rFonts w:hint="eastAsia"/>
                <w:noProof/>
              </w:rPr>
              <w:t>é</w:t>
            </w:r>
            <w:r w:rsidR="00901743" w:rsidRPr="00720F9F">
              <w:rPr>
                <w:rStyle w:val="Hypertextovodkaz"/>
                <w:noProof/>
              </w:rPr>
              <w:t>m</w:t>
            </w:r>
            <w:r w:rsidR="00901743" w:rsidRPr="00720F9F">
              <w:rPr>
                <w:rStyle w:val="Hypertextovodkaz"/>
                <w:rFonts w:hint="eastAsia"/>
                <w:noProof/>
              </w:rPr>
              <w:t>ů</w:t>
            </w:r>
            <w:r w:rsidR="00901743" w:rsidRPr="00720F9F">
              <w:rPr>
                <w:rStyle w:val="Hypertextovodkaz"/>
                <w:noProof/>
              </w:rPr>
              <w:t xml:space="preserve"> obecn</w:t>
            </w:r>
            <w:r w:rsidR="00901743" w:rsidRPr="00720F9F">
              <w:rPr>
                <w:rStyle w:val="Hypertextovodkaz"/>
                <w:rFonts w:hint="eastAsia"/>
                <w:noProof/>
              </w:rPr>
              <w:t>ě</w:t>
            </w:r>
            <w:r w:rsidR="00901743">
              <w:rPr>
                <w:noProof/>
                <w:webHidden/>
              </w:rPr>
              <w:tab/>
            </w:r>
            <w:r w:rsidR="00901743">
              <w:rPr>
                <w:noProof/>
                <w:webHidden/>
              </w:rPr>
              <w:fldChar w:fldCharType="begin"/>
            </w:r>
            <w:r w:rsidR="00901743">
              <w:rPr>
                <w:noProof/>
                <w:webHidden/>
              </w:rPr>
              <w:instrText xml:space="preserve"> PAGEREF _Toc164801750 \h </w:instrText>
            </w:r>
            <w:r w:rsidR="00901743">
              <w:rPr>
                <w:noProof/>
                <w:webHidden/>
              </w:rPr>
            </w:r>
            <w:r w:rsidR="00901743">
              <w:rPr>
                <w:noProof/>
                <w:webHidden/>
              </w:rPr>
              <w:fldChar w:fldCharType="separate"/>
            </w:r>
            <w:r w:rsidR="00901743">
              <w:rPr>
                <w:noProof/>
                <w:webHidden/>
              </w:rPr>
              <w:t>7</w:t>
            </w:r>
            <w:r w:rsidR="00901743">
              <w:rPr>
                <w:noProof/>
                <w:webHidden/>
              </w:rPr>
              <w:fldChar w:fldCharType="end"/>
            </w:r>
          </w:hyperlink>
        </w:p>
        <w:p w14:paraId="3C93A2F1" w14:textId="7028C5B2" w:rsidR="00901743" w:rsidRDefault="00000000">
          <w:pPr>
            <w:pStyle w:val="Obsah1"/>
            <w:tabs>
              <w:tab w:val="left" w:pos="480"/>
            </w:tabs>
            <w:rPr>
              <w:rFonts w:asciiTheme="minorHAnsi" w:eastAsiaTheme="minorEastAsia" w:hAnsiTheme="minorHAnsi"/>
              <w:noProof/>
              <w:kern w:val="2"/>
              <w:szCs w:val="24"/>
              <w:lang w:eastAsia="cs-CZ"/>
              <w14:ligatures w14:val="standardContextual"/>
            </w:rPr>
          </w:pPr>
          <w:hyperlink w:anchor="_Toc164801751" w:history="1">
            <w:r w:rsidR="00901743" w:rsidRPr="00720F9F">
              <w:rPr>
                <w:rStyle w:val="Hypertextovodkaz"/>
                <w:noProof/>
              </w:rPr>
              <w:t>2.</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Autonomn</w:t>
            </w:r>
            <w:r w:rsidR="00901743" w:rsidRPr="00720F9F">
              <w:rPr>
                <w:rStyle w:val="Hypertextovodkaz"/>
                <w:rFonts w:hint="eastAsia"/>
                <w:noProof/>
              </w:rPr>
              <w:t>í</w:t>
            </w:r>
            <w:r w:rsidR="00901743" w:rsidRPr="00720F9F">
              <w:rPr>
                <w:rStyle w:val="Hypertextovodkaz"/>
                <w:noProof/>
              </w:rPr>
              <w:t xml:space="preserve"> zbra</w:t>
            </w:r>
            <w:r w:rsidR="00901743" w:rsidRPr="00720F9F">
              <w:rPr>
                <w:rStyle w:val="Hypertextovodkaz"/>
                <w:rFonts w:hint="eastAsia"/>
                <w:noProof/>
              </w:rPr>
              <w:t>ň</w:t>
            </w:r>
            <w:r w:rsidR="00901743" w:rsidRPr="00720F9F">
              <w:rPr>
                <w:rStyle w:val="Hypertextovodkaz"/>
                <w:noProof/>
              </w:rPr>
              <w:t>ov</w:t>
            </w:r>
            <w:r w:rsidR="00901743" w:rsidRPr="00720F9F">
              <w:rPr>
                <w:rStyle w:val="Hypertextovodkaz"/>
                <w:rFonts w:hint="eastAsia"/>
                <w:noProof/>
              </w:rPr>
              <w:t>é</w:t>
            </w:r>
            <w:r w:rsidR="00901743" w:rsidRPr="00720F9F">
              <w:rPr>
                <w:rStyle w:val="Hypertextovodkaz"/>
                <w:noProof/>
              </w:rPr>
              <w:t xml:space="preserve"> syst</w:t>
            </w:r>
            <w:r w:rsidR="00901743" w:rsidRPr="00720F9F">
              <w:rPr>
                <w:rStyle w:val="Hypertextovodkaz"/>
                <w:rFonts w:hint="eastAsia"/>
                <w:noProof/>
              </w:rPr>
              <w:t>é</w:t>
            </w:r>
            <w:r w:rsidR="00901743" w:rsidRPr="00720F9F">
              <w:rPr>
                <w:rStyle w:val="Hypertextovodkaz"/>
                <w:noProof/>
              </w:rPr>
              <w:t>my</w:t>
            </w:r>
            <w:r w:rsidR="00901743">
              <w:rPr>
                <w:noProof/>
                <w:webHidden/>
              </w:rPr>
              <w:tab/>
            </w:r>
            <w:r w:rsidR="00901743">
              <w:rPr>
                <w:noProof/>
                <w:webHidden/>
              </w:rPr>
              <w:fldChar w:fldCharType="begin"/>
            </w:r>
            <w:r w:rsidR="00901743">
              <w:rPr>
                <w:noProof/>
                <w:webHidden/>
              </w:rPr>
              <w:instrText xml:space="preserve"> PAGEREF _Toc164801751 \h </w:instrText>
            </w:r>
            <w:r w:rsidR="00901743">
              <w:rPr>
                <w:noProof/>
                <w:webHidden/>
              </w:rPr>
            </w:r>
            <w:r w:rsidR="00901743">
              <w:rPr>
                <w:noProof/>
                <w:webHidden/>
              </w:rPr>
              <w:fldChar w:fldCharType="separate"/>
            </w:r>
            <w:r w:rsidR="00901743">
              <w:rPr>
                <w:noProof/>
                <w:webHidden/>
              </w:rPr>
              <w:t>9</w:t>
            </w:r>
            <w:r w:rsidR="00901743">
              <w:rPr>
                <w:noProof/>
                <w:webHidden/>
              </w:rPr>
              <w:fldChar w:fldCharType="end"/>
            </w:r>
          </w:hyperlink>
        </w:p>
        <w:p w14:paraId="06DED870" w14:textId="2C322044"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52" w:history="1">
            <w:r w:rsidR="00901743" w:rsidRPr="00720F9F">
              <w:rPr>
                <w:rStyle w:val="Hypertextovodkaz"/>
                <w:noProof/>
              </w:rPr>
              <w:t>2.1.</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Pojem autonomie</w:t>
            </w:r>
            <w:r w:rsidR="00901743">
              <w:rPr>
                <w:noProof/>
                <w:webHidden/>
              </w:rPr>
              <w:tab/>
            </w:r>
            <w:r w:rsidR="00901743">
              <w:rPr>
                <w:noProof/>
                <w:webHidden/>
              </w:rPr>
              <w:fldChar w:fldCharType="begin"/>
            </w:r>
            <w:r w:rsidR="00901743">
              <w:rPr>
                <w:noProof/>
                <w:webHidden/>
              </w:rPr>
              <w:instrText xml:space="preserve"> PAGEREF _Toc164801752 \h </w:instrText>
            </w:r>
            <w:r w:rsidR="00901743">
              <w:rPr>
                <w:noProof/>
                <w:webHidden/>
              </w:rPr>
            </w:r>
            <w:r w:rsidR="00901743">
              <w:rPr>
                <w:noProof/>
                <w:webHidden/>
              </w:rPr>
              <w:fldChar w:fldCharType="separate"/>
            </w:r>
            <w:r w:rsidR="00901743">
              <w:rPr>
                <w:noProof/>
                <w:webHidden/>
              </w:rPr>
              <w:t>9</w:t>
            </w:r>
            <w:r w:rsidR="00901743">
              <w:rPr>
                <w:noProof/>
                <w:webHidden/>
              </w:rPr>
              <w:fldChar w:fldCharType="end"/>
            </w:r>
          </w:hyperlink>
        </w:p>
        <w:p w14:paraId="2E2205D9" w14:textId="30AC2110"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53" w:history="1">
            <w:r w:rsidR="00901743" w:rsidRPr="00720F9F">
              <w:rPr>
                <w:rStyle w:val="Hypertextovodkaz"/>
                <w:noProof/>
              </w:rPr>
              <w:t>2.2.</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Definice autonomn</w:t>
            </w:r>
            <w:r w:rsidR="00901743" w:rsidRPr="00720F9F">
              <w:rPr>
                <w:rStyle w:val="Hypertextovodkaz"/>
                <w:rFonts w:hint="eastAsia"/>
                <w:noProof/>
              </w:rPr>
              <w:t>í</w:t>
            </w:r>
            <w:r w:rsidR="00901743" w:rsidRPr="00720F9F">
              <w:rPr>
                <w:rStyle w:val="Hypertextovodkaz"/>
                <w:noProof/>
              </w:rPr>
              <w:t>ch zbra</w:t>
            </w:r>
            <w:r w:rsidR="00901743" w:rsidRPr="00720F9F">
              <w:rPr>
                <w:rStyle w:val="Hypertextovodkaz"/>
                <w:rFonts w:hint="eastAsia"/>
                <w:noProof/>
              </w:rPr>
              <w:t>ň</w:t>
            </w:r>
            <w:r w:rsidR="00901743" w:rsidRPr="00720F9F">
              <w:rPr>
                <w:rStyle w:val="Hypertextovodkaz"/>
                <w:noProof/>
              </w:rPr>
              <w:t>ov</w:t>
            </w:r>
            <w:r w:rsidR="00901743" w:rsidRPr="00720F9F">
              <w:rPr>
                <w:rStyle w:val="Hypertextovodkaz"/>
                <w:rFonts w:hint="eastAsia"/>
                <w:noProof/>
              </w:rPr>
              <w:t>ý</w:t>
            </w:r>
            <w:r w:rsidR="00901743" w:rsidRPr="00720F9F">
              <w:rPr>
                <w:rStyle w:val="Hypertextovodkaz"/>
                <w:noProof/>
              </w:rPr>
              <w:t>ch syst</w:t>
            </w:r>
            <w:r w:rsidR="00901743" w:rsidRPr="00720F9F">
              <w:rPr>
                <w:rStyle w:val="Hypertextovodkaz"/>
                <w:rFonts w:hint="eastAsia"/>
                <w:noProof/>
              </w:rPr>
              <w:t>é</w:t>
            </w:r>
            <w:r w:rsidR="00901743" w:rsidRPr="00720F9F">
              <w:rPr>
                <w:rStyle w:val="Hypertextovodkaz"/>
                <w:noProof/>
              </w:rPr>
              <w:t>m</w:t>
            </w:r>
            <w:r w:rsidR="00901743" w:rsidRPr="00720F9F">
              <w:rPr>
                <w:rStyle w:val="Hypertextovodkaz"/>
                <w:rFonts w:hint="eastAsia"/>
                <w:noProof/>
              </w:rPr>
              <w:t>ů</w:t>
            </w:r>
            <w:r w:rsidR="00901743">
              <w:rPr>
                <w:noProof/>
                <w:webHidden/>
              </w:rPr>
              <w:tab/>
            </w:r>
            <w:r w:rsidR="00901743">
              <w:rPr>
                <w:noProof/>
                <w:webHidden/>
              </w:rPr>
              <w:fldChar w:fldCharType="begin"/>
            </w:r>
            <w:r w:rsidR="00901743">
              <w:rPr>
                <w:noProof/>
                <w:webHidden/>
              </w:rPr>
              <w:instrText xml:space="preserve"> PAGEREF _Toc164801753 \h </w:instrText>
            </w:r>
            <w:r w:rsidR="00901743">
              <w:rPr>
                <w:noProof/>
                <w:webHidden/>
              </w:rPr>
            </w:r>
            <w:r w:rsidR="00901743">
              <w:rPr>
                <w:noProof/>
                <w:webHidden/>
              </w:rPr>
              <w:fldChar w:fldCharType="separate"/>
            </w:r>
            <w:r w:rsidR="00901743">
              <w:rPr>
                <w:noProof/>
                <w:webHidden/>
              </w:rPr>
              <w:t>14</w:t>
            </w:r>
            <w:r w:rsidR="00901743">
              <w:rPr>
                <w:noProof/>
                <w:webHidden/>
              </w:rPr>
              <w:fldChar w:fldCharType="end"/>
            </w:r>
          </w:hyperlink>
        </w:p>
        <w:p w14:paraId="6A472268" w14:textId="01116224" w:rsidR="00901743" w:rsidRDefault="00000000">
          <w:pPr>
            <w:pStyle w:val="Obsah1"/>
            <w:tabs>
              <w:tab w:val="left" w:pos="480"/>
            </w:tabs>
            <w:rPr>
              <w:rFonts w:asciiTheme="minorHAnsi" w:eastAsiaTheme="minorEastAsia" w:hAnsiTheme="minorHAnsi"/>
              <w:noProof/>
              <w:kern w:val="2"/>
              <w:szCs w:val="24"/>
              <w:lang w:eastAsia="cs-CZ"/>
              <w14:ligatures w14:val="standardContextual"/>
            </w:rPr>
          </w:pPr>
          <w:hyperlink w:anchor="_Toc164801754" w:history="1">
            <w:r w:rsidR="00901743" w:rsidRPr="00720F9F">
              <w:rPr>
                <w:rStyle w:val="Hypertextovodkaz"/>
                <w:noProof/>
              </w:rPr>
              <w:t>3.</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Autonomn</w:t>
            </w:r>
            <w:r w:rsidR="00901743" w:rsidRPr="00720F9F">
              <w:rPr>
                <w:rStyle w:val="Hypertextovodkaz"/>
                <w:rFonts w:hint="eastAsia"/>
                <w:noProof/>
              </w:rPr>
              <w:t>í</w:t>
            </w:r>
            <w:r w:rsidR="00901743" w:rsidRPr="00720F9F">
              <w:rPr>
                <w:rStyle w:val="Hypertextovodkaz"/>
                <w:noProof/>
              </w:rPr>
              <w:t xml:space="preserve"> zbra</w:t>
            </w:r>
            <w:r w:rsidR="00901743" w:rsidRPr="00720F9F">
              <w:rPr>
                <w:rStyle w:val="Hypertextovodkaz"/>
                <w:rFonts w:hint="eastAsia"/>
                <w:noProof/>
              </w:rPr>
              <w:t>ň</w:t>
            </w:r>
            <w:r w:rsidR="00901743" w:rsidRPr="00720F9F">
              <w:rPr>
                <w:rStyle w:val="Hypertextovodkaz"/>
                <w:noProof/>
              </w:rPr>
              <w:t>ov</w:t>
            </w:r>
            <w:r w:rsidR="00901743" w:rsidRPr="00720F9F">
              <w:rPr>
                <w:rStyle w:val="Hypertextovodkaz"/>
                <w:rFonts w:hint="eastAsia"/>
                <w:noProof/>
              </w:rPr>
              <w:t>é</w:t>
            </w:r>
            <w:r w:rsidR="00901743" w:rsidRPr="00720F9F">
              <w:rPr>
                <w:rStyle w:val="Hypertextovodkaz"/>
                <w:noProof/>
              </w:rPr>
              <w:t xml:space="preserve"> syst</w:t>
            </w:r>
            <w:r w:rsidR="00901743" w:rsidRPr="00720F9F">
              <w:rPr>
                <w:rStyle w:val="Hypertextovodkaz"/>
                <w:rFonts w:hint="eastAsia"/>
                <w:noProof/>
              </w:rPr>
              <w:t>é</w:t>
            </w:r>
            <w:r w:rsidR="00901743" w:rsidRPr="00720F9F">
              <w:rPr>
                <w:rStyle w:val="Hypertextovodkaz"/>
                <w:noProof/>
              </w:rPr>
              <w:t>my a</w:t>
            </w:r>
            <w:r w:rsidR="00901743" w:rsidRPr="00720F9F">
              <w:rPr>
                <w:rStyle w:val="Hypertextovodkaz"/>
                <w:rFonts w:hint="eastAsia"/>
                <w:noProof/>
              </w:rPr>
              <w:t> </w:t>
            </w:r>
            <w:r w:rsidR="00901743" w:rsidRPr="00720F9F">
              <w:rPr>
                <w:rStyle w:val="Hypertextovodkaz"/>
                <w:noProof/>
              </w:rPr>
              <w:t>ius ad bellum</w:t>
            </w:r>
            <w:r w:rsidR="00901743">
              <w:rPr>
                <w:noProof/>
                <w:webHidden/>
              </w:rPr>
              <w:tab/>
            </w:r>
            <w:r w:rsidR="00901743">
              <w:rPr>
                <w:noProof/>
                <w:webHidden/>
              </w:rPr>
              <w:fldChar w:fldCharType="begin"/>
            </w:r>
            <w:r w:rsidR="00901743">
              <w:rPr>
                <w:noProof/>
                <w:webHidden/>
              </w:rPr>
              <w:instrText xml:space="preserve"> PAGEREF _Toc164801754 \h </w:instrText>
            </w:r>
            <w:r w:rsidR="00901743">
              <w:rPr>
                <w:noProof/>
                <w:webHidden/>
              </w:rPr>
            </w:r>
            <w:r w:rsidR="00901743">
              <w:rPr>
                <w:noProof/>
                <w:webHidden/>
              </w:rPr>
              <w:fldChar w:fldCharType="separate"/>
            </w:r>
            <w:r w:rsidR="00901743">
              <w:rPr>
                <w:noProof/>
                <w:webHidden/>
              </w:rPr>
              <w:t>21</w:t>
            </w:r>
            <w:r w:rsidR="00901743">
              <w:rPr>
                <w:noProof/>
                <w:webHidden/>
              </w:rPr>
              <w:fldChar w:fldCharType="end"/>
            </w:r>
          </w:hyperlink>
        </w:p>
        <w:p w14:paraId="45FFE20C" w14:textId="49583A9B"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55" w:history="1">
            <w:r w:rsidR="00901743" w:rsidRPr="00720F9F">
              <w:rPr>
                <w:rStyle w:val="Hypertextovodkaz"/>
                <w:noProof/>
              </w:rPr>
              <w:t>3.1.</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Omezen</w:t>
            </w:r>
            <w:r w:rsidR="00901743" w:rsidRPr="00720F9F">
              <w:rPr>
                <w:rStyle w:val="Hypertextovodkaz"/>
                <w:rFonts w:hint="eastAsia"/>
                <w:noProof/>
              </w:rPr>
              <w:t>í</w:t>
            </w:r>
            <w:r w:rsidR="00901743" w:rsidRPr="00720F9F">
              <w:rPr>
                <w:rStyle w:val="Hypertextovodkaz"/>
                <w:noProof/>
              </w:rPr>
              <w:t xml:space="preserve"> v</w:t>
            </w:r>
            <w:r w:rsidR="00901743" w:rsidRPr="00720F9F">
              <w:rPr>
                <w:rStyle w:val="Hypertextovodkaz"/>
                <w:rFonts w:hint="eastAsia"/>
                <w:noProof/>
              </w:rPr>
              <w:t>á</w:t>
            </w:r>
            <w:r w:rsidR="00901743" w:rsidRPr="00720F9F">
              <w:rPr>
                <w:rStyle w:val="Hypertextovodkaz"/>
                <w:noProof/>
              </w:rPr>
              <w:t>lek a zbran</w:t>
            </w:r>
            <w:r w:rsidR="00901743" w:rsidRPr="00720F9F">
              <w:rPr>
                <w:rStyle w:val="Hypertextovodkaz"/>
                <w:rFonts w:hint="eastAsia"/>
                <w:noProof/>
              </w:rPr>
              <w:t>í</w:t>
            </w:r>
            <w:r w:rsidR="00901743">
              <w:rPr>
                <w:noProof/>
                <w:webHidden/>
              </w:rPr>
              <w:tab/>
            </w:r>
            <w:r w:rsidR="00901743">
              <w:rPr>
                <w:noProof/>
                <w:webHidden/>
              </w:rPr>
              <w:fldChar w:fldCharType="begin"/>
            </w:r>
            <w:r w:rsidR="00901743">
              <w:rPr>
                <w:noProof/>
                <w:webHidden/>
              </w:rPr>
              <w:instrText xml:space="preserve"> PAGEREF _Toc164801755 \h </w:instrText>
            </w:r>
            <w:r w:rsidR="00901743">
              <w:rPr>
                <w:noProof/>
                <w:webHidden/>
              </w:rPr>
            </w:r>
            <w:r w:rsidR="00901743">
              <w:rPr>
                <w:noProof/>
                <w:webHidden/>
              </w:rPr>
              <w:fldChar w:fldCharType="separate"/>
            </w:r>
            <w:r w:rsidR="00901743">
              <w:rPr>
                <w:noProof/>
                <w:webHidden/>
              </w:rPr>
              <w:t>21</w:t>
            </w:r>
            <w:r w:rsidR="00901743">
              <w:rPr>
                <w:noProof/>
                <w:webHidden/>
              </w:rPr>
              <w:fldChar w:fldCharType="end"/>
            </w:r>
          </w:hyperlink>
        </w:p>
        <w:p w14:paraId="048FC047" w14:textId="2C85C1E7"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56" w:history="1">
            <w:r w:rsidR="00901743" w:rsidRPr="00720F9F">
              <w:rPr>
                <w:rStyle w:val="Hypertextovodkaz"/>
                <w:noProof/>
              </w:rPr>
              <w:t>3.2.</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Rozd</w:t>
            </w:r>
            <w:r w:rsidR="00901743" w:rsidRPr="00720F9F">
              <w:rPr>
                <w:rStyle w:val="Hypertextovodkaz"/>
                <w:rFonts w:hint="eastAsia"/>
                <w:noProof/>
              </w:rPr>
              <w:t>í</w:t>
            </w:r>
            <w:r w:rsidR="00901743" w:rsidRPr="00720F9F">
              <w:rPr>
                <w:rStyle w:val="Hypertextovodkaz"/>
                <w:noProof/>
              </w:rPr>
              <w:t>ly ius ad bellum a ius in bello</w:t>
            </w:r>
            <w:r w:rsidR="00901743">
              <w:rPr>
                <w:noProof/>
                <w:webHidden/>
              </w:rPr>
              <w:tab/>
            </w:r>
            <w:r w:rsidR="00901743">
              <w:rPr>
                <w:noProof/>
                <w:webHidden/>
              </w:rPr>
              <w:fldChar w:fldCharType="begin"/>
            </w:r>
            <w:r w:rsidR="00901743">
              <w:rPr>
                <w:noProof/>
                <w:webHidden/>
              </w:rPr>
              <w:instrText xml:space="preserve"> PAGEREF _Toc164801756 \h </w:instrText>
            </w:r>
            <w:r w:rsidR="00901743">
              <w:rPr>
                <w:noProof/>
                <w:webHidden/>
              </w:rPr>
            </w:r>
            <w:r w:rsidR="00901743">
              <w:rPr>
                <w:noProof/>
                <w:webHidden/>
              </w:rPr>
              <w:fldChar w:fldCharType="separate"/>
            </w:r>
            <w:r w:rsidR="00901743">
              <w:rPr>
                <w:noProof/>
                <w:webHidden/>
              </w:rPr>
              <w:t>22</w:t>
            </w:r>
            <w:r w:rsidR="00901743">
              <w:rPr>
                <w:noProof/>
                <w:webHidden/>
              </w:rPr>
              <w:fldChar w:fldCharType="end"/>
            </w:r>
          </w:hyperlink>
        </w:p>
        <w:p w14:paraId="19D01613" w14:textId="40B3AE11"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57" w:history="1">
            <w:r w:rsidR="00901743" w:rsidRPr="00720F9F">
              <w:rPr>
                <w:rStyle w:val="Hypertextovodkaz"/>
                <w:bCs/>
                <w:noProof/>
              </w:rPr>
              <w:t>3.3.</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Pou</w:t>
            </w:r>
            <w:r w:rsidR="00901743" w:rsidRPr="00720F9F">
              <w:rPr>
                <w:rStyle w:val="Hypertextovodkaz"/>
                <w:rFonts w:hint="eastAsia"/>
                <w:noProof/>
              </w:rPr>
              <w:t>ž</w:t>
            </w:r>
            <w:r w:rsidR="00901743" w:rsidRPr="00720F9F">
              <w:rPr>
                <w:rStyle w:val="Hypertextovodkaz"/>
                <w:noProof/>
              </w:rPr>
              <w:t>it</w:t>
            </w:r>
            <w:r w:rsidR="00901743" w:rsidRPr="00720F9F">
              <w:rPr>
                <w:rStyle w:val="Hypertextovodkaz"/>
                <w:rFonts w:hint="eastAsia"/>
                <w:noProof/>
              </w:rPr>
              <w:t>í</w:t>
            </w:r>
            <w:r w:rsidR="00901743" w:rsidRPr="00720F9F">
              <w:rPr>
                <w:rStyle w:val="Hypertextovodkaz"/>
                <w:noProof/>
              </w:rPr>
              <w:t xml:space="preserve"> </w:t>
            </w:r>
            <w:r w:rsidR="00901743" w:rsidRPr="00720F9F">
              <w:rPr>
                <w:rStyle w:val="Hypertextovodkaz"/>
                <w:bCs/>
                <w:noProof/>
              </w:rPr>
              <w:t>autonomn</w:t>
            </w:r>
            <w:r w:rsidR="00901743" w:rsidRPr="00720F9F">
              <w:rPr>
                <w:rStyle w:val="Hypertextovodkaz"/>
                <w:rFonts w:hint="eastAsia"/>
                <w:bCs/>
                <w:noProof/>
              </w:rPr>
              <w:t>í</w:t>
            </w:r>
            <w:r w:rsidR="00901743" w:rsidRPr="00720F9F">
              <w:rPr>
                <w:rStyle w:val="Hypertextovodkaz"/>
                <w:bCs/>
                <w:noProof/>
              </w:rPr>
              <w:t>ch zbra</w:t>
            </w:r>
            <w:r w:rsidR="00901743" w:rsidRPr="00720F9F">
              <w:rPr>
                <w:rStyle w:val="Hypertextovodkaz"/>
                <w:rFonts w:hint="eastAsia"/>
                <w:bCs/>
                <w:noProof/>
              </w:rPr>
              <w:t>ň</w:t>
            </w:r>
            <w:r w:rsidR="00901743" w:rsidRPr="00720F9F">
              <w:rPr>
                <w:rStyle w:val="Hypertextovodkaz"/>
                <w:bCs/>
                <w:noProof/>
              </w:rPr>
              <w:t>ov</w:t>
            </w:r>
            <w:r w:rsidR="00901743" w:rsidRPr="00720F9F">
              <w:rPr>
                <w:rStyle w:val="Hypertextovodkaz"/>
                <w:rFonts w:hint="eastAsia"/>
                <w:bCs/>
                <w:noProof/>
              </w:rPr>
              <w:t>ý</w:t>
            </w:r>
            <w:r w:rsidR="00901743" w:rsidRPr="00720F9F">
              <w:rPr>
                <w:rStyle w:val="Hypertextovodkaz"/>
                <w:bCs/>
                <w:noProof/>
              </w:rPr>
              <w:t>ch syst</w:t>
            </w:r>
            <w:r w:rsidR="00901743" w:rsidRPr="00720F9F">
              <w:rPr>
                <w:rStyle w:val="Hypertextovodkaz"/>
                <w:rFonts w:hint="eastAsia"/>
                <w:bCs/>
                <w:noProof/>
              </w:rPr>
              <w:t>é</w:t>
            </w:r>
            <w:r w:rsidR="00901743" w:rsidRPr="00720F9F">
              <w:rPr>
                <w:rStyle w:val="Hypertextovodkaz"/>
                <w:bCs/>
                <w:noProof/>
              </w:rPr>
              <w:t>m</w:t>
            </w:r>
            <w:r w:rsidR="00901743" w:rsidRPr="00720F9F">
              <w:rPr>
                <w:rStyle w:val="Hypertextovodkaz"/>
                <w:rFonts w:hint="eastAsia"/>
                <w:bCs/>
                <w:noProof/>
              </w:rPr>
              <w:t>ů</w:t>
            </w:r>
            <w:r w:rsidR="00901743" w:rsidRPr="00720F9F">
              <w:rPr>
                <w:rStyle w:val="Hypertextovodkaz"/>
                <w:bCs/>
                <w:noProof/>
              </w:rPr>
              <w:t xml:space="preserve"> a poru</w:t>
            </w:r>
            <w:r w:rsidR="00901743" w:rsidRPr="00720F9F">
              <w:rPr>
                <w:rStyle w:val="Hypertextovodkaz"/>
                <w:rFonts w:hint="eastAsia"/>
                <w:bCs/>
                <w:noProof/>
              </w:rPr>
              <w:t>š</w:t>
            </w:r>
            <w:r w:rsidR="00901743" w:rsidRPr="00720F9F">
              <w:rPr>
                <w:rStyle w:val="Hypertextovodkaz"/>
                <w:bCs/>
                <w:noProof/>
              </w:rPr>
              <w:t>en</w:t>
            </w:r>
            <w:r w:rsidR="00901743" w:rsidRPr="00720F9F">
              <w:rPr>
                <w:rStyle w:val="Hypertextovodkaz"/>
                <w:rFonts w:hint="eastAsia"/>
                <w:bCs/>
                <w:noProof/>
              </w:rPr>
              <w:t>í</w:t>
            </w:r>
            <w:r w:rsidR="00901743" w:rsidRPr="00720F9F">
              <w:rPr>
                <w:rStyle w:val="Hypertextovodkaz"/>
                <w:bCs/>
                <w:noProof/>
              </w:rPr>
              <w:t xml:space="preserve"> ius ad bellum</w:t>
            </w:r>
            <w:r w:rsidR="00901743">
              <w:rPr>
                <w:noProof/>
                <w:webHidden/>
              </w:rPr>
              <w:tab/>
            </w:r>
            <w:r w:rsidR="00901743">
              <w:rPr>
                <w:noProof/>
                <w:webHidden/>
              </w:rPr>
              <w:fldChar w:fldCharType="begin"/>
            </w:r>
            <w:r w:rsidR="00901743">
              <w:rPr>
                <w:noProof/>
                <w:webHidden/>
              </w:rPr>
              <w:instrText xml:space="preserve"> PAGEREF _Toc164801757 \h </w:instrText>
            </w:r>
            <w:r w:rsidR="00901743">
              <w:rPr>
                <w:noProof/>
                <w:webHidden/>
              </w:rPr>
            </w:r>
            <w:r w:rsidR="00901743">
              <w:rPr>
                <w:noProof/>
                <w:webHidden/>
              </w:rPr>
              <w:fldChar w:fldCharType="separate"/>
            </w:r>
            <w:r w:rsidR="00901743">
              <w:rPr>
                <w:noProof/>
                <w:webHidden/>
              </w:rPr>
              <w:t>24</w:t>
            </w:r>
            <w:r w:rsidR="00901743">
              <w:rPr>
                <w:noProof/>
                <w:webHidden/>
              </w:rPr>
              <w:fldChar w:fldCharType="end"/>
            </w:r>
          </w:hyperlink>
        </w:p>
        <w:p w14:paraId="5EEB85CE" w14:textId="6C6D516D" w:rsidR="00901743" w:rsidRDefault="00000000">
          <w:pPr>
            <w:pStyle w:val="Obsah1"/>
            <w:tabs>
              <w:tab w:val="left" w:pos="480"/>
            </w:tabs>
            <w:rPr>
              <w:rFonts w:asciiTheme="minorHAnsi" w:eastAsiaTheme="minorEastAsia" w:hAnsiTheme="minorHAnsi"/>
              <w:noProof/>
              <w:kern w:val="2"/>
              <w:szCs w:val="24"/>
              <w:lang w:eastAsia="cs-CZ"/>
              <w14:ligatures w14:val="standardContextual"/>
            </w:rPr>
          </w:pPr>
          <w:hyperlink w:anchor="_Toc164801758" w:history="1">
            <w:r w:rsidR="00901743" w:rsidRPr="00720F9F">
              <w:rPr>
                <w:rStyle w:val="Hypertextovodkaz"/>
                <w:noProof/>
              </w:rPr>
              <w:t>4.</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Autonomn</w:t>
            </w:r>
            <w:r w:rsidR="00901743" w:rsidRPr="00720F9F">
              <w:rPr>
                <w:rStyle w:val="Hypertextovodkaz"/>
                <w:rFonts w:hint="eastAsia"/>
                <w:noProof/>
              </w:rPr>
              <w:t>í</w:t>
            </w:r>
            <w:r w:rsidR="00901743" w:rsidRPr="00720F9F">
              <w:rPr>
                <w:rStyle w:val="Hypertextovodkaz"/>
                <w:noProof/>
              </w:rPr>
              <w:t xml:space="preserve"> zbra</w:t>
            </w:r>
            <w:r w:rsidR="00901743" w:rsidRPr="00720F9F">
              <w:rPr>
                <w:rStyle w:val="Hypertextovodkaz"/>
                <w:rFonts w:hint="eastAsia"/>
                <w:noProof/>
              </w:rPr>
              <w:t>ň</w:t>
            </w:r>
            <w:r w:rsidR="00901743" w:rsidRPr="00720F9F">
              <w:rPr>
                <w:rStyle w:val="Hypertextovodkaz"/>
                <w:noProof/>
              </w:rPr>
              <w:t>ov</w:t>
            </w:r>
            <w:r w:rsidR="00901743" w:rsidRPr="00720F9F">
              <w:rPr>
                <w:rStyle w:val="Hypertextovodkaz"/>
                <w:rFonts w:hint="eastAsia"/>
                <w:noProof/>
              </w:rPr>
              <w:t>é</w:t>
            </w:r>
            <w:r w:rsidR="00901743" w:rsidRPr="00720F9F">
              <w:rPr>
                <w:rStyle w:val="Hypertextovodkaz"/>
                <w:noProof/>
              </w:rPr>
              <w:t xml:space="preserve"> syst</w:t>
            </w:r>
            <w:r w:rsidR="00901743" w:rsidRPr="00720F9F">
              <w:rPr>
                <w:rStyle w:val="Hypertextovodkaz"/>
                <w:rFonts w:hint="eastAsia"/>
                <w:noProof/>
              </w:rPr>
              <w:t>é</w:t>
            </w:r>
            <w:r w:rsidR="00901743" w:rsidRPr="00720F9F">
              <w:rPr>
                <w:rStyle w:val="Hypertextovodkaz"/>
                <w:noProof/>
              </w:rPr>
              <w:t>my a po</w:t>
            </w:r>
            <w:r w:rsidR="00901743" w:rsidRPr="00720F9F">
              <w:rPr>
                <w:rStyle w:val="Hypertextovodkaz"/>
                <w:rFonts w:hint="eastAsia"/>
                <w:noProof/>
              </w:rPr>
              <w:t>ž</w:t>
            </w:r>
            <w:r w:rsidR="00901743" w:rsidRPr="00720F9F">
              <w:rPr>
                <w:rStyle w:val="Hypertextovodkaz"/>
                <w:noProof/>
              </w:rPr>
              <w:t>adavky mezin</w:t>
            </w:r>
            <w:r w:rsidR="00901743" w:rsidRPr="00720F9F">
              <w:rPr>
                <w:rStyle w:val="Hypertextovodkaz"/>
                <w:rFonts w:hint="eastAsia"/>
                <w:noProof/>
              </w:rPr>
              <w:t>á</w:t>
            </w:r>
            <w:r w:rsidR="00901743" w:rsidRPr="00720F9F">
              <w:rPr>
                <w:rStyle w:val="Hypertextovodkaz"/>
                <w:noProof/>
              </w:rPr>
              <w:t>rodn</w:t>
            </w:r>
            <w:r w:rsidR="00901743" w:rsidRPr="00720F9F">
              <w:rPr>
                <w:rStyle w:val="Hypertextovodkaz"/>
                <w:rFonts w:hint="eastAsia"/>
                <w:noProof/>
              </w:rPr>
              <w:t>í</w:t>
            </w:r>
            <w:r w:rsidR="00901743" w:rsidRPr="00720F9F">
              <w:rPr>
                <w:rStyle w:val="Hypertextovodkaz"/>
                <w:noProof/>
              </w:rPr>
              <w:t>ho humanit</w:t>
            </w:r>
            <w:r w:rsidR="00901743" w:rsidRPr="00720F9F">
              <w:rPr>
                <w:rStyle w:val="Hypertextovodkaz"/>
                <w:rFonts w:hint="eastAsia"/>
                <w:noProof/>
              </w:rPr>
              <w:t>á</w:t>
            </w:r>
            <w:r w:rsidR="00901743" w:rsidRPr="00720F9F">
              <w:rPr>
                <w:rStyle w:val="Hypertextovodkaz"/>
                <w:noProof/>
              </w:rPr>
              <w:t>rn</w:t>
            </w:r>
            <w:r w:rsidR="00901743" w:rsidRPr="00720F9F">
              <w:rPr>
                <w:rStyle w:val="Hypertextovodkaz"/>
                <w:rFonts w:hint="eastAsia"/>
                <w:noProof/>
              </w:rPr>
              <w:t>í</w:t>
            </w:r>
            <w:r w:rsidR="00901743" w:rsidRPr="00720F9F">
              <w:rPr>
                <w:rStyle w:val="Hypertextovodkaz"/>
                <w:noProof/>
              </w:rPr>
              <w:t>ho pr</w:t>
            </w:r>
            <w:r w:rsidR="00901743" w:rsidRPr="00720F9F">
              <w:rPr>
                <w:rStyle w:val="Hypertextovodkaz"/>
                <w:rFonts w:hint="eastAsia"/>
                <w:noProof/>
              </w:rPr>
              <w:t>á</w:t>
            </w:r>
            <w:r w:rsidR="00901743" w:rsidRPr="00720F9F">
              <w:rPr>
                <w:rStyle w:val="Hypertextovodkaz"/>
                <w:noProof/>
              </w:rPr>
              <w:t>va</w:t>
            </w:r>
            <w:r w:rsidR="00901743">
              <w:rPr>
                <w:noProof/>
                <w:webHidden/>
              </w:rPr>
              <w:tab/>
            </w:r>
            <w:r w:rsidR="00901743">
              <w:rPr>
                <w:noProof/>
                <w:webHidden/>
              </w:rPr>
              <w:fldChar w:fldCharType="begin"/>
            </w:r>
            <w:r w:rsidR="00901743">
              <w:rPr>
                <w:noProof/>
                <w:webHidden/>
              </w:rPr>
              <w:instrText xml:space="preserve"> PAGEREF _Toc164801758 \h </w:instrText>
            </w:r>
            <w:r w:rsidR="00901743">
              <w:rPr>
                <w:noProof/>
                <w:webHidden/>
              </w:rPr>
            </w:r>
            <w:r w:rsidR="00901743">
              <w:rPr>
                <w:noProof/>
                <w:webHidden/>
              </w:rPr>
              <w:fldChar w:fldCharType="separate"/>
            </w:r>
            <w:r w:rsidR="00901743">
              <w:rPr>
                <w:noProof/>
                <w:webHidden/>
              </w:rPr>
              <w:t>29</w:t>
            </w:r>
            <w:r w:rsidR="00901743">
              <w:rPr>
                <w:noProof/>
                <w:webHidden/>
              </w:rPr>
              <w:fldChar w:fldCharType="end"/>
            </w:r>
          </w:hyperlink>
        </w:p>
        <w:p w14:paraId="0C7924CD" w14:textId="5ECF6EE3"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59" w:history="1">
            <w:r w:rsidR="00901743" w:rsidRPr="00720F9F">
              <w:rPr>
                <w:rStyle w:val="Hypertextovodkaz"/>
                <w:noProof/>
              </w:rPr>
              <w:t>4.1.</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Omezen</w:t>
            </w:r>
            <w:r w:rsidR="00901743" w:rsidRPr="00720F9F">
              <w:rPr>
                <w:rStyle w:val="Hypertextovodkaz"/>
                <w:rFonts w:hint="eastAsia"/>
                <w:noProof/>
              </w:rPr>
              <w:t>í</w:t>
            </w:r>
            <w:r w:rsidR="00901743" w:rsidRPr="00720F9F">
              <w:rPr>
                <w:rStyle w:val="Hypertextovodkaz"/>
                <w:noProof/>
              </w:rPr>
              <w:t xml:space="preserve"> u</w:t>
            </w:r>
            <w:r w:rsidR="00901743" w:rsidRPr="00720F9F">
              <w:rPr>
                <w:rStyle w:val="Hypertextovodkaz"/>
                <w:rFonts w:hint="eastAsia"/>
                <w:noProof/>
              </w:rPr>
              <w:t>ž</w:t>
            </w:r>
            <w:r w:rsidR="00901743" w:rsidRPr="00720F9F">
              <w:rPr>
                <w:rStyle w:val="Hypertextovodkaz"/>
                <w:noProof/>
              </w:rPr>
              <w:t>it</w:t>
            </w:r>
            <w:r w:rsidR="00901743" w:rsidRPr="00720F9F">
              <w:rPr>
                <w:rStyle w:val="Hypertextovodkaz"/>
                <w:rFonts w:hint="eastAsia"/>
                <w:noProof/>
              </w:rPr>
              <w:t>í</w:t>
            </w:r>
            <w:r w:rsidR="00901743" w:rsidRPr="00720F9F">
              <w:rPr>
                <w:rStyle w:val="Hypertextovodkaz"/>
                <w:noProof/>
              </w:rPr>
              <w:t xml:space="preserve"> ur</w:t>
            </w:r>
            <w:r w:rsidR="00901743" w:rsidRPr="00720F9F">
              <w:rPr>
                <w:rStyle w:val="Hypertextovodkaz"/>
                <w:rFonts w:hint="eastAsia"/>
                <w:noProof/>
              </w:rPr>
              <w:t>č</w:t>
            </w:r>
            <w:r w:rsidR="00901743" w:rsidRPr="00720F9F">
              <w:rPr>
                <w:rStyle w:val="Hypertextovodkaz"/>
                <w:noProof/>
              </w:rPr>
              <w:t>it</w:t>
            </w:r>
            <w:r w:rsidR="00901743" w:rsidRPr="00720F9F">
              <w:rPr>
                <w:rStyle w:val="Hypertextovodkaz"/>
                <w:rFonts w:hint="eastAsia"/>
                <w:noProof/>
              </w:rPr>
              <w:t>é</w:t>
            </w:r>
            <w:r w:rsidR="00901743" w:rsidRPr="00720F9F">
              <w:rPr>
                <w:rStyle w:val="Hypertextovodkaz"/>
                <w:noProof/>
              </w:rPr>
              <w:t>ho druhu zbran</w:t>
            </w:r>
            <w:r w:rsidR="00901743" w:rsidRPr="00720F9F">
              <w:rPr>
                <w:rStyle w:val="Hypertextovodkaz"/>
                <w:rFonts w:hint="eastAsia"/>
                <w:noProof/>
              </w:rPr>
              <w:t>í</w:t>
            </w:r>
            <w:r w:rsidR="00901743">
              <w:rPr>
                <w:noProof/>
                <w:webHidden/>
              </w:rPr>
              <w:tab/>
            </w:r>
            <w:r w:rsidR="00901743">
              <w:rPr>
                <w:noProof/>
                <w:webHidden/>
              </w:rPr>
              <w:fldChar w:fldCharType="begin"/>
            </w:r>
            <w:r w:rsidR="00901743">
              <w:rPr>
                <w:noProof/>
                <w:webHidden/>
              </w:rPr>
              <w:instrText xml:space="preserve"> PAGEREF _Toc164801759 \h </w:instrText>
            </w:r>
            <w:r w:rsidR="00901743">
              <w:rPr>
                <w:noProof/>
                <w:webHidden/>
              </w:rPr>
            </w:r>
            <w:r w:rsidR="00901743">
              <w:rPr>
                <w:noProof/>
                <w:webHidden/>
              </w:rPr>
              <w:fldChar w:fldCharType="separate"/>
            </w:r>
            <w:r w:rsidR="00901743">
              <w:rPr>
                <w:noProof/>
                <w:webHidden/>
              </w:rPr>
              <w:t>29</w:t>
            </w:r>
            <w:r w:rsidR="00901743">
              <w:rPr>
                <w:noProof/>
                <w:webHidden/>
              </w:rPr>
              <w:fldChar w:fldCharType="end"/>
            </w:r>
          </w:hyperlink>
        </w:p>
        <w:p w14:paraId="1E8594B5" w14:textId="4FAF6B65"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60" w:history="1">
            <w:r w:rsidR="00901743" w:rsidRPr="00720F9F">
              <w:rPr>
                <w:rStyle w:val="Hypertextovodkaz"/>
                <w:noProof/>
              </w:rPr>
              <w:t>4.2.</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Obecn</w:t>
            </w:r>
            <w:r w:rsidR="00901743" w:rsidRPr="00720F9F">
              <w:rPr>
                <w:rStyle w:val="Hypertextovodkaz"/>
                <w:rFonts w:hint="eastAsia"/>
                <w:noProof/>
              </w:rPr>
              <w:t>é</w:t>
            </w:r>
            <w:r w:rsidR="00901743" w:rsidRPr="00720F9F">
              <w:rPr>
                <w:rStyle w:val="Hypertextovodkaz"/>
                <w:noProof/>
              </w:rPr>
              <w:t xml:space="preserve"> pravidla omezuj</w:t>
            </w:r>
            <w:r w:rsidR="00901743" w:rsidRPr="00720F9F">
              <w:rPr>
                <w:rStyle w:val="Hypertextovodkaz"/>
                <w:rFonts w:hint="eastAsia"/>
                <w:noProof/>
              </w:rPr>
              <w:t>í</w:t>
            </w:r>
            <w:r w:rsidR="00901743" w:rsidRPr="00720F9F">
              <w:rPr>
                <w:rStyle w:val="Hypertextovodkaz"/>
                <w:noProof/>
              </w:rPr>
              <w:t>c</w:t>
            </w:r>
            <w:r w:rsidR="00901743" w:rsidRPr="00720F9F">
              <w:rPr>
                <w:rStyle w:val="Hypertextovodkaz"/>
                <w:rFonts w:hint="eastAsia"/>
                <w:noProof/>
              </w:rPr>
              <w:t>í</w:t>
            </w:r>
            <w:r w:rsidR="00901743" w:rsidRPr="00720F9F">
              <w:rPr>
                <w:rStyle w:val="Hypertextovodkaz"/>
                <w:noProof/>
              </w:rPr>
              <w:t xml:space="preserve"> pou</w:t>
            </w:r>
            <w:r w:rsidR="00901743" w:rsidRPr="00720F9F">
              <w:rPr>
                <w:rStyle w:val="Hypertextovodkaz"/>
                <w:rFonts w:hint="eastAsia"/>
                <w:noProof/>
              </w:rPr>
              <w:t>ží</w:t>
            </w:r>
            <w:r w:rsidR="00901743" w:rsidRPr="00720F9F">
              <w:rPr>
                <w:rStyle w:val="Hypertextovodkaz"/>
                <w:noProof/>
              </w:rPr>
              <w:t>v</w:t>
            </w:r>
            <w:r w:rsidR="00901743" w:rsidRPr="00720F9F">
              <w:rPr>
                <w:rStyle w:val="Hypertextovodkaz"/>
                <w:rFonts w:hint="eastAsia"/>
                <w:noProof/>
              </w:rPr>
              <w:t>á</w:t>
            </w:r>
            <w:r w:rsidR="00901743" w:rsidRPr="00720F9F">
              <w:rPr>
                <w:rStyle w:val="Hypertextovodkaz"/>
                <w:noProof/>
              </w:rPr>
              <w:t>n</w:t>
            </w:r>
            <w:r w:rsidR="00901743" w:rsidRPr="00720F9F">
              <w:rPr>
                <w:rStyle w:val="Hypertextovodkaz"/>
                <w:rFonts w:hint="eastAsia"/>
                <w:noProof/>
              </w:rPr>
              <w:t>í</w:t>
            </w:r>
            <w:r w:rsidR="00901743" w:rsidRPr="00720F9F">
              <w:rPr>
                <w:rStyle w:val="Hypertextovodkaz"/>
                <w:noProof/>
              </w:rPr>
              <w:t xml:space="preserve"> zbran</w:t>
            </w:r>
            <w:r w:rsidR="00901743" w:rsidRPr="00720F9F">
              <w:rPr>
                <w:rStyle w:val="Hypertextovodkaz"/>
                <w:rFonts w:hint="eastAsia"/>
                <w:noProof/>
              </w:rPr>
              <w:t>í</w:t>
            </w:r>
            <w:r w:rsidR="00901743" w:rsidRPr="00720F9F">
              <w:rPr>
                <w:rStyle w:val="Hypertextovodkaz"/>
                <w:noProof/>
              </w:rPr>
              <w:t xml:space="preserve"> v</w:t>
            </w:r>
            <w:r w:rsidR="00901743" w:rsidRPr="00720F9F">
              <w:rPr>
                <w:rStyle w:val="Hypertextovodkaz"/>
                <w:rFonts w:hint="eastAsia"/>
                <w:noProof/>
              </w:rPr>
              <w:t> </w:t>
            </w:r>
            <w:r w:rsidR="00901743" w:rsidRPr="00720F9F">
              <w:rPr>
                <w:rStyle w:val="Hypertextovodkaz"/>
                <w:noProof/>
              </w:rPr>
              <w:t>mezin</w:t>
            </w:r>
            <w:r w:rsidR="00901743" w:rsidRPr="00720F9F">
              <w:rPr>
                <w:rStyle w:val="Hypertextovodkaz"/>
                <w:rFonts w:hint="eastAsia"/>
                <w:noProof/>
              </w:rPr>
              <w:t>á</w:t>
            </w:r>
            <w:r w:rsidR="00901743" w:rsidRPr="00720F9F">
              <w:rPr>
                <w:rStyle w:val="Hypertextovodkaz"/>
                <w:noProof/>
              </w:rPr>
              <w:t>rodn</w:t>
            </w:r>
            <w:r w:rsidR="00901743" w:rsidRPr="00720F9F">
              <w:rPr>
                <w:rStyle w:val="Hypertextovodkaz"/>
                <w:rFonts w:hint="eastAsia"/>
                <w:noProof/>
              </w:rPr>
              <w:t>í</w:t>
            </w:r>
            <w:r w:rsidR="00901743" w:rsidRPr="00720F9F">
              <w:rPr>
                <w:rStyle w:val="Hypertextovodkaz"/>
                <w:noProof/>
              </w:rPr>
              <w:t>m humanit</w:t>
            </w:r>
            <w:r w:rsidR="00901743" w:rsidRPr="00720F9F">
              <w:rPr>
                <w:rStyle w:val="Hypertextovodkaz"/>
                <w:rFonts w:hint="eastAsia"/>
                <w:noProof/>
              </w:rPr>
              <w:t>á</w:t>
            </w:r>
            <w:r w:rsidR="00901743" w:rsidRPr="00720F9F">
              <w:rPr>
                <w:rStyle w:val="Hypertextovodkaz"/>
                <w:noProof/>
              </w:rPr>
              <w:t>rn</w:t>
            </w:r>
            <w:r w:rsidR="00901743" w:rsidRPr="00720F9F">
              <w:rPr>
                <w:rStyle w:val="Hypertextovodkaz"/>
                <w:rFonts w:hint="eastAsia"/>
                <w:noProof/>
              </w:rPr>
              <w:t>í</w:t>
            </w:r>
            <w:r w:rsidR="00901743" w:rsidRPr="00720F9F">
              <w:rPr>
                <w:rStyle w:val="Hypertextovodkaz"/>
                <w:noProof/>
              </w:rPr>
              <w:t>m pr</w:t>
            </w:r>
            <w:r w:rsidR="00901743" w:rsidRPr="00720F9F">
              <w:rPr>
                <w:rStyle w:val="Hypertextovodkaz"/>
                <w:rFonts w:hint="eastAsia"/>
                <w:noProof/>
              </w:rPr>
              <w:t>á</w:t>
            </w:r>
            <w:r w:rsidR="00901743" w:rsidRPr="00720F9F">
              <w:rPr>
                <w:rStyle w:val="Hypertextovodkaz"/>
                <w:noProof/>
              </w:rPr>
              <w:t>vu</w:t>
            </w:r>
            <w:r w:rsidR="00901743">
              <w:rPr>
                <w:noProof/>
                <w:webHidden/>
              </w:rPr>
              <w:tab/>
            </w:r>
            <w:r w:rsidR="00901743">
              <w:rPr>
                <w:noProof/>
                <w:webHidden/>
              </w:rPr>
              <w:fldChar w:fldCharType="begin"/>
            </w:r>
            <w:r w:rsidR="00901743">
              <w:rPr>
                <w:noProof/>
                <w:webHidden/>
              </w:rPr>
              <w:instrText xml:space="preserve"> PAGEREF _Toc164801760 \h </w:instrText>
            </w:r>
            <w:r w:rsidR="00901743">
              <w:rPr>
                <w:noProof/>
                <w:webHidden/>
              </w:rPr>
            </w:r>
            <w:r w:rsidR="00901743">
              <w:rPr>
                <w:noProof/>
                <w:webHidden/>
              </w:rPr>
              <w:fldChar w:fldCharType="separate"/>
            </w:r>
            <w:r w:rsidR="00901743">
              <w:rPr>
                <w:noProof/>
                <w:webHidden/>
              </w:rPr>
              <w:t>31</w:t>
            </w:r>
            <w:r w:rsidR="00901743">
              <w:rPr>
                <w:noProof/>
                <w:webHidden/>
              </w:rPr>
              <w:fldChar w:fldCharType="end"/>
            </w:r>
          </w:hyperlink>
        </w:p>
        <w:p w14:paraId="05A69B21" w14:textId="4FAAF206" w:rsidR="00901743" w:rsidRDefault="00000000">
          <w:pPr>
            <w:pStyle w:val="Obsah3"/>
            <w:tabs>
              <w:tab w:val="left" w:pos="1440"/>
              <w:tab w:val="right" w:leader="dot" w:pos="9061"/>
            </w:tabs>
            <w:rPr>
              <w:rFonts w:asciiTheme="minorHAnsi" w:eastAsiaTheme="minorEastAsia" w:hAnsiTheme="minorHAnsi"/>
              <w:noProof/>
              <w:kern w:val="2"/>
              <w:szCs w:val="24"/>
              <w:lang w:eastAsia="cs-CZ"/>
              <w14:ligatures w14:val="standardContextual"/>
            </w:rPr>
          </w:pPr>
          <w:hyperlink w:anchor="_Toc164801761" w:history="1">
            <w:r w:rsidR="00901743" w:rsidRPr="00720F9F">
              <w:rPr>
                <w:rStyle w:val="Hypertextovodkaz"/>
                <w:noProof/>
              </w:rPr>
              <w:t>4.2.1.</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Zbran</w:t>
            </w:r>
            <w:r w:rsidR="00901743" w:rsidRPr="00720F9F">
              <w:rPr>
                <w:rStyle w:val="Hypertextovodkaz"/>
                <w:rFonts w:hint="eastAsia"/>
                <w:noProof/>
              </w:rPr>
              <w:t>ě</w:t>
            </w:r>
            <w:r w:rsidR="00901743" w:rsidRPr="00720F9F">
              <w:rPr>
                <w:rStyle w:val="Hypertextovodkaz"/>
                <w:noProof/>
              </w:rPr>
              <w:t xml:space="preserve"> s</w:t>
            </w:r>
            <w:r w:rsidR="00901743" w:rsidRPr="00720F9F">
              <w:rPr>
                <w:rStyle w:val="Hypertextovodkaz"/>
                <w:rFonts w:hint="eastAsia"/>
                <w:noProof/>
              </w:rPr>
              <w:t> </w:t>
            </w:r>
            <w:r w:rsidR="00901743" w:rsidRPr="00720F9F">
              <w:rPr>
                <w:rStyle w:val="Hypertextovodkaz"/>
                <w:noProof/>
              </w:rPr>
              <w:t>nerozli</w:t>
            </w:r>
            <w:r w:rsidR="00901743" w:rsidRPr="00720F9F">
              <w:rPr>
                <w:rStyle w:val="Hypertextovodkaz"/>
                <w:rFonts w:hint="eastAsia"/>
                <w:noProof/>
              </w:rPr>
              <w:t>š</w:t>
            </w:r>
            <w:r w:rsidR="00901743" w:rsidRPr="00720F9F">
              <w:rPr>
                <w:rStyle w:val="Hypertextovodkaz"/>
                <w:noProof/>
              </w:rPr>
              <w:t>uj</w:t>
            </w:r>
            <w:r w:rsidR="00901743" w:rsidRPr="00720F9F">
              <w:rPr>
                <w:rStyle w:val="Hypertextovodkaz"/>
                <w:rFonts w:hint="eastAsia"/>
                <w:noProof/>
              </w:rPr>
              <w:t>í</w:t>
            </w:r>
            <w:r w:rsidR="00901743" w:rsidRPr="00720F9F">
              <w:rPr>
                <w:rStyle w:val="Hypertextovodkaz"/>
                <w:noProof/>
              </w:rPr>
              <w:t>c</w:t>
            </w:r>
            <w:r w:rsidR="00901743" w:rsidRPr="00720F9F">
              <w:rPr>
                <w:rStyle w:val="Hypertextovodkaz"/>
                <w:rFonts w:hint="eastAsia"/>
                <w:noProof/>
              </w:rPr>
              <w:t>í</w:t>
            </w:r>
            <w:r w:rsidR="00901743" w:rsidRPr="00720F9F">
              <w:rPr>
                <w:rStyle w:val="Hypertextovodkaz"/>
                <w:noProof/>
              </w:rPr>
              <w:t>m charakterem</w:t>
            </w:r>
            <w:r w:rsidR="00901743">
              <w:rPr>
                <w:noProof/>
                <w:webHidden/>
              </w:rPr>
              <w:tab/>
            </w:r>
            <w:r w:rsidR="00901743">
              <w:rPr>
                <w:noProof/>
                <w:webHidden/>
              </w:rPr>
              <w:fldChar w:fldCharType="begin"/>
            </w:r>
            <w:r w:rsidR="00901743">
              <w:rPr>
                <w:noProof/>
                <w:webHidden/>
              </w:rPr>
              <w:instrText xml:space="preserve"> PAGEREF _Toc164801761 \h </w:instrText>
            </w:r>
            <w:r w:rsidR="00901743">
              <w:rPr>
                <w:noProof/>
                <w:webHidden/>
              </w:rPr>
            </w:r>
            <w:r w:rsidR="00901743">
              <w:rPr>
                <w:noProof/>
                <w:webHidden/>
              </w:rPr>
              <w:fldChar w:fldCharType="separate"/>
            </w:r>
            <w:r w:rsidR="00901743">
              <w:rPr>
                <w:noProof/>
                <w:webHidden/>
              </w:rPr>
              <w:t>32</w:t>
            </w:r>
            <w:r w:rsidR="00901743">
              <w:rPr>
                <w:noProof/>
                <w:webHidden/>
              </w:rPr>
              <w:fldChar w:fldCharType="end"/>
            </w:r>
          </w:hyperlink>
        </w:p>
        <w:p w14:paraId="6399FD61" w14:textId="20EA2BB2" w:rsidR="00901743" w:rsidRDefault="00000000">
          <w:pPr>
            <w:pStyle w:val="Obsah3"/>
            <w:tabs>
              <w:tab w:val="left" w:pos="1440"/>
              <w:tab w:val="right" w:leader="dot" w:pos="9061"/>
            </w:tabs>
            <w:rPr>
              <w:rFonts w:asciiTheme="minorHAnsi" w:eastAsiaTheme="minorEastAsia" w:hAnsiTheme="minorHAnsi"/>
              <w:noProof/>
              <w:kern w:val="2"/>
              <w:szCs w:val="24"/>
              <w:lang w:eastAsia="cs-CZ"/>
              <w14:ligatures w14:val="standardContextual"/>
            </w:rPr>
          </w:pPr>
          <w:hyperlink w:anchor="_Toc164801762" w:history="1">
            <w:r w:rsidR="00901743" w:rsidRPr="00720F9F">
              <w:rPr>
                <w:rStyle w:val="Hypertextovodkaz"/>
                <w:noProof/>
              </w:rPr>
              <w:t>4.2.2.</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Zbran</w:t>
            </w:r>
            <w:r w:rsidR="00901743" w:rsidRPr="00720F9F">
              <w:rPr>
                <w:rStyle w:val="Hypertextovodkaz"/>
                <w:rFonts w:hint="eastAsia"/>
                <w:noProof/>
              </w:rPr>
              <w:t>ě</w:t>
            </w:r>
            <w:r w:rsidR="00901743" w:rsidRPr="00720F9F">
              <w:rPr>
                <w:rStyle w:val="Hypertextovodkaz"/>
                <w:noProof/>
              </w:rPr>
              <w:t xml:space="preserve"> zp</w:t>
            </w:r>
            <w:r w:rsidR="00901743" w:rsidRPr="00720F9F">
              <w:rPr>
                <w:rStyle w:val="Hypertextovodkaz"/>
                <w:rFonts w:hint="eastAsia"/>
                <w:noProof/>
              </w:rPr>
              <w:t>ů</w:t>
            </w:r>
            <w:r w:rsidR="00901743" w:rsidRPr="00720F9F">
              <w:rPr>
                <w:rStyle w:val="Hypertextovodkaz"/>
                <w:noProof/>
              </w:rPr>
              <w:t>sobuj</w:t>
            </w:r>
            <w:r w:rsidR="00901743" w:rsidRPr="00720F9F">
              <w:rPr>
                <w:rStyle w:val="Hypertextovodkaz"/>
                <w:rFonts w:hint="eastAsia"/>
                <w:noProof/>
              </w:rPr>
              <w:t>í</w:t>
            </w:r>
            <w:r w:rsidR="00901743" w:rsidRPr="00720F9F">
              <w:rPr>
                <w:rStyle w:val="Hypertextovodkaz"/>
                <w:noProof/>
              </w:rPr>
              <w:t>c</w:t>
            </w:r>
            <w:r w:rsidR="00901743" w:rsidRPr="00720F9F">
              <w:rPr>
                <w:rStyle w:val="Hypertextovodkaz"/>
                <w:rFonts w:hint="eastAsia"/>
                <w:noProof/>
              </w:rPr>
              <w:t>í</w:t>
            </w:r>
            <w:r w:rsidR="00901743" w:rsidRPr="00720F9F">
              <w:rPr>
                <w:rStyle w:val="Hypertextovodkaz"/>
                <w:noProof/>
              </w:rPr>
              <w:t xml:space="preserve"> nadm</w:t>
            </w:r>
            <w:r w:rsidR="00901743" w:rsidRPr="00720F9F">
              <w:rPr>
                <w:rStyle w:val="Hypertextovodkaz"/>
                <w:rFonts w:hint="eastAsia"/>
                <w:noProof/>
              </w:rPr>
              <w:t>ě</w:t>
            </w:r>
            <w:r w:rsidR="00901743" w:rsidRPr="00720F9F">
              <w:rPr>
                <w:rStyle w:val="Hypertextovodkaz"/>
                <w:noProof/>
              </w:rPr>
              <w:t>rn</w:t>
            </w:r>
            <w:r w:rsidR="00901743" w:rsidRPr="00720F9F">
              <w:rPr>
                <w:rStyle w:val="Hypertextovodkaz"/>
                <w:rFonts w:hint="eastAsia"/>
                <w:noProof/>
              </w:rPr>
              <w:t>á</w:t>
            </w:r>
            <w:r w:rsidR="00901743" w:rsidRPr="00720F9F">
              <w:rPr>
                <w:rStyle w:val="Hypertextovodkaz"/>
                <w:noProof/>
              </w:rPr>
              <w:t xml:space="preserve"> zran</w:t>
            </w:r>
            <w:r w:rsidR="00901743" w:rsidRPr="00720F9F">
              <w:rPr>
                <w:rStyle w:val="Hypertextovodkaz"/>
                <w:rFonts w:hint="eastAsia"/>
                <w:noProof/>
              </w:rPr>
              <w:t>ě</w:t>
            </w:r>
            <w:r w:rsidR="00901743" w:rsidRPr="00720F9F">
              <w:rPr>
                <w:rStyle w:val="Hypertextovodkaz"/>
                <w:noProof/>
              </w:rPr>
              <w:t>n</w:t>
            </w:r>
            <w:r w:rsidR="00901743" w:rsidRPr="00720F9F">
              <w:rPr>
                <w:rStyle w:val="Hypertextovodkaz"/>
                <w:rFonts w:hint="eastAsia"/>
                <w:noProof/>
              </w:rPr>
              <w:t>í</w:t>
            </w:r>
            <w:r w:rsidR="00901743" w:rsidRPr="00720F9F">
              <w:rPr>
                <w:rStyle w:val="Hypertextovodkaz"/>
                <w:noProof/>
              </w:rPr>
              <w:t xml:space="preserve"> a </w:t>
            </w:r>
            <w:r w:rsidR="00901743" w:rsidRPr="00720F9F">
              <w:rPr>
                <w:rStyle w:val="Hypertextovodkaz"/>
                <w:rFonts w:hint="eastAsia"/>
                <w:noProof/>
              </w:rPr>
              <w:t>ú</w:t>
            </w:r>
            <w:r w:rsidR="00901743" w:rsidRPr="00720F9F">
              <w:rPr>
                <w:rStyle w:val="Hypertextovodkaz"/>
                <w:noProof/>
              </w:rPr>
              <w:t>trapy</w:t>
            </w:r>
            <w:r w:rsidR="00901743">
              <w:rPr>
                <w:noProof/>
                <w:webHidden/>
              </w:rPr>
              <w:tab/>
            </w:r>
            <w:r w:rsidR="00901743">
              <w:rPr>
                <w:noProof/>
                <w:webHidden/>
              </w:rPr>
              <w:fldChar w:fldCharType="begin"/>
            </w:r>
            <w:r w:rsidR="00901743">
              <w:rPr>
                <w:noProof/>
                <w:webHidden/>
              </w:rPr>
              <w:instrText xml:space="preserve"> PAGEREF _Toc164801762 \h </w:instrText>
            </w:r>
            <w:r w:rsidR="00901743">
              <w:rPr>
                <w:noProof/>
                <w:webHidden/>
              </w:rPr>
            </w:r>
            <w:r w:rsidR="00901743">
              <w:rPr>
                <w:noProof/>
                <w:webHidden/>
              </w:rPr>
              <w:fldChar w:fldCharType="separate"/>
            </w:r>
            <w:r w:rsidR="00901743">
              <w:rPr>
                <w:noProof/>
                <w:webHidden/>
              </w:rPr>
              <w:t>33</w:t>
            </w:r>
            <w:r w:rsidR="00901743">
              <w:rPr>
                <w:noProof/>
                <w:webHidden/>
              </w:rPr>
              <w:fldChar w:fldCharType="end"/>
            </w:r>
          </w:hyperlink>
        </w:p>
        <w:p w14:paraId="259A5B84" w14:textId="7DE50582" w:rsidR="00901743" w:rsidRDefault="00000000">
          <w:pPr>
            <w:pStyle w:val="Obsah3"/>
            <w:tabs>
              <w:tab w:val="left" w:pos="1440"/>
              <w:tab w:val="right" w:leader="dot" w:pos="9061"/>
            </w:tabs>
            <w:rPr>
              <w:rFonts w:asciiTheme="minorHAnsi" w:eastAsiaTheme="minorEastAsia" w:hAnsiTheme="minorHAnsi"/>
              <w:noProof/>
              <w:kern w:val="2"/>
              <w:szCs w:val="24"/>
              <w:lang w:eastAsia="cs-CZ"/>
              <w14:ligatures w14:val="standardContextual"/>
            </w:rPr>
          </w:pPr>
          <w:hyperlink w:anchor="_Toc164801763" w:history="1">
            <w:r w:rsidR="00901743" w:rsidRPr="00720F9F">
              <w:rPr>
                <w:rStyle w:val="Hypertextovodkaz"/>
                <w:noProof/>
              </w:rPr>
              <w:t>4.2.3.</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Zbran</w:t>
            </w:r>
            <w:r w:rsidR="00901743" w:rsidRPr="00720F9F">
              <w:rPr>
                <w:rStyle w:val="Hypertextovodkaz"/>
                <w:rFonts w:hint="eastAsia"/>
                <w:noProof/>
              </w:rPr>
              <w:t>ě</w:t>
            </w:r>
            <w:r w:rsidR="00901743" w:rsidRPr="00720F9F">
              <w:rPr>
                <w:rStyle w:val="Hypertextovodkaz"/>
                <w:noProof/>
              </w:rPr>
              <w:t xml:space="preserve"> po</w:t>
            </w:r>
            <w:r w:rsidR="00901743" w:rsidRPr="00720F9F">
              <w:rPr>
                <w:rStyle w:val="Hypertextovodkaz"/>
                <w:rFonts w:hint="eastAsia"/>
                <w:noProof/>
              </w:rPr>
              <w:t>š</w:t>
            </w:r>
            <w:r w:rsidR="00901743" w:rsidRPr="00720F9F">
              <w:rPr>
                <w:rStyle w:val="Hypertextovodkaz"/>
                <w:noProof/>
              </w:rPr>
              <w:t>kozuj</w:t>
            </w:r>
            <w:r w:rsidR="00901743" w:rsidRPr="00720F9F">
              <w:rPr>
                <w:rStyle w:val="Hypertextovodkaz"/>
                <w:rFonts w:hint="eastAsia"/>
                <w:noProof/>
              </w:rPr>
              <w:t>í</w:t>
            </w:r>
            <w:r w:rsidR="00901743" w:rsidRPr="00720F9F">
              <w:rPr>
                <w:rStyle w:val="Hypertextovodkaz"/>
                <w:noProof/>
              </w:rPr>
              <w:t>c</w:t>
            </w:r>
            <w:r w:rsidR="00901743" w:rsidRPr="00720F9F">
              <w:rPr>
                <w:rStyle w:val="Hypertextovodkaz"/>
                <w:rFonts w:hint="eastAsia"/>
                <w:noProof/>
              </w:rPr>
              <w:t>í</w:t>
            </w:r>
            <w:r w:rsidR="00901743" w:rsidRPr="00720F9F">
              <w:rPr>
                <w:rStyle w:val="Hypertextovodkaz"/>
                <w:noProof/>
              </w:rPr>
              <w:t xml:space="preserve"> </w:t>
            </w:r>
            <w:r w:rsidR="00901743" w:rsidRPr="00720F9F">
              <w:rPr>
                <w:rStyle w:val="Hypertextovodkaz"/>
                <w:rFonts w:hint="eastAsia"/>
                <w:noProof/>
              </w:rPr>
              <w:t>ž</w:t>
            </w:r>
            <w:r w:rsidR="00901743" w:rsidRPr="00720F9F">
              <w:rPr>
                <w:rStyle w:val="Hypertextovodkaz"/>
                <w:noProof/>
              </w:rPr>
              <w:t>ivotn</w:t>
            </w:r>
            <w:r w:rsidR="00901743" w:rsidRPr="00720F9F">
              <w:rPr>
                <w:rStyle w:val="Hypertextovodkaz"/>
                <w:rFonts w:hint="eastAsia"/>
                <w:noProof/>
              </w:rPr>
              <w:t>í</w:t>
            </w:r>
            <w:r w:rsidR="00901743" w:rsidRPr="00720F9F">
              <w:rPr>
                <w:rStyle w:val="Hypertextovodkaz"/>
                <w:noProof/>
              </w:rPr>
              <w:t xml:space="preserve"> prost</w:t>
            </w:r>
            <w:r w:rsidR="00901743" w:rsidRPr="00720F9F">
              <w:rPr>
                <w:rStyle w:val="Hypertextovodkaz"/>
                <w:rFonts w:hint="eastAsia"/>
                <w:noProof/>
              </w:rPr>
              <w:t>ř</w:t>
            </w:r>
            <w:r w:rsidR="00901743" w:rsidRPr="00720F9F">
              <w:rPr>
                <w:rStyle w:val="Hypertextovodkaz"/>
                <w:noProof/>
              </w:rPr>
              <w:t>ed</w:t>
            </w:r>
            <w:r w:rsidR="00901743" w:rsidRPr="00720F9F">
              <w:rPr>
                <w:rStyle w:val="Hypertextovodkaz"/>
                <w:rFonts w:hint="eastAsia"/>
                <w:noProof/>
              </w:rPr>
              <w:t>í</w:t>
            </w:r>
            <w:r w:rsidR="00901743">
              <w:rPr>
                <w:noProof/>
                <w:webHidden/>
              </w:rPr>
              <w:tab/>
            </w:r>
            <w:r w:rsidR="00901743">
              <w:rPr>
                <w:noProof/>
                <w:webHidden/>
              </w:rPr>
              <w:fldChar w:fldCharType="begin"/>
            </w:r>
            <w:r w:rsidR="00901743">
              <w:rPr>
                <w:noProof/>
                <w:webHidden/>
              </w:rPr>
              <w:instrText xml:space="preserve"> PAGEREF _Toc164801763 \h </w:instrText>
            </w:r>
            <w:r w:rsidR="00901743">
              <w:rPr>
                <w:noProof/>
                <w:webHidden/>
              </w:rPr>
            </w:r>
            <w:r w:rsidR="00901743">
              <w:rPr>
                <w:noProof/>
                <w:webHidden/>
              </w:rPr>
              <w:fldChar w:fldCharType="separate"/>
            </w:r>
            <w:r w:rsidR="00901743">
              <w:rPr>
                <w:noProof/>
                <w:webHidden/>
              </w:rPr>
              <w:t>35</w:t>
            </w:r>
            <w:r w:rsidR="00901743">
              <w:rPr>
                <w:noProof/>
                <w:webHidden/>
              </w:rPr>
              <w:fldChar w:fldCharType="end"/>
            </w:r>
          </w:hyperlink>
        </w:p>
        <w:p w14:paraId="2DB5924C" w14:textId="768506DC"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64" w:history="1">
            <w:r w:rsidR="00901743" w:rsidRPr="00720F9F">
              <w:rPr>
                <w:rStyle w:val="Hypertextovodkaz"/>
                <w:noProof/>
              </w:rPr>
              <w:t>4.3.</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Zvl</w:t>
            </w:r>
            <w:r w:rsidR="00901743" w:rsidRPr="00720F9F">
              <w:rPr>
                <w:rStyle w:val="Hypertextovodkaz"/>
                <w:rFonts w:hint="eastAsia"/>
                <w:noProof/>
              </w:rPr>
              <w:t>áš</w:t>
            </w:r>
            <w:r w:rsidR="00901743" w:rsidRPr="00720F9F">
              <w:rPr>
                <w:rStyle w:val="Hypertextovodkaz"/>
                <w:noProof/>
              </w:rPr>
              <w:t>tn</w:t>
            </w:r>
            <w:r w:rsidR="00901743" w:rsidRPr="00720F9F">
              <w:rPr>
                <w:rStyle w:val="Hypertextovodkaz"/>
                <w:rFonts w:hint="eastAsia"/>
                <w:noProof/>
              </w:rPr>
              <w:t>í</w:t>
            </w:r>
            <w:r w:rsidR="00901743" w:rsidRPr="00720F9F">
              <w:rPr>
                <w:rStyle w:val="Hypertextovodkaz"/>
                <w:noProof/>
              </w:rPr>
              <w:t xml:space="preserve"> pravidla omezuj</w:t>
            </w:r>
            <w:r w:rsidR="00901743" w:rsidRPr="00720F9F">
              <w:rPr>
                <w:rStyle w:val="Hypertextovodkaz"/>
                <w:rFonts w:hint="eastAsia"/>
                <w:noProof/>
              </w:rPr>
              <w:t>í</w:t>
            </w:r>
            <w:r w:rsidR="00901743" w:rsidRPr="00720F9F">
              <w:rPr>
                <w:rStyle w:val="Hypertextovodkaz"/>
                <w:noProof/>
              </w:rPr>
              <w:t>c</w:t>
            </w:r>
            <w:r w:rsidR="00901743" w:rsidRPr="00720F9F">
              <w:rPr>
                <w:rStyle w:val="Hypertextovodkaz"/>
                <w:rFonts w:hint="eastAsia"/>
                <w:noProof/>
              </w:rPr>
              <w:t>í</w:t>
            </w:r>
            <w:r w:rsidR="00901743" w:rsidRPr="00720F9F">
              <w:rPr>
                <w:rStyle w:val="Hypertextovodkaz"/>
                <w:noProof/>
              </w:rPr>
              <w:t xml:space="preserve"> pou</w:t>
            </w:r>
            <w:r w:rsidR="00901743" w:rsidRPr="00720F9F">
              <w:rPr>
                <w:rStyle w:val="Hypertextovodkaz"/>
                <w:rFonts w:hint="eastAsia"/>
                <w:noProof/>
              </w:rPr>
              <w:t>ž</w:t>
            </w:r>
            <w:r w:rsidR="00901743" w:rsidRPr="00720F9F">
              <w:rPr>
                <w:rStyle w:val="Hypertextovodkaz"/>
                <w:noProof/>
              </w:rPr>
              <w:t>it</w:t>
            </w:r>
            <w:r w:rsidR="00901743" w:rsidRPr="00720F9F">
              <w:rPr>
                <w:rStyle w:val="Hypertextovodkaz"/>
                <w:rFonts w:hint="eastAsia"/>
                <w:noProof/>
              </w:rPr>
              <w:t>í</w:t>
            </w:r>
            <w:r w:rsidR="00901743" w:rsidRPr="00720F9F">
              <w:rPr>
                <w:rStyle w:val="Hypertextovodkaz"/>
                <w:noProof/>
              </w:rPr>
              <w:t xml:space="preserve"> zbran</w:t>
            </w:r>
            <w:r w:rsidR="00901743" w:rsidRPr="00720F9F">
              <w:rPr>
                <w:rStyle w:val="Hypertextovodkaz"/>
                <w:rFonts w:hint="eastAsia"/>
                <w:noProof/>
              </w:rPr>
              <w:t>í</w:t>
            </w:r>
            <w:r w:rsidR="00901743" w:rsidRPr="00720F9F">
              <w:rPr>
                <w:rStyle w:val="Hypertextovodkaz"/>
                <w:noProof/>
              </w:rPr>
              <w:t xml:space="preserve"> v</w:t>
            </w:r>
            <w:r w:rsidR="00901743" w:rsidRPr="00720F9F">
              <w:rPr>
                <w:rStyle w:val="Hypertextovodkaz"/>
                <w:rFonts w:hint="eastAsia"/>
                <w:noProof/>
              </w:rPr>
              <w:t> </w:t>
            </w:r>
            <w:r w:rsidR="00901743" w:rsidRPr="00720F9F">
              <w:rPr>
                <w:rStyle w:val="Hypertextovodkaz"/>
                <w:noProof/>
              </w:rPr>
              <w:t>mezin</w:t>
            </w:r>
            <w:r w:rsidR="00901743" w:rsidRPr="00720F9F">
              <w:rPr>
                <w:rStyle w:val="Hypertextovodkaz"/>
                <w:rFonts w:hint="eastAsia"/>
                <w:noProof/>
              </w:rPr>
              <w:t>á</w:t>
            </w:r>
            <w:r w:rsidR="00901743" w:rsidRPr="00720F9F">
              <w:rPr>
                <w:rStyle w:val="Hypertextovodkaz"/>
                <w:noProof/>
              </w:rPr>
              <w:t>rodn</w:t>
            </w:r>
            <w:r w:rsidR="00901743" w:rsidRPr="00720F9F">
              <w:rPr>
                <w:rStyle w:val="Hypertextovodkaz"/>
                <w:rFonts w:hint="eastAsia"/>
                <w:noProof/>
              </w:rPr>
              <w:t>í</w:t>
            </w:r>
            <w:r w:rsidR="00901743" w:rsidRPr="00720F9F">
              <w:rPr>
                <w:rStyle w:val="Hypertextovodkaz"/>
                <w:noProof/>
              </w:rPr>
              <w:t>m humanit</w:t>
            </w:r>
            <w:r w:rsidR="00901743" w:rsidRPr="00720F9F">
              <w:rPr>
                <w:rStyle w:val="Hypertextovodkaz"/>
                <w:rFonts w:hint="eastAsia"/>
                <w:noProof/>
              </w:rPr>
              <w:t>á</w:t>
            </w:r>
            <w:r w:rsidR="00901743" w:rsidRPr="00720F9F">
              <w:rPr>
                <w:rStyle w:val="Hypertextovodkaz"/>
                <w:noProof/>
              </w:rPr>
              <w:t>rn</w:t>
            </w:r>
            <w:r w:rsidR="00901743" w:rsidRPr="00720F9F">
              <w:rPr>
                <w:rStyle w:val="Hypertextovodkaz"/>
                <w:rFonts w:hint="eastAsia"/>
                <w:noProof/>
              </w:rPr>
              <w:t>í</w:t>
            </w:r>
            <w:r w:rsidR="00901743" w:rsidRPr="00720F9F">
              <w:rPr>
                <w:rStyle w:val="Hypertextovodkaz"/>
                <w:noProof/>
              </w:rPr>
              <w:t>m pr</w:t>
            </w:r>
            <w:r w:rsidR="00901743" w:rsidRPr="00720F9F">
              <w:rPr>
                <w:rStyle w:val="Hypertextovodkaz"/>
                <w:rFonts w:hint="eastAsia"/>
                <w:noProof/>
              </w:rPr>
              <w:t>á</w:t>
            </w:r>
            <w:r w:rsidR="00901743" w:rsidRPr="00720F9F">
              <w:rPr>
                <w:rStyle w:val="Hypertextovodkaz"/>
                <w:noProof/>
              </w:rPr>
              <w:t>vu</w:t>
            </w:r>
            <w:r w:rsidR="00901743">
              <w:rPr>
                <w:noProof/>
                <w:webHidden/>
              </w:rPr>
              <w:tab/>
            </w:r>
            <w:r w:rsidR="00901743">
              <w:rPr>
                <w:noProof/>
                <w:webHidden/>
              </w:rPr>
              <w:fldChar w:fldCharType="begin"/>
            </w:r>
            <w:r w:rsidR="00901743">
              <w:rPr>
                <w:noProof/>
                <w:webHidden/>
              </w:rPr>
              <w:instrText xml:space="preserve"> PAGEREF _Toc164801764 \h </w:instrText>
            </w:r>
            <w:r w:rsidR="00901743">
              <w:rPr>
                <w:noProof/>
                <w:webHidden/>
              </w:rPr>
            </w:r>
            <w:r w:rsidR="00901743">
              <w:rPr>
                <w:noProof/>
                <w:webHidden/>
              </w:rPr>
              <w:fldChar w:fldCharType="separate"/>
            </w:r>
            <w:r w:rsidR="00901743">
              <w:rPr>
                <w:noProof/>
                <w:webHidden/>
              </w:rPr>
              <w:t>37</w:t>
            </w:r>
            <w:r w:rsidR="00901743">
              <w:rPr>
                <w:noProof/>
                <w:webHidden/>
              </w:rPr>
              <w:fldChar w:fldCharType="end"/>
            </w:r>
          </w:hyperlink>
        </w:p>
        <w:p w14:paraId="29BA420E" w14:textId="7D10DB5B"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65" w:history="1">
            <w:r w:rsidR="00901743" w:rsidRPr="00720F9F">
              <w:rPr>
                <w:rStyle w:val="Hypertextovodkaz"/>
                <w:noProof/>
              </w:rPr>
              <w:t>4.4.</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Mo</w:t>
            </w:r>
            <w:r w:rsidR="00901743" w:rsidRPr="00720F9F">
              <w:rPr>
                <w:rStyle w:val="Hypertextovodkaz"/>
                <w:rFonts w:hint="eastAsia"/>
                <w:noProof/>
              </w:rPr>
              <w:t>ž</w:t>
            </w:r>
            <w:r w:rsidR="00901743" w:rsidRPr="00720F9F">
              <w:rPr>
                <w:rStyle w:val="Hypertextovodkaz"/>
                <w:noProof/>
              </w:rPr>
              <w:t>n</w:t>
            </w:r>
            <w:r w:rsidR="00901743" w:rsidRPr="00720F9F">
              <w:rPr>
                <w:rStyle w:val="Hypertextovodkaz"/>
                <w:rFonts w:hint="eastAsia"/>
                <w:noProof/>
              </w:rPr>
              <w:t>á</w:t>
            </w:r>
            <w:r w:rsidR="00901743" w:rsidRPr="00720F9F">
              <w:rPr>
                <w:rStyle w:val="Hypertextovodkaz"/>
                <w:noProof/>
              </w:rPr>
              <w:t xml:space="preserve"> aplikace omezuj</w:t>
            </w:r>
            <w:r w:rsidR="00901743" w:rsidRPr="00720F9F">
              <w:rPr>
                <w:rStyle w:val="Hypertextovodkaz"/>
                <w:rFonts w:hint="eastAsia"/>
                <w:noProof/>
              </w:rPr>
              <w:t>í</w:t>
            </w:r>
            <w:r w:rsidR="00901743" w:rsidRPr="00720F9F">
              <w:rPr>
                <w:rStyle w:val="Hypertextovodkaz"/>
                <w:noProof/>
              </w:rPr>
              <w:t>c</w:t>
            </w:r>
            <w:r w:rsidR="00901743" w:rsidRPr="00720F9F">
              <w:rPr>
                <w:rStyle w:val="Hypertextovodkaz"/>
                <w:rFonts w:hint="eastAsia"/>
                <w:noProof/>
              </w:rPr>
              <w:t>í</w:t>
            </w:r>
            <w:r w:rsidR="00901743" w:rsidRPr="00720F9F">
              <w:rPr>
                <w:rStyle w:val="Hypertextovodkaz"/>
                <w:noProof/>
              </w:rPr>
              <w:t>ch pravidel na autonomn</w:t>
            </w:r>
            <w:r w:rsidR="00901743" w:rsidRPr="00720F9F">
              <w:rPr>
                <w:rStyle w:val="Hypertextovodkaz"/>
                <w:rFonts w:hint="eastAsia"/>
                <w:noProof/>
              </w:rPr>
              <w:t>í</w:t>
            </w:r>
            <w:r w:rsidR="00901743" w:rsidRPr="00720F9F">
              <w:rPr>
                <w:rStyle w:val="Hypertextovodkaz"/>
                <w:noProof/>
              </w:rPr>
              <w:t xml:space="preserve"> zbra</w:t>
            </w:r>
            <w:r w:rsidR="00901743" w:rsidRPr="00720F9F">
              <w:rPr>
                <w:rStyle w:val="Hypertextovodkaz"/>
                <w:rFonts w:hint="eastAsia"/>
                <w:noProof/>
              </w:rPr>
              <w:t>ň</w:t>
            </w:r>
            <w:r w:rsidR="00901743" w:rsidRPr="00720F9F">
              <w:rPr>
                <w:rStyle w:val="Hypertextovodkaz"/>
                <w:noProof/>
              </w:rPr>
              <w:t>ov</w:t>
            </w:r>
            <w:r w:rsidR="00901743" w:rsidRPr="00720F9F">
              <w:rPr>
                <w:rStyle w:val="Hypertextovodkaz"/>
                <w:rFonts w:hint="eastAsia"/>
                <w:noProof/>
              </w:rPr>
              <w:t>é</w:t>
            </w:r>
            <w:r w:rsidR="00901743" w:rsidRPr="00720F9F">
              <w:rPr>
                <w:rStyle w:val="Hypertextovodkaz"/>
                <w:noProof/>
              </w:rPr>
              <w:t xml:space="preserve"> syst</w:t>
            </w:r>
            <w:r w:rsidR="00901743" w:rsidRPr="00720F9F">
              <w:rPr>
                <w:rStyle w:val="Hypertextovodkaz"/>
                <w:rFonts w:hint="eastAsia"/>
                <w:noProof/>
              </w:rPr>
              <w:t>é</w:t>
            </w:r>
            <w:r w:rsidR="00901743" w:rsidRPr="00720F9F">
              <w:rPr>
                <w:rStyle w:val="Hypertextovodkaz"/>
                <w:noProof/>
              </w:rPr>
              <w:t>my</w:t>
            </w:r>
            <w:r w:rsidR="00901743">
              <w:rPr>
                <w:noProof/>
                <w:webHidden/>
              </w:rPr>
              <w:tab/>
            </w:r>
            <w:r w:rsidR="00901743">
              <w:rPr>
                <w:noProof/>
                <w:webHidden/>
              </w:rPr>
              <w:fldChar w:fldCharType="begin"/>
            </w:r>
            <w:r w:rsidR="00901743">
              <w:rPr>
                <w:noProof/>
                <w:webHidden/>
              </w:rPr>
              <w:instrText xml:space="preserve"> PAGEREF _Toc164801765 \h </w:instrText>
            </w:r>
            <w:r w:rsidR="00901743">
              <w:rPr>
                <w:noProof/>
                <w:webHidden/>
              </w:rPr>
            </w:r>
            <w:r w:rsidR="00901743">
              <w:rPr>
                <w:noProof/>
                <w:webHidden/>
              </w:rPr>
              <w:fldChar w:fldCharType="separate"/>
            </w:r>
            <w:r w:rsidR="00901743">
              <w:rPr>
                <w:noProof/>
                <w:webHidden/>
              </w:rPr>
              <w:t>42</w:t>
            </w:r>
            <w:r w:rsidR="00901743">
              <w:rPr>
                <w:noProof/>
                <w:webHidden/>
              </w:rPr>
              <w:fldChar w:fldCharType="end"/>
            </w:r>
          </w:hyperlink>
        </w:p>
        <w:p w14:paraId="6984E1C2" w14:textId="685832D0" w:rsidR="00901743" w:rsidRDefault="00000000">
          <w:pPr>
            <w:pStyle w:val="Obsah2"/>
            <w:tabs>
              <w:tab w:val="left" w:pos="960"/>
            </w:tabs>
            <w:rPr>
              <w:rFonts w:asciiTheme="minorHAnsi" w:eastAsiaTheme="minorEastAsia" w:hAnsiTheme="minorHAnsi"/>
              <w:noProof/>
              <w:kern w:val="2"/>
              <w:szCs w:val="24"/>
              <w:lang w:eastAsia="cs-CZ"/>
              <w14:ligatures w14:val="standardContextual"/>
            </w:rPr>
          </w:pPr>
          <w:hyperlink w:anchor="_Toc164801766" w:history="1">
            <w:r w:rsidR="00901743" w:rsidRPr="00720F9F">
              <w:rPr>
                <w:rStyle w:val="Hypertextovodkaz"/>
                <w:noProof/>
              </w:rPr>
              <w:t>4.5.</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Odpov</w:t>
            </w:r>
            <w:r w:rsidR="00901743" w:rsidRPr="00720F9F">
              <w:rPr>
                <w:rStyle w:val="Hypertextovodkaz"/>
                <w:rFonts w:hint="eastAsia"/>
                <w:noProof/>
              </w:rPr>
              <w:t>ě</w:t>
            </w:r>
            <w:r w:rsidR="00901743" w:rsidRPr="00720F9F">
              <w:rPr>
                <w:rStyle w:val="Hypertextovodkaz"/>
                <w:noProof/>
              </w:rPr>
              <w:t>dnost za protipr</w:t>
            </w:r>
            <w:r w:rsidR="00901743" w:rsidRPr="00720F9F">
              <w:rPr>
                <w:rStyle w:val="Hypertextovodkaz"/>
                <w:rFonts w:hint="eastAsia"/>
                <w:noProof/>
              </w:rPr>
              <w:t>á</w:t>
            </w:r>
            <w:r w:rsidR="00901743" w:rsidRPr="00720F9F">
              <w:rPr>
                <w:rStyle w:val="Hypertextovodkaz"/>
                <w:noProof/>
              </w:rPr>
              <w:t>vn</w:t>
            </w:r>
            <w:r w:rsidR="00901743" w:rsidRPr="00720F9F">
              <w:rPr>
                <w:rStyle w:val="Hypertextovodkaz"/>
                <w:rFonts w:hint="eastAsia"/>
                <w:noProof/>
              </w:rPr>
              <w:t>í</w:t>
            </w:r>
            <w:r w:rsidR="00901743" w:rsidRPr="00720F9F">
              <w:rPr>
                <w:rStyle w:val="Hypertextovodkaz"/>
                <w:noProof/>
              </w:rPr>
              <w:t xml:space="preserve"> jedn</w:t>
            </w:r>
            <w:r w:rsidR="00901743" w:rsidRPr="00720F9F">
              <w:rPr>
                <w:rStyle w:val="Hypertextovodkaz"/>
                <w:rFonts w:hint="eastAsia"/>
                <w:noProof/>
              </w:rPr>
              <w:t>á</w:t>
            </w:r>
            <w:r w:rsidR="00901743" w:rsidRPr="00720F9F">
              <w:rPr>
                <w:rStyle w:val="Hypertextovodkaz"/>
                <w:noProof/>
              </w:rPr>
              <w:t>n</w:t>
            </w:r>
            <w:r w:rsidR="00901743" w:rsidRPr="00720F9F">
              <w:rPr>
                <w:rStyle w:val="Hypertextovodkaz"/>
                <w:rFonts w:hint="eastAsia"/>
                <w:noProof/>
              </w:rPr>
              <w:t>í</w:t>
            </w:r>
            <w:r w:rsidR="00901743" w:rsidRPr="00720F9F">
              <w:rPr>
                <w:rStyle w:val="Hypertextovodkaz"/>
                <w:noProof/>
              </w:rPr>
              <w:t xml:space="preserve"> autonomn</w:t>
            </w:r>
            <w:r w:rsidR="00901743" w:rsidRPr="00720F9F">
              <w:rPr>
                <w:rStyle w:val="Hypertextovodkaz"/>
                <w:rFonts w:hint="eastAsia"/>
                <w:noProof/>
              </w:rPr>
              <w:t>í</w:t>
            </w:r>
            <w:r w:rsidR="00901743" w:rsidRPr="00720F9F">
              <w:rPr>
                <w:rStyle w:val="Hypertextovodkaz"/>
                <w:noProof/>
              </w:rPr>
              <w:t>ch zbra</w:t>
            </w:r>
            <w:r w:rsidR="00901743" w:rsidRPr="00720F9F">
              <w:rPr>
                <w:rStyle w:val="Hypertextovodkaz"/>
                <w:rFonts w:hint="eastAsia"/>
                <w:noProof/>
              </w:rPr>
              <w:t>ň</w:t>
            </w:r>
            <w:r w:rsidR="00901743" w:rsidRPr="00720F9F">
              <w:rPr>
                <w:rStyle w:val="Hypertextovodkaz"/>
                <w:noProof/>
              </w:rPr>
              <w:t>ov</w:t>
            </w:r>
            <w:r w:rsidR="00901743" w:rsidRPr="00720F9F">
              <w:rPr>
                <w:rStyle w:val="Hypertextovodkaz"/>
                <w:rFonts w:hint="eastAsia"/>
                <w:noProof/>
              </w:rPr>
              <w:t>ý</w:t>
            </w:r>
            <w:r w:rsidR="00901743" w:rsidRPr="00720F9F">
              <w:rPr>
                <w:rStyle w:val="Hypertextovodkaz"/>
                <w:noProof/>
              </w:rPr>
              <w:t>ch syst</w:t>
            </w:r>
            <w:r w:rsidR="00901743" w:rsidRPr="00720F9F">
              <w:rPr>
                <w:rStyle w:val="Hypertextovodkaz"/>
                <w:rFonts w:hint="eastAsia"/>
                <w:noProof/>
              </w:rPr>
              <w:t>é</w:t>
            </w:r>
            <w:r w:rsidR="00901743" w:rsidRPr="00720F9F">
              <w:rPr>
                <w:rStyle w:val="Hypertextovodkaz"/>
                <w:noProof/>
              </w:rPr>
              <w:t>m</w:t>
            </w:r>
            <w:r w:rsidR="00901743" w:rsidRPr="00720F9F">
              <w:rPr>
                <w:rStyle w:val="Hypertextovodkaz"/>
                <w:rFonts w:hint="eastAsia"/>
                <w:noProof/>
              </w:rPr>
              <w:t>ů</w:t>
            </w:r>
            <w:r w:rsidR="00901743">
              <w:rPr>
                <w:noProof/>
                <w:webHidden/>
              </w:rPr>
              <w:tab/>
            </w:r>
            <w:r w:rsidR="00901743">
              <w:rPr>
                <w:noProof/>
                <w:webHidden/>
              </w:rPr>
              <w:fldChar w:fldCharType="begin"/>
            </w:r>
            <w:r w:rsidR="00901743">
              <w:rPr>
                <w:noProof/>
                <w:webHidden/>
              </w:rPr>
              <w:instrText xml:space="preserve"> PAGEREF _Toc164801766 \h </w:instrText>
            </w:r>
            <w:r w:rsidR="00901743">
              <w:rPr>
                <w:noProof/>
                <w:webHidden/>
              </w:rPr>
            </w:r>
            <w:r w:rsidR="00901743">
              <w:rPr>
                <w:noProof/>
                <w:webHidden/>
              </w:rPr>
              <w:fldChar w:fldCharType="separate"/>
            </w:r>
            <w:r w:rsidR="00901743">
              <w:rPr>
                <w:noProof/>
                <w:webHidden/>
              </w:rPr>
              <w:t>43</w:t>
            </w:r>
            <w:r w:rsidR="00901743">
              <w:rPr>
                <w:noProof/>
                <w:webHidden/>
              </w:rPr>
              <w:fldChar w:fldCharType="end"/>
            </w:r>
          </w:hyperlink>
        </w:p>
        <w:p w14:paraId="29D5C50A" w14:textId="7820BD10" w:rsidR="00901743" w:rsidRDefault="00000000">
          <w:pPr>
            <w:pStyle w:val="Obsah1"/>
            <w:tabs>
              <w:tab w:val="left" w:pos="480"/>
            </w:tabs>
            <w:rPr>
              <w:rFonts w:asciiTheme="minorHAnsi" w:eastAsiaTheme="minorEastAsia" w:hAnsiTheme="minorHAnsi"/>
              <w:noProof/>
              <w:kern w:val="2"/>
              <w:szCs w:val="24"/>
              <w:lang w:eastAsia="cs-CZ"/>
              <w14:ligatures w14:val="standardContextual"/>
            </w:rPr>
          </w:pPr>
          <w:hyperlink w:anchor="_Toc164801767" w:history="1">
            <w:r w:rsidR="00901743" w:rsidRPr="00720F9F">
              <w:rPr>
                <w:rStyle w:val="Hypertextovodkaz"/>
                <w:noProof/>
              </w:rPr>
              <w:t>5.</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Z</w:t>
            </w:r>
            <w:r w:rsidR="00901743" w:rsidRPr="00720F9F">
              <w:rPr>
                <w:rStyle w:val="Hypertextovodkaz"/>
                <w:rFonts w:hint="eastAsia"/>
                <w:noProof/>
              </w:rPr>
              <w:t>á</w:t>
            </w:r>
            <w:r w:rsidR="00901743" w:rsidRPr="00720F9F">
              <w:rPr>
                <w:rStyle w:val="Hypertextovodkaz"/>
                <w:noProof/>
              </w:rPr>
              <w:t>v</w:t>
            </w:r>
            <w:r w:rsidR="00901743" w:rsidRPr="00720F9F">
              <w:rPr>
                <w:rStyle w:val="Hypertextovodkaz"/>
                <w:rFonts w:hint="eastAsia"/>
                <w:noProof/>
              </w:rPr>
              <w:t>ě</w:t>
            </w:r>
            <w:r w:rsidR="00901743" w:rsidRPr="00720F9F">
              <w:rPr>
                <w:rStyle w:val="Hypertextovodkaz"/>
                <w:noProof/>
              </w:rPr>
              <w:t>r</w:t>
            </w:r>
            <w:r w:rsidR="00901743">
              <w:rPr>
                <w:noProof/>
                <w:webHidden/>
              </w:rPr>
              <w:tab/>
            </w:r>
            <w:r w:rsidR="00901743">
              <w:rPr>
                <w:noProof/>
                <w:webHidden/>
              </w:rPr>
              <w:fldChar w:fldCharType="begin"/>
            </w:r>
            <w:r w:rsidR="00901743">
              <w:rPr>
                <w:noProof/>
                <w:webHidden/>
              </w:rPr>
              <w:instrText xml:space="preserve"> PAGEREF _Toc164801767 \h </w:instrText>
            </w:r>
            <w:r w:rsidR="00901743">
              <w:rPr>
                <w:noProof/>
                <w:webHidden/>
              </w:rPr>
            </w:r>
            <w:r w:rsidR="00901743">
              <w:rPr>
                <w:noProof/>
                <w:webHidden/>
              </w:rPr>
              <w:fldChar w:fldCharType="separate"/>
            </w:r>
            <w:r w:rsidR="00901743">
              <w:rPr>
                <w:noProof/>
                <w:webHidden/>
              </w:rPr>
              <w:t>45</w:t>
            </w:r>
            <w:r w:rsidR="00901743">
              <w:rPr>
                <w:noProof/>
                <w:webHidden/>
              </w:rPr>
              <w:fldChar w:fldCharType="end"/>
            </w:r>
          </w:hyperlink>
        </w:p>
        <w:p w14:paraId="08F4EA40" w14:textId="00CB4089" w:rsidR="00901743" w:rsidRDefault="00000000">
          <w:pPr>
            <w:pStyle w:val="Obsah1"/>
            <w:tabs>
              <w:tab w:val="left" w:pos="480"/>
            </w:tabs>
            <w:rPr>
              <w:rFonts w:asciiTheme="minorHAnsi" w:eastAsiaTheme="minorEastAsia" w:hAnsiTheme="minorHAnsi"/>
              <w:noProof/>
              <w:kern w:val="2"/>
              <w:szCs w:val="24"/>
              <w:lang w:eastAsia="cs-CZ"/>
              <w14:ligatures w14:val="standardContextual"/>
            </w:rPr>
          </w:pPr>
          <w:hyperlink w:anchor="_Toc164801768" w:history="1">
            <w:r w:rsidR="00901743" w:rsidRPr="00720F9F">
              <w:rPr>
                <w:rStyle w:val="Hypertextovodkaz"/>
                <w:noProof/>
              </w:rPr>
              <w:t>6.</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Seznam pou</w:t>
            </w:r>
            <w:r w:rsidR="00901743" w:rsidRPr="00720F9F">
              <w:rPr>
                <w:rStyle w:val="Hypertextovodkaz"/>
                <w:rFonts w:hint="eastAsia"/>
                <w:noProof/>
              </w:rPr>
              <w:t>ž</w:t>
            </w:r>
            <w:r w:rsidR="00901743" w:rsidRPr="00720F9F">
              <w:rPr>
                <w:rStyle w:val="Hypertextovodkaz"/>
                <w:noProof/>
              </w:rPr>
              <w:t>it</w:t>
            </w:r>
            <w:r w:rsidR="00901743" w:rsidRPr="00720F9F">
              <w:rPr>
                <w:rStyle w:val="Hypertextovodkaz"/>
                <w:rFonts w:hint="eastAsia"/>
                <w:noProof/>
              </w:rPr>
              <w:t>ý</w:t>
            </w:r>
            <w:r w:rsidR="00901743" w:rsidRPr="00720F9F">
              <w:rPr>
                <w:rStyle w:val="Hypertextovodkaz"/>
                <w:noProof/>
              </w:rPr>
              <w:t>ch zdroj</w:t>
            </w:r>
            <w:r w:rsidR="00901743" w:rsidRPr="00720F9F">
              <w:rPr>
                <w:rStyle w:val="Hypertextovodkaz"/>
                <w:rFonts w:hint="eastAsia"/>
                <w:noProof/>
              </w:rPr>
              <w:t>ů</w:t>
            </w:r>
            <w:r w:rsidR="00901743">
              <w:rPr>
                <w:noProof/>
                <w:webHidden/>
              </w:rPr>
              <w:tab/>
            </w:r>
            <w:r w:rsidR="00901743">
              <w:rPr>
                <w:noProof/>
                <w:webHidden/>
              </w:rPr>
              <w:fldChar w:fldCharType="begin"/>
            </w:r>
            <w:r w:rsidR="00901743">
              <w:rPr>
                <w:noProof/>
                <w:webHidden/>
              </w:rPr>
              <w:instrText xml:space="preserve"> PAGEREF _Toc164801768 \h </w:instrText>
            </w:r>
            <w:r w:rsidR="00901743">
              <w:rPr>
                <w:noProof/>
                <w:webHidden/>
              </w:rPr>
            </w:r>
            <w:r w:rsidR="00901743">
              <w:rPr>
                <w:noProof/>
                <w:webHidden/>
              </w:rPr>
              <w:fldChar w:fldCharType="separate"/>
            </w:r>
            <w:r w:rsidR="00901743">
              <w:rPr>
                <w:noProof/>
                <w:webHidden/>
              </w:rPr>
              <w:t>46</w:t>
            </w:r>
            <w:r w:rsidR="00901743">
              <w:rPr>
                <w:noProof/>
                <w:webHidden/>
              </w:rPr>
              <w:fldChar w:fldCharType="end"/>
            </w:r>
          </w:hyperlink>
        </w:p>
        <w:p w14:paraId="36CB5605" w14:textId="32638E60" w:rsidR="00901743" w:rsidRDefault="00000000">
          <w:pPr>
            <w:pStyle w:val="Obsah1"/>
            <w:tabs>
              <w:tab w:val="left" w:pos="480"/>
            </w:tabs>
            <w:rPr>
              <w:rFonts w:asciiTheme="minorHAnsi" w:eastAsiaTheme="minorEastAsia" w:hAnsiTheme="minorHAnsi"/>
              <w:noProof/>
              <w:kern w:val="2"/>
              <w:szCs w:val="24"/>
              <w:lang w:eastAsia="cs-CZ"/>
              <w14:ligatures w14:val="standardContextual"/>
            </w:rPr>
          </w:pPr>
          <w:hyperlink w:anchor="_Toc164801769" w:history="1">
            <w:r w:rsidR="00901743" w:rsidRPr="00720F9F">
              <w:rPr>
                <w:rStyle w:val="Hypertextovodkaz"/>
                <w:noProof/>
              </w:rPr>
              <w:t>7.</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Abstrakt</w:t>
            </w:r>
            <w:r w:rsidR="00901743">
              <w:rPr>
                <w:noProof/>
                <w:webHidden/>
              </w:rPr>
              <w:tab/>
            </w:r>
            <w:r w:rsidR="00901743">
              <w:rPr>
                <w:noProof/>
                <w:webHidden/>
              </w:rPr>
              <w:fldChar w:fldCharType="begin"/>
            </w:r>
            <w:r w:rsidR="00901743">
              <w:rPr>
                <w:noProof/>
                <w:webHidden/>
              </w:rPr>
              <w:instrText xml:space="preserve"> PAGEREF _Toc164801769 \h </w:instrText>
            </w:r>
            <w:r w:rsidR="00901743">
              <w:rPr>
                <w:noProof/>
                <w:webHidden/>
              </w:rPr>
            </w:r>
            <w:r w:rsidR="00901743">
              <w:rPr>
                <w:noProof/>
                <w:webHidden/>
              </w:rPr>
              <w:fldChar w:fldCharType="separate"/>
            </w:r>
            <w:r w:rsidR="00901743">
              <w:rPr>
                <w:noProof/>
                <w:webHidden/>
              </w:rPr>
              <w:t>52</w:t>
            </w:r>
            <w:r w:rsidR="00901743">
              <w:rPr>
                <w:noProof/>
                <w:webHidden/>
              </w:rPr>
              <w:fldChar w:fldCharType="end"/>
            </w:r>
          </w:hyperlink>
        </w:p>
        <w:p w14:paraId="31AFBD35" w14:textId="33ABAFB9" w:rsidR="00901743" w:rsidRDefault="00000000">
          <w:pPr>
            <w:pStyle w:val="Obsah1"/>
            <w:tabs>
              <w:tab w:val="left" w:pos="480"/>
            </w:tabs>
            <w:rPr>
              <w:rFonts w:asciiTheme="minorHAnsi" w:eastAsiaTheme="minorEastAsia" w:hAnsiTheme="minorHAnsi"/>
              <w:noProof/>
              <w:kern w:val="2"/>
              <w:szCs w:val="24"/>
              <w:lang w:eastAsia="cs-CZ"/>
              <w14:ligatures w14:val="standardContextual"/>
            </w:rPr>
          </w:pPr>
          <w:hyperlink w:anchor="_Toc164801770" w:history="1">
            <w:r w:rsidR="00901743" w:rsidRPr="00720F9F">
              <w:rPr>
                <w:rStyle w:val="Hypertextovodkaz"/>
                <w:noProof/>
              </w:rPr>
              <w:t>8.</w:t>
            </w:r>
            <w:r w:rsidR="00901743">
              <w:rPr>
                <w:rFonts w:asciiTheme="minorHAnsi" w:eastAsiaTheme="minorEastAsia" w:hAnsiTheme="minorHAnsi"/>
                <w:noProof/>
                <w:kern w:val="2"/>
                <w:szCs w:val="24"/>
                <w:lang w:eastAsia="cs-CZ"/>
                <w14:ligatures w14:val="standardContextual"/>
              </w:rPr>
              <w:tab/>
            </w:r>
            <w:r w:rsidR="00901743" w:rsidRPr="00720F9F">
              <w:rPr>
                <w:rStyle w:val="Hypertextovodkaz"/>
                <w:noProof/>
              </w:rPr>
              <w:t>Kl</w:t>
            </w:r>
            <w:r w:rsidR="00901743" w:rsidRPr="00720F9F">
              <w:rPr>
                <w:rStyle w:val="Hypertextovodkaz"/>
                <w:rFonts w:hint="eastAsia"/>
                <w:noProof/>
              </w:rPr>
              <w:t>íč</w:t>
            </w:r>
            <w:r w:rsidR="00901743" w:rsidRPr="00720F9F">
              <w:rPr>
                <w:rStyle w:val="Hypertextovodkaz"/>
                <w:noProof/>
              </w:rPr>
              <w:t>ov</w:t>
            </w:r>
            <w:r w:rsidR="00901743" w:rsidRPr="00720F9F">
              <w:rPr>
                <w:rStyle w:val="Hypertextovodkaz"/>
                <w:rFonts w:hint="eastAsia"/>
                <w:noProof/>
              </w:rPr>
              <w:t>á</w:t>
            </w:r>
            <w:r w:rsidR="00901743" w:rsidRPr="00720F9F">
              <w:rPr>
                <w:rStyle w:val="Hypertextovodkaz"/>
                <w:noProof/>
              </w:rPr>
              <w:t xml:space="preserve"> slova</w:t>
            </w:r>
            <w:r w:rsidR="00901743">
              <w:rPr>
                <w:noProof/>
                <w:webHidden/>
              </w:rPr>
              <w:tab/>
            </w:r>
            <w:r w:rsidR="00901743">
              <w:rPr>
                <w:noProof/>
                <w:webHidden/>
              </w:rPr>
              <w:fldChar w:fldCharType="begin"/>
            </w:r>
            <w:r w:rsidR="00901743">
              <w:rPr>
                <w:noProof/>
                <w:webHidden/>
              </w:rPr>
              <w:instrText xml:space="preserve"> PAGEREF _Toc164801770 \h </w:instrText>
            </w:r>
            <w:r w:rsidR="00901743">
              <w:rPr>
                <w:noProof/>
                <w:webHidden/>
              </w:rPr>
            </w:r>
            <w:r w:rsidR="00901743">
              <w:rPr>
                <w:noProof/>
                <w:webHidden/>
              </w:rPr>
              <w:fldChar w:fldCharType="separate"/>
            </w:r>
            <w:r w:rsidR="00901743">
              <w:rPr>
                <w:noProof/>
                <w:webHidden/>
              </w:rPr>
              <w:t>53</w:t>
            </w:r>
            <w:r w:rsidR="00901743">
              <w:rPr>
                <w:noProof/>
                <w:webHidden/>
              </w:rPr>
              <w:fldChar w:fldCharType="end"/>
            </w:r>
          </w:hyperlink>
        </w:p>
        <w:p w14:paraId="1D4CDE91" w14:textId="3DFA675B" w:rsidR="00305DFA" w:rsidRPr="004457B1" w:rsidRDefault="00305DFA" w:rsidP="00305DFA">
          <w:pPr>
            <w:rPr>
              <w:sz w:val="22"/>
              <w:szCs w:val="20"/>
            </w:rPr>
          </w:pPr>
          <w:r w:rsidRPr="004457B1">
            <w:rPr>
              <w:b/>
              <w:bCs/>
              <w:sz w:val="22"/>
              <w:szCs w:val="20"/>
            </w:rPr>
            <w:fldChar w:fldCharType="end"/>
          </w:r>
        </w:p>
        <w:p w14:paraId="78791332" w14:textId="77777777" w:rsidR="00305DFA" w:rsidRPr="004457B1" w:rsidRDefault="00305DFA" w:rsidP="00305DFA">
          <w:pPr>
            <w:rPr>
              <w:sz w:val="22"/>
              <w:szCs w:val="20"/>
            </w:rPr>
          </w:pPr>
        </w:p>
        <w:p w14:paraId="2288A235" w14:textId="77777777" w:rsidR="00305DFA" w:rsidRDefault="00305DFA" w:rsidP="00305DFA"/>
        <w:p w14:paraId="621481BA" w14:textId="77777777" w:rsidR="00305DFA" w:rsidRDefault="00305DFA" w:rsidP="00305DFA"/>
        <w:p w14:paraId="6A29BB00" w14:textId="77777777" w:rsidR="00305DFA" w:rsidRDefault="00305DFA" w:rsidP="00305DFA"/>
        <w:p w14:paraId="417456EA" w14:textId="77777777" w:rsidR="001250C8" w:rsidRDefault="001250C8" w:rsidP="001250C8">
          <w:pPr>
            <w:tabs>
              <w:tab w:val="right" w:pos="9071"/>
            </w:tabs>
          </w:pPr>
          <w:r>
            <w:tab/>
          </w:r>
        </w:p>
        <w:p w14:paraId="5C89977A" w14:textId="77777777" w:rsidR="00AD2975" w:rsidRDefault="00AD2975" w:rsidP="001250C8">
          <w:pPr>
            <w:tabs>
              <w:tab w:val="right" w:pos="9071"/>
            </w:tabs>
          </w:pPr>
        </w:p>
        <w:p w14:paraId="6870BD43" w14:textId="2CC99969" w:rsidR="00305DFA" w:rsidRDefault="00000000" w:rsidP="001250C8">
          <w:pPr>
            <w:tabs>
              <w:tab w:val="right" w:pos="9071"/>
            </w:tabs>
            <w:rPr>
              <w:b/>
              <w:bCs/>
            </w:rPr>
          </w:pPr>
        </w:p>
      </w:sdtContent>
    </w:sdt>
    <w:p w14:paraId="58AE5627" w14:textId="0727CDBC" w:rsidR="00AD2975" w:rsidRDefault="00AD2975" w:rsidP="001250C8">
      <w:pPr>
        <w:tabs>
          <w:tab w:val="right" w:pos="9071"/>
        </w:tabs>
      </w:pPr>
    </w:p>
    <w:p w14:paraId="1D0C6A88" w14:textId="005FB6F5" w:rsidR="00EE1D3D" w:rsidRDefault="00EE1D3D" w:rsidP="001250C8">
      <w:pPr>
        <w:tabs>
          <w:tab w:val="right" w:pos="9071"/>
        </w:tabs>
      </w:pPr>
    </w:p>
    <w:p w14:paraId="7C47E547" w14:textId="77777777" w:rsidR="00D61686" w:rsidRDefault="00D61686" w:rsidP="001250C8">
      <w:pPr>
        <w:tabs>
          <w:tab w:val="right" w:pos="9071"/>
        </w:tabs>
      </w:pPr>
    </w:p>
    <w:p w14:paraId="6689CE94" w14:textId="77777777" w:rsidR="003A2D54" w:rsidRDefault="003A2D54" w:rsidP="001250C8">
      <w:pPr>
        <w:tabs>
          <w:tab w:val="right" w:pos="9071"/>
        </w:tabs>
      </w:pPr>
    </w:p>
    <w:p w14:paraId="05D4E229" w14:textId="77777777" w:rsidR="003A2D54" w:rsidRDefault="003A2D54" w:rsidP="001250C8">
      <w:pPr>
        <w:tabs>
          <w:tab w:val="right" w:pos="9071"/>
        </w:tabs>
      </w:pPr>
    </w:p>
    <w:p w14:paraId="7BB70081" w14:textId="77777777" w:rsidR="003A2D54" w:rsidRDefault="003A2D54" w:rsidP="001250C8">
      <w:pPr>
        <w:tabs>
          <w:tab w:val="right" w:pos="9071"/>
        </w:tabs>
      </w:pPr>
    </w:p>
    <w:p w14:paraId="365B2737" w14:textId="77777777" w:rsidR="003A2D54" w:rsidRDefault="003A2D54" w:rsidP="001250C8">
      <w:pPr>
        <w:tabs>
          <w:tab w:val="right" w:pos="9071"/>
        </w:tabs>
      </w:pPr>
    </w:p>
    <w:p w14:paraId="39D21638" w14:textId="77777777" w:rsidR="00BD50B4" w:rsidRDefault="00BD50B4" w:rsidP="001250C8">
      <w:pPr>
        <w:tabs>
          <w:tab w:val="right" w:pos="9071"/>
        </w:tabs>
      </w:pPr>
    </w:p>
    <w:p w14:paraId="625F6BBD" w14:textId="794A2710" w:rsidR="00AD2975" w:rsidRPr="00AD2975" w:rsidRDefault="00305DFA" w:rsidP="00AD2975">
      <w:pPr>
        <w:pStyle w:val="Nadpis1"/>
        <w:numPr>
          <w:ilvl w:val="0"/>
          <w:numId w:val="6"/>
        </w:numPr>
      </w:pPr>
      <w:bookmarkStart w:id="1" w:name="_Toc164801748"/>
      <w:r>
        <w:lastRenderedPageBreak/>
        <w:t>Úvod</w:t>
      </w:r>
      <w:bookmarkEnd w:id="1"/>
    </w:p>
    <w:p w14:paraId="232BBD5E" w14:textId="34BA89C6" w:rsidR="00305DFA" w:rsidRDefault="00305DFA" w:rsidP="001250C8">
      <w:pPr>
        <w:pStyle w:val="Nadpis2"/>
      </w:pPr>
      <w:bookmarkStart w:id="2" w:name="_Toc164801749"/>
      <w:r w:rsidRPr="00517191">
        <w:t>Vymezení cíle a tématu práce</w:t>
      </w:r>
      <w:bookmarkEnd w:id="2"/>
    </w:p>
    <w:p w14:paraId="71EAFFA2" w14:textId="4CD19236" w:rsidR="009A5F97" w:rsidRDefault="00A702CE" w:rsidP="00FE4580">
      <w:pPr>
        <w:ind w:firstLine="576"/>
        <w:jc w:val="both"/>
      </w:pPr>
      <w:r>
        <w:t>Cílem mé práce</w:t>
      </w:r>
      <w:r w:rsidR="00305DFA" w:rsidRPr="00236CD5">
        <w:t xml:space="preserve"> bude</w:t>
      </w:r>
      <w:r>
        <w:t xml:space="preserve"> zprostředkovat</w:t>
      </w:r>
      <w:r w:rsidR="00305DFA" w:rsidRPr="00236CD5">
        <w:t> celkové pojednání</w:t>
      </w:r>
      <w:r w:rsidR="008F6D1C">
        <w:t xml:space="preserve"> o</w:t>
      </w:r>
      <w:r>
        <w:t xml:space="preserve"> problematice</w:t>
      </w:r>
      <w:r w:rsidR="00305DFA" w:rsidRPr="00236CD5">
        <w:t xml:space="preserve"> autonomních zbra</w:t>
      </w:r>
      <w:r w:rsidR="00C50813">
        <w:t>ňových systémů</w:t>
      </w:r>
      <w:r w:rsidR="00305DFA" w:rsidRPr="00236CD5">
        <w:t>, především jako</w:t>
      </w:r>
      <w:r w:rsidR="00C50813">
        <w:t xml:space="preserve"> o</w:t>
      </w:r>
      <w:r w:rsidR="00305DFA" w:rsidRPr="00236CD5">
        <w:t xml:space="preserve"> relativně nově se </w:t>
      </w:r>
      <w:r w:rsidR="008F6D1C">
        <w:t>pro</w:t>
      </w:r>
      <w:r w:rsidR="00305DFA" w:rsidRPr="00236CD5">
        <w:t>jevujícím fenoménu posledních let</w:t>
      </w:r>
      <w:r w:rsidR="00C50813">
        <w:t>.</w:t>
      </w:r>
      <w:r w:rsidR="00EE7C9A">
        <w:t xml:space="preserve"> Práce se bude zaměřovat na vymezení klíčového pojmu autonomie, který je nezbytný pro existenci autonomních zbraňových systémů.</w:t>
      </w:r>
      <w:r w:rsidR="00C50813">
        <w:t xml:space="preserve"> </w:t>
      </w:r>
      <w:r w:rsidR="00EE7C9A">
        <w:t>Dále</w:t>
      </w:r>
      <w:r w:rsidR="00C50813">
        <w:t xml:space="preserve"> se budu</w:t>
      </w:r>
      <w:r w:rsidR="00EE7C9A">
        <w:t xml:space="preserve"> zabývat vztahem autonomních zbraňových systémů</w:t>
      </w:r>
      <w:r w:rsidR="00C50813">
        <w:t xml:space="preserve"> </w:t>
      </w:r>
      <w:r w:rsidR="00EE7C9A">
        <w:t>k souboru pravidel označovaných jako ius ad bellum.</w:t>
      </w:r>
      <w:r w:rsidR="00C50813">
        <w:t xml:space="preserve"> </w:t>
      </w:r>
      <w:r w:rsidR="00EE7C9A">
        <w:t>Další otázkou, kterou bych v rámci práce rád objasnil, je možnost</w:t>
      </w:r>
      <w:r w:rsidR="00DD4FA6">
        <w:t xml:space="preserve"> aplikace</w:t>
      </w:r>
      <w:r w:rsidR="00EE7C9A">
        <w:t xml:space="preserve"> aktuálních pramenů mezinárodního práva </w:t>
      </w:r>
      <w:r w:rsidR="00DD4FA6">
        <w:t>na</w:t>
      </w:r>
      <w:r w:rsidR="007636D6">
        <w:t xml:space="preserve"> autonomní</w:t>
      </w:r>
      <w:r w:rsidR="00DD4FA6">
        <w:t xml:space="preserve"> </w:t>
      </w:r>
      <w:r w:rsidR="007636D6">
        <w:t>zbraňov</w:t>
      </w:r>
      <w:r w:rsidR="00DD4FA6">
        <w:t>é</w:t>
      </w:r>
      <w:r w:rsidR="007636D6">
        <w:t xml:space="preserve"> systém</w:t>
      </w:r>
      <w:r w:rsidR="00DD4FA6">
        <w:t>y a případná inspirace pro budoucí právní úpravu autonomních zbraňových systémů</w:t>
      </w:r>
      <w:r w:rsidR="007636D6" w:rsidRPr="00236CD5">
        <w:t>.</w:t>
      </w:r>
      <w:r w:rsidR="00975829">
        <w:t xml:space="preserve"> </w:t>
      </w:r>
      <w:r w:rsidR="00AF0075">
        <w:t>Pro účely této práce budou klíčovými ty situace, kdy se státy, jako subjekty mezinárodního práva, uchýlí k použití zbraní, a tedy se dostává ke slovu mezinárodní humanitární právo.</w:t>
      </w:r>
      <w:r w:rsidR="008A5028">
        <w:t xml:space="preserve"> </w:t>
      </w:r>
      <w:r w:rsidR="00305DFA" w:rsidRPr="00236CD5">
        <w:t xml:space="preserve">V rámci práce se </w:t>
      </w:r>
      <w:r w:rsidR="00305DFA">
        <w:t>bud</w:t>
      </w:r>
      <w:r w:rsidR="008A5028">
        <w:t>ou rovněž zmíněny</w:t>
      </w:r>
      <w:r w:rsidR="00305DFA" w:rsidRPr="00236CD5">
        <w:t xml:space="preserve"> úvah</w:t>
      </w:r>
      <w:r w:rsidR="008A5028">
        <w:t>y</w:t>
      </w:r>
      <w:r w:rsidR="00305DFA" w:rsidRPr="00236CD5">
        <w:t>, které mluví pro a proti autonomním zbra</w:t>
      </w:r>
      <w:r w:rsidR="00D057CF">
        <w:t>ňovým systémům</w:t>
      </w:r>
      <w:r w:rsidR="00305DFA" w:rsidRPr="00236CD5">
        <w:t xml:space="preserve"> a pokus</w:t>
      </w:r>
      <w:r w:rsidR="00D057CF">
        <w:t>ím</w:t>
      </w:r>
      <w:r w:rsidR="00305DFA" w:rsidRPr="00236CD5">
        <w:t xml:space="preserve"> se vyselektovat </w:t>
      </w:r>
      <w:r w:rsidR="007955F1">
        <w:t xml:space="preserve">to </w:t>
      </w:r>
      <w:r w:rsidR="00305DFA" w:rsidRPr="00236CD5">
        <w:t>nejpodstatnějších z obou směrů</w:t>
      </w:r>
      <w:r w:rsidR="007955F1">
        <w:t>. Poslední otázkou</w:t>
      </w:r>
      <w:r w:rsidR="00FD0817">
        <w:t>, kterou</w:t>
      </w:r>
      <w:r w:rsidR="007955F1">
        <w:t xml:space="preserve"> si stanovuji za cíl na základě všech výše uvedených výstupů zhodnotit je</w:t>
      </w:r>
      <w:r w:rsidR="00FD0817">
        <w:t>, zda je</w:t>
      </w:r>
      <w:r w:rsidR="007955F1">
        <w:t xml:space="preserve"> nutná regulace autonomních zbraňových systémů, případně jak by taková úprava mohla vypadat</w:t>
      </w:r>
      <w:r w:rsidR="00C56D46">
        <w:t>. Při zodpovídání této otázky budu vycházet z pramenů mezinárodního humanitárního práva.</w:t>
      </w:r>
      <w:r w:rsidR="00FE4580">
        <w:t xml:space="preserve"> </w:t>
      </w:r>
      <w:r w:rsidR="009A5F97">
        <w:t>Téma autonomních zbraňových systémů nebo obecně autonomie ve zbraňových systémech nebo i jiných odvětvích práva</w:t>
      </w:r>
      <w:r w:rsidR="00C61572">
        <w:t>,</w:t>
      </w:r>
      <w:r w:rsidR="009A5F97">
        <w:t xml:space="preserve"> je zpracováváno průběžně především formou článků, učebnic, příruček a velkého množství dalších materiálů, ale jelikož se autonomie stále vyvíjí, je o stále o čem pojednávat</w:t>
      </w:r>
      <w:r w:rsidR="00D514C2">
        <w:t xml:space="preserve"> a zároveň i z čeho vycházet. Práce se člení do </w:t>
      </w:r>
      <w:r w:rsidR="00427EA1">
        <w:t>tří</w:t>
      </w:r>
      <w:r w:rsidR="00D514C2">
        <w:t xml:space="preserve"> hlavních kapitol, jelikož jsem </w:t>
      </w:r>
      <w:r w:rsidR="00427EA1">
        <w:t xml:space="preserve">zamýšlel </w:t>
      </w:r>
      <w:r w:rsidR="00D514C2">
        <w:t>kapitoly zachovat co nejobecnější a konkrétním problematice se věnovat v rámci jednotlivých podkapitol. V první kapitole se věnuji velmi podrobně vymezení pojmu autonomie, jejíž pochopení je klíčové pro správné uvažování o problematice autonomních zbraňových systémů, které následuje ve zbytku první kapitoly.</w:t>
      </w:r>
      <w:r w:rsidR="00AA5EF9">
        <w:t xml:space="preserve"> Druhá kapitola je zaměřena na problematiku vztahu pravidel ius ad bellum a autonomních zbraňových systémů, který spočívá především ve zvyšování pravděpodobnosti narušení mírového stavu v závislosti na zvyšující se dostupnost autonomních zbraňových systémů.</w:t>
      </w:r>
      <w:r w:rsidR="00A8114B">
        <w:t xml:space="preserve"> </w:t>
      </w:r>
      <w:r w:rsidR="00B07BA9">
        <w:t xml:space="preserve">Třetí kapitola se věnuje popisu pramenů mezinárodního humanitárního práva, které se týkají omezení zbraní obecně nebo skrze konkrétní úmluvy a také možnosti aplikace těchto omezení na autonomní zbraňové systémy. </w:t>
      </w:r>
      <w:r w:rsidR="00A8114B">
        <w:t xml:space="preserve">Přičemž na konec třetí kapitoly mi přišlo vhodné začlenit krátký </w:t>
      </w:r>
      <w:r w:rsidR="00A46B4E">
        <w:t>exkurz</w:t>
      </w:r>
      <w:r w:rsidR="00A8114B">
        <w:t xml:space="preserve"> do problematiky odpovědnosti za porušení norem mezinárodního humanitárního práva, protože druhá kapitola porušování těchto norem často zmiňuje.</w:t>
      </w:r>
    </w:p>
    <w:p w14:paraId="349A9C8E" w14:textId="7068A53B" w:rsidR="00305DFA" w:rsidRDefault="00305DFA" w:rsidP="00305DFA">
      <w:pPr>
        <w:pStyle w:val="Nadpis2"/>
        <w:jc w:val="both"/>
      </w:pPr>
      <w:bookmarkStart w:id="3" w:name="_Toc164801750"/>
      <w:r w:rsidRPr="00CB615B">
        <w:lastRenderedPageBreak/>
        <w:t>Aktualizace</w:t>
      </w:r>
      <w:r>
        <w:t xml:space="preserve"> tématu</w:t>
      </w:r>
      <w:r w:rsidR="000A2259">
        <w:t xml:space="preserve"> autonomních systémů obecně</w:t>
      </w:r>
      <w:bookmarkEnd w:id="3"/>
    </w:p>
    <w:p w14:paraId="5D3EB94E" w14:textId="23A7CBD9" w:rsidR="00305DFA" w:rsidRDefault="00305DFA" w:rsidP="009C0FCD">
      <w:pPr>
        <w:ind w:firstLine="708"/>
        <w:jc w:val="both"/>
      </w:pPr>
      <w:r w:rsidRPr="00517191">
        <w:t>Téma problematiky autonomních zbraňových systémů a otázk</w:t>
      </w:r>
      <w:r>
        <w:t>a</w:t>
      </w:r>
      <w:r w:rsidRPr="00517191">
        <w:t xml:space="preserve"> jejich právní regulace</w:t>
      </w:r>
      <w:r>
        <w:t xml:space="preserve"> v mezinárodním právu veřejném</w:t>
      </w:r>
      <w:r w:rsidRPr="00517191">
        <w:t xml:space="preserve"> jsem si zvolil především proto, že je to aktuální téma posledních několika let a lze tím pádem sledovat jeho vývoj v reálném čase.</w:t>
      </w:r>
      <w:r w:rsidR="008671B7">
        <w:t xml:space="preserve"> Právě kritérium aktuálnosti a neustálého vývoje autonomních zbraňových systémů</w:t>
      </w:r>
      <w:r w:rsidR="00AE1D40">
        <w:t>,</w:t>
      </w:r>
      <w:r w:rsidR="008671B7">
        <w:t> jejichž nasazení v konfliktech v</w:t>
      </w:r>
      <w:r w:rsidR="00AE1D40">
        <w:t xml:space="preserve"> blízké</w:t>
      </w:r>
      <w:r w:rsidR="008671B7">
        <w:t> budoucnu je velice pravděpodobné, až nevyhnutelné, dává tomuto tématu do budoucna značný význam.</w:t>
      </w:r>
      <w:r w:rsidR="00AE1D40">
        <w:t xml:space="preserve"> </w:t>
      </w:r>
      <w:r>
        <w:t>Nejenom vývoj v reálném čase, ale i rostoucí trend na poli autonomních technologií</w:t>
      </w:r>
      <w:r w:rsidR="008671B7">
        <w:t xml:space="preserve"> obecně</w:t>
      </w:r>
      <w:r>
        <w:t>, k</w:t>
      </w:r>
      <w:r w:rsidR="008671B7">
        <w:t>dy tyto</w:t>
      </w:r>
      <w:r>
        <w:t xml:space="preserve"> pronikají do společenského života jak na úrovni práva soukromého, tak i veřejného</w:t>
      </w:r>
      <w:r w:rsidR="00AE1D40">
        <w:t>,</w:t>
      </w:r>
      <w:r>
        <w:t xml:space="preserve"> dávají zkoumání této problematiky</w:t>
      </w:r>
      <w:r w:rsidR="003C3ED3">
        <w:t xml:space="preserve"> také</w:t>
      </w:r>
      <w:r>
        <w:t xml:space="preserve"> jistý potenciál.</w:t>
      </w:r>
      <w:r w:rsidR="003C3ED3">
        <w:t xml:space="preserve"> </w:t>
      </w:r>
      <w:r>
        <w:t>S rostoucím trendem autonomních systémů a jejich šíření do všech odvětví společenského života také nutně vyvstává potřeba tyto systémy podrobit právní regulaci, která by jasně stanovila, jak s těmito technologiemi zacházet a případně řešit problémy vznikající z užívání těchto technologií, ať už z pohledu každodenního užívání</w:t>
      </w:r>
      <w:r w:rsidR="00552383">
        <w:t>, tak i</w:t>
      </w:r>
      <w:r>
        <w:t xml:space="preserve"> z pohledu specifických druhů činností a užívání</w:t>
      </w:r>
      <w:r w:rsidR="003C3ED3">
        <w:t>,</w:t>
      </w:r>
      <w:r>
        <w:t xml:space="preserve"> ke kterým mohou autonomní systémy sloužit v rámci úpravy práva</w:t>
      </w:r>
      <w:r w:rsidR="00AE1D40" w:rsidRPr="00AE1D40">
        <w:t xml:space="preserve"> </w:t>
      </w:r>
      <w:r w:rsidR="00AE1D40">
        <w:t>mezinárodního</w:t>
      </w:r>
      <w:r>
        <w:t>. Problematika autonomních zbraní je zajímavá také z toho pohledu, že státy neustále vyvíjejí a zdokonalují technologie svých zbraní, které jim poskytují výhodu v konfliktech, kterých se účastní</w:t>
      </w:r>
      <w:r w:rsidR="00117445">
        <w:t>.</w:t>
      </w:r>
      <w:r>
        <w:t xml:space="preserve"> </w:t>
      </w:r>
      <w:r w:rsidR="00117445">
        <w:t>J</w:t>
      </w:r>
      <w:r>
        <w:t>elikož takových konfliktů probíhá po světě velké množství</w:t>
      </w:r>
      <w:r w:rsidR="00117445">
        <w:t>,</w:t>
      </w:r>
      <w:r>
        <w:t xml:space="preserve"> je uplatnění pro tyto zbraně opravdu různorodé a jejich vysoká efektivita stále klade důraz na jejich zdokonalování, které má tendence směřovat ke stále větší míře autonomie těchto zbraní. Právě i stále narůstající intenzita, se kterou se státy uchylují k vývoji a používání autonomních zbraní, jejichž povaha se jeví jako mimořádně sporná</w:t>
      </w:r>
      <w:r w:rsidR="00CD3D24">
        <w:t>,</w:t>
      </w:r>
      <w:r>
        <w:t xml:space="preserve"> je dobrý důvod, proč o této problematice pojednávat. </w:t>
      </w:r>
      <w:r w:rsidR="00117445">
        <w:t>Právě i povaha umělé inteligence a autonomních systémů je zajímává tím, že přesahuje, jak do práva soukromého, tak i veřejného. Státy, které jsou subjekty práva mezinárodního, členy mezinárodních organizací a podílejí se na celosvětovém dění</w:t>
      </w:r>
      <w:r w:rsidR="000A2259">
        <w:t>, budou muset čelit problematice autonomních systémů, jak na mezinárodní scéně, tak sami ve svých vlastních právních řádech</w:t>
      </w:r>
      <w:r w:rsidR="00905795">
        <w:t xml:space="preserve"> a</w:t>
      </w:r>
      <w:r w:rsidR="000A2259">
        <w:t xml:space="preserve"> najít cestu, jak se se s autonomními systémy vypořádat. Je zcela jednoznačné, že</w:t>
      </w:r>
      <w:r>
        <w:t xml:space="preserve"> problémy a škodlivé následky, které</w:t>
      </w:r>
      <w:r w:rsidR="00905795">
        <w:t xml:space="preserve"> jednorázově</w:t>
      </w:r>
      <w:r>
        <w:t xml:space="preserve"> vzniknou </w:t>
      </w:r>
      <w:r w:rsidR="000A2259">
        <w:t>působením autonomních technologií</w:t>
      </w:r>
      <w:r w:rsidR="00905795">
        <w:t xml:space="preserve"> </w:t>
      </w:r>
      <w:r>
        <w:t>v rámci práva soukromého</w:t>
      </w:r>
      <w:r w:rsidR="000A2259">
        <w:t>,</w:t>
      </w:r>
      <w:r>
        <w:t xml:space="preserve"> nedosahují takové intenzity, kterou mohou způsobit </w:t>
      </w:r>
      <w:r w:rsidR="000A2259">
        <w:t>autonomní</w:t>
      </w:r>
      <w:r>
        <w:t xml:space="preserve"> technologie v rámci mezinárodního práva ozbrojených konfliktů, kdy autonomní technologie mohou mít ve své moci velké množství lidských životů</w:t>
      </w:r>
      <w:r w:rsidR="0085381A">
        <w:t>,</w:t>
      </w:r>
      <w:r>
        <w:t xml:space="preserve"> kdy selhání nebo ne zcela správná funkce může způsobit škodu nedozírných následků. </w:t>
      </w:r>
      <w:r w:rsidRPr="00517191">
        <w:t>A právě použití autonomních zbraní,</w:t>
      </w:r>
      <w:r>
        <w:t xml:space="preserve"> jako velice efektivního, ale nevyzpytatelného zbraňového systému,</w:t>
      </w:r>
      <w:r w:rsidRPr="00517191">
        <w:t xml:space="preserve"> jehož hranice jsou nám stále ještě neznámé a je pravděpodobné, že </w:t>
      </w:r>
      <w:r w:rsidR="00180928">
        <w:t>posun těchto zatím známých hranic</w:t>
      </w:r>
      <w:r w:rsidRPr="00517191">
        <w:t xml:space="preserve"> se bude v budoucnosti dále rozšiřovat, dává příležitost v této oblasti provádět výzkum </w:t>
      </w:r>
      <w:r>
        <w:t xml:space="preserve">a hledat </w:t>
      </w:r>
      <w:r w:rsidR="00383D5C">
        <w:t xml:space="preserve">možnou </w:t>
      </w:r>
      <w:r w:rsidR="00383D5C">
        <w:lastRenderedPageBreak/>
        <w:t>odpověď na otázky</w:t>
      </w:r>
      <w:r>
        <w:t xml:space="preserve">, jak tyto zbraně uvést pod soubor zásad a pravidel mezinárodního práva </w:t>
      </w:r>
      <w:r w:rsidR="004051C0">
        <w:t>humanitárního</w:t>
      </w:r>
      <w:r>
        <w:t xml:space="preserve">, jakožto nového druhu zbraní, což je situace, které už v minulosti muselo mezinárodní právo </w:t>
      </w:r>
      <w:r w:rsidR="00C154DA">
        <w:t>humanitární</w:t>
      </w:r>
      <w:r>
        <w:t xml:space="preserve"> nejednou čelit</w:t>
      </w:r>
      <w:r w:rsidR="00164809">
        <w:t xml:space="preserve"> a také vhodně zareagovat</w:t>
      </w:r>
      <w:r w:rsidR="000E321B">
        <w:t xml:space="preserve">, pokud bylo za potřebí </w:t>
      </w:r>
      <w:r w:rsidR="00C154DA">
        <w:t xml:space="preserve">vytvořit </w:t>
      </w:r>
      <w:r w:rsidR="000E321B">
        <w:t>třeba i zcela novou právní úpravu.</w:t>
      </w:r>
    </w:p>
    <w:p w14:paraId="0B193C61" w14:textId="77777777" w:rsidR="00305DFA" w:rsidRPr="00517191" w:rsidRDefault="00305DFA" w:rsidP="00305DFA">
      <w:pPr>
        <w:jc w:val="both"/>
      </w:pPr>
    </w:p>
    <w:p w14:paraId="5870E4EA" w14:textId="4A57BE5A" w:rsidR="00305DFA" w:rsidRPr="00305DFA" w:rsidRDefault="00305DFA" w:rsidP="00305DFA"/>
    <w:p w14:paraId="517B7100" w14:textId="09D3CCDD" w:rsidR="00305DFA" w:rsidRDefault="00305DFA" w:rsidP="00305DFA"/>
    <w:p w14:paraId="1D66E239" w14:textId="72C0F92E" w:rsidR="00485E6D" w:rsidRDefault="00485E6D" w:rsidP="00305DFA"/>
    <w:p w14:paraId="70245112" w14:textId="77777777" w:rsidR="00485E6D" w:rsidRDefault="00485E6D" w:rsidP="00305DFA"/>
    <w:p w14:paraId="33DBAE5A" w14:textId="77777777" w:rsidR="00FE4580" w:rsidRDefault="00FE4580" w:rsidP="00305DFA"/>
    <w:p w14:paraId="7B80BB9E" w14:textId="77777777" w:rsidR="00FE4580" w:rsidRDefault="00FE4580" w:rsidP="00305DFA"/>
    <w:p w14:paraId="6E3B693A" w14:textId="77777777" w:rsidR="00FE4580" w:rsidRDefault="00FE4580" w:rsidP="00305DFA"/>
    <w:p w14:paraId="68CDFF98" w14:textId="77777777" w:rsidR="00FE4580" w:rsidRDefault="00FE4580" w:rsidP="00305DFA"/>
    <w:p w14:paraId="62EC2DD7" w14:textId="77777777" w:rsidR="00FE4580" w:rsidRDefault="00FE4580" w:rsidP="00305DFA"/>
    <w:p w14:paraId="4A7EAC64" w14:textId="77777777" w:rsidR="00FE4580" w:rsidRDefault="00FE4580" w:rsidP="00305DFA"/>
    <w:p w14:paraId="6D06060C" w14:textId="77777777" w:rsidR="00FE4580" w:rsidRDefault="00FE4580" w:rsidP="00305DFA"/>
    <w:p w14:paraId="15318818" w14:textId="77777777" w:rsidR="00305DFA" w:rsidRDefault="00305DFA" w:rsidP="00305DFA"/>
    <w:p w14:paraId="166AF8ED" w14:textId="77777777" w:rsidR="003A2D54" w:rsidRDefault="003A2D54" w:rsidP="00305DFA"/>
    <w:p w14:paraId="7975F24B" w14:textId="77777777" w:rsidR="003A2D54" w:rsidRDefault="003A2D54" w:rsidP="00305DFA"/>
    <w:p w14:paraId="3EED18CA" w14:textId="77777777" w:rsidR="003A2D54" w:rsidRPr="00305DFA" w:rsidRDefault="003A2D54" w:rsidP="00305DFA"/>
    <w:p w14:paraId="6AD5F57C" w14:textId="5195841F" w:rsidR="00305DFA" w:rsidRDefault="000612BF" w:rsidP="000612BF">
      <w:pPr>
        <w:pStyle w:val="Nadpis1"/>
        <w:numPr>
          <w:ilvl w:val="0"/>
          <w:numId w:val="0"/>
        </w:numPr>
      </w:pPr>
      <w:bookmarkStart w:id="4" w:name="_Toc164801751"/>
      <w:r>
        <w:lastRenderedPageBreak/>
        <w:t>2.</w:t>
      </w:r>
      <w:r w:rsidR="00741D0E">
        <w:tab/>
      </w:r>
      <w:r w:rsidR="00363108">
        <w:t>A</w:t>
      </w:r>
      <w:r w:rsidR="00305DFA">
        <w:t>utonomní zbra</w:t>
      </w:r>
      <w:r w:rsidR="00363108">
        <w:t>ňové systémy</w:t>
      </w:r>
      <w:bookmarkEnd w:id="4"/>
    </w:p>
    <w:p w14:paraId="35B848E8" w14:textId="71F2CF03" w:rsidR="00363108" w:rsidRDefault="00923C6E" w:rsidP="00923C6E">
      <w:pPr>
        <w:pStyle w:val="Nadpis2"/>
        <w:numPr>
          <w:ilvl w:val="0"/>
          <w:numId w:val="0"/>
        </w:numPr>
      </w:pPr>
      <w:bookmarkStart w:id="5" w:name="_Toc164801752"/>
      <w:r>
        <w:t>2.1.</w:t>
      </w:r>
      <w:r w:rsidR="00B2054C">
        <w:tab/>
      </w:r>
      <w:r w:rsidR="00363108">
        <w:t>Pojem autonomie</w:t>
      </w:r>
      <w:bookmarkEnd w:id="5"/>
    </w:p>
    <w:p w14:paraId="037FCE5A" w14:textId="2CD3D180" w:rsidR="00175ECC" w:rsidRDefault="00363108" w:rsidP="006201C9">
      <w:pPr>
        <w:ind w:firstLine="576"/>
        <w:jc w:val="both"/>
      </w:pPr>
      <w:r>
        <w:t>Hlavní roli v této problematice hraj</w:t>
      </w:r>
      <w:r w:rsidR="00950EB2">
        <w:t>í</w:t>
      </w:r>
      <w:r>
        <w:t xml:space="preserve"> poj</w:t>
      </w:r>
      <w:r w:rsidR="00950EB2">
        <w:t>my jako</w:t>
      </w:r>
      <w:r>
        <w:t xml:space="preserve"> autonomie, autonomní funkc</w:t>
      </w:r>
      <w:r w:rsidR="00950EB2">
        <w:t>e</w:t>
      </w:r>
      <w:r>
        <w:t xml:space="preserve"> nebo </w:t>
      </w:r>
      <w:r w:rsidR="00540DE1">
        <w:t xml:space="preserve">automatizované </w:t>
      </w:r>
      <w:r>
        <w:t>funkc</w:t>
      </w:r>
      <w:r w:rsidR="00950EB2">
        <w:t>e</w:t>
      </w:r>
      <w:r>
        <w:t>, kter</w:t>
      </w:r>
      <w:r w:rsidR="00950EB2">
        <w:t>é</w:t>
      </w:r>
      <w:r>
        <w:t xml:space="preserve"> jako základní stavební prv</w:t>
      </w:r>
      <w:r w:rsidR="00950EB2">
        <w:t>ky</w:t>
      </w:r>
      <w:r>
        <w:t xml:space="preserve"> spojuj</w:t>
      </w:r>
      <w:r w:rsidR="00950EB2">
        <w:t>í</w:t>
      </w:r>
      <w:r>
        <w:t xml:space="preserve"> všechny zbraně</w:t>
      </w:r>
      <w:r w:rsidR="00A72B4C">
        <w:t xml:space="preserve"> s některým z těchto </w:t>
      </w:r>
      <w:r>
        <w:t>prvk</w:t>
      </w:r>
      <w:r w:rsidR="00A72B4C">
        <w:t>ů</w:t>
      </w:r>
      <w:r>
        <w:t xml:space="preserve"> disponující</w:t>
      </w:r>
      <w:r w:rsidR="00A72B4C">
        <w:t>m</w:t>
      </w:r>
      <w:r w:rsidR="00C92644">
        <w:t xml:space="preserve">, kdy </w:t>
      </w:r>
      <w:r w:rsidR="009F74DC">
        <w:t>by se mohlo zdát, že</w:t>
      </w:r>
      <w:r w:rsidR="00C92644">
        <w:t xml:space="preserve"> všechny dříve zmíněné pojmy mají totožný význam.</w:t>
      </w:r>
      <w:r>
        <w:t xml:space="preserve"> </w:t>
      </w:r>
      <w:r w:rsidR="001A6A70">
        <w:t>J</w:t>
      </w:r>
      <w:r>
        <w:t>e klíčové si</w:t>
      </w:r>
      <w:r w:rsidR="001A6A70">
        <w:t xml:space="preserve"> proto</w:t>
      </w:r>
      <w:r>
        <w:t xml:space="preserve"> rozebrat, co</w:t>
      </w:r>
      <w:r w:rsidR="00950EB2">
        <w:t xml:space="preserve"> konkrétně</w:t>
      </w:r>
      <w:r>
        <w:t xml:space="preserve"> t</w:t>
      </w:r>
      <w:r w:rsidR="00950EB2">
        <w:t>y</w:t>
      </w:r>
      <w:r>
        <w:t>to prvk</w:t>
      </w:r>
      <w:r w:rsidR="00950EB2">
        <w:t>y</w:t>
      </w:r>
      <w:r>
        <w:t xml:space="preserve"> znamen</w:t>
      </w:r>
      <w:r w:rsidR="00950EB2">
        <w:t>ají</w:t>
      </w:r>
      <w:r w:rsidR="00463E35">
        <w:t>,</w:t>
      </w:r>
      <w:r>
        <w:t xml:space="preserve"> a jak</w:t>
      </w:r>
      <w:r w:rsidR="001A6A70">
        <w:t xml:space="preserve"> lze autonomii chápat</w:t>
      </w:r>
      <w:r w:rsidR="00351A69">
        <w:t>. J</w:t>
      </w:r>
      <w:r>
        <w:t>elikož na pojem autonomie může být nahlíženo různě a zároveň se vnímání autonomie</w:t>
      </w:r>
      <w:r w:rsidR="00A72B4C">
        <w:t>,</w:t>
      </w:r>
      <w:r>
        <w:t xml:space="preserve"> obecně jako takové</w:t>
      </w:r>
      <w:r w:rsidR="00A72B4C">
        <w:t>,</w:t>
      </w:r>
      <w:r>
        <w:t xml:space="preserve"> s jejím postupným pronikáním do každodenního života mění</w:t>
      </w:r>
      <w:r w:rsidR="00C92644">
        <w:t>.</w:t>
      </w:r>
      <w:r w:rsidR="00175ECC">
        <w:t xml:space="preserve"> </w:t>
      </w:r>
      <w:r w:rsidR="00F54484">
        <w:t>Autonomie</w:t>
      </w:r>
      <w:r w:rsidR="00321D08">
        <w:t xml:space="preserve"> v </w:t>
      </w:r>
      <w:r w:rsidR="004B2E20">
        <w:t>kterémkoli</w:t>
      </w:r>
      <w:r w:rsidR="00321D08">
        <w:t xml:space="preserve"> ze svých mnoha pojetí</w:t>
      </w:r>
      <w:r w:rsidR="00F54484">
        <w:t xml:space="preserve"> není v rámci vývoje zbraňových systému </w:t>
      </w:r>
      <w:r w:rsidR="00A72B4C">
        <w:t>zcela</w:t>
      </w:r>
      <w:r w:rsidR="00F54484">
        <w:t xml:space="preserve"> novým konceptem, jelikož zájem o její využití můžeme pozorovat v průběhu 20. století</w:t>
      </w:r>
      <w:r w:rsidR="00321D08">
        <w:t>, kdy se objevují kolem roku 1970 střely odpalované z bezpilotních letounů (</w:t>
      </w:r>
      <w:proofErr w:type="spellStart"/>
      <w:r w:rsidR="00321D08">
        <w:t>Maveric</w:t>
      </w:r>
      <w:proofErr w:type="spellEnd"/>
      <w:r w:rsidR="00321D08">
        <w:t xml:space="preserve">), </w:t>
      </w:r>
      <w:proofErr w:type="spellStart"/>
      <w:r w:rsidR="00321D08">
        <w:t>bezposádková</w:t>
      </w:r>
      <w:proofErr w:type="spellEnd"/>
      <w:r w:rsidR="00321D08">
        <w:t xml:space="preserve"> pozemní vozidla (</w:t>
      </w:r>
      <w:proofErr w:type="spellStart"/>
      <w:r w:rsidR="00321D08">
        <w:t>Morfax</w:t>
      </w:r>
      <w:proofErr w:type="spellEnd"/>
      <w:r w:rsidR="00321D08">
        <w:t xml:space="preserve"> </w:t>
      </w:r>
      <w:proofErr w:type="spellStart"/>
      <w:r w:rsidR="00321D08">
        <w:t>Wheelbarrow</w:t>
      </w:r>
      <w:proofErr w:type="spellEnd"/>
      <w:r w:rsidR="00321D08">
        <w:t>)</w:t>
      </w:r>
      <w:r w:rsidR="0098465D">
        <w:t xml:space="preserve"> nebo již v průběhu 2. světové války německé </w:t>
      </w:r>
      <w:proofErr w:type="spellStart"/>
      <w:r w:rsidR="0098465D">
        <w:t>minitanky</w:t>
      </w:r>
      <w:proofErr w:type="spellEnd"/>
      <w:r w:rsidR="0098465D">
        <w:t xml:space="preserve"> na dálkové ovládání (</w:t>
      </w:r>
      <w:proofErr w:type="spellStart"/>
      <w:r w:rsidR="0098465D">
        <w:t>Goliath</w:t>
      </w:r>
      <w:proofErr w:type="spellEnd"/>
      <w:r w:rsidR="0098465D">
        <w:t>)</w:t>
      </w:r>
      <w:r w:rsidR="0098465D">
        <w:rPr>
          <w:rStyle w:val="Znakapoznpodarou"/>
        </w:rPr>
        <w:footnoteReference w:id="1"/>
      </w:r>
      <w:r w:rsidR="0098465D">
        <w:t>.</w:t>
      </w:r>
      <w:r w:rsidR="00D02A76">
        <w:t xml:space="preserve"> </w:t>
      </w:r>
      <w:r w:rsidR="00F54484">
        <w:t>Ovšem se začátkem 21. století došlo hlavně ke změn</w:t>
      </w:r>
      <w:r w:rsidR="00D02A76">
        <w:t>ě</w:t>
      </w:r>
      <w:r w:rsidR="00F54484">
        <w:t> požadovan</w:t>
      </w:r>
      <w:r w:rsidR="00963389">
        <w:t>ého</w:t>
      </w:r>
      <w:r w:rsidR="00F54484">
        <w:t xml:space="preserve"> </w:t>
      </w:r>
      <w:r w:rsidR="00963389">
        <w:t xml:space="preserve">způsobu </w:t>
      </w:r>
      <w:r w:rsidR="00F54484">
        <w:t>vedení válek, které šl</w:t>
      </w:r>
      <w:r w:rsidR="00963389">
        <w:t>o</w:t>
      </w:r>
      <w:r w:rsidR="00F54484">
        <w:t xml:space="preserve"> ruku v ruce s rapidním vývojem technologií</w:t>
      </w:r>
      <w:r w:rsidR="00963389">
        <w:t xml:space="preserve"> a</w:t>
      </w:r>
      <w:r w:rsidR="00F54484">
        <w:t xml:space="preserve"> kter</w:t>
      </w:r>
      <w:r w:rsidR="00963389">
        <w:t>é</w:t>
      </w:r>
      <w:r w:rsidR="00F54484">
        <w:t xml:space="preserve"> umožnil</w:t>
      </w:r>
      <w:r w:rsidR="00963389">
        <w:t>o</w:t>
      </w:r>
      <w:r w:rsidR="00F54484">
        <w:t xml:space="preserve"> rychlejší vývoj těchto zbraní</w:t>
      </w:r>
      <w:r w:rsidR="00FC0508">
        <w:t>.</w:t>
      </w:r>
      <w:r w:rsidR="0083550D">
        <w:t xml:space="preserve"> </w:t>
      </w:r>
    </w:p>
    <w:p w14:paraId="634912D3" w14:textId="31368D73" w:rsidR="006201C9" w:rsidRDefault="00C92644" w:rsidP="00E217DB">
      <w:pPr>
        <w:ind w:firstLine="576"/>
        <w:jc w:val="both"/>
      </w:pPr>
      <w:r>
        <w:t>V naprosto základním pohledu se dá autonomie</w:t>
      </w:r>
      <w:r w:rsidR="0060713E">
        <w:t xml:space="preserve"> definovat jako určitá funkce, kterou dokáže stroj vykonávat bez podnětu nebo impulzu od člověka</w:t>
      </w:r>
      <w:r w:rsidR="00F61D36">
        <w:t>, ovšem ke své prvotní aktivaci nebo obecně k jakémukoli uvedení do provozu člověka stále potřebuje. Nemusí jít pouze o činnost, na které se podílí hardware stroje</w:t>
      </w:r>
      <w:r w:rsidR="00D02A76">
        <w:t>, tedy činnosti výlučně mechanického rázu</w:t>
      </w:r>
      <w:r w:rsidR="00F61D36">
        <w:t xml:space="preserve">, můžeme si </w:t>
      </w:r>
      <w:r w:rsidR="00D02A76">
        <w:t>zde jako příklad</w:t>
      </w:r>
      <w:r w:rsidR="00F61D36">
        <w:t xml:space="preserve"> představit </w:t>
      </w:r>
      <w:r w:rsidR="00A33924">
        <w:t>sepnutí čidla způsobené otevřením dveří. J</w:t>
      </w:r>
      <w:r w:rsidR="00F61D36">
        <w:t>edná se</w:t>
      </w:r>
      <w:r w:rsidR="00C643FE">
        <w:t xml:space="preserve"> </w:t>
      </w:r>
      <w:r w:rsidR="00D02A76">
        <w:t>především</w:t>
      </w:r>
      <w:r w:rsidR="00FF0DB2">
        <w:t xml:space="preserve"> o</w:t>
      </w:r>
      <w:r w:rsidR="00F61D36">
        <w:t xml:space="preserve"> úkony softwarové, kdy na základě určitého podnětu</w:t>
      </w:r>
      <w:r w:rsidR="00FF0DB2">
        <w:t xml:space="preserve"> vyslaného nebo zpracovaného čistě jenom softwar</w:t>
      </w:r>
      <w:r w:rsidR="00DB5FB8">
        <w:t xml:space="preserve">ovým vybavením, </w:t>
      </w:r>
      <w:r w:rsidR="00F61D36">
        <w:t xml:space="preserve">vykoná </w:t>
      </w:r>
      <w:r w:rsidR="00A104D4">
        <w:t xml:space="preserve">daný stroj samostatně například </w:t>
      </w:r>
      <w:r w:rsidR="00DB5FB8">
        <w:t>určit</w:t>
      </w:r>
      <w:r w:rsidR="00A104D4">
        <w:t>ou početní operaci</w:t>
      </w:r>
      <w:r w:rsidR="00DB5FB8">
        <w:t xml:space="preserve"> nebo</w:t>
      </w:r>
      <w:r w:rsidR="00A104D4">
        <w:t xml:space="preserve"> pořídí fotografii a</w:t>
      </w:r>
      <w:r w:rsidR="00083A27">
        <w:t xml:space="preserve"> jiné</w:t>
      </w:r>
      <w:r w:rsidR="00D0645B">
        <w:t>.</w:t>
      </w:r>
      <w:r w:rsidR="00083A27">
        <w:rPr>
          <w:rStyle w:val="Znakapoznpodarou"/>
        </w:rPr>
        <w:footnoteReference w:id="2"/>
      </w:r>
      <w:r w:rsidR="00A104D4">
        <w:t xml:space="preserve"> </w:t>
      </w:r>
      <w:r w:rsidR="00B003AA">
        <w:t xml:space="preserve">Ze zatím zmíněného by se mohlo zdát, že autonomní funkce </w:t>
      </w:r>
      <w:r w:rsidR="00C02A00">
        <w:t>bychom měli hledat pouze v technologicky velice složitých přístrojích, ale není tomu vždycky tak, jelikož jako</w:t>
      </w:r>
      <w:r w:rsidR="00F8595D">
        <w:t xml:space="preserve"> o</w:t>
      </w:r>
      <w:r w:rsidR="00C02A00">
        <w:t xml:space="preserve"> autonomní funkc</w:t>
      </w:r>
      <w:r w:rsidR="00F8595D">
        <w:t>i</w:t>
      </w:r>
      <w:r w:rsidR="00C02A00">
        <w:t xml:space="preserve"> můžeme uvažovat například systémy</w:t>
      </w:r>
      <w:r w:rsidR="00375878">
        <w:t xml:space="preserve"> typu Auto GCAS</w:t>
      </w:r>
      <w:r w:rsidR="00083A27">
        <w:t>,</w:t>
      </w:r>
      <w:r w:rsidR="00375878">
        <w:t xml:space="preserve"> které ve</w:t>
      </w:r>
      <w:r w:rsidR="00C02A00">
        <w:t xml:space="preserve"> vojenských letadlech</w:t>
      </w:r>
      <w:r w:rsidR="00375878">
        <w:t xml:space="preserve"> </w:t>
      </w:r>
      <w:r w:rsidR="005D2F64">
        <w:t>na základě dat získaných z aktuální polohy letadla vůči terénu a výkonu</w:t>
      </w:r>
      <w:r w:rsidR="00F8595D">
        <w:t xml:space="preserve"> stroje</w:t>
      </w:r>
      <w:r w:rsidR="005D2F64">
        <w:t xml:space="preserve"> průběžně vyhodnocuje možnost vzniku kolize a</w:t>
      </w:r>
      <w:r w:rsidR="002748D1">
        <w:t xml:space="preserve"> v </w:t>
      </w:r>
      <w:r w:rsidR="005D2F64">
        <w:t>případně</w:t>
      </w:r>
      <w:r w:rsidR="002748D1">
        <w:t xml:space="preserve"> potřeby</w:t>
      </w:r>
      <w:r w:rsidR="005D2F64">
        <w:t xml:space="preserve"> systém</w:t>
      </w:r>
      <w:r w:rsidR="00C02A00">
        <w:t xml:space="preserve"> zabraňuj</w:t>
      </w:r>
      <w:r w:rsidR="005D2F64">
        <w:t>e</w:t>
      </w:r>
      <w:r w:rsidR="00C02A00">
        <w:t xml:space="preserve"> kolizi se zemí</w:t>
      </w:r>
      <w:r w:rsidR="005D2F64">
        <w:t xml:space="preserve"> tím, že autonomně </w:t>
      </w:r>
      <w:r w:rsidR="005D2F64">
        <w:lastRenderedPageBreak/>
        <w:t>provede manévr</w:t>
      </w:r>
      <w:r w:rsidR="006F5CDC">
        <w:t>, který letadl</w:t>
      </w:r>
      <w:r w:rsidR="003F510D">
        <w:t xml:space="preserve">o </w:t>
      </w:r>
      <w:r w:rsidR="006F5CDC">
        <w:t>udrží ve vzduchu</w:t>
      </w:r>
      <w:r w:rsidR="009F74DC">
        <w:t>.</w:t>
      </w:r>
      <w:r w:rsidR="00083A27">
        <w:rPr>
          <w:rStyle w:val="Znakapoznpodarou"/>
        </w:rPr>
        <w:footnoteReference w:id="3"/>
      </w:r>
      <w:r w:rsidR="00C02A00">
        <w:t xml:space="preserve"> </w:t>
      </w:r>
      <w:r w:rsidR="006F5CDC">
        <w:t>Oproti tomu</w:t>
      </w:r>
      <w:r w:rsidR="00005E7C">
        <w:t xml:space="preserve"> </w:t>
      </w:r>
      <w:r w:rsidR="006F5CDC">
        <w:t>má svojí autonomní funkci</w:t>
      </w:r>
      <w:r w:rsidR="00C02A00">
        <w:t xml:space="preserve"> také</w:t>
      </w:r>
      <w:r w:rsidR="00005E7C">
        <w:t>,</w:t>
      </w:r>
      <w:r w:rsidR="007E1312">
        <w:t xml:space="preserve"> v aut</w:t>
      </w:r>
      <w:r w:rsidR="004B42D7">
        <w:t>omobilech</w:t>
      </w:r>
      <w:r w:rsidR="00C02A00">
        <w:t xml:space="preserve"> zcela běžný</w:t>
      </w:r>
      <w:r w:rsidR="00005E7C">
        <w:t>,</w:t>
      </w:r>
      <w:r w:rsidR="00C02A00">
        <w:t xml:space="preserve"> </w:t>
      </w:r>
      <w:r w:rsidR="006F5CDC">
        <w:t xml:space="preserve">navíječ bezpečnostního pásu, kdy je tato funkce </w:t>
      </w:r>
      <w:r w:rsidR="007F260A">
        <w:t>pouze</w:t>
      </w:r>
      <w:r w:rsidR="006F5CDC">
        <w:t xml:space="preserve"> zcela mechanická a bez jakékoli</w:t>
      </w:r>
      <w:r w:rsidR="00005E7C">
        <w:t xml:space="preserve"> softwarové akce</w:t>
      </w:r>
      <w:r w:rsidR="006F5CDC">
        <w:t xml:space="preserve">. </w:t>
      </w:r>
      <w:r w:rsidR="00271DC7">
        <w:t>P</w:t>
      </w:r>
      <w:r w:rsidR="00D66A30">
        <w:t>rávě</w:t>
      </w:r>
      <w:r w:rsidR="00271DC7">
        <w:t xml:space="preserve"> na</w:t>
      </w:r>
      <w:r w:rsidR="00D66A30">
        <w:t xml:space="preserve"> pochopení </w:t>
      </w:r>
      <w:r w:rsidR="00271DC7">
        <w:t>skutečnosti</w:t>
      </w:r>
      <w:r w:rsidR="00D66A30">
        <w:t xml:space="preserve">, jak velkou míru autonomie stroj má, na čem je založena </w:t>
      </w:r>
      <w:r w:rsidR="00271DC7">
        <w:t>nebo</w:t>
      </w:r>
      <w:r w:rsidR="00D66A30">
        <w:t xml:space="preserve"> </w:t>
      </w:r>
      <w:r w:rsidR="00615521">
        <w:t>v </w:t>
      </w:r>
      <w:r w:rsidR="00D66A30">
        <w:t>jak</w:t>
      </w:r>
      <w:r w:rsidR="00615521">
        <w:t>é míře</w:t>
      </w:r>
      <w:r w:rsidR="00D66A30">
        <w:t xml:space="preserve"> je tato autonomie ve stroji používána, je </w:t>
      </w:r>
      <w:r w:rsidR="00271DC7">
        <w:t xml:space="preserve">založeno získání odpovědí na otázky, které jsou </w:t>
      </w:r>
      <w:r w:rsidR="00D66A30">
        <w:t>klíčové pro posuzování jednotlivých sporných otázek</w:t>
      </w:r>
      <w:r w:rsidR="00615521">
        <w:t xml:space="preserve">, </w:t>
      </w:r>
      <w:r w:rsidR="00D66A30">
        <w:t xml:space="preserve">na které můžeme s rostoucím významem autonomie narazit. </w:t>
      </w:r>
      <w:r w:rsidR="00615521">
        <w:t>Právě tato širší paleta pohledů je používána při vymezování autonomie, jelikož pouhé zaměření se jedním směrem a snaha vymezit jeden univerzální rámec pro autonomní systémy obecně, je sice jedna z možných cest, jak se na tuto problematiku zaměřit, ale tato možnost je značně omezená</w:t>
      </w:r>
      <w:r w:rsidR="00C9337C">
        <w:t xml:space="preserve"> svým použitím.</w:t>
      </w:r>
      <w:r w:rsidR="00615521">
        <w:t xml:space="preserve"> </w:t>
      </w:r>
      <w:r w:rsidR="00C9337C">
        <w:t>Mně osobně tato možnost,  kdy by autonomie měla být definována obecně,</w:t>
      </w:r>
      <w:r w:rsidR="00615521">
        <w:t xml:space="preserve"> nepřijde jako vhodná,</w:t>
      </w:r>
      <w:r w:rsidR="00C9337C">
        <w:t xml:space="preserve"> jelikož obecné vymezení čehokoli komplexního a rozmanitého, což autonomie bez pochyby je, s sebou nese do budoucna velké množství komplikací při řešení konkrétních problémů</w:t>
      </w:r>
      <w:r w:rsidR="00083A27">
        <w:t>. Každopádně obecná definice autonomie jako takové, tedy vymezení jejích klíčových znaků, které jsou společné pro určení toho, jestli se vůbec jedná o autonomní zařízení, j</w:t>
      </w:r>
      <w:r w:rsidR="00BE63F1">
        <w:t>e</w:t>
      </w:r>
      <w:r w:rsidR="00083A27">
        <w:t xml:space="preserve"> určitě vhodné a žádoucí.</w:t>
      </w:r>
      <w:r w:rsidR="006201C9">
        <w:t xml:space="preserve"> </w:t>
      </w:r>
      <w:r w:rsidR="001F4DDA">
        <w:t>Jedna z možností, jak přistoupit k posuzování autonomních funkcí v konkrétních případech je ta, že si stanovíme více</w:t>
      </w:r>
      <w:r w:rsidR="00FE53E3">
        <w:t xml:space="preserve"> vzájemně nezávislých</w:t>
      </w:r>
      <w:r w:rsidR="001F4DDA">
        <w:t xml:space="preserve"> hodnotících kritérií, podle kterých lze autonomní stroje v konkrétních případech odlišovat a je možno na těchto společných základních kritériích postihnout a ohodnotit jednotlivé rozdíly mezi konkrétními stroji a mírou jejich autonomních fu</w:t>
      </w:r>
      <w:r w:rsidR="00113CA8">
        <w:t>n</w:t>
      </w:r>
      <w:r w:rsidR="001F4DDA">
        <w:t xml:space="preserve">kcí. </w:t>
      </w:r>
      <w:r w:rsidR="00FE53E3">
        <w:t>K rozlišení jednotlivých typů autonomie si můžeme stanovit následující kritéria</w:t>
      </w:r>
      <w:r w:rsidR="00922098">
        <w:t>. Nejprve můžeme vycházet ze vztahu, který je mezi člověkem a strojem a zároveň mezi příkazem a kontrolou, kterou člověk vykonává (The human-machine command-and-control relationship)</w:t>
      </w:r>
      <w:r w:rsidR="000B4FE2">
        <w:t>.</w:t>
      </w:r>
      <w:r w:rsidR="00D0645B">
        <w:rPr>
          <w:rStyle w:val="Znakapoznpodarou"/>
        </w:rPr>
        <w:footnoteReference w:id="4"/>
      </w:r>
      <w:r w:rsidR="000B4FE2">
        <w:t xml:space="preserve">Další kritérium je obecná komplexnost a složitost stroje (The complexity of the machine) </w:t>
      </w:r>
      <w:r w:rsidR="000E6208">
        <w:t>a jako třetí kritérium pak druh rozhodovací funkce, který je prováděn autonomně (The type of decision being automated)</w:t>
      </w:r>
      <w:r w:rsidR="00D0645B">
        <w:rPr>
          <w:rStyle w:val="Znakapoznpodarou"/>
        </w:rPr>
        <w:footnoteReference w:id="5"/>
      </w:r>
      <w:r w:rsidR="000E6208">
        <w:t xml:space="preserve">. </w:t>
      </w:r>
      <w:r w:rsidR="005A38D7">
        <w:t xml:space="preserve">Tyto rysy jsou </w:t>
      </w:r>
      <w:r w:rsidR="00F875E1">
        <w:t xml:space="preserve">společné </w:t>
      </w:r>
      <w:r w:rsidR="005A38D7">
        <w:t>pro všechny autonomní systémy</w:t>
      </w:r>
      <w:r w:rsidR="00095B8E">
        <w:t xml:space="preserve">, </w:t>
      </w:r>
      <w:r w:rsidR="00F875E1">
        <w:t>a právě na míře jejich uplatnění se mohou projevovat jednotlivé rozdíly mezi jednotlivými autonomními</w:t>
      </w:r>
      <w:r w:rsidR="006201C9">
        <w:t xml:space="preserve"> </w:t>
      </w:r>
      <w:r w:rsidR="00F875E1">
        <w:t>stroj</w:t>
      </w:r>
      <w:r w:rsidR="007E6285">
        <w:t>i</w:t>
      </w:r>
      <w:r w:rsidR="007E6285">
        <w:rPr>
          <w:rStyle w:val="Znakapoznpodarou"/>
        </w:rPr>
        <w:footnoteReference w:id="6"/>
      </w:r>
      <w:r w:rsidR="00F875E1">
        <w:t>.</w:t>
      </w:r>
      <w:r w:rsidR="004C27CF">
        <w:t xml:space="preserve"> </w:t>
      </w:r>
    </w:p>
    <w:p w14:paraId="69ED6D0D" w14:textId="1E85F30C" w:rsidR="00B73AC5" w:rsidRDefault="006201C9" w:rsidP="00B73AC5">
      <w:pPr>
        <w:ind w:firstLine="576"/>
        <w:jc w:val="both"/>
      </w:pPr>
      <w:r>
        <w:t>V rámci pojímáni autonomie</w:t>
      </w:r>
      <w:r w:rsidR="009121C6">
        <w:t>,</w:t>
      </w:r>
      <w:r>
        <w:t xml:space="preserve"> jako vztahu mezi strojem a člověkem a jím vykonávaným řízením a kontrolou (The human-machine command-and-control relationship)</w:t>
      </w:r>
      <w:r w:rsidR="00317166">
        <w:rPr>
          <w:rStyle w:val="Znakapoznpodarou"/>
        </w:rPr>
        <w:footnoteReference w:id="7"/>
      </w:r>
      <w:r w:rsidR="009121C6">
        <w:t>,</w:t>
      </w:r>
      <w:r>
        <w:t xml:space="preserve"> můžeme vycházet </w:t>
      </w:r>
      <w:r>
        <w:lastRenderedPageBreak/>
        <w:t xml:space="preserve">ze základního předpokladu, jestli stroj ke svému průběžnému chodu potřebuje vstup člověka nebo nikoli. </w:t>
      </w:r>
      <w:r w:rsidR="002C0D8B">
        <w:t>Podle tohoto hlediska se stroje dělí na kategorie poloautonomních strojů nebo strojů plně autonomních. Do skupiny poloautonomních strojů spadají stroje, které ke svému chodu potřebují zásah člověka, kdy například tyto plní člověkem zadaný úkol po určitou dobu a když tato doba uběhne, potřebují znovu určitý zásah člověka, aby v činnosti pokračoval.</w:t>
      </w:r>
      <w:r w:rsidR="009323EE">
        <w:rPr>
          <w:rStyle w:val="Znakapoznpodarou"/>
        </w:rPr>
        <w:footnoteReference w:id="8"/>
      </w:r>
      <w:r w:rsidR="002C0D8B">
        <w:t xml:space="preserve"> Do této</w:t>
      </w:r>
      <w:r w:rsidR="005946C0">
        <w:t xml:space="preserve"> kategorie </w:t>
      </w:r>
      <w:r w:rsidR="002C0D8B">
        <w:t>poloautonomních strojů (machines having human in the loop)</w:t>
      </w:r>
      <w:r w:rsidR="00317166">
        <w:rPr>
          <w:rStyle w:val="Znakapoznpodarou"/>
        </w:rPr>
        <w:footnoteReference w:id="9"/>
      </w:r>
      <w:r w:rsidR="005946C0">
        <w:t xml:space="preserve"> spadají i stroje, které pracují celou dobu samostatně, ale mají nad sebou po celou dobu svého provozu neustálý dohled člověka, který má možnost při jakémkoli selhání nebo neplnění svěřeného úkolu zasáhnout. </w:t>
      </w:r>
      <w:r w:rsidR="00B64DDA">
        <w:t>Oproti tomu stroje s</w:t>
      </w:r>
      <w:r w:rsidR="000B7036">
        <w:t> </w:t>
      </w:r>
      <w:r w:rsidR="00B64DDA">
        <w:t>plnou</w:t>
      </w:r>
      <w:r w:rsidR="000B7036">
        <w:t xml:space="preserve"> autonomií (machines with human out of the loop)</w:t>
      </w:r>
      <w:r w:rsidR="00317166">
        <w:rPr>
          <w:rStyle w:val="Znakapoznpodarou"/>
        </w:rPr>
        <w:footnoteReference w:id="10"/>
      </w:r>
      <w:r w:rsidR="000B7036">
        <w:t xml:space="preserve"> jsou </w:t>
      </w:r>
      <w:r w:rsidR="00D11D27">
        <w:t xml:space="preserve">označovány jako takové, které pracují úplně celou dobu bez trvalého dozoru člověka a nemusí ani jim být člověkem ani průběžně přidělovány pokyny. </w:t>
      </w:r>
      <w:r w:rsidR="000643FD">
        <w:t xml:space="preserve">Toto první kritérium hodnocení autonomie se tedy úplně nezabývá vnitřními autonomními procesy daného zařízení, ale spíš je zaměřeno na potřebu vnějšího vstupu člověka k tomu, aby </w:t>
      </w:r>
      <w:r w:rsidR="002A71DF">
        <w:t>zařízení</w:t>
      </w:r>
      <w:r w:rsidR="000643FD">
        <w:t xml:space="preserve"> mohl</w:t>
      </w:r>
      <w:r w:rsidR="002A71DF">
        <w:t>o</w:t>
      </w:r>
      <w:r w:rsidR="000643FD">
        <w:t xml:space="preserve"> vůbec pracovat</w:t>
      </w:r>
      <w:r w:rsidR="002A71DF">
        <w:t xml:space="preserve"> nebo naopak vnější podněty od člověka nejsou nutné.</w:t>
      </w:r>
      <w:r w:rsidR="002A71DF">
        <w:rPr>
          <w:rStyle w:val="Znakapoznpodarou"/>
        </w:rPr>
        <w:footnoteReference w:id="11"/>
      </w:r>
      <w:r w:rsidR="00B73AC5">
        <w:t xml:space="preserve"> </w:t>
      </w:r>
      <w:r w:rsidR="00E10AC3">
        <w:t>Jako příklad obdobného dělení stupňů autonomie můžeme uvést dělení, které rozlišuje omezenou umělou inteligenci, obecnou umělou inteligenci a umělou supeinteligenci.</w:t>
      </w:r>
      <w:r w:rsidR="002C78A4">
        <w:rPr>
          <w:rStyle w:val="Znakapoznpodarou"/>
        </w:rPr>
        <w:footnoteReference w:id="12"/>
      </w:r>
      <w:r w:rsidR="00B2148D">
        <w:t xml:space="preserve"> </w:t>
      </w:r>
      <w:r w:rsidR="007D790A">
        <w:t>Toto rozdělování je založené na porovnávání úrovně autonomie daného systému v porovnání s rozsahem úkonů, které je schopný vykonat za stejný čas člověk. Omezená umělá inteligence je založená na tom, že stroj je schopný vykonávat na vysoké úrovni jed</w:t>
      </w:r>
      <w:r w:rsidR="00A90B3F">
        <w:t>i</w:t>
      </w:r>
      <w:r w:rsidR="007D790A">
        <w:t>n</w:t>
      </w:r>
      <w:r w:rsidR="00A90B3F">
        <w:t>o</w:t>
      </w:r>
      <w:r w:rsidR="007D790A">
        <w:t>u specifickou činnost</w:t>
      </w:r>
      <w:r w:rsidR="00A90B3F">
        <w:t>, na kterou je naprogramován a nad rámec svého programu už žádnou jinou činnost nevykonává</w:t>
      </w:r>
      <w:r w:rsidR="00B41993">
        <w:t>, například schopnost autonomní navigace</w:t>
      </w:r>
      <w:r w:rsidR="00A90B3F">
        <w:t>.</w:t>
      </w:r>
      <w:r w:rsidR="00B41993">
        <w:rPr>
          <w:rStyle w:val="Znakapoznpodarou"/>
        </w:rPr>
        <w:footnoteReference w:id="13"/>
      </w:r>
      <w:r w:rsidR="00B41993">
        <w:t xml:space="preserve"> Za obecnou umělou inteligenci je považována schopnost autonomního systému vykonávat úkony na srovnatelné úrovni jako člověk</w:t>
      </w:r>
      <w:r w:rsidR="00B41993">
        <w:rPr>
          <w:rStyle w:val="Znakapoznpodarou"/>
        </w:rPr>
        <w:footnoteReference w:id="14"/>
      </w:r>
      <w:r w:rsidR="00B41993">
        <w:t>, tedy vyvíjet komplexní činnost zahrnující reakci na podnět, vyhodnocení a nalezení řešení. Možným řešením, jak dosáhnout obecné autonomní inteligence by mohlo být spojení více prvků, které disponují omezenou umělou inteligencí. Ovšem v takovém případě by se</w:t>
      </w:r>
      <w:r w:rsidR="00907FAC">
        <w:t>, dle mého názoru,</w:t>
      </w:r>
      <w:r w:rsidR="00B41993">
        <w:t xml:space="preserve"> stále nejednalo o obecnou umělou inteligenci</w:t>
      </w:r>
      <w:r w:rsidR="00907FAC">
        <w:t xml:space="preserve">, jelikož rozsah rozhodovací činnosti by byl stále omezený počtem prvků, které by tvořily celek a nebyla by zde tedy nikdy zahrnuty všechny myslitelné proměnné. </w:t>
      </w:r>
      <w:r w:rsidR="003525EE">
        <w:t xml:space="preserve">Konečně umělá </w:t>
      </w:r>
      <w:r w:rsidR="003525EE">
        <w:lastRenderedPageBreak/>
        <w:t>superinteligence je založená na představě existence stroje, který je schopen komplexně vykonávat veškerou činnost samostatně a na úrovni, která pře</w:t>
      </w:r>
      <w:r w:rsidR="00BB4F2D">
        <w:t>sahuje schopnosti</w:t>
      </w:r>
      <w:r w:rsidR="003525EE">
        <w:t xml:space="preserve"> člověka. Pro chod takovéhoto sytému není již člověk potřeba, jelikož je systém schopen sám vnímat, tvořit si vlastní pravidla, uvažovat a následně konat v dynamicky se vyvíjejícím prostředí</w:t>
      </w:r>
      <w:r w:rsidR="000E6977">
        <w:t>.</w:t>
      </w:r>
      <w:r w:rsidR="000E6977">
        <w:rPr>
          <w:rStyle w:val="Znakapoznpodarou"/>
        </w:rPr>
        <w:footnoteReference w:id="15"/>
      </w:r>
    </w:p>
    <w:p w14:paraId="6A2596B1" w14:textId="599C37E4" w:rsidR="002A71DF" w:rsidRDefault="00231E5F" w:rsidP="00741364">
      <w:pPr>
        <w:ind w:firstLine="708"/>
        <w:jc w:val="both"/>
      </w:pPr>
      <w:r>
        <w:t>Jako druhé pojetí autonomie uvádím kritérium založené na komplexnosti a obecně složitosti stroje ( The complexity of the machine)</w:t>
      </w:r>
      <w:r w:rsidR="00317166">
        <w:rPr>
          <w:rStyle w:val="Znakapoznpodarou"/>
        </w:rPr>
        <w:footnoteReference w:id="16"/>
      </w:r>
      <w:r>
        <w:t xml:space="preserve">, které má vystihovat to, jak jsou obecně zařízení složitá z hlediska jejich </w:t>
      </w:r>
      <w:r w:rsidR="007444B7">
        <w:t>konstrukce a funkčních mechanismů. Nehraje zde žádnou roli, v jaké míře je do fungování těchto zařízení zapojen člověk, nebo spíše</w:t>
      </w:r>
      <w:r w:rsidR="002029D7">
        <w:t>,</w:t>
      </w:r>
      <w:r w:rsidR="007444B7">
        <w:t xml:space="preserve"> se </w:t>
      </w:r>
      <w:r w:rsidR="002029D7">
        <w:t xml:space="preserve">zde </w:t>
      </w:r>
      <w:r w:rsidR="007444B7">
        <w:t xml:space="preserve">role člověka vůbec nebere v potaz, hlavní je zde mechanická funkce. </w:t>
      </w:r>
      <w:r w:rsidR="00E5207F">
        <w:t>Z tohoto pohledu jsou zde zařízení rozdělována</w:t>
      </w:r>
      <w:r w:rsidR="00932456">
        <w:t xml:space="preserve"> podle jejich složitosti od nejjednodušších po nejsložitější</w:t>
      </w:r>
      <w:r w:rsidR="00E5207F">
        <w:t xml:space="preserve"> na automatická, automatizovaná a autonomní. </w:t>
      </w:r>
      <w:r w:rsidR="00932456">
        <w:t xml:space="preserve">Jako zařízení automatická jsou určena ta zařízení, která se aktivují na základě jednoduchých, často mechanických, změn v okolním prostředí, jako příklad zde může být uvedena pozemní mina, která se aktivuje zvýšeným tlakem </w:t>
      </w:r>
      <w:r w:rsidR="00766C04">
        <w:t>na svou konkrétní součást, který přichází z vnějšího prostředí</w:t>
      </w:r>
      <w:r w:rsidR="00C903BC">
        <w:t xml:space="preserve"> nebo třeba mechanický termostat, který podle funguje v závislosti na teplotě okolního prostředí. </w:t>
      </w:r>
      <w:r w:rsidR="001F7A3B">
        <w:t xml:space="preserve">Automatické systémy fungují na jednoduchém schématu, kdy </w:t>
      </w:r>
      <w:r w:rsidR="00CB57C0">
        <w:t>zde je jeden konkrétní podnět, na který navazuje jedna nebo případně několik předem určených reakcí.</w:t>
      </w:r>
      <w:r w:rsidR="005F326C">
        <w:rPr>
          <w:rStyle w:val="Znakapoznpodarou"/>
        </w:rPr>
        <w:footnoteReference w:id="17"/>
      </w:r>
      <w:r w:rsidR="00CB57C0">
        <w:t xml:space="preserve"> Oproti tomu zařízení automatizovaná</w:t>
      </w:r>
      <w:r w:rsidR="00013361">
        <w:t>,</w:t>
      </w:r>
      <w:r w:rsidR="00CB57C0">
        <w:t xml:space="preserve"> jsou o trochu složitější</w:t>
      </w:r>
      <w:r w:rsidR="00013361">
        <w:t>.</w:t>
      </w:r>
      <w:r w:rsidR="00CB57C0">
        <w:t xml:space="preserve"> </w:t>
      </w:r>
      <w:r w:rsidR="00013361">
        <w:t>Automatizovaná zařízení totiž</w:t>
      </w:r>
      <w:r w:rsidR="00CB57C0">
        <w:t xml:space="preserve"> nepracují pouze s jedním konkrétním podnětem, jako je změna tlaku nebo teploty, ale jsou uzpůsobena na to, aby se v průběhu toho, co jsou funkční</w:t>
      </w:r>
      <w:r w:rsidR="00013361">
        <w:t>,</w:t>
      </w:r>
      <w:r w:rsidR="00CB57C0">
        <w:t xml:space="preserve"> průběžně přizpůsobovala situaci</w:t>
      </w:r>
      <w:r w:rsidR="00013361">
        <w:t>.</w:t>
      </w:r>
      <w:r w:rsidR="00CB57C0">
        <w:t xml:space="preserve">  </w:t>
      </w:r>
      <w:r w:rsidR="00013361">
        <w:t>O</w:t>
      </w:r>
      <w:r w:rsidR="00CB57C0">
        <w:t>všem</w:t>
      </w:r>
      <w:r w:rsidR="00013361">
        <w:t xml:space="preserve"> míra nebo způsob reakce</w:t>
      </w:r>
      <w:r w:rsidR="00CB57C0">
        <w:t xml:space="preserve"> musí mít předem daná pravidla. </w:t>
      </w:r>
      <w:r w:rsidR="003251CD">
        <w:t>Jako příklad automatizovaného zařízení bych mohl uvést budoucí koncept</w:t>
      </w:r>
      <w:r w:rsidR="004257A3">
        <w:t xml:space="preserve"> zcela</w:t>
      </w:r>
      <w:r w:rsidR="003251CD">
        <w:t xml:space="preserve"> samořiditelných aut, kdy tato auta fungují a přizpůsobují se podnětům plynoucím z aktuální dopravní situace, ale po celou dobu svého provozu se řídí konkrétními předem danými pravidly platnými pro provoz na dané komunikaci. </w:t>
      </w:r>
      <w:r w:rsidR="00236848">
        <w:t xml:space="preserve">A nakonec za zařízení autonomní se dají označit, podle tohoto kritéria rozdělování, taková zařízení, která jsou schopna pracovat v určitém vymezeném segmentu činnosti, ale oproti standardním možnostem, které mají povolené vykonávat jsou schopné </w:t>
      </w:r>
      <w:r w:rsidR="00CB1E2D">
        <w:t xml:space="preserve">provádět i nějaké další operace navíc, kde se uplatňuje nějaký samořídící nebo samoučící se prvek v jejich naprogramovaném chováním a stává se zároveň součástí jejich programu. Příkladem může být </w:t>
      </w:r>
      <w:r w:rsidR="00644521">
        <w:t>počítač</w:t>
      </w:r>
      <w:r w:rsidR="00CB1E2D">
        <w:t xml:space="preserve"> </w:t>
      </w:r>
      <w:proofErr w:type="spellStart"/>
      <w:r w:rsidR="00CB1E2D">
        <w:t>Deep</w:t>
      </w:r>
      <w:proofErr w:type="spellEnd"/>
      <w:r w:rsidR="00CB1E2D">
        <w:t xml:space="preserve"> Blue</w:t>
      </w:r>
      <w:r w:rsidR="00644521">
        <w:t xml:space="preserve"> od společnosti IBM</w:t>
      </w:r>
      <w:r w:rsidR="00CB1E2D">
        <w:t xml:space="preserve">, který měl za </w:t>
      </w:r>
      <w:r w:rsidR="00CB1E2D">
        <w:lastRenderedPageBreak/>
        <w:t>úkol naučit se hrát šachy</w:t>
      </w:r>
      <w:r w:rsidR="000E00D4">
        <w:t xml:space="preserve">. </w:t>
      </w:r>
      <w:r w:rsidR="00833978">
        <w:t>Toto rozdělování na systémy automatické, automatizované a autonomní je ovšem značně nepřesné, jelikož nejsou vymezeny zcela jasné mantinely, podle kterých by se konkrétní zařízení měla zařazovat do konkrétních kategorií.</w:t>
      </w:r>
      <w:r w:rsidR="003C45F1">
        <w:rPr>
          <w:rStyle w:val="Znakapoznpodarou"/>
        </w:rPr>
        <w:footnoteReference w:id="18"/>
      </w:r>
    </w:p>
    <w:p w14:paraId="003E15CF" w14:textId="1C2639AA" w:rsidR="00A546A8" w:rsidRDefault="00D52F12" w:rsidP="00A546A8">
      <w:pPr>
        <w:ind w:firstLine="708"/>
        <w:jc w:val="both"/>
      </w:pPr>
      <w:r>
        <w:t>Jako poslední kritérium hodnocení autonomie vycházíme ze skutečnosti</w:t>
      </w:r>
      <w:r w:rsidR="00012F33">
        <w:t>,</w:t>
      </w:r>
      <w:r>
        <w:t xml:space="preserve"> jaké konkrétní funkce jsou v daném zařízení automatizované. </w:t>
      </w:r>
      <w:r w:rsidR="00A37625">
        <w:t xml:space="preserve">Hlavní otázkou je zde to, jestli je dané zařízení </w:t>
      </w:r>
      <w:r w:rsidR="001A2F98">
        <w:t xml:space="preserve">považováno za </w:t>
      </w:r>
      <w:r w:rsidR="00A37625">
        <w:t>autonomní zcela nebo jsou autonomní pouze některé jeho vybrané funkce. V případě autonomie v rámci pouze určitých funkcí musíme ještě uvažovat význam této funkce</w:t>
      </w:r>
      <w:r w:rsidR="005E50D9">
        <w:t>.</w:t>
      </w:r>
      <w:r w:rsidR="00A37625">
        <w:t xml:space="preserve"> </w:t>
      </w:r>
      <w:r w:rsidR="00466542">
        <w:t>V</w:t>
      </w:r>
      <w:r w:rsidR="00A37625">
        <w:t> rámci následujících úvah týkajících se zbraňových systému</w:t>
      </w:r>
      <w:r w:rsidR="001A2F98">
        <w:t>,</w:t>
      </w:r>
      <w:r w:rsidR="00A37625">
        <w:t xml:space="preserve"> musíme uvažovat především míru rizika </w:t>
      </w:r>
      <w:r w:rsidR="001A2F98">
        <w:t xml:space="preserve">specificky </w:t>
      </w:r>
      <w:r w:rsidR="00A37625">
        <w:t xml:space="preserve">spojeného s těmito zbraněmi. </w:t>
      </w:r>
      <w:r w:rsidR="001A2F98">
        <w:t>Jelikož i zbraně mající jisté autonomní prvky, například již výše zmíněná pozemní mina, funguj</w:t>
      </w:r>
      <w:r w:rsidR="00047AD8">
        <w:t>í</w:t>
      </w:r>
      <w:r w:rsidR="001A2F98">
        <w:t xml:space="preserve"> na obdobně primitivním principu jako jiná zařízení nevojenského charakteru, ovšem </w:t>
      </w:r>
      <w:r w:rsidR="0030198A">
        <w:t>je zde právě ono speciální riziko, které tento</w:t>
      </w:r>
      <w:r w:rsidR="00047AD8">
        <w:t xml:space="preserve"> jinak</w:t>
      </w:r>
      <w:r w:rsidR="0030198A">
        <w:t xml:space="preserve"> primitivní autonomní prvek činí důležitým</w:t>
      </w:r>
      <w:r w:rsidR="004B7090">
        <w:t xml:space="preserve">. Například z hlediska požadavků mezinárodního práva humanitárního, které konkrétně zakazuje použití zbraní, jako je pozemní mina, o kterých je pojednáno v kapitole 4. </w:t>
      </w:r>
      <w:r w:rsidR="00D3140D">
        <w:t xml:space="preserve">V případě zařazení autonomních zařízení, která mají komplexnější povahu, můžeme narazit na problém, že sice mají autonomní prvky, které jsou vykonávané bez jakéhokoli zásahu člověka (machines with human out of the loop), například autonomní auto, které se pohybuje z bodu A do bodu B, kdy je po celou dobu jízdy automobil schopný fungovat bez zásahu člověka (je tedy možné ho označit jako zařízení s autonomní funkcí), ovšem </w:t>
      </w:r>
      <w:r w:rsidR="00A74C07">
        <w:t>výběr základních parametrů trasy je stále v rukou člověka. V tomto případě tedy dojdeme k závěru, že se jedná o autonomní zařízení, ovšem pouze v ohledu na pouze některé jeho funkce</w:t>
      </w:r>
      <w:r w:rsidR="00832A5E">
        <w:t>.</w:t>
      </w:r>
      <w:r w:rsidR="00C02F53">
        <w:rPr>
          <w:rStyle w:val="Znakapoznpodarou"/>
        </w:rPr>
        <w:footnoteReference w:id="19"/>
      </w:r>
      <w:r w:rsidR="00832A5E">
        <w:t xml:space="preserve"> </w:t>
      </w:r>
      <w:r w:rsidR="00A546A8">
        <w:t>Pokud bychom se chtěli zaměřit pouze na rozsah výkonu kontroly, který vykonává člověk nad autonomním systémem, nabízí se zde možnost dělení na přímé a nepřímé.</w:t>
      </w:r>
      <w:r w:rsidR="00A546A8">
        <w:rPr>
          <w:rStyle w:val="Znakapoznpodarou"/>
        </w:rPr>
        <w:footnoteReference w:id="20"/>
      </w:r>
      <w:r w:rsidR="00A546A8">
        <w:t xml:space="preserve"> Pod kategorii přímé kontroly člověka nad systémem bychom mohli podřadit výše uvedené kategorie human in the loop a human on the loop </w:t>
      </w:r>
      <w:r w:rsidR="00C36D8B">
        <w:t xml:space="preserve">spočívající buď ve stálé a nepřetržité fyzické kontrole člověka nad systémem nebo </w:t>
      </w:r>
      <w:r w:rsidR="00B9331A">
        <w:t>možností</w:t>
      </w:r>
      <w:r w:rsidR="00C36D8B">
        <w:t xml:space="preserve"> člověka</w:t>
      </w:r>
      <w:r w:rsidR="00B9331A">
        <w:t xml:space="preserve"> zasáhnout</w:t>
      </w:r>
      <w:r w:rsidR="00C36D8B">
        <w:t xml:space="preserve"> </w:t>
      </w:r>
      <w:r w:rsidR="00B9331A">
        <w:t xml:space="preserve">přímo do systému. </w:t>
      </w:r>
      <w:r w:rsidR="00A46FA5">
        <w:t xml:space="preserve">Naopak nepřímá kontrola člověka nad systémem spočívá v softwarových nebo hardwarových možnostech systému, které svou předvídatelností a spolehlivostí umožňují operátorovi realizovat svůj úsudek a také ve vybavení systému, který mu </w:t>
      </w:r>
      <w:r w:rsidR="00A46FA5">
        <w:lastRenderedPageBreak/>
        <w:t>přikazuje jisté etické meze, pokud by se dostal do krajní situace (například nejvíce eticky přijatelné chování v případě nevyhnutelné nehody).</w:t>
      </w:r>
      <w:r w:rsidR="007C5890">
        <w:rPr>
          <w:rStyle w:val="Znakapoznpodarou"/>
        </w:rPr>
        <w:footnoteReference w:id="21"/>
      </w:r>
    </w:p>
    <w:p w14:paraId="2DE78893" w14:textId="0223A823" w:rsidR="009114B6" w:rsidRDefault="009114B6" w:rsidP="009114B6">
      <w:pPr>
        <w:ind w:firstLine="708"/>
        <w:jc w:val="both"/>
      </w:pPr>
      <w:r>
        <w:t>Na závěr by se otázka definice autonomie dala shrnout tak, že při určování, jestli dané zařízení je či není možné považovat za autonomní, je klíčové to, nezaměřit se pouze na danou konkrétní funkci a její podřazení pod pouze jedno ze tří výše popsaných pojetí</w:t>
      </w:r>
      <w:r w:rsidR="0002063E">
        <w:t xml:space="preserve"> a z toho vyvozovat závěry, že se jedná o autonomní zařízení. </w:t>
      </w:r>
      <w:r w:rsidR="005E50D9">
        <w:t xml:space="preserve"> Je tomu tak z důvodu, </w:t>
      </w:r>
      <w:r w:rsidR="002E5777">
        <w:t xml:space="preserve"> </w:t>
      </w:r>
      <w:r w:rsidR="0002063E">
        <w:t xml:space="preserve">že tyto tři kategorie jsou na sobě absolutně nezávislé. Není možné proto ztotožňovat větší sofistikovanost zařízení s tím, že se jedná tím pádem o zařízení, které je schopné fungovat autonomně. Stejně tak nutnost udílení pokynů zařízení ze strany člověka </w:t>
      </w:r>
      <w:r w:rsidR="00B55724">
        <w:t xml:space="preserve">nutně nevypovídá o složitosti stroje nebo o činnostech, které je stroj schopen vykonávat autonomně. Autonomní zařízení mohou fungovat sice bez pokynů člověka, ale stále mají pouze svůj omezený účel, pro který byla vytvořena, například autonomní termostat stále bude regulovat teplotu, bez pokynů člověka, ale sám od sebe se nezačne věnovat i </w:t>
      </w:r>
      <w:r w:rsidR="001E4F1F">
        <w:t>jiné činnosti</w:t>
      </w:r>
      <w:r w:rsidR="00C57FF3">
        <w:t xml:space="preserve">, tedy není možné celý systém označit jasně jako autonomní, ale můžeme </w:t>
      </w:r>
      <w:r w:rsidR="00FE4066">
        <w:t>maximálně</w:t>
      </w:r>
      <w:r w:rsidR="00C57FF3">
        <w:t xml:space="preserve"> uvažovat o autonomii jeho hlavní funkce</w:t>
      </w:r>
      <w:r w:rsidR="00FE4066">
        <w:t>.</w:t>
      </w:r>
      <w:r w:rsidR="00A34EF9">
        <w:rPr>
          <w:rStyle w:val="Znakapoznpodarou"/>
        </w:rPr>
        <w:footnoteReference w:id="22"/>
      </w:r>
      <w:r w:rsidR="00FE4066">
        <w:t xml:space="preserve"> </w:t>
      </w:r>
      <w:r w:rsidR="00A34EF9">
        <w:t xml:space="preserve">Proto je dle mého názoru vhodnější se při určování autonomie určitých zařízení zaměřit spíš na autonomní povahu některých jejich </w:t>
      </w:r>
      <w:r w:rsidR="007F04BD">
        <w:t>funkcí</w:t>
      </w:r>
      <w:r w:rsidR="00A34EF9">
        <w:t xml:space="preserve"> než na označení zařízení jako celku za autonomní. </w:t>
      </w:r>
      <w:r w:rsidR="007F04BD">
        <w:t>Toto východisko je podle mě klíčové pro budoucí posuzování autonomie ve zbraňových systémech, jelikož díky jejich velké komplexitě se zde vyskytuje obdobný problém, a to ten, že je prostě jako komplexní segment zbraní obecně nelze postihnout jedinou definicí. Spíše bude proto dávat smysl, zaměřit se na jednotlivé činnosti a možnosti</w:t>
      </w:r>
      <w:r w:rsidR="002560B3">
        <w:t xml:space="preserve"> využití</w:t>
      </w:r>
      <w:r w:rsidR="007F04BD">
        <w:t>, kter</w:t>
      </w:r>
      <w:r w:rsidR="002560B3">
        <w:t>ými</w:t>
      </w:r>
      <w:r w:rsidR="007F04BD">
        <w:t xml:space="preserve"> </w:t>
      </w:r>
      <w:r w:rsidR="002560B3">
        <w:t>jednotlivé autonomní zbraně disponují</w:t>
      </w:r>
      <w:r w:rsidR="00F97A73">
        <w:t xml:space="preserve"> a tomuto způsobu, kterým jsou konkrétní zbraně zaměřeny přizpůsobovat i jejich</w:t>
      </w:r>
      <w:r w:rsidR="00624B46">
        <w:t xml:space="preserve"> </w:t>
      </w:r>
      <w:r w:rsidR="009A7A50">
        <w:t>právní</w:t>
      </w:r>
      <w:r w:rsidR="00F97A73">
        <w:t xml:space="preserve"> regulaci. </w:t>
      </w:r>
    </w:p>
    <w:p w14:paraId="7E57AB86" w14:textId="184B0B2B" w:rsidR="00363108" w:rsidRDefault="00923C6E" w:rsidP="00923C6E">
      <w:pPr>
        <w:pStyle w:val="Nadpis2"/>
        <w:numPr>
          <w:ilvl w:val="0"/>
          <w:numId w:val="0"/>
        </w:numPr>
      </w:pPr>
      <w:bookmarkStart w:id="6" w:name="_Toc164801753"/>
      <w:r>
        <w:t>2.2.</w:t>
      </w:r>
      <w:r w:rsidR="00B2054C">
        <w:tab/>
      </w:r>
      <w:r w:rsidR="00363108">
        <w:t>Definice autonomních zbraňových systémů</w:t>
      </w:r>
      <w:bookmarkEnd w:id="6"/>
    </w:p>
    <w:p w14:paraId="65DC7292" w14:textId="1FEC6006" w:rsidR="00407FCE" w:rsidRDefault="00363108" w:rsidP="004C14C9">
      <w:pPr>
        <w:ind w:firstLine="432"/>
        <w:jc w:val="both"/>
      </w:pPr>
      <w:r>
        <w:t>Při pojednávání o autonomních zbraňových systémech musíme v první řadě především vymezit, co autonomní zbraně nebo zbraňové systémy</w:t>
      </w:r>
      <w:r w:rsidR="009C5B8A">
        <w:t xml:space="preserve"> vůbec jsou a co mezi ně</w:t>
      </w:r>
      <w:r>
        <w:t xml:space="preserve"> můžeme aktuálně zařadit</w:t>
      </w:r>
      <w:r w:rsidR="004E6AD8">
        <w:t xml:space="preserve">. Co se týče kritérií, </w:t>
      </w:r>
      <w:r>
        <w:t>které budeme pro zařazení zbraní jako zcela</w:t>
      </w:r>
      <w:r w:rsidR="00BC617B">
        <w:t>,</w:t>
      </w:r>
      <w:r>
        <w:t xml:space="preserve"> nebo zčásti autonomní používat</w:t>
      </w:r>
      <w:r w:rsidR="00A44FEE">
        <w:t>, tak můžeme vycházet ze skutečnosti, že tato</w:t>
      </w:r>
      <w:r>
        <w:t xml:space="preserve"> jsou již stanovena</w:t>
      </w:r>
      <w:r w:rsidR="00A44FEE">
        <w:t xml:space="preserve">. Je tomu tak, </w:t>
      </w:r>
      <w:r>
        <w:t>jelikož problematikou samotného vymezení</w:t>
      </w:r>
      <w:r w:rsidR="00A44FEE">
        <w:t xml:space="preserve"> autonomních</w:t>
      </w:r>
      <w:r>
        <w:t xml:space="preserve"> zbra</w:t>
      </w:r>
      <w:r w:rsidR="00A44FEE">
        <w:t>ňových systémů</w:t>
      </w:r>
      <w:r>
        <w:t xml:space="preserve"> se</w:t>
      </w:r>
      <w:r w:rsidR="00A44FEE">
        <w:t xml:space="preserve"> již</w:t>
      </w:r>
      <w:r>
        <w:t xml:space="preserve"> zabývaly instituce navázané na problematiku spojenou obecně se zbrojním průmyslem a jeho stále inovativnější</w:t>
      </w:r>
      <w:r w:rsidR="00496E1D">
        <w:t>mi</w:t>
      </w:r>
      <w:r>
        <w:t xml:space="preserve"> </w:t>
      </w:r>
      <w:r>
        <w:lastRenderedPageBreak/>
        <w:t>výstup</w:t>
      </w:r>
      <w:r w:rsidR="00496E1D">
        <w:t>y</w:t>
      </w:r>
      <w:r>
        <w:t xml:space="preserve">. </w:t>
      </w:r>
      <w:r w:rsidR="00345EC3">
        <w:t>Mimo tyto hlavní</w:t>
      </w:r>
      <w:r>
        <w:t xml:space="preserve"> instituce, které se zabývaly otázkou autonomních zbraňových systémů,</w:t>
      </w:r>
      <w:r w:rsidR="00345EC3">
        <w:t xml:space="preserve"> se komplexní problematikou autonomních zbraňových systémů zabývali i mnozí </w:t>
      </w:r>
      <w:proofErr w:type="gramStart"/>
      <w:r w:rsidR="00345EC3">
        <w:t>experti</w:t>
      </w:r>
      <w:proofErr w:type="gramEnd"/>
      <w:r w:rsidR="00345EC3">
        <w:t xml:space="preserve"> a to především</w:t>
      </w:r>
      <w:r w:rsidR="00A44FEE">
        <w:t xml:space="preserve"> </w:t>
      </w:r>
      <w:r>
        <w:t>z</w:t>
      </w:r>
      <w:r w:rsidR="00A44FEE">
        <w:t xml:space="preserve"> toho</w:t>
      </w:r>
      <w:r>
        <w:t> pohledu</w:t>
      </w:r>
      <w:r w:rsidR="00A44FEE">
        <w:t>,</w:t>
      </w:r>
      <w:r>
        <w:t xml:space="preserve"> jestli je použití autonomních zbraní v souladu s mezinárodním humanitárním právem.</w:t>
      </w:r>
      <w:r w:rsidR="00BF3566">
        <w:t xml:space="preserve"> </w:t>
      </w:r>
      <w:r>
        <w:t>V návaznosti na tuto problematiku se na sestavování základní definice pro určování a rozlišování autonomních zbraňových systémů podílel</w:t>
      </w:r>
      <w:r w:rsidR="005E63C4">
        <w:t xml:space="preserve"> například</w:t>
      </w:r>
      <w:r>
        <w:t xml:space="preserve"> Institut OSN pro výzkum odzbrojení (UNIDIR) a Mezinárodní výbor Červeného kříže (ICRC)</w:t>
      </w:r>
      <w:r>
        <w:rPr>
          <w:rStyle w:val="Znakapoznpodarou"/>
        </w:rPr>
        <w:footnoteReference w:id="23"/>
      </w:r>
      <w:r>
        <w:t>.</w:t>
      </w:r>
      <w:r w:rsidR="00345EC3">
        <w:t xml:space="preserve"> Z výše zmiňovaných expertů </w:t>
      </w:r>
      <w:r w:rsidR="0016426A">
        <w:t>jistě stojí</w:t>
      </w:r>
      <w:r w:rsidR="003B28BA">
        <w:t xml:space="preserve"> </w:t>
      </w:r>
      <w:r w:rsidR="0016426A">
        <w:t>za zmínění</w:t>
      </w:r>
      <w:r w:rsidR="00345EC3">
        <w:t xml:space="preserve"> například </w:t>
      </w:r>
      <w:r w:rsidR="0016426A">
        <w:t>Paul Scharre nebo</w:t>
      </w:r>
      <w:r w:rsidR="003B28BA">
        <w:t xml:space="preserve"> Michael C. </w:t>
      </w:r>
      <w:proofErr w:type="spellStart"/>
      <w:r w:rsidR="003B28BA">
        <w:t>Horowitz</w:t>
      </w:r>
      <w:proofErr w:type="spellEnd"/>
      <w:r w:rsidR="008560F2">
        <w:rPr>
          <w:rStyle w:val="Znakapoznpodarou"/>
        </w:rPr>
        <w:footnoteReference w:id="24"/>
      </w:r>
      <w:r w:rsidR="003B28BA">
        <w:t>, kdy z</w:t>
      </w:r>
      <w:r w:rsidR="005E63C4">
        <w:t>e společn</w:t>
      </w:r>
      <w:r w:rsidR="004F2918">
        <w:t>é</w:t>
      </w:r>
      <w:r w:rsidR="003B28BA">
        <w:t xml:space="preserve"> p</w:t>
      </w:r>
      <w:r w:rsidR="000434A3">
        <w:t>u</w:t>
      </w:r>
      <w:r w:rsidR="003B28BA">
        <w:t>blikac</w:t>
      </w:r>
      <w:r w:rsidR="004F2918">
        <w:t>e</w:t>
      </w:r>
      <w:r w:rsidR="003B28BA">
        <w:t xml:space="preserve"> těchto odborníků vycházejí i výše zmíněné organizace.</w:t>
      </w:r>
      <w:r w:rsidR="00D86DF9">
        <w:t xml:space="preserve"> </w:t>
      </w:r>
      <w:r w:rsidR="005E63C4">
        <w:t>To je především rozdělení</w:t>
      </w:r>
      <w:r w:rsidR="005F7216">
        <w:t>, co se</w:t>
      </w:r>
      <w:r w:rsidR="005E63C4">
        <w:t xml:space="preserve"> autonomní</w:t>
      </w:r>
      <w:r w:rsidR="004F2918">
        <w:t>ch</w:t>
      </w:r>
      <w:r w:rsidR="005E63C4">
        <w:t xml:space="preserve"> </w:t>
      </w:r>
      <w:r w:rsidR="004F2918">
        <w:t>zbraňových systémů</w:t>
      </w:r>
      <w:r w:rsidR="005F7216">
        <w:t xml:space="preserve"> tý</w:t>
      </w:r>
      <w:r w:rsidR="002D1B88">
        <w:t>če</w:t>
      </w:r>
      <w:r w:rsidR="005E63C4">
        <w:t>,</w:t>
      </w:r>
      <w:r w:rsidR="004F2918">
        <w:t xml:space="preserve"> které</w:t>
      </w:r>
      <w:r w:rsidR="005E63C4">
        <w:t xml:space="preserve"> uvádí Paul Scharre</w:t>
      </w:r>
      <w:r w:rsidR="004F2918">
        <w:t>.</w:t>
      </w:r>
      <w:r w:rsidR="005E63C4">
        <w:t xml:space="preserve"> </w:t>
      </w:r>
      <w:r w:rsidR="004F2918">
        <w:t>Toto dělení si</w:t>
      </w:r>
      <w:r w:rsidR="00925B21">
        <w:t xml:space="preserve">, </w:t>
      </w:r>
      <w:r w:rsidR="004F2918">
        <w:t>jako výchozí</w:t>
      </w:r>
      <w:r w:rsidR="00925B21">
        <w:t>,</w:t>
      </w:r>
      <w:r w:rsidR="004F2918">
        <w:t xml:space="preserve"> pro své následující pojednávání o autonomních zbraňových systémech volím i já, jelikož jak již bylo řečeno výše, používá se nejvíce i v praxi a jelikož </w:t>
      </w:r>
      <w:r w:rsidR="00F10129">
        <w:t xml:space="preserve">by se, </w:t>
      </w:r>
      <w:r w:rsidR="004F2918">
        <w:t>dle mého názoru</w:t>
      </w:r>
      <w:r w:rsidR="00F10129">
        <w:t>,</w:t>
      </w:r>
      <w:r w:rsidR="004F2918">
        <w:t xml:space="preserve"> </w:t>
      </w:r>
      <w:r w:rsidR="00F10129">
        <w:t xml:space="preserve">tyto </w:t>
      </w:r>
      <w:r w:rsidR="005C462E">
        <w:t>základní prvky</w:t>
      </w:r>
      <w:r w:rsidR="004F2918">
        <w:t xml:space="preserve"> t</w:t>
      </w:r>
      <w:r w:rsidR="005C462E">
        <w:t>é</w:t>
      </w:r>
      <w:r w:rsidR="004F2918">
        <w:t>to definice</w:t>
      </w:r>
      <w:r w:rsidR="005C462E">
        <w:t xml:space="preserve"> daly využít při aplikaci nejen na autonomní zbraňové systémy</w:t>
      </w:r>
      <w:r w:rsidR="005F7216">
        <w:t>, ale na autonomní systémy obecně</w:t>
      </w:r>
      <w:r w:rsidR="005E63C4">
        <w:t xml:space="preserve">. Existují ale i jiné definice autonomie nebo autonomních zbraní. Oproti tomu, co uvádí výše zmíněný Paul Scharre, například Sean </w:t>
      </w:r>
      <w:proofErr w:type="spellStart"/>
      <w:r w:rsidR="005E63C4">
        <w:t>Welsh</w:t>
      </w:r>
      <w:proofErr w:type="spellEnd"/>
      <w:r w:rsidR="005E63C4">
        <w:t xml:space="preserve"> tuto definici částečně přebírá, ovšem ještě ji rozšiřuje o další </w:t>
      </w:r>
      <w:r w:rsidR="00D86DF9">
        <w:t>dvě</w:t>
      </w:r>
      <w:r w:rsidR="005E63C4">
        <w:t xml:space="preserve"> kategorie</w:t>
      </w:r>
      <w:r w:rsidR="00E02D3D">
        <w:t>.</w:t>
      </w:r>
      <w:r w:rsidR="00CA7544">
        <w:rPr>
          <w:rStyle w:val="Znakapoznpodarou"/>
        </w:rPr>
        <w:footnoteReference w:id="25"/>
      </w:r>
      <w:r w:rsidR="00E02D3D">
        <w:t xml:space="preserve"> </w:t>
      </w:r>
      <w:proofErr w:type="spellStart"/>
      <w:r w:rsidR="00E02D3D">
        <w:t>Welsh</w:t>
      </w:r>
      <w:proofErr w:type="spellEnd"/>
      <w:r w:rsidR="00E02D3D">
        <w:t xml:space="preserve"> udává</w:t>
      </w:r>
      <w:r w:rsidR="005E63C4">
        <w:t xml:space="preserve"> okrajové kategorie buď plné autonomie</w:t>
      </w:r>
      <w:r w:rsidR="00A07EBA">
        <w:t xml:space="preserve"> nebo autonomie minimální</w:t>
      </w:r>
      <w:r w:rsidR="005E63C4">
        <w:t xml:space="preserve"> (</w:t>
      </w:r>
      <w:r w:rsidR="00A07EBA">
        <w:t xml:space="preserve">podle </w:t>
      </w:r>
      <w:proofErr w:type="spellStart"/>
      <w:r w:rsidR="00A07EBA">
        <w:t>Scharreho</w:t>
      </w:r>
      <w:proofErr w:type="spellEnd"/>
      <w:r w:rsidR="00A07EBA">
        <w:t xml:space="preserve"> kategorie t</w:t>
      </w:r>
      <w:r w:rsidR="005E63C4">
        <w:t xml:space="preserve">he human </w:t>
      </w:r>
      <w:r w:rsidR="00A07EBA">
        <w:t xml:space="preserve">in the loop a the human </w:t>
      </w:r>
      <w:proofErr w:type="spellStart"/>
      <w:r w:rsidR="00A07EBA">
        <w:t>off</w:t>
      </w:r>
      <w:proofErr w:type="spellEnd"/>
      <w:r w:rsidR="00A07EBA">
        <w:t xml:space="preserve"> the loop viz níže) jsou podle </w:t>
      </w:r>
      <w:proofErr w:type="spellStart"/>
      <w:r w:rsidR="00A07EBA">
        <w:t>Welshe</w:t>
      </w:r>
      <w:proofErr w:type="spellEnd"/>
      <w:r w:rsidR="00A07EBA">
        <w:t xml:space="preserve"> ještě rozděleny napůl (podle </w:t>
      </w:r>
      <w:proofErr w:type="spellStart"/>
      <w:r w:rsidR="00A07EBA">
        <w:t>Welshe</w:t>
      </w:r>
      <w:proofErr w:type="spellEnd"/>
      <w:r w:rsidR="00A07EBA">
        <w:t xml:space="preserve"> kategorie Type 0 a Type 4)</w:t>
      </w:r>
      <w:r w:rsidR="008B435F">
        <w:t xml:space="preserve">, kdy v jednom případě je zcela </w:t>
      </w:r>
      <w:r w:rsidR="00431D45">
        <w:t>vylučován jakýkoli zásah člověka (Type 4) nebo naopak je popírána jakákoli účast stroje (Type 0)</w:t>
      </w:r>
      <w:r w:rsidR="001016D7">
        <w:t>.</w:t>
      </w:r>
      <w:r w:rsidR="004A43E8">
        <w:rPr>
          <w:rStyle w:val="Znakapoznpodarou"/>
        </w:rPr>
        <w:footnoteReference w:id="26"/>
      </w:r>
      <w:r w:rsidR="001016D7">
        <w:t xml:space="preserve"> </w:t>
      </w:r>
      <w:r w:rsidR="00431D45">
        <w:t xml:space="preserve">Tato definice podle </w:t>
      </w:r>
      <w:proofErr w:type="spellStart"/>
      <w:r w:rsidR="00431D45">
        <w:t>Welshe</w:t>
      </w:r>
      <w:proofErr w:type="spellEnd"/>
      <w:r w:rsidR="00431D45">
        <w:t xml:space="preserve"> mi ovšem, dle mého názoru, přijde nadbytečná v tom ohledu, že dvě kategorie, které přidává oproti </w:t>
      </w:r>
      <w:proofErr w:type="spellStart"/>
      <w:r w:rsidR="00431D45">
        <w:t>Scharremu</w:t>
      </w:r>
      <w:proofErr w:type="spellEnd"/>
      <w:r w:rsidR="00431D45">
        <w:t xml:space="preserve"> nemá smysl uvažovat, jelikož v případě Type 0 </w:t>
      </w:r>
      <w:r w:rsidR="00496635">
        <w:t>se nejedná vůbec o autonomní systém, takže je nadbytečné se jím zabývat</w:t>
      </w:r>
      <w:r w:rsidR="001016D7">
        <w:t>.</w:t>
      </w:r>
      <w:r w:rsidR="00BB689E">
        <w:t xml:space="preserve"> </w:t>
      </w:r>
      <w:r w:rsidR="001016D7">
        <w:t>O</w:t>
      </w:r>
      <w:r w:rsidR="00BB689E">
        <w:t>proti tomu</w:t>
      </w:r>
      <w:r w:rsidR="00E10AC3">
        <w:t>,</w:t>
      </w:r>
      <w:r w:rsidR="00BB689E">
        <w:t xml:space="preserve"> co</w:t>
      </w:r>
      <w:r w:rsidR="00496635">
        <w:t xml:space="preserve"> se týče Type 4, tak si myslím, že jeho definice plně splývá s definicí the human </w:t>
      </w:r>
      <w:proofErr w:type="spellStart"/>
      <w:r w:rsidR="00496635">
        <w:t>off</w:t>
      </w:r>
      <w:proofErr w:type="spellEnd"/>
      <w:r w:rsidR="00496635">
        <w:t xml:space="preserve"> the loop od </w:t>
      </w:r>
      <w:proofErr w:type="spellStart"/>
      <w:r w:rsidR="00496635">
        <w:t>Scharreho</w:t>
      </w:r>
      <w:proofErr w:type="spellEnd"/>
      <w:r w:rsidR="00496635">
        <w:t>.</w:t>
      </w:r>
      <w:r w:rsidR="00B01761">
        <w:t xml:space="preserve"> </w:t>
      </w:r>
      <w:r>
        <w:t>Základní premisa, ze které je při sestavování definice</w:t>
      </w:r>
      <w:r w:rsidR="004E5D62">
        <w:t xml:space="preserve"> autonomního zbraňového systému</w:t>
      </w:r>
      <w:r>
        <w:t xml:space="preserve"> vycházeno je ta, že konkrétní zbraň je schopná plnit vybrané úkoly buď autonomně nebo pro některé specifické úkony potřebuje rozhodující </w:t>
      </w:r>
      <w:r w:rsidR="00D31ADC">
        <w:t>impulz</w:t>
      </w:r>
      <w:r>
        <w:t xml:space="preserve"> od člověka. Tedy nejedná se tu o plně autonomní systémy, které by o všech svých funcích rozhodovali autonomně, </w:t>
      </w:r>
      <w:r>
        <w:lastRenderedPageBreak/>
        <w:t xml:space="preserve">ale mohou provádět pouze některé konkrétní úkony samostatně, nebo </w:t>
      </w:r>
      <w:r w:rsidR="001016D7">
        <w:t>před provedením</w:t>
      </w:r>
      <w:r>
        <w:t> určité</w:t>
      </w:r>
      <w:r w:rsidR="001016D7">
        <w:t xml:space="preserve">ho </w:t>
      </w:r>
      <w:r>
        <w:t>úkon</w:t>
      </w:r>
      <w:r w:rsidR="001016D7">
        <w:t>u</w:t>
      </w:r>
      <w:r>
        <w:t xml:space="preserve"> potřebují schválení od člověka</w:t>
      </w:r>
      <w:r w:rsidR="001016D7">
        <w:t>,</w:t>
      </w:r>
      <w:r w:rsidR="00D86DF9">
        <w:t xml:space="preserve"> </w:t>
      </w:r>
      <w:r>
        <w:t>a až p</w:t>
      </w:r>
      <w:r w:rsidR="001016D7">
        <w:t>oté</w:t>
      </w:r>
      <w:r>
        <w:t xml:space="preserve"> může následovat provedení daného schváleného úkonu</w:t>
      </w:r>
      <w:r w:rsidR="00D86DF9">
        <w:t>.</w:t>
      </w:r>
      <w:r>
        <w:rPr>
          <w:rStyle w:val="Znakapoznpodarou"/>
        </w:rPr>
        <w:footnoteReference w:id="27"/>
      </w:r>
      <w:r w:rsidR="00D86DF9">
        <w:t xml:space="preserve"> </w:t>
      </w:r>
      <w:r w:rsidR="004E5D62">
        <w:t>Problematika zabývající se různými pojetími autonomie jako takové, je zmiňována</w:t>
      </w:r>
      <w:r w:rsidR="001F3FAD">
        <w:t xml:space="preserve"> již</w:t>
      </w:r>
      <w:r w:rsidR="004E5D62">
        <w:t xml:space="preserve"> v</w:t>
      </w:r>
      <w:r w:rsidR="00F45376">
        <w:t> </w:t>
      </w:r>
      <w:r w:rsidR="004E5D62">
        <w:t>předcházející</w:t>
      </w:r>
      <w:r w:rsidR="00F45376">
        <w:t xml:space="preserve"> podkapitole</w:t>
      </w:r>
      <w:r w:rsidR="004E5D62">
        <w:t xml:space="preserve"> 2.1., proto jí v tomto úseku již nebudu věnovat takovou pozornost a zaměřím se čistě na problematiku autonomních zbraní jako celku</w:t>
      </w:r>
      <w:r w:rsidR="001F3FAD">
        <w:t>.</w:t>
      </w:r>
      <w:r w:rsidR="00F45376">
        <w:t xml:space="preserve"> </w:t>
      </w:r>
      <w:r w:rsidR="0001200C">
        <w:t>Co ovšem můžeme z předchozího pojednání o autonomii použít je základní rozdělení, které nám určuje roli, jako</w:t>
      </w:r>
      <w:r w:rsidR="009A7757">
        <w:t>u</w:t>
      </w:r>
      <w:r w:rsidR="0001200C">
        <w:t xml:space="preserve"> hraje člověk při udílení příkazů autonomním zbraňovým systémům, které jsou souhrnně používány při pojednávaní o autonomních zbraních</w:t>
      </w:r>
      <w:r w:rsidR="009A7757">
        <w:t>.</w:t>
      </w:r>
      <w:r w:rsidR="00EF3597">
        <w:rPr>
          <w:rStyle w:val="Znakapoznpodarou"/>
        </w:rPr>
        <w:footnoteReference w:id="28"/>
      </w:r>
      <w:r w:rsidR="009A7757">
        <w:t xml:space="preserve"> Je to rozdělení, které</w:t>
      </w:r>
      <w:r w:rsidR="001C33A3">
        <w:t xml:space="preserve"> se zakládá na míře účasti člověka v procesu vykonávání úkolů, které jsou během vojenských operací prováděny</w:t>
      </w:r>
      <w:r w:rsidR="00071A31">
        <w:t xml:space="preserve"> a směřují především na ničení neživých cílů nebo samozřejmě i cílů živých</w:t>
      </w:r>
      <w:r w:rsidR="00DE0857">
        <w:t>.</w:t>
      </w:r>
      <w:r w:rsidR="00DE0857" w:rsidRPr="00DE0857">
        <w:t xml:space="preserve"> </w:t>
      </w:r>
      <w:r w:rsidR="00DE0857">
        <w:t>Pro lepší ilustraci si lze představit určitou zbraň, která disponuje senzory, pro sledování svého okolí, které zaznamenávají dění okolo zbraně. N</w:t>
      </w:r>
      <w:r w:rsidR="002B2239">
        <w:t>a</w:t>
      </w:r>
      <w:r w:rsidR="00DE0857">
        <w:t xml:space="preserve"> základě poskytnutých informací je tato zbraň schopná tyto informace i </w:t>
      </w:r>
      <w:r w:rsidR="0002640E">
        <w:t>vyhodnotit a následně má možnost i sama adekvátně zareagovat nebo samozřejmě i nereagovat.</w:t>
      </w:r>
      <w:r w:rsidR="002C0B46">
        <w:t xml:space="preserve"> Role člověka se může nacházet na různých místech v tomto cyklickém procesu ,,zaznamenání, vyhodnocení, jednání</w:t>
      </w:r>
      <w:r w:rsidR="00741ABE">
        <w:t>.</w:t>
      </w:r>
      <w:r w:rsidR="002C0B46">
        <w:t>“</w:t>
      </w:r>
      <w:r w:rsidR="00DE0857">
        <w:t xml:space="preserve"> </w:t>
      </w:r>
      <w:r w:rsidR="002C0B46">
        <w:t xml:space="preserve">Člověk je buď pevnou součástí tohoto procesu mezi fází vyhodnocení </w:t>
      </w:r>
      <w:r w:rsidR="0012357B">
        <w:t xml:space="preserve">a jednání ,,human in the loop“ a jenom on dává povolení zbrani k útoku. Druhou možností je, že se člověk pohybuje v rámci tohoto cyklu ,,human on the loop“, kdy zbraň může jednat zcela samostatně během celého cyklu, ale člověk může kdykoli a do kterékoli části vstoupit a zastavit jí. </w:t>
      </w:r>
      <w:r w:rsidR="007326E9">
        <w:t>Poslední možností je, že člověk je úplně mimo proces a nemůže do tohoto procesu žádn</w:t>
      </w:r>
      <w:r w:rsidR="00680B20">
        <w:t>ým</w:t>
      </w:r>
      <w:r w:rsidR="007326E9">
        <w:t xml:space="preserve"> způsobem zasáhnout</w:t>
      </w:r>
      <w:r w:rsidR="0089604D">
        <w:t xml:space="preserve"> ,,human out of the loop</w:t>
      </w:r>
      <w:r w:rsidR="00845B7B">
        <w:t>.</w:t>
      </w:r>
      <w:r w:rsidR="0089604D">
        <w:t>“</w:t>
      </w:r>
      <w:r w:rsidR="00636562">
        <w:t xml:space="preserve"> </w:t>
      </w:r>
      <w:r w:rsidR="00C2176D">
        <w:rPr>
          <w:rStyle w:val="Znakapoznpodarou"/>
        </w:rPr>
        <w:footnoteReference w:id="29"/>
      </w:r>
    </w:p>
    <w:p w14:paraId="6C63BD56" w14:textId="7734C96E" w:rsidR="003C1AC4" w:rsidRDefault="003C1AC4" w:rsidP="00163B66">
      <w:pPr>
        <w:ind w:firstLine="432"/>
        <w:jc w:val="both"/>
      </w:pPr>
      <w:r>
        <w:t xml:space="preserve"> Pod první kategorii ,,human in the loop“</w:t>
      </w:r>
      <w:r w:rsidR="00121860">
        <w:rPr>
          <w:rStyle w:val="Znakapoznpodarou"/>
        </w:rPr>
        <w:footnoteReference w:id="30"/>
      </w:r>
      <w:r>
        <w:t>, co se konkrétních zbraní týče, můžeme uvést tak zvané</w:t>
      </w:r>
      <w:r w:rsidR="00163B66">
        <w:t xml:space="preserve"> naváděné zbraně</w:t>
      </w:r>
      <w:r>
        <w:t xml:space="preserve"> </w:t>
      </w:r>
      <w:r w:rsidR="00163B66">
        <w:t>,,guided munition“, jejichž použití je v současné době již běžným postupem. Jedná se například o rakety typu Tomahawk, u nichž je možné i během letu měnit místo dopadu.</w:t>
      </w:r>
      <w:r w:rsidR="00E24A19">
        <w:t xml:space="preserve"> Ovšem způsob, kterým by člověk mohl působit na zbraň a která by mohla ovlivňovat jakoukoli funkci zbraňového systému po jeho použití, není podmínkou, která by musela být splněna, aby určitá zbraň byla zařazena do této kategorie. Do této kategorie jsou rovněž zařazovány </w:t>
      </w:r>
      <w:r w:rsidR="00E24A19">
        <w:lastRenderedPageBreak/>
        <w:t>i zbraně fungující na principu ,,</w:t>
      </w:r>
      <w:proofErr w:type="spellStart"/>
      <w:r w:rsidR="00E24A19">
        <w:t>fire</w:t>
      </w:r>
      <w:proofErr w:type="spellEnd"/>
      <w:r w:rsidR="00990085">
        <w:t>-</w:t>
      </w:r>
      <w:r w:rsidR="00E24A19">
        <w:t>and</w:t>
      </w:r>
      <w:r w:rsidR="00990085">
        <w:t>-</w:t>
      </w:r>
      <w:proofErr w:type="spellStart"/>
      <w:r w:rsidR="00E24A19">
        <w:t>for</w:t>
      </w:r>
      <w:r w:rsidR="00990085">
        <w:t>get</w:t>
      </w:r>
      <w:proofErr w:type="spellEnd"/>
      <w:r w:rsidR="00990085">
        <w:t>“</w:t>
      </w:r>
      <w:r w:rsidR="00FB40B6">
        <w:t xml:space="preserve">, jako například protitankový komplet </w:t>
      </w:r>
      <w:proofErr w:type="spellStart"/>
      <w:r w:rsidR="00FB40B6">
        <w:t>Javelin</w:t>
      </w:r>
      <w:proofErr w:type="spellEnd"/>
      <w:r w:rsidR="00FB40B6">
        <w:t>, u kterého po vypálení již</w:t>
      </w:r>
      <w:r w:rsidR="00EB2C63">
        <w:t xml:space="preserve"> nelze</w:t>
      </w:r>
      <w:r w:rsidR="00FB40B6">
        <w:t xml:space="preserve"> měnit místo dopadu. Proto jsou často zbraně tohoto typu označovány</w:t>
      </w:r>
      <w:r w:rsidR="00D86DF9">
        <w:t xml:space="preserve"> </w:t>
      </w:r>
      <w:r w:rsidR="00FB40B6">
        <w:t>jako poloautonomní</w:t>
      </w:r>
      <w:r w:rsidR="00A316EA">
        <w:rPr>
          <w:rStyle w:val="Znakapoznpodarou"/>
        </w:rPr>
        <w:footnoteReference w:id="31"/>
      </w:r>
      <w:r w:rsidR="00FB40B6">
        <w:t xml:space="preserve">, jelikož jsou sice schopné zasáhnout cíl zcela samostatně, ale člověk musí dát pokyn k jejich aktivaci </w:t>
      </w:r>
      <w:r w:rsidR="00765E03">
        <w:t>a</w:t>
      </w:r>
      <w:r w:rsidR="00FB40B6">
        <w:t xml:space="preserve"> vybrat cíl. </w:t>
      </w:r>
      <w:r w:rsidR="00A316EA">
        <w:t xml:space="preserve">Na zničení cíle se zbraň pak podílí již s minimální mírou autonomie, které spočívá pouze v tom, že po odpálení se na předem vytvořené trase k cíli </w:t>
      </w:r>
      <w:r w:rsidR="00D8556A">
        <w:t>udržuje</w:t>
      </w:r>
      <w:r w:rsidR="00A316EA">
        <w:t xml:space="preserve"> pomocí svých vnitřní naváděcích systémů</w:t>
      </w:r>
      <w:r w:rsidR="0008432F">
        <w:t xml:space="preserve"> </w:t>
      </w:r>
      <w:r w:rsidR="004A710F">
        <w:t>nebo vnějších naváděcích systémů (GPS)</w:t>
      </w:r>
      <w:r w:rsidR="00AA7256">
        <w:t>.</w:t>
      </w:r>
      <w:r w:rsidR="00AA7256">
        <w:rPr>
          <w:rStyle w:val="Znakapoznpodarou"/>
        </w:rPr>
        <w:footnoteReference w:id="32"/>
      </w:r>
    </w:p>
    <w:p w14:paraId="7380E802" w14:textId="7FDA7FE5" w:rsidR="004E1908" w:rsidRDefault="004E1908" w:rsidP="00163B66">
      <w:pPr>
        <w:ind w:firstLine="432"/>
        <w:jc w:val="both"/>
      </w:pPr>
      <w:r>
        <w:t>Druhou kategorií jsou zbraně typu ,,human on the loop“</w:t>
      </w:r>
      <w:r w:rsidR="00625785">
        <w:rPr>
          <w:rStyle w:val="Znakapoznpodarou"/>
        </w:rPr>
        <w:footnoteReference w:id="33"/>
      </w:r>
      <w:r>
        <w:t xml:space="preserve">, tyto zbraně se od prvně zmiňovaného typu </w:t>
      </w:r>
      <w:r w:rsidR="00EB5EBE">
        <w:t>od</w:t>
      </w:r>
      <w:r>
        <w:t>liš</w:t>
      </w:r>
      <w:r w:rsidR="00EB5EBE">
        <w:t>ují</w:t>
      </w:r>
      <w:r>
        <w:t xml:space="preserve"> tím, že člověk je postaven mimo rozhodovací proces a zbraň plní svou funkci zcela samostatně na základě člověkem předem udělených pokynů</w:t>
      </w:r>
      <w:r w:rsidR="00BC547D">
        <w:t xml:space="preserve"> týkajících se především vymezení</w:t>
      </w:r>
      <w:r w:rsidR="00501E0A">
        <w:t xml:space="preserve"> vnějších podnětů,</w:t>
      </w:r>
      <w:r w:rsidR="00BC547D">
        <w:t xml:space="preserve"> na </w:t>
      </w:r>
      <w:r w:rsidR="00501E0A">
        <w:t>které má</w:t>
      </w:r>
      <w:r w:rsidR="00BC547D">
        <w:t xml:space="preserve"> daná zbraň má reagovat a na </w:t>
      </w:r>
      <w:r w:rsidR="00457796">
        <w:t>které</w:t>
      </w:r>
      <w:r w:rsidR="00BC547D">
        <w:t xml:space="preserve"> nikoli.</w:t>
      </w:r>
      <w:r w:rsidR="00AE3420">
        <w:t xml:space="preserve"> Funkce takovéto zbraně pak není ponechána zcela bez dozoru, jelikož lidský operátor stále disponuje možností tento systém zcela vyřadit z provozu. Tato možnost je velmi důležitá pro případy, kdy by nastaly problémy se správnou funkcí systému. Tento typ zbraní se stal velice často používaným především v obranných vojenských systémech, kde je kladen důraz na rychlou reakci</w:t>
      </w:r>
      <w:r w:rsidR="007D664B">
        <w:t xml:space="preserve"> systému na blížící se nebezpečí, ale hlavně na schopnost vypořádat se s více dílčími útoky v jednu chvíli. </w:t>
      </w:r>
      <w:r w:rsidR="00740177">
        <w:t>Kdy p</w:t>
      </w:r>
      <w:r w:rsidR="007D664B">
        <w:t>ro lidského operátora v tu</w:t>
      </w:r>
      <w:r w:rsidR="00740177">
        <w:t>to</w:t>
      </w:r>
      <w:r w:rsidR="007D664B">
        <w:t xml:space="preserve"> chvíli hrozí především riziko jeho zahlcení</w:t>
      </w:r>
      <w:r w:rsidR="00740177">
        <w:t xml:space="preserve"> a zvyšuje se i pravděpodobnost nedostatečně rychlé reakce</w:t>
      </w:r>
      <w:r w:rsidR="007D664B">
        <w:t xml:space="preserve">. </w:t>
      </w:r>
      <w:r w:rsidR="00DB53E7">
        <w:t xml:space="preserve">Mezi zbraně tohoto typu můžeme zařadit hlavně systémy protivzdušné obrany, jako jsou americké systémy </w:t>
      </w:r>
      <w:proofErr w:type="spellStart"/>
      <w:r w:rsidR="00DB53E7">
        <w:t>Phalanx</w:t>
      </w:r>
      <w:proofErr w:type="spellEnd"/>
      <w:r w:rsidR="00DB53E7">
        <w:t xml:space="preserve"> a Patriot</w:t>
      </w:r>
      <w:r w:rsidR="00467F5A">
        <w:rPr>
          <w:rStyle w:val="Znakapoznpodarou"/>
        </w:rPr>
        <w:footnoteReference w:id="34"/>
      </w:r>
      <w:r w:rsidR="00DB53E7">
        <w:t xml:space="preserve"> nebo izraelský komplexní systém</w:t>
      </w:r>
      <w:r w:rsidR="006D71B1">
        <w:t xml:space="preserve"> protivzdušné obrany</w:t>
      </w:r>
      <w:r w:rsidR="00DB53E7">
        <w:t xml:space="preserve"> Iron dome. </w:t>
      </w:r>
    </w:p>
    <w:p w14:paraId="6B2E14C1" w14:textId="0D70F895" w:rsidR="00407FCE" w:rsidRDefault="007F4245" w:rsidP="00EA5D37">
      <w:pPr>
        <w:ind w:firstLine="432"/>
        <w:jc w:val="both"/>
      </w:pPr>
      <w:r>
        <w:t>Poslední obecně uznávanou kategorií jsou zbraně typu ,,human out of the loop“</w:t>
      </w:r>
      <w:r w:rsidR="0057582F">
        <w:rPr>
          <w:rStyle w:val="Znakapoznpodarou"/>
        </w:rPr>
        <w:footnoteReference w:id="35"/>
      </w:r>
      <w:r>
        <w:t>, které mají ze všech, již zmiňovaných</w:t>
      </w:r>
      <w:r w:rsidR="00E94020">
        <w:t xml:space="preserve"> druhů zbraní</w:t>
      </w:r>
      <w:r>
        <w:t xml:space="preserve"> zatím nejblíže k pojmu plně autonomní zbraně.</w:t>
      </w:r>
      <w:r w:rsidR="0014502D">
        <w:t xml:space="preserve"> T</w:t>
      </w:r>
      <w:r w:rsidR="00491D39">
        <w:t>yto</w:t>
      </w:r>
      <w:r w:rsidR="0014502D">
        <w:t xml:space="preserve"> zbraně mající kombinaci sensorů</w:t>
      </w:r>
      <w:r w:rsidR="008D2BCA">
        <w:t xml:space="preserve"> určených k</w:t>
      </w:r>
      <w:r w:rsidR="00AA7575">
        <w:t xml:space="preserve"> rozpoznáv</w:t>
      </w:r>
      <w:r w:rsidR="008D2BCA">
        <w:t>ání</w:t>
      </w:r>
      <w:r w:rsidR="00AA7575">
        <w:t xml:space="preserve"> a ovládacích prvků, které jsou určeny k tomu, aby zabíjely nepřátelský personál nebo ničily nepřátelské objekty</w:t>
      </w:r>
      <w:r w:rsidR="005604F3">
        <w:t>.</w:t>
      </w:r>
      <w:r w:rsidR="00A11030">
        <w:rPr>
          <w:rStyle w:val="Znakapoznpodarou"/>
        </w:rPr>
        <w:footnoteReference w:id="36"/>
      </w:r>
      <w:r w:rsidR="005604F3">
        <w:t xml:space="preserve"> </w:t>
      </w:r>
      <w:r>
        <w:t>Tyto zbraně jsou v současné době</w:t>
      </w:r>
      <w:r w:rsidR="005504DF">
        <w:t xml:space="preserve"> potencionálně</w:t>
      </w:r>
      <w:r>
        <w:t xml:space="preserve"> považov</w:t>
      </w:r>
      <w:r w:rsidR="005504DF">
        <w:t>ané</w:t>
      </w:r>
      <w:r>
        <w:t xml:space="preserve"> za autonomní především z toho důvodu, že ke svému </w:t>
      </w:r>
      <w:r>
        <w:lastRenderedPageBreak/>
        <w:t>působení nepotřebují člověka</w:t>
      </w:r>
      <w:r w:rsidR="00E93D33">
        <w:t>, který by</w:t>
      </w:r>
      <w:r w:rsidR="00510A9E">
        <w:t xml:space="preserve"> vybíral a</w:t>
      </w:r>
      <w:r w:rsidR="00E93D33">
        <w:t xml:space="preserve"> schvaloval útok na cíl</w:t>
      </w:r>
      <w:r>
        <w:t xml:space="preserve"> a člověk ani nemůže zasáhnout ve chvíli,</w:t>
      </w:r>
      <w:r w:rsidR="00FF7C96">
        <w:t xml:space="preserve"> předcházející</w:t>
      </w:r>
      <w:r>
        <w:t> útoku zbraně</w:t>
      </w:r>
      <w:r w:rsidR="0088682C">
        <w:t xml:space="preserve"> </w:t>
      </w:r>
      <w:r w:rsidR="00E93D33">
        <w:t>nebo pokud by zbraň vykazovala nějaké známky nežádoucího chování.</w:t>
      </w:r>
      <w:r w:rsidR="008910E8">
        <w:rPr>
          <w:rStyle w:val="Znakapoznpodarou"/>
        </w:rPr>
        <w:footnoteReference w:id="37"/>
      </w:r>
      <w:r w:rsidR="00E93D33">
        <w:t xml:space="preserve"> </w:t>
      </w:r>
      <w:r w:rsidR="008008B3">
        <w:t>Samozřejmě, že tendence tíhnoucí k větší automatizaci zbraní</w:t>
      </w:r>
      <w:r w:rsidR="000A420C">
        <w:t xml:space="preserve">, </w:t>
      </w:r>
      <w:r w:rsidR="00966FC6">
        <w:t>hlavně z</w:t>
      </w:r>
      <w:r w:rsidR="0088682C">
        <w:t> </w:t>
      </w:r>
      <w:r w:rsidR="00966FC6">
        <w:t>důvod</w:t>
      </w:r>
      <w:r w:rsidR="0088682C">
        <w:t>u</w:t>
      </w:r>
      <w:r w:rsidR="00966FC6">
        <w:t xml:space="preserve"> jejich lepší efektivity,</w:t>
      </w:r>
      <w:r w:rsidR="008008B3">
        <w:t xml:space="preserve"> </w:t>
      </w:r>
      <w:r w:rsidR="00966FC6">
        <w:t>provází lidstvo již delší čas</w:t>
      </w:r>
      <w:r w:rsidR="00D502B6">
        <w:t>. Ovšem současná doba a technologický pokrok dává možnost většího uplatnění autonomie než když dřív.</w:t>
      </w:r>
      <w:r w:rsidR="00966FC6">
        <w:t xml:space="preserve"> </w:t>
      </w:r>
      <w:r w:rsidR="00D502B6">
        <w:t>Dle mého názoru, p</w:t>
      </w:r>
      <w:r w:rsidR="00C63F4E">
        <w:t xml:space="preserve">rávě kvůli skutečnosti, že tyto </w:t>
      </w:r>
      <w:r w:rsidR="00D502B6">
        <w:t xml:space="preserve">nově vznikající </w:t>
      </w:r>
      <w:r w:rsidR="00C63F4E">
        <w:t>zbraně fungují ve všech</w:t>
      </w:r>
      <w:r w:rsidR="000A420C">
        <w:t xml:space="preserve"> tak zvaných</w:t>
      </w:r>
      <w:r w:rsidR="00C63F4E">
        <w:t xml:space="preserve"> kritických funkcích </w:t>
      </w:r>
      <w:r w:rsidR="000A420C">
        <w:t>(to je vyhledání</w:t>
      </w:r>
      <w:r w:rsidR="00C63F4E">
        <w:t xml:space="preserve"> cíl</w:t>
      </w:r>
      <w:r w:rsidR="000A420C">
        <w:t xml:space="preserve">e,  jeho </w:t>
      </w:r>
      <w:r w:rsidR="00C63F4E">
        <w:t>lokaliz</w:t>
      </w:r>
      <w:r w:rsidR="000A420C">
        <w:t xml:space="preserve">ace a následné </w:t>
      </w:r>
      <w:r w:rsidR="00C63F4E">
        <w:t>znič</w:t>
      </w:r>
      <w:r w:rsidR="000A420C">
        <w:t>ení</w:t>
      </w:r>
      <w:r w:rsidR="00C63F4E">
        <w:t>)</w:t>
      </w:r>
      <w:r w:rsidR="00C73438">
        <w:t xml:space="preserve"> </w:t>
      </w:r>
      <w:r w:rsidR="00C63F4E">
        <w:t>samostatně</w:t>
      </w:r>
      <w:r w:rsidR="008910E8">
        <w:t xml:space="preserve"> a kvůli spornosti otázky, jestli by takové zbraně měli disponovat smrtícími účinky jsou </w:t>
      </w:r>
      <w:r w:rsidR="008008B3">
        <w:t xml:space="preserve">prozatím zbraně omezené pouze na ničení neživých cílů. </w:t>
      </w:r>
      <w:r w:rsidR="00E20F9A">
        <w:t>Jako příklad</w:t>
      </w:r>
      <w:r w:rsidR="008E5D78">
        <w:t xml:space="preserve"> zbran</w:t>
      </w:r>
      <w:r w:rsidR="00E20F9A">
        <w:t>í</w:t>
      </w:r>
      <w:r w:rsidR="008E5D78">
        <w:t>, které se zařazují do této skupiny, mohou být</w:t>
      </w:r>
      <w:r w:rsidR="000A420C">
        <w:t xml:space="preserve"> uvedeny</w:t>
      </w:r>
      <w:r w:rsidR="008E5D78">
        <w:t xml:space="preserve"> izraelské drony </w:t>
      </w:r>
      <w:proofErr w:type="spellStart"/>
      <w:r w:rsidR="00CD6190">
        <w:t>Harpy</w:t>
      </w:r>
      <w:proofErr w:type="spellEnd"/>
      <w:r w:rsidR="00CD6190">
        <w:t xml:space="preserve"> nebo střela HARM soustřeďují</w:t>
      </w:r>
      <w:r w:rsidR="000A420C">
        <w:t>cí se</w:t>
      </w:r>
      <w:r w:rsidR="00CD6190">
        <w:t xml:space="preserve"> pouze na ničení nepřátelských radarových stanic (tím že sledují radarové vlny, které radar vysílá)</w:t>
      </w:r>
      <w:r w:rsidR="00E20F9A">
        <w:t>,</w:t>
      </w:r>
      <w:r w:rsidR="00CD6190">
        <w:t xml:space="preserve"> kdy je předpokládané riziko poranění většího počtu osob minimalizované.</w:t>
      </w:r>
      <w:r w:rsidR="0010317D">
        <w:t xml:space="preserve"> </w:t>
      </w:r>
      <w:r w:rsidR="00E20F9A">
        <w:t>T</w:t>
      </w:r>
      <w:r w:rsidR="0010317D">
        <w:t>ato minimalizace rizika spočívá v tom, že v okolí vojenské radarové stanice, jenom ze své povahy jako možné součásti t</w:t>
      </w:r>
      <w:r w:rsidR="002F7FC0">
        <w:t>ak zvané</w:t>
      </w:r>
      <w:r w:rsidR="0010317D">
        <w:t xml:space="preserve"> </w:t>
      </w:r>
      <w:r w:rsidR="0010317D" w:rsidRPr="002F7FC0">
        <w:rPr>
          <w:i/>
          <w:iCs/>
        </w:rPr>
        <w:t>bitevní sítě</w:t>
      </w:r>
      <w:r w:rsidR="0010317D">
        <w:t>,</w:t>
      </w:r>
      <w:r w:rsidR="002F7FC0">
        <w:rPr>
          <w:rStyle w:val="Znakapoznpodarou"/>
        </w:rPr>
        <w:footnoteReference w:id="38"/>
      </w:r>
      <w:r w:rsidR="0010317D">
        <w:t xml:space="preserve"> se dá předpokládat omezený počet osob civilního charakteru</w:t>
      </w:r>
      <w:r w:rsidR="005E321D">
        <w:t>.</w:t>
      </w:r>
      <w:r w:rsidR="00E20F9A">
        <w:t xml:space="preserve"> Ovšem důležitou roli zde hraje relativně vysoká pravděpodobnost, že zbraň nezasáhne zamýšlený cíl.</w:t>
      </w:r>
      <w:r w:rsidR="005E321D">
        <w:t xml:space="preserve"> </w:t>
      </w:r>
      <w:r w:rsidR="00817BA3">
        <w:t xml:space="preserve"> </w:t>
      </w:r>
      <w:r w:rsidR="0010317D">
        <w:t>Pro tent</w:t>
      </w:r>
      <w:r w:rsidR="004A03D6">
        <w:t>o prvek</w:t>
      </w:r>
      <w:r w:rsidR="0010317D">
        <w:t xml:space="preserve"> </w:t>
      </w:r>
      <w:proofErr w:type="gramStart"/>
      <w:r w:rsidR="005E321D">
        <w:t>svědčí</w:t>
      </w:r>
      <w:proofErr w:type="gramEnd"/>
      <w:r w:rsidR="005E321D">
        <w:t xml:space="preserve"> i </w:t>
      </w:r>
      <w:r w:rsidR="008E7B61">
        <w:t>důvody, které vedly ke stažení protilodních střel Tomahawk (TASM) z aktivní služby</w:t>
      </w:r>
      <w:r w:rsidR="004A03D6">
        <w:t>,</w:t>
      </w:r>
      <w:r w:rsidR="008E7B61">
        <w:t xml:space="preserve"> které </w:t>
      </w:r>
      <w:r w:rsidR="00833228">
        <w:t>popisuje ve své knize Paul Scharre v úryvku z rozhovoru s námořním stratégem Bryanem Mcgranthem</w:t>
      </w:r>
      <w:r w:rsidR="002819B1">
        <w:t>.</w:t>
      </w:r>
      <w:r w:rsidR="00356950">
        <w:rPr>
          <w:rStyle w:val="Znakapoznpodarou"/>
        </w:rPr>
        <w:footnoteReference w:id="39"/>
      </w:r>
      <w:r w:rsidR="002819B1">
        <w:t xml:space="preserve"> </w:t>
      </w:r>
      <w:r w:rsidR="00DD429D">
        <w:t xml:space="preserve">Protilodní </w:t>
      </w:r>
      <w:r w:rsidR="002819B1">
        <w:t>třel</w:t>
      </w:r>
      <w:r w:rsidR="00DD429D">
        <w:t>y</w:t>
      </w:r>
      <w:r w:rsidR="002819B1">
        <w:t xml:space="preserve"> </w:t>
      </w:r>
      <w:r w:rsidR="00DD429D">
        <w:t>Tomahawk (</w:t>
      </w:r>
      <w:r w:rsidR="002819B1">
        <w:t>TASM</w:t>
      </w:r>
      <w:r w:rsidR="00DD429D">
        <w:t>)</w:t>
      </w:r>
      <w:r w:rsidR="002819B1">
        <w:t xml:space="preserve"> disponovaly na tu dobu pokročilou formou autonomie spočívající v</w:t>
      </w:r>
      <w:r w:rsidR="00DD429D">
        <w:t> tom, že po odpalu z plavidla a po dosažení vymezené cílové oblasti</w:t>
      </w:r>
      <w:r w:rsidR="00120526">
        <w:t>,</w:t>
      </w:r>
      <w:r w:rsidR="00DD429D">
        <w:t xml:space="preserve"> střela</w:t>
      </w:r>
      <w:r w:rsidR="00120526">
        <w:t xml:space="preserve"> autonomně zahájila vyhledávání potencionálního cíle a případně tento cíl pak i bez dalších pokynů napadla. Ve výše zmíněném rozhovoru McGranth popisuje dva hlavní problémy, které činily </w:t>
      </w:r>
      <w:r w:rsidR="00F73D11">
        <w:t xml:space="preserve">používání této zbraně jako značně problematické. První problém spočíval v tom, že TASM disponoval takovým doletem, který převyšoval detekční schopnost plavidel, ze kterých byl odpalován. </w:t>
      </w:r>
      <w:r w:rsidR="00C02E66">
        <w:t>Z</w:t>
      </w:r>
      <w:r w:rsidR="00F73D11">
        <w:t xml:space="preserve">aměření </w:t>
      </w:r>
      <w:r w:rsidR="00C02E66">
        <w:t xml:space="preserve">proto muselo být </w:t>
      </w:r>
      <w:r w:rsidR="00F73D11">
        <w:t>prováděno na základě informací, které byly blíž k zamýšlenému cíli</w:t>
      </w:r>
      <w:r w:rsidR="00B67992">
        <w:t>.</w:t>
      </w:r>
      <w:r w:rsidR="00F73D11">
        <w:t xml:space="preserve"> </w:t>
      </w:r>
      <w:r w:rsidR="00B67992">
        <w:t>O</w:t>
      </w:r>
      <w:r w:rsidR="00F73D11">
        <w:t>všem panovala</w:t>
      </w:r>
      <w:r w:rsidR="00B67992">
        <w:t xml:space="preserve"> zde reálná</w:t>
      </w:r>
      <w:r w:rsidR="00F73D11">
        <w:t xml:space="preserve"> obava z toho, že se </w:t>
      </w:r>
      <w:r w:rsidR="00807311">
        <w:t>poloha cíle může</w:t>
      </w:r>
      <w:r w:rsidR="00F73D11">
        <w:t xml:space="preserve"> značně měnit spolu s rostoucím časem od </w:t>
      </w:r>
      <w:r w:rsidR="00807311">
        <w:t>vyslání střely po</w:t>
      </w:r>
      <w:r w:rsidR="00F73D11">
        <w:t xml:space="preserve"> </w:t>
      </w:r>
      <w:r w:rsidR="00807311">
        <w:t xml:space="preserve">finální </w:t>
      </w:r>
      <w:r w:rsidR="00F73D11">
        <w:t xml:space="preserve">zaměření. </w:t>
      </w:r>
      <w:r w:rsidR="001F616E">
        <w:t>Druhý problém spočíval v tom, že TASM sice disponoval technologií, která v docela širokém okruhu dokázala spolehlivě vypátrat cíl, ovšem postrádala dostatečně vyvinutý rozlišovací systém, který by zajistil, že střela si nevybere jiné plavidlo v cílové oblasti, třeba i nevojenské povahy.</w:t>
      </w:r>
      <w:r w:rsidR="006A517A">
        <w:t xml:space="preserve"> Posledním důvodem, který v</w:t>
      </w:r>
      <w:r w:rsidR="00E91A08">
        <w:t xml:space="preserve"> rámci autonomních zbraňových systémů hraje také významnou roli, je jejich značná finanční náročnost. Kdyby totiž střela TASM v cílové oblasti žádný cíl nedetekovala </w:t>
      </w:r>
      <w:r w:rsidR="00E91A08">
        <w:lastRenderedPageBreak/>
        <w:t>nebo daný cíl prostě tuto oblast nějak opustil, střela by byla vypálena zbytečně a při ceně téměř milion dolarů za kus je tu značně silný požadavek,</w:t>
      </w:r>
      <w:r w:rsidR="00DA675A">
        <w:t xml:space="preserve"> </w:t>
      </w:r>
      <w:r w:rsidR="00E91A08">
        <w:t>aby střela byla vypalována ve chvílích, kdy je</w:t>
      </w:r>
      <w:r w:rsidR="00615406">
        <w:t xml:space="preserve"> </w:t>
      </w:r>
      <w:r w:rsidR="00E91A08">
        <w:t xml:space="preserve">téměř jisté, že </w:t>
      </w:r>
      <w:r w:rsidR="0093785E">
        <w:t xml:space="preserve">se </w:t>
      </w:r>
      <w:r w:rsidR="00E91A08">
        <w:t>daný cíl nachází</w:t>
      </w:r>
      <w:r w:rsidR="0093785E">
        <w:t xml:space="preserve"> na místě, kde byl zaznamenán</w:t>
      </w:r>
      <w:r w:rsidR="00EA5D37">
        <w:t>,</w:t>
      </w:r>
      <w:r w:rsidR="00CD4E84">
        <w:t xml:space="preserve"> a tedy nebude promrhaná nadarmo.</w:t>
      </w:r>
      <w:r w:rsidR="00EA5D37">
        <w:rPr>
          <w:rStyle w:val="Znakapoznpodarou"/>
        </w:rPr>
        <w:footnoteReference w:id="40"/>
      </w:r>
      <w:r w:rsidR="00CD4E84">
        <w:t xml:space="preserve"> </w:t>
      </w:r>
    </w:p>
    <w:p w14:paraId="40BF9BCC" w14:textId="0B83EC50" w:rsidR="004539B6" w:rsidRDefault="004E6AD8" w:rsidP="00163B66">
      <w:pPr>
        <w:ind w:firstLine="432"/>
        <w:jc w:val="both"/>
      </w:pPr>
      <w:r>
        <w:t xml:space="preserve">Co se týče </w:t>
      </w:r>
      <w:r w:rsidR="005F4A90">
        <w:t>konkrétního pojmu autonomní zbraň nebo autonomní zbraňový systém, je důležité si vyjasnit, že tyto pojmy lze zatím užívat oba, jelikož v současné době neexistuje zbraň, která by byla sama jako celek plně autonomní</w:t>
      </w:r>
      <w:r w:rsidR="00B12DE1">
        <w:t xml:space="preserve"> a dala by se tedy označit přímo jako autonomní zbraň.</w:t>
      </w:r>
      <w:r w:rsidR="005F4A90">
        <w:t xml:space="preserve"> Pokud se tedy bavíme v současné době o autonomních zbraních, máme na mysl</w:t>
      </w:r>
      <w:r w:rsidR="00DC15CB">
        <w:t xml:space="preserve">i zbraň, která funguje v rámci určitého širšího systému, který obsahuje více prvků, ať už se jedná o člověka nebo další přístroje, které umožňují </w:t>
      </w:r>
      <w:r w:rsidR="00D13206">
        <w:t>konkrétní</w:t>
      </w:r>
      <w:r w:rsidR="00DC15CB">
        <w:t xml:space="preserve"> autonomní zbrani </w:t>
      </w:r>
      <w:r w:rsidR="00371BCA">
        <w:t>vykonat své poslání.</w:t>
      </w:r>
      <w:r w:rsidR="008163DB">
        <w:rPr>
          <w:rStyle w:val="Znakapoznpodarou"/>
        </w:rPr>
        <w:footnoteReference w:id="41"/>
      </w:r>
      <w:r w:rsidR="00371BCA">
        <w:t xml:space="preserve"> </w:t>
      </w:r>
      <w:r w:rsidR="00D13206">
        <w:t>Autonomní zbraň, ve smyslu plné autonomie, si můžeme v podstatě přirovnat například k lidskému odstřelovači, který sám na vla</w:t>
      </w:r>
      <w:r w:rsidR="008163DB">
        <w:t>s</w:t>
      </w:r>
      <w:r w:rsidR="00D13206">
        <w:t>tní oči detekuje cíl</w:t>
      </w:r>
      <w:r w:rsidR="003C1D09">
        <w:t>,</w:t>
      </w:r>
      <w:r w:rsidR="00D13206">
        <w:t xml:space="preserve"> určí</w:t>
      </w:r>
      <w:r w:rsidR="003C1D09">
        <w:t xml:space="preserve"> </w:t>
      </w:r>
      <w:r w:rsidR="00D13206">
        <w:t>jestli se jedná o cíl</w:t>
      </w:r>
      <w:r w:rsidR="00E51B4A">
        <w:t>, na který má být útok</w:t>
      </w:r>
      <w:r w:rsidR="00D13206">
        <w:t xml:space="preserve"> </w:t>
      </w:r>
      <w:r w:rsidR="00E51B4A">
        <w:t>na</w:t>
      </w:r>
      <w:r w:rsidR="00D13206">
        <w:t>m</w:t>
      </w:r>
      <w:r w:rsidR="00E51B4A">
        <w:t>íře</w:t>
      </w:r>
      <w:r w:rsidR="00D13206">
        <w:t xml:space="preserve">ný, vybere si munici podle typu cíle, a nakonec cíl i zneškodní. Celý tento proces probíhá v jednom centru (v tomto případě je to lidský mozek) a není k tomu za potřebí </w:t>
      </w:r>
      <w:r w:rsidR="008163DB">
        <w:t>žádných ostatních p</w:t>
      </w:r>
      <w:r w:rsidR="00E92777">
        <w:t>rostředníků (neberme v potaz např. příslušenství jako optický zaměřovač a podobné)</w:t>
      </w:r>
      <w:r w:rsidR="008163DB">
        <w:t>.</w:t>
      </w:r>
      <w:r w:rsidR="00E92777">
        <w:t xml:space="preserve"> </w:t>
      </w:r>
      <w:r w:rsidR="008163DB">
        <w:t xml:space="preserve"> Takto by měla fungovat plně autonomní zbraň. </w:t>
      </w:r>
      <w:r w:rsidR="009233BC">
        <w:t>Zbraně, které jsou v současnosti označovány jako autonomní ovšem svoje poslání neplní tímto způsobem. Fungují v součinnosti s ostatními systémy, které jim mohou poskytovat různé druhy informací</w:t>
      </w:r>
      <w:r w:rsidR="00BD2937">
        <w:t xml:space="preserve"> a být tak jejich očima, mozkem nebo pomyslným prsten na spoušti.</w:t>
      </w:r>
      <w:r w:rsidR="00DD66EC">
        <w:t xml:space="preserve"> Pro všechny tyto komponenty, které se podílejí na chodu zbraně je stratégy někdy používán pojem </w:t>
      </w:r>
      <w:r w:rsidR="00DD66EC" w:rsidRPr="00DD66EC">
        <w:rPr>
          <w:i/>
          <w:iCs/>
        </w:rPr>
        <w:t>bitevní síť</w:t>
      </w:r>
      <w:r w:rsidR="005E0B96">
        <w:t xml:space="preserve">. </w:t>
      </w:r>
      <w:r w:rsidR="005E0B96">
        <w:rPr>
          <w:rStyle w:val="Znakapoznpodarou"/>
        </w:rPr>
        <w:footnoteReference w:id="42"/>
      </w:r>
      <w:r w:rsidR="005E0B96">
        <w:t xml:space="preserve"> Bitevní síť pro potřeby konkrétních zbraní může skládat například z několika radarů, zajišťujících držení se požadovaného směru, operátora, který má za úkol vybrat cíl a určitého prvku uvnitř samotné zbraně, který může mít za úkol aktivovat munici nebo</w:t>
      </w:r>
      <w:r w:rsidR="00611926">
        <w:t xml:space="preserve"> před zásahem cíle upravovat trajektorii letu. </w:t>
      </w:r>
      <w:r w:rsidR="00DD66EC">
        <w:t>Právě proto, že tyto zbraně disponují jakousi vlastní inteligenc</w:t>
      </w:r>
      <w:r w:rsidR="009F2969">
        <w:t>í, která jim umožňuje něco dělat samostatně, jsou v současnosti označovány za autonomní zbraně. Ovšem pojem autonomní zbraň je zde nepřesný, jelikož se často jedná o systém složený z více prvků, které jsou v zásadě vždy tři</w:t>
      </w:r>
      <w:r w:rsidR="00D321E2">
        <w:t>. Tyto složky jso</w:t>
      </w:r>
      <w:r w:rsidR="00627F9F">
        <w:t>u</w:t>
      </w:r>
      <w:r w:rsidR="009F2969">
        <w:t xml:space="preserve"> </w:t>
      </w:r>
      <w:r w:rsidR="00627F9F">
        <w:t>složky</w:t>
      </w:r>
      <w:r w:rsidR="009F2969">
        <w:t xml:space="preserve"> detekují</w:t>
      </w:r>
      <w:r w:rsidR="00627F9F">
        <w:t>cí cíl</w:t>
      </w:r>
      <w:r w:rsidR="0095105C">
        <w:t xml:space="preserve"> (senzor)</w:t>
      </w:r>
      <w:r w:rsidR="009F2969">
        <w:t>, rozhod</w:t>
      </w:r>
      <w:r w:rsidR="00A815F7">
        <w:t>ují</w:t>
      </w:r>
      <w:r w:rsidR="009F2969">
        <w:t>cí</w:t>
      </w:r>
      <w:r w:rsidR="00B242F6">
        <w:t xml:space="preserve"> o jeho zničení a složka přímo cíl ničící</w:t>
      </w:r>
      <w:r w:rsidR="0095105C">
        <w:t xml:space="preserve"> (munice)</w:t>
      </w:r>
      <w:r w:rsidR="00B242F6">
        <w:t>.</w:t>
      </w:r>
      <w:r w:rsidR="00FC5645">
        <w:rPr>
          <w:rStyle w:val="Znakapoznpodarou"/>
        </w:rPr>
        <w:footnoteReference w:id="43"/>
      </w:r>
      <w:r w:rsidR="004935DE">
        <w:t xml:space="preserve"> Proto je umožněno, při současném stavu vývoje autonomie ve zbraňovém odvětví,  používat jak pojem autonomní zbraňový systém, tak autonomní zbraň.</w:t>
      </w:r>
    </w:p>
    <w:p w14:paraId="3822D279" w14:textId="6723A354" w:rsidR="00284943" w:rsidRPr="00E12B37" w:rsidRDefault="00B02004" w:rsidP="00DB5AA9">
      <w:pPr>
        <w:ind w:firstLine="432"/>
        <w:jc w:val="both"/>
      </w:pPr>
      <w:r>
        <w:lastRenderedPageBreak/>
        <w:t>V současné době se,</w:t>
      </w:r>
      <w:r w:rsidR="00153759">
        <w:t xml:space="preserve"> </w:t>
      </w:r>
      <w:r>
        <w:t>dle mého názoru, nejvíce pozornosti veřejnosti upírá především na problematiku dronů, které nejvíce pracují na principu ,,human in the loop“. Tato kombinace se jeví prozatím jako nejvhodnější, jelikož je zde stálá přítomnost lidského operátora, který nijak nezvyšuje</w:t>
      </w:r>
      <w:r w:rsidR="00C074B1">
        <w:t>,</w:t>
      </w:r>
      <w:r>
        <w:t xml:space="preserve"> </w:t>
      </w:r>
      <w:r w:rsidR="00470951">
        <w:t xml:space="preserve">ovšem </w:t>
      </w:r>
      <w:r>
        <w:t>ani ne</w:t>
      </w:r>
      <w:r w:rsidR="00470951">
        <w:t>vyl</w:t>
      </w:r>
      <w:r>
        <w:t>u</w:t>
      </w:r>
      <w:r w:rsidR="00470951">
        <w:t>ču</w:t>
      </w:r>
      <w:r>
        <w:t>je pravděpodobnost, že dron napáchá</w:t>
      </w:r>
      <w:r w:rsidR="00470951">
        <w:t xml:space="preserve"> jakékoli</w:t>
      </w:r>
      <w:r>
        <w:t xml:space="preserve"> nepřijatelné škody. Zároveň drony slušně kombinují poměr pořizovací ceny, </w:t>
      </w:r>
      <w:r w:rsidR="00603BCF">
        <w:t>složitosti</w:t>
      </w:r>
      <w:r>
        <w:t xml:space="preserve"> výrob</w:t>
      </w:r>
      <w:r w:rsidR="00603BCF">
        <w:t>ního procesu</w:t>
      </w:r>
      <w:r w:rsidR="006F4852">
        <w:t>,</w:t>
      </w:r>
      <w:r>
        <w:t xml:space="preserve"> a především možnosti opětovného použ</w:t>
      </w:r>
      <w:r w:rsidR="00603BCF">
        <w:t xml:space="preserve">ívání s dlouhou dobou životností a nevystavování nebezpečí života operátorů. </w:t>
      </w:r>
      <w:r w:rsidR="006F4852">
        <w:t>Ovšem tendence dosáhnou</w:t>
      </w:r>
      <w:r w:rsidR="00AE2847">
        <w:t>t</w:t>
      </w:r>
      <w:r w:rsidR="006F4852">
        <w:t xml:space="preserve"> autonomie je i zde, jelikož drony stále fungují na principu elektronické komunikace mezi strojem a operátorem, která sice nemá omezený dosah</w:t>
      </w:r>
      <w:r w:rsidR="00645481">
        <w:t>,</w:t>
      </w:r>
      <w:r w:rsidR="006F4852">
        <w:t xml:space="preserve"> ale může být celkem dobře napadnutelná, hlavně mám na mysli také stále se vyvíjející metody vedení elektronického boje</w:t>
      </w:r>
      <w:r w:rsidR="00CF2056">
        <w:t>, které při své úspěšné aplikaci může velmi efektivně zamezit komunikaci mezi operátorem a zbraňovými systémy</w:t>
      </w:r>
      <w:r w:rsidR="009F231E">
        <w:t xml:space="preserve"> a tím narušit bojovou síť protivníka. </w:t>
      </w:r>
    </w:p>
    <w:p w14:paraId="48C4DD33" w14:textId="14F923DF" w:rsidR="0042274A" w:rsidRDefault="0042274A" w:rsidP="00742FC5">
      <w:pPr>
        <w:ind w:firstLine="432"/>
        <w:jc w:val="both"/>
      </w:pPr>
    </w:p>
    <w:p w14:paraId="67C97938" w14:textId="77777777" w:rsidR="009A0ACB" w:rsidRDefault="009A0ACB" w:rsidP="00742FC5">
      <w:pPr>
        <w:ind w:firstLine="432"/>
        <w:jc w:val="both"/>
      </w:pPr>
    </w:p>
    <w:p w14:paraId="5916C57A" w14:textId="77777777" w:rsidR="009A0ACB" w:rsidRDefault="009A0ACB" w:rsidP="00742FC5">
      <w:pPr>
        <w:ind w:firstLine="432"/>
        <w:jc w:val="both"/>
      </w:pPr>
    </w:p>
    <w:p w14:paraId="60FA4079" w14:textId="77777777" w:rsidR="00A42B4E" w:rsidRDefault="00A42B4E" w:rsidP="00742FC5">
      <w:pPr>
        <w:ind w:firstLine="432"/>
        <w:jc w:val="both"/>
      </w:pPr>
    </w:p>
    <w:p w14:paraId="373F39F6" w14:textId="77777777" w:rsidR="00A42B4E" w:rsidRDefault="00A42B4E" w:rsidP="00742FC5">
      <w:pPr>
        <w:ind w:firstLine="432"/>
        <w:jc w:val="both"/>
      </w:pPr>
    </w:p>
    <w:p w14:paraId="71EA4037" w14:textId="77777777" w:rsidR="00A42B4E" w:rsidRDefault="00A42B4E" w:rsidP="00742FC5">
      <w:pPr>
        <w:ind w:firstLine="432"/>
        <w:jc w:val="both"/>
      </w:pPr>
    </w:p>
    <w:p w14:paraId="3B879EAF" w14:textId="77777777" w:rsidR="00A42B4E" w:rsidRDefault="00A42B4E" w:rsidP="007734EA">
      <w:pPr>
        <w:jc w:val="both"/>
      </w:pPr>
    </w:p>
    <w:p w14:paraId="2142B963" w14:textId="77777777" w:rsidR="007734EA" w:rsidRDefault="007734EA" w:rsidP="007734EA">
      <w:pPr>
        <w:jc w:val="both"/>
      </w:pPr>
    </w:p>
    <w:p w14:paraId="7280BA4E" w14:textId="77777777" w:rsidR="007734EA" w:rsidRDefault="007734EA" w:rsidP="007734EA">
      <w:pPr>
        <w:jc w:val="both"/>
      </w:pPr>
    </w:p>
    <w:p w14:paraId="51C04F59" w14:textId="77777777" w:rsidR="007734EA" w:rsidRDefault="007734EA" w:rsidP="007734EA">
      <w:pPr>
        <w:jc w:val="both"/>
      </w:pPr>
    </w:p>
    <w:p w14:paraId="10B5FEA1" w14:textId="77777777" w:rsidR="009A0ACB" w:rsidRDefault="009A0ACB" w:rsidP="00742FC5">
      <w:pPr>
        <w:ind w:firstLine="432"/>
        <w:jc w:val="both"/>
      </w:pPr>
    </w:p>
    <w:p w14:paraId="027B8722" w14:textId="77777777" w:rsidR="009A0ACB" w:rsidRDefault="009A0ACB" w:rsidP="009A0ACB">
      <w:pPr>
        <w:pStyle w:val="Nadpis1"/>
        <w:numPr>
          <w:ilvl w:val="0"/>
          <w:numId w:val="0"/>
        </w:numPr>
      </w:pPr>
      <w:bookmarkStart w:id="7" w:name="_Toc158976244"/>
      <w:bookmarkStart w:id="8" w:name="_Toc164801754"/>
      <w:r>
        <w:lastRenderedPageBreak/>
        <w:t>3.</w:t>
      </w:r>
      <w:r>
        <w:tab/>
        <w:t>Autonomní zbraňové systémy a ius ad bellum</w:t>
      </w:r>
      <w:bookmarkEnd w:id="7"/>
      <w:bookmarkEnd w:id="8"/>
    </w:p>
    <w:p w14:paraId="57FBCF55" w14:textId="77777777" w:rsidR="009A0ACB" w:rsidRDefault="009A0ACB" w:rsidP="00ED283F">
      <w:pPr>
        <w:pStyle w:val="Nadpis2"/>
        <w:numPr>
          <w:ilvl w:val="1"/>
          <w:numId w:val="25"/>
        </w:numPr>
        <w:ind w:left="426" w:hanging="426"/>
      </w:pPr>
      <w:bookmarkStart w:id="9" w:name="_Toc164801755"/>
      <w:r>
        <w:t>Omezení válek a zbraní</w:t>
      </w:r>
      <w:bookmarkEnd w:id="9"/>
    </w:p>
    <w:p w14:paraId="724DE19F" w14:textId="6426E072" w:rsidR="009A0ACB" w:rsidRPr="00D8279E" w:rsidRDefault="009A0ACB" w:rsidP="009A0ACB">
      <w:pPr>
        <w:ind w:firstLine="708"/>
        <w:jc w:val="both"/>
      </w:pPr>
      <w:r w:rsidRPr="00D8279E">
        <w:t xml:space="preserve">Řešení otázky úplného vyloučení války z mezinárodního práva </w:t>
      </w:r>
      <w:r w:rsidR="002C1DE5">
        <w:t>se objevuje</w:t>
      </w:r>
      <w:r w:rsidRPr="00D8279E">
        <w:t xml:space="preserve"> spolu se vznikem Společnosti národů v roce 1920. </w:t>
      </w:r>
      <w:r w:rsidR="002C1DE5">
        <w:t>V</w:t>
      </w:r>
      <w:r w:rsidRPr="00D8279E">
        <w:t> návaznosti na první světovou válku vzniká Společnost národů a je rovněž uzavřen Pakt o Společnosti Národů, kdy se smluvní strany pokouší vymezit si pravidla, při jejichž splnění je možné vést ozbrojený konflikt, ale primárně se zavazují k zamezení a vyhnutí se případné eskalaci konfliktů, ať už mezi svými členy nebo třetími zeměmi</w:t>
      </w:r>
      <w:r w:rsidR="00A42B4E">
        <w:t>.</w:t>
      </w:r>
      <w:r w:rsidR="00A42B4E">
        <w:rPr>
          <w:rStyle w:val="Znakapoznpodarou"/>
        </w:rPr>
        <w:footnoteReference w:id="44"/>
      </w:r>
      <w:r w:rsidRPr="00D8279E">
        <w:t xml:space="preserve"> Proto </w:t>
      </w:r>
      <w:r>
        <w:t>ne</w:t>
      </w:r>
      <w:r w:rsidRPr="00D8279E">
        <w:t>bylo přistoupeno k této problematice tak, že by se válka obecně zakázala</w:t>
      </w:r>
      <w:r>
        <w:t xml:space="preserve">, </w:t>
      </w:r>
      <w:r w:rsidRPr="00D8279E">
        <w:t>ale naopak se státy začaly uchylovat k cestě upravování obecných pravidel, které se vedení válečného konfliktu týkají.</w:t>
      </w:r>
      <w:r>
        <w:t xml:space="preserve"> </w:t>
      </w:r>
      <w:r w:rsidRPr="00D8279E">
        <w:t xml:space="preserve">Trend, který se snažil spíše potírat vůbec vznik a vedení válek jako takových byl vystřídán pojetím, které bylo zaměřené především na tvorbu pravidel pro vedení válek. Toto pojetí se začíná objevovat v 19. století a zaměřuje se obecně na vedení války. Je tu patrná snaha docílit úpravy, která by se zaměřovala spíše na konkrétní způsoby a zbraně, kterými se války vedly a které byly považovány v té době na nežádoucí. Cílem bylo především vyvarovat se zbraním, které způsobovaly útrapy nebo byly považovány za hanebné. Spouštěčem pro rozšíření snah o kodifikaci v oblasti válečného práva ovšem byla i obecně situace ve společnosti, kdy zavedení povinné vojenské služby v mnoha státech vedlo obecně k rozšiřování armád, které disponovaly stále výkonnějšími zbraněmi, které vedlo logicky i k značnému nárůstu ztrát na </w:t>
      </w:r>
      <w:r w:rsidRPr="00B46D4E">
        <w:t>životech</w:t>
      </w:r>
      <w:r w:rsidRPr="00B46D4E">
        <w:rPr>
          <w:rStyle w:val="Znakapoznpodarou"/>
        </w:rPr>
        <w:footnoteReference w:id="45"/>
      </w:r>
      <w:r w:rsidRPr="00B46D4E">
        <w:t xml:space="preserve">. </w:t>
      </w:r>
      <w:r w:rsidRPr="00D8279E">
        <w:t xml:space="preserve">Tak tomu již nebylo pouze na straně bojujících armád, ale válečnými konflikty začínalo stále více trpět i civilní obyvatelstvo. Společným prvkem pro tyto smlouvy bylo především to, že se většinou tyto smlouvy omezovaly pouze na užší okruh subjektů, většinou tyto smlouvy byly pouze dvoustranné nebo byly omezené pouze na konkrétní konflikty. Příkladem takovéto starší smlouvy mezi stranami ozbrojeného konfliktu může být např. </w:t>
      </w:r>
      <w:r>
        <w:t xml:space="preserve">St. </w:t>
      </w:r>
      <w:r w:rsidRPr="00D8279E">
        <w:t>Pet</w:t>
      </w:r>
      <w:r>
        <w:t>ěrbur</w:t>
      </w:r>
      <w:r w:rsidRPr="00D8279E">
        <w:t>ská deklarace z roku 1868, kterou se smluvní strany zavazují k tomu, že nikdy nebudou během konfliktů používat výbušné druhy munice s </w:t>
      </w:r>
      <w:r w:rsidRPr="00DC67D6">
        <w:t>hmotností střely pod 400g</w:t>
      </w:r>
      <w:r w:rsidRPr="00DC67D6">
        <w:rPr>
          <w:rStyle w:val="Znakapoznpodarou"/>
        </w:rPr>
        <w:footnoteReference w:id="46"/>
      </w:r>
      <w:r w:rsidRPr="00DC67D6">
        <w:t xml:space="preserve">. Smluvní strany k této dohodě přistoupili z důvodu, že se snažili zbavit nástrojů, které způsobují při zásahu </w:t>
      </w:r>
      <w:r w:rsidRPr="00DC67D6">
        <w:lastRenderedPageBreak/>
        <w:t>cíle útrapy, které svou intenzitou přesahují rámec běžné bolesti. Tato úmluva svého času plnila svůj účel v celku obstojně, než byla v podstatě nahrazena Haagskými úmluvami.</w:t>
      </w:r>
      <w:r w:rsidRPr="00DC67D6">
        <w:rPr>
          <w:rStyle w:val="Znakapoznpodarou"/>
        </w:rPr>
        <w:footnoteReference w:id="47"/>
      </w:r>
      <w:r w:rsidRPr="00DC67D6">
        <w:t xml:space="preserve"> Během vývoje humanitárního práva a jeho snah o úpravu používání různých druhů zbraní, které jsou svým způsobem v něčem inovativní a přinášejí nové otázky ohledně jejich dopadů na přímé nebo nepřímé účastníky bojů</w:t>
      </w:r>
      <w:r>
        <w:t>,</w:t>
      </w:r>
      <w:r w:rsidRPr="00DC67D6">
        <w:t xml:space="preserve"> můžeme výsledek těchto snah spatřovat například v začleňování prvků obyčejového práva do jednotlivých kodifikací. Příkladem takovéhoto včlenění může být například tak zvaná ,,Martensova klausule,“ která byla včleněna do Dodatkového protokolu k Ženevským úmluvám ve znění: ,,</w:t>
      </w:r>
      <w:r w:rsidRPr="00DC67D6">
        <w:rPr>
          <w:i/>
          <w:iCs/>
        </w:rPr>
        <w:t>V případech, které neupravuje tento Protokol nebo jiné mezinárodní dohody, zůstávají civilní osoby a kombatanti pod ochranou a v rámci působnosti zásad mezinárodního práva vyplývajících z ustálených obyčejů, ze zásad lidskosti a z požadavků společenského svědomí.</w:t>
      </w:r>
      <w:r w:rsidRPr="00DC67D6">
        <w:t>“</w:t>
      </w:r>
      <w:r w:rsidRPr="00DC67D6">
        <w:rPr>
          <w:rStyle w:val="Znakapoznpodarou"/>
        </w:rPr>
        <w:footnoteReference w:id="48"/>
      </w:r>
      <w:r w:rsidRPr="00DC67D6">
        <w:t xml:space="preserve"> Dalo by se tedy shrnout, že dnešní pravidla regulující válku jsou souborem pravidel jak smluvního, tak obyčejového původu, která nejsou zcela homogenní, především z důvodu, že jednotlivá pravidla postupně vznikala v různých historických obdobích a sledují nestejné účely.</w:t>
      </w:r>
      <w:r w:rsidRPr="00DC67D6">
        <w:rPr>
          <w:rStyle w:val="Znakapoznpodarou"/>
        </w:rPr>
        <w:footnoteReference w:id="49"/>
      </w:r>
      <w:r w:rsidRPr="00DC67D6">
        <w:t xml:space="preserve"> </w:t>
      </w:r>
    </w:p>
    <w:p w14:paraId="30D57744" w14:textId="4ECEA020" w:rsidR="009A0ACB" w:rsidRDefault="009A0ACB" w:rsidP="0068624D">
      <w:pPr>
        <w:pStyle w:val="Nadpis2"/>
        <w:numPr>
          <w:ilvl w:val="1"/>
          <w:numId w:val="25"/>
        </w:numPr>
      </w:pPr>
      <w:bookmarkStart w:id="10" w:name="_Toc158976245"/>
      <w:bookmarkStart w:id="11" w:name="_Toc164801756"/>
      <w:r>
        <w:t>Rozdíly ius ad bellum a ius in bello</w:t>
      </w:r>
      <w:bookmarkEnd w:id="10"/>
      <w:bookmarkEnd w:id="11"/>
    </w:p>
    <w:p w14:paraId="084D31C4" w14:textId="6F2E72D5" w:rsidR="009A0ACB" w:rsidRPr="00284E47" w:rsidRDefault="009A0ACB" w:rsidP="009A0ACB">
      <w:pPr>
        <w:ind w:firstLine="708"/>
        <w:jc w:val="both"/>
      </w:pPr>
      <w:r w:rsidRPr="00284E47">
        <w:t>Pro nalezení odpovědi na otázku, jestli autonomní zbraňové systémy</w:t>
      </w:r>
      <w:r w:rsidR="000509A3">
        <w:t xml:space="preserve"> mohou být</w:t>
      </w:r>
      <w:r w:rsidRPr="00284E47">
        <w:t xml:space="preserve"> </w:t>
      </w:r>
      <w:r>
        <w:t>v rozporu s pravidly</w:t>
      </w:r>
      <w:r w:rsidRPr="00284E47">
        <w:t xml:space="preserve"> ius ad bellum, si musíme nejdříve ius ad bellum vymezit od systému příbuzného, a to ius in bello. Mezinárodní humanitární právo, které se věnuje úpravě válečných konfliktů pracuje s oběma těmito systémy.</w:t>
      </w:r>
      <w:r>
        <w:t xml:space="preserve"> </w:t>
      </w:r>
      <w:r w:rsidRPr="00284E47">
        <w:t>Instituty typické pro tato dvě odvětví, které se objevoval</w:t>
      </w:r>
      <w:r>
        <w:t>y</w:t>
      </w:r>
      <w:r w:rsidRPr="00284E47">
        <w:t xml:space="preserve"> </w:t>
      </w:r>
      <w:r>
        <w:t>dříve,</w:t>
      </w:r>
      <w:r w:rsidRPr="00284E47">
        <w:t xml:space="preserve"> dost</w:t>
      </w:r>
      <w:r>
        <w:t>áva</w:t>
      </w:r>
      <w:r w:rsidRPr="00284E47">
        <w:t>l</w:t>
      </w:r>
      <w:r>
        <w:t>y postupně</w:t>
      </w:r>
      <w:r w:rsidRPr="00284E47">
        <w:t xml:space="preserve"> jasné hranice a byly přiřazeny buď k ius in bello, tedy práv</w:t>
      </w:r>
      <w:r>
        <w:t>u</w:t>
      </w:r>
      <w:r w:rsidRPr="00284E47">
        <w:t xml:space="preserve"> válečné</w:t>
      </w:r>
      <w:r>
        <w:t>mu</w:t>
      </w:r>
      <w:r w:rsidRPr="00284E47">
        <w:t xml:space="preserve"> nebo k ius ad bello, právu na válku, popřípadě práv</w:t>
      </w:r>
      <w:r>
        <w:t>u</w:t>
      </w:r>
      <w:r w:rsidRPr="00284E47">
        <w:t xml:space="preserve"> válku vylučující. Co se týče časové posloupnosti, se kterou se válečné konflikty postupně vyvíjejí, tak jako první přichází ke slovu úprava ius ad bellum, kdy hlavním smyslem a cílem této úpravy je </w:t>
      </w:r>
      <w:r>
        <w:t xml:space="preserve">posouzení, zda v konkrétním případě je stát oprávněný použít ozbrojenou sílu vůči druhému státu či nikoli. Jako </w:t>
      </w:r>
      <w:r w:rsidRPr="00284E47">
        <w:t>základní princip je</w:t>
      </w:r>
      <w:r>
        <w:t xml:space="preserve"> zde zcela klíčové</w:t>
      </w:r>
      <w:r w:rsidRPr="00284E47">
        <w:t xml:space="preserve"> obecné vyloučení použití ozbrojené síly mezi státy</w:t>
      </w:r>
      <w:r>
        <w:t xml:space="preserve"> jako takové.</w:t>
      </w:r>
      <w:r>
        <w:rPr>
          <w:rStyle w:val="Znakapoznpodarou"/>
        </w:rPr>
        <w:footnoteReference w:id="50"/>
      </w:r>
      <w:r w:rsidRPr="00284E47">
        <w:t xml:space="preserve"> Oproti tomu, co se časového vývoje konfliktu týče</w:t>
      </w:r>
      <w:r>
        <w:t>, pravidla</w:t>
      </w:r>
      <w:r w:rsidRPr="00284E47">
        <w:t xml:space="preserve"> ius in bello, </w:t>
      </w:r>
      <w:r>
        <w:t>se aplikují</w:t>
      </w:r>
      <w:r w:rsidRPr="00284E47">
        <w:t xml:space="preserve"> </w:t>
      </w:r>
      <w:r>
        <w:t>hlavně ve</w:t>
      </w:r>
      <w:r w:rsidRPr="00284E47">
        <w:t xml:space="preserve"> chvíli, kdy už ozbrojený konflikt vypukne</w:t>
      </w:r>
      <w:r>
        <w:t xml:space="preserve"> a pak dále v celém jeho průběhu</w:t>
      </w:r>
      <w:r w:rsidRPr="00284E47">
        <w:t>.</w:t>
      </w:r>
      <w:r>
        <w:t xml:space="preserve"> V rámci pravidel ius in bello se tedy v rámci </w:t>
      </w:r>
      <w:r>
        <w:lastRenderedPageBreak/>
        <w:t xml:space="preserve">probíhajícího konfliktu zkoumají například otázky legality použití určitých zbraní a ochrany civilního obyvatelstva. </w:t>
      </w:r>
      <w:r w:rsidRPr="00284E47">
        <w:t>Aplikace ius ad bellum je, jak už bylo zmíněno výše, spjata</w:t>
      </w:r>
      <w:r>
        <w:t xml:space="preserve"> i</w:t>
      </w:r>
      <w:r w:rsidRPr="00284E47">
        <w:t xml:space="preserve"> s fází, kdy ještě k ozbrojenému konfliktu mezi státy ještě nedošlo. Ovšem v situaci, kdy dojde</w:t>
      </w:r>
      <w:r>
        <w:t xml:space="preserve"> k porušení zákazu použití síly dle čl</w:t>
      </w:r>
      <w:r w:rsidR="0096358B">
        <w:t xml:space="preserve">. </w:t>
      </w:r>
      <w:r>
        <w:t xml:space="preserve">2 odst. 4 Charty OSN, </w:t>
      </w:r>
      <w:r w:rsidRPr="00284E47">
        <w:t>přichází ještě druhá fakultativní fáze spjatá s aplikací institutů ius ad bellu</w:t>
      </w:r>
      <w:r>
        <w:t>m.</w:t>
      </w:r>
      <w:r w:rsidRPr="00284E47">
        <w:t xml:space="preserve">  </w:t>
      </w:r>
      <w:r>
        <w:t xml:space="preserve">Jedná se </w:t>
      </w:r>
      <w:r w:rsidRPr="00284E47">
        <w:t>o</w:t>
      </w:r>
      <w:r>
        <w:t xml:space="preserve"> po</w:t>
      </w:r>
      <w:r w:rsidRPr="00284E47">
        <w:t>suzování toho, jestli je použití síly v daném konkrétním případě v souladu s požadavky na legální použití síly, které ius ad bellum stanovuje a tím pádem, jestli je i konkrétní použití síly ospravedlnitelné, či nikoli. Důležit</w:t>
      </w:r>
      <w:r>
        <w:t>ý je fakt</w:t>
      </w:r>
      <w:r w:rsidRPr="00284E47">
        <w:t xml:space="preserve"> širší použitelnost</w:t>
      </w:r>
      <w:r>
        <w:t xml:space="preserve">i </w:t>
      </w:r>
      <w:r w:rsidRPr="00284E47">
        <w:t>ius in bello oproti ius ad bellum, jelikož ius in bello se vztahuje k ozbrojenému konfliktu po celou dobu jeho trvání, kdy sleduje zmírňování utrpení, které dopadá na přímé účastníky bojů, tak i na osoby, které se bojů přímo neúčastní.</w:t>
      </w:r>
      <w:r>
        <w:t xml:space="preserve"> Stejně tak je velmi podstatné, že pravidla ius in bello platí obecně pro ozbrojené konflikty mezi dvěma stranami, přičemž nezáleží na povaze aktérů konfliktu. Tedy ius in bello je možné aplikovat na kterýkoli ozbrojený konflikt, oproti tomu principy ius ad bellum, hlavně obecný zákaz použití síly, se vztahují pouze na použití síly posuzované právě podle povahy konkrétního ozbrojeného konfliktu. Aby mohla být vůbec porušena pravidla ius ad bellum, musí mít ozbrojený konflikt mezinárodní povahu, tedy nelze ta samá pravidla, právě jako třeba obecný zákaz použití síly, vztáhnout i na konflikty vnitrostátní povahy.</w:t>
      </w:r>
      <w:r>
        <w:rPr>
          <w:rStyle w:val="Znakapoznpodarou"/>
        </w:rPr>
        <w:footnoteReference w:id="51"/>
      </w:r>
      <w:r w:rsidRPr="00284E47">
        <w:t xml:space="preserve"> </w:t>
      </w:r>
      <w:r w:rsidR="00A40C9F">
        <w:t xml:space="preserve"> Ius in bello je r</w:t>
      </w:r>
      <w:r w:rsidRPr="00284E47">
        <w:t>ovněž</w:t>
      </w:r>
      <w:r w:rsidR="00A40C9F">
        <w:t xml:space="preserve"> konkrétnější, jelikož</w:t>
      </w:r>
      <w:r w:rsidRPr="00284E47">
        <w:t xml:space="preserve"> skrze</w:t>
      </w:r>
      <w:r w:rsidR="00A40C9F">
        <w:t xml:space="preserve"> konkrétní</w:t>
      </w:r>
      <w:r w:rsidRPr="00284E47">
        <w:t xml:space="preserve"> mezinárodní úmluvy poskytuje ochranu spočívající v zákazu cílení útoků na určité objekty civilní</w:t>
      </w:r>
      <w:r>
        <w:t>,</w:t>
      </w:r>
      <w:r>
        <w:rPr>
          <w:rStyle w:val="Znakapoznpodarou"/>
        </w:rPr>
        <w:footnoteReference w:id="52"/>
      </w:r>
      <w:r>
        <w:t xml:space="preserve"> </w:t>
      </w:r>
      <w:r w:rsidRPr="00284E47">
        <w:t>kulturní</w:t>
      </w:r>
      <w:r>
        <w:t>,</w:t>
      </w:r>
      <w:r>
        <w:rPr>
          <w:rStyle w:val="Znakapoznpodarou"/>
        </w:rPr>
        <w:footnoteReference w:id="53"/>
      </w:r>
      <w:r w:rsidRPr="00284E47">
        <w:t xml:space="preserve"> nebo</w:t>
      </w:r>
      <w:r>
        <w:t xml:space="preserve"> třeba</w:t>
      </w:r>
      <w:r w:rsidRPr="00284E47">
        <w:t xml:space="preserve"> úzce spojené s životním prostředím</w:t>
      </w:r>
      <w:r>
        <w:rPr>
          <w:rStyle w:val="Znakapoznpodarou"/>
        </w:rPr>
        <w:footnoteReference w:id="54"/>
      </w:r>
      <w:r w:rsidRPr="00284E47">
        <w:t xml:space="preserve">.  </w:t>
      </w:r>
      <w:r>
        <w:t>Navíc</w:t>
      </w:r>
      <w:r w:rsidRPr="00284E47">
        <w:t xml:space="preserve"> principy a pravidla obsažené v ius in bello musejí být dodržovány oběma stranami bez vazby na to, jestli je daný konflikt způsobený oprávněným nebo neoprávněným použitím síly. Tedy v praxi je možné porušit pravidla ius in bello i v rámci konfliktu, který </w:t>
      </w:r>
      <w:r w:rsidR="00DF29C3">
        <w:t>probíhá</w:t>
      </w:r>
      <w:r w:rsidRPr="00284E47">
        <w:t xml:space="preserve"> zcela v souladu se všemi požadavky na dovolené použití síly v mezinárodních vztazích podle ius ad bellum.</w:t>
      </w:r>
      <w:r>
        <w:rPr>
          <w:rStyle w:val="Znakapoznpodarou"/>
        </w:rPr>
        <w:footnoteReference w:id="55"/>
      </w:r>
      <w:r w:rsidRPr="00284E47">
        <w:t xml:space="preserve"> Posledním kritériem, podle kterého jde tyto dva principy odlišit j</w:t>
      </w:r>
      <w:r>
        <w:t>e právní úprava,</w:t>
      </w:r>
      <w:r w:rsidRPr="00284E47">
        <w:t xml:space="preserve"> kter</w:t>
      </w:r>
      <w:r>
        <w:t>á se vztahuje k</w:t>
      </w:r>
      <w:r w:rsidRPr="00284E47">
        <w:t xml:space="preserve"> dan</w:t>
      </w:r>
      <w:r>
        <w:t>é</w:t>
      </w:r>
      <w:r w:rsidRPr="00284E47">
        <w:t xml:space="preserve"> problemati</w:t>
      </w:r>
      <w:r>
        <w:t>ce</w:t>
      </w:r>
      <w:r w:rsidRPr="00284E47">
        <w:t>. Prvně na problematiku ius in bello se vztahují hlavně Ženevské úmluvy a na ně navazující dodatky, spolu s Haagskými úmluvami, jejichž instituty jsou zahrnuté právě i v později vzniklých čtyřech Ženevských úmluvách spolu s</w:t>
      </w:r>
      <w:r w:rsidR="00211725">
        <w:t>e</w:t>
      </w:r>
      <w:r w:rsidRPr="00284E47">
        <w:t xml:space="preserve"> třemi dodatkovými protokoly k těmto smlouvám. Naproti tomu základní vyjádření podstaty principu ius ad bellum nalezneme v </w:t>
      </w:r>
      <w:r>
        <w:t>C</w:t>
      </w:r>
      <w:r w:rsidRPr="00284E47">
        <w:t xml:space="preserve">hartě OSN, kde je vyjádřen </w:t>
      </w:r>
      <w:r w:rsidRPr="00284E47">
        <w:lastRenderedPageBreak/>
        <w:t>princip zákazu použití násilí proti územní celistvosti nebo politické nezávislosti kteréhokoli státu</w:t>
      </w:r>
      <w:r>
        <w:rPr>
          <w:rStyle w:val="Znakapoznpodarou"/>
        </w:rPr>
        <w:footnoteReference w:id="56"/>
      </w:r>
      <w:r w:rsidRPr="00284E47">
        <w:t>.</w:t>
      </w:r>
      <w:r>
        <w:t xml:space="preserve"> </w:t>
      </w:r>
      <w:r w:rsidR="00DF29C3">
        <w:t>S</w:t>
      </w:r>
      <w:r>
        <w:t>ystém ius in bello je založen především na principu proporcionality a zásadě rozlišovací. Princip proporcionality má za cíl vymezit hranice v používání zbraní takovým způsobem, aby konkrétní zbraně byly používány s konkrétním cílem</w:t>
      </w:r>
      <w:r>
        <w:rPr>
          <w:rStyle w:val="Znakapoznpodarou"/>
        </w:rPr>
        <w:footnoteReference w:id="57"/>
      </w:r>
      <w:r>
        <w:t>. Při výběru zbraně by strany měly brát v potaz vhodnost zbraně ke každé operaci zvlášť se zřetelem na možné způsobené škody</w:t>
      </w:r>
      <w:r w:rsidR="00A93B3A">
        <w:t xml:space="preserve">. V </w:t>
      </w:r>
      <w:r>
        <w:t>určitých konkrétních případech by se dalo uvažovat i o tom, zda je nezbytně nutné používat smrtící sílu. Druhý je princip rozlišování, na jehož základě by se mělo zcela jasně rozlišovat, jestli daná osoba nebo objekt legitimním cílem nebo naopak, případně bez výjimek stanovit, kdy se může kterákoli osoba nebo objekt stát legitimním cílem, a naopak stanovit situace, kdy tyto subjekty a objekty nemohou být cílem za žádných okolností.</w:t>
      </w:r>
      <w:r>
        <w:rPr>
          <w:rStyle w:val="Znakapoznpodarou"/>
        </w:rPr>
        <w:footnoteReference w:id="58"/>
      </w:r>
      <w:r>
        <w:t xml:space="preserve"> Co se týče používání principu proporcionality a rozlišovací zásady v praxi, tak zde podle mého názoru naráží na prostou podstatu války, jako rozsáhlé události, kdy není možné kontrolovat všechny její účastníky na celém území, kde probíhá. Tento argument je potvrzován i faktem, že i současné mezinárodní právo pracuje s nevyhnutelnou skutečností, že během ozbrojeného konfliktu nelze zabránit vzniku vedlejších škod, používaný je zde pro takové výraz ,,collateral damage“. Tyto vedlejší škody by se daly definovat jako škody, které byly způsobené neúmyslně nebo náhodou během bojové akce namířené proti nepříteli, především na příslušníky jeho ozbrojených sil nebo vojenským zařízením.</w:t>
      </w:r>
      <w:r>
        <w:rPr>
          <w:rStyle w:val="Znakapoznpodarou"/>
        </w:rPr>
        <w:footnoteReference w:id="59"/>
      </w:r>
      <w:r>
        <w:t xml:space="preserve">  Přičemž reálně způsobené škody vznikají na zařízeních, vybavení nebo osobách, které mají povahu přátelskou, neutrální nebo i znepřátelenou, ovšem jedná se o cíl, na který by útok neměl být cílen.</w:t>
      </w:r>
      <w:r>
        <w:rPr>
          <w:rStyle w:val="Znakapoznpodarou"/>
        </w:rPr>
        <w:footnoteReference w:id="60"/>
      </w:r>
      <w:r>
        <w:t xml:space="preserve">  Dalším argument, který podle mého názoru, vyvrací úplnou funkčnost výše zmíněným principům je ten, že válka má stále silný lidský faktor, který prostě nemusí vždy zareagovat zcela v souladu s pravidly ius in bello. </w:t>
      </w:r>
    </w:p>
    <w:p w14:paraId="147AD950" w14:textId="43154A69" w:rsidR="009A0ACB" w:rsidRDefault="009A0ACB" w:rsidP="0068624D">
      <w:pPr>
        <w:pStyle w:val="Nadpis2"/>
        <w:numPr>
          <w:ilvl w:val="1"/>
          <w:numId w:val="25"/>
        </w:numPr>
        <w:rPr>
          <w:bCs/>
          <w:szCs w:val="28"/>
        </w:rPr>
      </w:pPr>
      <w:bookmarkStart w:id="13" w:name="_Toc158976246"/>
      <w:bookmarkStart w:id="14" w:name="_Toc164801757"/>
      <w:r>
        <w:t xml:space="preserve">Použití </w:t>
      </w:r>
      <w:r>
        <w:rPr>
          <w:bCs/>
          <w:szCs w:val="28"/>
        </w:rPr>
        <w:t>a</w:t>
      </w:r>
      <w:r w:rsidRPr="000E18DC">
        <w:rPr>
          <w:bCs/>
          <w:szCs w:val="28"/>
        </w:rPr>
        <w:t>utonomní</w:t>
      </w:r>
      <w:r>
        <w:rPr>
          <w:bCs/>
          <w:szCs w:val="28"/>
        </w:rPr>
        <w:t>ch</w:t>
      </w:r>
      <w:r w:rsidRPr="000E18DC">
        <w:rPr>
          <w:bCs/>
          <w:szCs w:val="28"/>
        </w:rPr>
        <w:t xml:space="preserve"> zbraňov</w:t>
      </w:r>
      <w:r>
        <w:rPr>
          <w:bCs/>
          <w:szCs w:val="28"/>
        </w:rPr>
        <w:t>ých</w:t>
      </w:r>
      <w:r w:rsidRPr="000E18DC">
        <w:rPr>
          <w:bCs/>
          <w:szCs w:val="28"/>
        </w:rPr>
        <w:t xml:space="preserve"> systém</w:t>
      </w:r>
      <w:r>
        <w:rPr>
          <w:bCs/>
          <w:szCs w:val="28"/>
        </w:rPr>
        <w:t>ů</w:t>
      </w:r>
      <w:r w:rsidRPr="000E18DC">
        <w:rPr>
          <w:bCs/>
          <w:szCs w:val="28"/>
        </w:rPr>
        <w:t xml:space="preserve"> </w:t>
      </w:r>
      <w:r>
        <w:rPr>
          <w:bCs/>
          <w:szCs w:val="28"/>
        </w:rPr>
        <w:t>a porušení</w:t>
      </w:r>
      <w:r w:rsidRPr="000E18DC">
        <w:rPr>
          <w:bCs/>
          <w:szCs w:val="28"/>
        </w:rPr>
        <w:t xml:space="preserve"> ius ad bellum</w:t>
      </w:r>
      <w:bookmarkEnd w:id="13"/>
      <w:bookmarkEnd w:id="14"/>
    </w:p>
    <w:p w14:paraId="47EF92E0" w14:textId="22F78665" w:rsidR="009A0ACB" w:rsidRDefault="009A0ACB" w:rsidP="009A0ACB">
      <w:pPr>
        <w:jc w:val="both"/>
        <w:rPr>
          <w:lang w:eastAsia="cs-CZ"/>
        </w:rPr>
      </w:pPr>
      <w:r>
        <w:tab/>
        <w:t>Jak jsem zmínil už výše, tak ius ad bellum je zaměřeno na fázi, která předchází samotnému ozbrojenému konfliktu a v případě jeho vzniku posuzuje legalitu použití síly mezi subjekty mezinárodního práva.</w:t>
      </w:r>
      <w:r>
        <w:rPr>
          <w:rStyle w:val="Znakapoznpodarou"/>
        </w:rPr>
        <w:footnoteReference w:id="61"/>
      </w:r>
      <w:bookmarkStart w:id="15" w:name="_Hlk116752786"/>
      <w:r>
        <w:t xml:space="preserve"> </w:t>
      </w:r>
      <w:r w:rsidRPr="00774309">
        <w:t xml:space="preserve">Nejprve je nutné zmínit, které principy ovlivňují fungování souboru pravidel </w:t>
      </w:r>
      <w:r>
        <w:t xml:space="preserve">nazývaných jako </w:t>
      </w:r>
      <w:r w:rsidRPr="00774309">
        <w:t>ius ad bellum. Hlavním</w:t>
      </w:r>
      <w:r>
        <w:t xml:space="preserve"> a nejdůležitějším</w:t>
      </w:r>
      <w:r w:rsidRPr="00774309">
        <w:t xml:space="preserve"> princip</w:t>
      </w:r>
      <w:r>
        <w:t>em ovládající</w:t>
      </w:r>
      <w:r w:rsidRPr="00774309">
        <w:t xml:space="preserve"> ius ad </w:t>
      </w:r>
      <w:r w:rsidRPr="00774309">
        <w:lastRenderedPageBreak/>
        <w:t>bellum j</w:t>
      </w:r>
      <w:r>
        <w:t>e</w:t>
      </w:r>
      <w:r w:rsidRPr="00774309">
        <w:t xml:space="preserve"> princip</w:t>
      </w:r>
      <w:r>
        <w:t xml:space="preserve"> zákazu útočné války, který byl později potvrzen a rozšířen na obecný zákaz každého použití síly v mezinárodních vztazích.</w:t>
      </w:r>
      <w:r>
        <w:rPr>
          <w:rStyle w:val="Znakapoznpodarou"/>
        </w:rPr>
        <w:footnoteReference w:id="62"/>
      </w:r>
      <w:r>
        <w:t xml:space="preserve"> Přičemž institut přímého zákazu útočné války byl poprvé zachycen v roce 1928 v</w:t>
      </w:r>
      <w:r w:rsidR="0096358B">
        <w:t> </w:t>
      </w:r>
      <w:r>
        <w:t>čl</w:t>
      </w:r>
      <w:r w:rsidR="0096358B">
        <w:t>.</w:t>
      </w:r>
      <w:r>
        <w:t xml:space="preserve"> 1 Briand-Kellogova paktu, kterýžto ustanovil, že: </w:t>
      </w:r>
      <w:r w:rsidRPr="00F12EEB">
        <w:rPr>
          <w:i/>
          <w:iCs/>
        </w:rPr>
        <w:t>,,Vysoké smluvní strany slavnostně prohlašují jménem svých národů, že odsuzují válku jako prostředek k vyřešení mezinárodních neshod a zříkají se jí jako prostředku národní politiky ve svých vzájemných vztazích.</w:t>
      </w:r>
      <w:r>
        <w:rPr>
          <w:i/>
          <w:iCs/>
        </w:rPr>
        <w:t xml:space="preserve">“ </w:t>
      </w:r>
      <w:r w:rsidRPr="00E61E23">
        <w:rPr>
          <w:rStyle w:val="Znakapoznpodarou"/>
        </w:rPr>
        <w:footnoteReference w:id="63"/>
      </w:r>
      <w:r>
        <w:t xml:space="preserve"> Tento zákaz byl rozšířen následně ustanovením čl</w:t>
      </w:r>
      <w:r w:rsidR="0096358B">
        <w:t>.</w:t>
      </w:r>
      <w:r>
        <w:t xml:space="preserve"> 2 odst</w:t>
      </w:r>
      <w:r w:rsidR="0096358B">
        <w:t>.</w:t>
      </w:r>
      <w:r>
        <w:t xml:space="preserve"> 4 Charty OSN, který ve svém ustanovení znějícím </w:t>
      </w:r>
      <w:r w:rsidRPr="004C1128">
        <w:rPr>
          <w:i/>
          <w:iCs/>
        </w:rPr>
        <w:t>„Všichni členové se vystříhají ve svých mezinárodních stycích hrozby násilím neb použití násilí ať proti územní celistvosti nebo politické nezávislosti kteréhokoli státu, ať jakýmkoli jiným způsobem neslučitelným s cíli Spojených národů“</w:t>
      </w:r>
      <w:r>
        <w:rPr>
          <w:i/>
          <w:iCs/>
        </w:rPr>
        <w:t xml:space="preserve"> </w:t>
      </w:r>
      <w:r>
        <w:rPr>
          <w:rStyle w:val="Znakapoznpodarou"/>
        </w:rPr>
        <w:footnoteReference w:id="64"/>
      </w:r>
      <w:r>
        <w:rPr>
          <w:i/>
          <w:iCs/>
        </w:rPr>
        <w:t xml:space="preserve">, </w:t>
      </w:r>
      <w:r>
        <w:t>kdy se takto obecně vyjádřený zákaz použití síly stal kogentní normou mezinárodního práva veřejného. Přesto, že obecný zákaz použití síly je normou kogentní, Charta OSN nám vymezuje podmínky, za kterých je použití síly v mezinárodních vztazích dovoleno.</w:t>
      </w:r>
      <w:r>
        <w:rPr>
          <w:rStyle w:val="Znakapoznpodarou"/>
        </w:rPr>
        <w:footnoteReference w:id="65"/>
      </w:r>
      <w:r>
        <w:t xml:space="preserve"> Konkrétně se jedná v první řadě o výjimku zakotvenou v</w:t>
      </w:r>
      <w:r w:rsidR="0096358B">
        <w:t> </w:t>
      </w:r>
      <w:r>
        <w:t>čl</w:t>
      </w:r>
      <w:r w:rsidR="0096358B">
        <w:t>.</w:t>
      </w:r>
      <w:r>
        <w:t xml:space="preserve"> 51 Charty OSN, který spočívá v</w:t>
      </w:r>
      <w:r w:rsidR="00853707">
        <w:t> </w:t>
      </w:r>
      <w:r>
        <w:t>právu</w:t>
      </w:r>
      <w:r w:rsidR="00853707">
        <w:t xml:space="preserve"> napadeného státu na</w:t>
      </w:r>
      <w:r>
        <w:t xml:space="preserve"> výkon kolektivní nebo individuální sebeobrany, podrobněji níže. </w:t>
      </w:r>
      <w:r>
        <w:rPr>
          <w:lang w:eastAsia="cs-CZ"/>
        </w:rPr>
        <w:t>Jako další případ výjimek ze zákazu použití síly, které již ovšem nejsou stanoveny přímo Chartou OSN by bylo možno uvést použití síly k prosazení práva národů na sebeurčení</w:t>
      </w:r>
      <w:r w:rsidR="00D96189">
        <w:rPr>
          <w:lang w:eastAsia="cs-CZ"/>
        </w:rPr>
        <w:t>,</w:t>
      </w:r>
      <w:r>
        <w:rPr>
          <w:lang w:eastAsia="cs-CZ"/>
        </w:rPr>
        <w:t xml:space="preserve"> </w:t>
      </w:r>
      <w:r>
        <w:rPr>
          <w:rStyle w:val="Znakapoznpodarou"/>
          <w:lang w:eastAsia="cs-CZ"/>
        </w:rPr>
        <w:footnoteReference w:id="66"/>
      </w:r>
      <w:r>
        <w:rPr>
          <w:lang w:eastAsia="cs-CZ"/>
        </w:rPr>
        <w:t xml:space="preserve"> </w:t>
      </w:r>
      <w:r w:rsidR="00D96189">
        <w:rPr>
          <w:lang w:eastAsia="cs-CZ"/>
        </w:rPr>
        <w:t>p</w:t>
      </w:r>
      <w:r>
        <w:rPr>
          <w:lang w:eastAsia="cs-CZ"/>
        </w:rPr>
        <w:t>řičemž povahu oprávněného boje za právo národů na sebeurčení, jako výjimky</w:t>
      </w:r>
      <w:r>
        <w:rPr>
          <w:rStyle w:val="Odkaznakoment"/>
        </w:rPr>
        <w:t xml:space="preserve"> </w:t>
      </w:r>
      <w:r>
        <w:rPr>
          <w:lang w:eastAsia="cs-CZ"/>
        </w:rPr>
        <w:t>ze zákazu použití síly, lze dovozovat z Rezoluce Valného shromáždění OSN 2105 (XX), kde je výslovně uvedeno, že Valné shromáždění uznává legitimitu boje národů pod koloniální nadvládou o uplatnění jejich práva na sebeurčení.</w:t>
      </w:r>
      <w:r>
        <w:rPr>
          <w:rStyle w:val="Znakapoznpodarou"/>
          <w:lang w:eastAsia="cs-CZ"/>
        </w:rPr>
        <w:footnoteReference w:id="67"/>
      </w:r>
      <w:r>
        <w:rPr>
          <w:lang w:eastAsia="cs-CZ"/>
        </w:rPr>
        <w:t xml:space="preserve"> </w:t>
      </w:r>
      <w:bookmarkEnd w:id="15"/>
    </w:p>
    <w:p w14:paraId="4CE279C9" w14:textId="5DFAD8B5" w:rsidR="009A0ACB" w:rsidRDefault="009A0ACB" w:rsidP="009A0ACB">
      <w:pPr>
        <w:jc w:val="both"/>
      </w:pPr>
      <w:r>
        <w:tab/>
        <w:t>Jelikož podstata systému pravidel ius ad bellum je kogentní povahy, kdy tato pravidla cílí na to, aby zůstávaly mezinárodní vztahy mezi státy co nejvíc poklidné, tak se v této části budu věnovat případům, kdy by autonomní zbraňové systémy mohly tento stav ohrozit. Systém pravidel ius ad bellum je, jak už bylo uvedeno výše, postaven na absolutním zákazu použití síly dle čl</w:t>
      </w:r>
      <w:r w:rsidR="00F77540">
        <w:t>.</w:t>
      </w:r>
      <w:r>
        <w:t xml:space="preserve"> 2 odst.</w:t>
      </w:r>
      <w:r w:rsidR="00F77540">
        <w:t xml:space="preserve"> </w:t>
      </w:r>
      <w:r>
        <w:t xml:space="preserve">4 Charty OSN, kromě taxativně vymezených výjimek z tohoto </w:t>
      </w:r>
      <w:r w:rsidRPr="00294FA3">
        <w:t>pravidla</w:t>
      </w:r>
      <w:r>
        <w:t xml:space="preserve">, kdy a v jakém rozsahu je </w:t>
      </w:r>
      <w:r>
        <w:lastRenderedPageBreak/>
        <w:t>možné sílu použít. Zákazu použití síly je přiznán obyčejový charakter.</w:t>
      </w:r>
      <w:r>
        <w:rPr>
          <w:rStyle w:val="Znakapoznpodarou"/>
        </w:rPr>
        <w:footnoteReference w:id="68"/>
      </w:r>
      <w:r>
        <w:t xml:space="preserve"> Zákaz použití síly v mezinárodních vztazích a jeho obyčejový charakter, kromě Charty OSN, plyne i z Deklarace zásad mezinárodního práva A/RES/XXV, kde je zásada nepoužití síly rovněž uvedena.</w:t>
      </w:r>
      <w:r>
        <w:rPr>
          <w:rStyle w:val="Znakapoznpodarou"/>
        </w:rPr>
        <w:footnoteReference w:id="69"/>
      </w:r>
      <w:r>
        <w:t xml:space="preserve"> Deklarace blíže specifikuje účely, ke kterým nesmí být síly nebo hrozba použití síly použito. Jedná se především o narušení územní celistvosti nebo politické nezávislosti jiného státu nebo k prosazování jakékoli jiné mezinárodní otázky. Rovněž Deklarace uvádí, že mimo porušení územní celistvosti nebo politické nezávislosti se bude jednat o porušení principu zákazu použití síly v mezinárodních vztazích i v případě, že stát bude působit na jiný stát jakýmkoli jiným způsobem, který bude v rozporu s cíli OSN.</w:t>
      </w:r>
      <w:r>
        <w:rPr>
          <w:rStyle w:val="Znakapoznpodarou"/>
        </w:rPr>
        <w:footnoteReference w:id="70"/>
      </w:r>
      <w:r>
        <w:t xml:space="preserve"> Specificky je zde uvedena válečná agrese jako zločin proti míru.</w:t>
      </w:r>
      <w:r>
        <w:rPr>
          <w:rStyle w:val="Znakapoznpodarou"/>
        </w:rPr>
        <w:footnoteReference w:id="71"/>
      </w:r>
      <w:r>
        <w:t xml:space="preserve"> Jelikož je výše popsané jednání v rozporu s cíli OSN, musí být zákonitě v rozporu i s Chartou OSN.</w:t>
      </w:r>
      <w:r>
        <w:rPr>
          <w:rStyle w:val="Znakapoznpodarou"/>
        </w:rPr>
        <w:footnoteReference w:id="72"/>
      </w:r>
      <w:r>
        <w:t xml:space="preserve"> Jak již bylo výše obecně uvedeno, nejdůležitější výjimkou ze zákazu použití síly je výkon sebeobrany podle čl</w:t>
      </w:r>
      <w:r w:rsidR="0001268F">
        <w:t>.</w:t>
      </w:r>
      <w:r>
        <w:t xml:space="preserve"> 51 Charty OSN, i tomuto článku je přiznán obyčejový charakter.</w:t>
      </w:r>
      <w:r>
        <w:rPr>
          <w:rStyle w:val="Znakapoznpodarou"/>
        </w:rPr>
        <w:footnoteReference w:id="73"/>
      </w:r>
      <w:r>
        <w:t xml:space="preserve"> Výkon legální sebeobrany má dvě základní podmínky, a to, že by měla být nezbytnou a proporcionální odpovědí na probíhající ozbrojený útok. V případě individuální sebeobrany je ještě nezbytné, aby stát vykonávající individuální sebeobranu byl sám napaden.</w:t>
      </w:r>
      <w:r>
        <w:rPr>
          <w:rStyle w:val="Znakapoznpodarou"/>
        </w:rPr>
        <w:footnoteReference w:id="74"/>
      </w:r>
      <w:r>
        <w:t xml:space="preserve"> Nezbytnost je zde vyjádřena především povinností napadeného státu konat pouze akce na svou obranu, jelikož na probíhající útok nelze reagovat nevojenskými prostředky, tedy dochází sice k porušení zákazu použití síly, ale jde o porušení povolené.</w:t>
      </w:r>
      <w:r>
        <w:rPr>
          <w:rStyle w:val="Znakapoznpodarou"/>
        </w:rPr>
        <w:footnoteReference w:id="75"/>
      </w:r>
      <w:r w:rsidRPr="000968D6">
        <w:t xml:space="preserve"> </w:t>
      </w:r>
      <w:r>
        <w:t>Proporcionalita</w:t>
      </w:r>
      <w:r w:rsidRPr="000968D6">
        <w:t xml:space="preserve"> </w:t>
      </w:r>
      <w:r>
        <w:t xml:space="preserve">spočívá ve výkonu pouze obranných akcí nezbytných k zastavení útoku. </w:t>
      </w:r>
    </w:p>
    <w:p w14:paraId="2766E8C4" w14:textId="0731EAF5" w:rsidR="009A0ACB" w:rsidRDefault="009A0ACB" w:rsidP="009A0ACB">
      <w:pPr>
        <w:jc w:val="both"/>
      </w:pPr>
      <w:r>
        <w:tab/>
        <w:t>S úvahami nad tím, co může být v konkrétní situaci posuzováno jako porušení zákazu použití síly podle čl. 2 odst. 4 Charty OSN souvisí i problematika formy jednání, které by mohlo tomuto článku odporovat. Charta OSN ve svém čl</w:t>
      </w:r>
      <w:r w:rsidR="0001268F">
        <w:t>.</w:t>
      </w:r>
      <w:r>
        <w:t xml:space="preserve"> 39 rozlišuje mezi jednáními označenými jako ohrožení míru, jeho porušení nebo útočný čin.</w:t>
      </w:r>
      <w:r>
        <w:rPr>
          <w:rStyle w:val="Znakapoznpodarou"/>
        </w:rPr>
        <w:footnoteReference w:id="76"/>
      </w:r>
      <w:r>
        <w:t xml:space="preserve"> Rozhodnutí jestli, a případně pod kterou kategorii </w:t>
      </w:r>
      <w:r>
        <w:lastRenderedPageBreak/>
        <w:t xml:space="preserve">se konkrétní použití síly bude vztahovat náleží Radě bezpečnosti OSN, která má následně pravomoc na základě čl. 24 odst. 2 Charty OSN možnost činit opatření k zachování mezinárodního míru a bezpečnosti. V případě porušení zákazu použití síly v mezinárodních vztazích podle čl. 2 odst. 4 Charty OSN by se použily především opatření podle článků 40 až 42 Charty OSN. </w:t>
      </w:r>
    </w:p>
    <w:p w14:paraId="31FC6B64" w14:textId="3490A3B8" w:rsidR="009A0ACB" w:rsidRDefault="009A0ACB" w:rsidP="009A0ACB">
      <w:pPr>
        <w:jc w:val="both"/>
      </w:pPr>
      <w:r>
        <w:tab/>
        <w:t>Jako první pojem je uvedeno v čl. 39 Charty OSN „ohrožení míru“, jedná se o pojem nejobecnější, jelikož k tomu, aby byl ohrožen mír mezi státy nemusí dojít k žádné konkrétní akci, která by způsobila jakékoli následky. Nejenom pouhá hrozba vzniku ozbrojeného konfliktu, ale pak i následná činnost může být nadále považována za ohrožování míru. Jako příklad konkrétních činností můžeme uvést záměrné cílení na civilní obyvatelstvo nebo jiné chráněné osoby a páchání systematického, zjevného a rozsáhlého porušování humanitárního práva v rámci ozbrojeného konfliktu.</w:t>
      </w:r>
      <w:r>
        <w:rPr>
          <w:rStyle w:val="Znakapoznpodarou"/>
        </w:rPr>
        <w:footnoteReference w:id="77"/>
      </w:r>
      <w:r>
        <w:t xml:space="preserve"> Příkladem ohrožení mezinárodního míru a bezpečnosti jiným, než humanitárním způsobem</w:t>
      </w:r>
      <w:r w:rsidR="00DB47AD">
        <w:t>,</w:t>
      </w:r>
      <w:r>
        <w:t xml:space="preserve"> může být například výskyt HIV</w:t>
      </w:r>
      <w:r>
        <w:rPr>
          <w:rStyle w:val="Znakapoznpodarou"/>
        </w:rPr>
        <w:footnoteReference w:id="78"/>
      </w:r>
      <w:r>
        <w:t xml:space="preserve"> nebo pirátství.</w:t>
      </w:r>
      <w:r>
        <w:rPr>
          <w:rStyle w:val="Znakapoznpodarou"/>
        </w:rPr>
        <w:footnoteReference w:id="79"/>
      </w:r>
      <w:r>
        <w:t xml:space="preserve"> </w:t>
      </w:r>
      <w:r w:rsidRPr="003A1835">
        <w:t>Druhým pojmem, který uvádí čl. 39 Charty OSN je ,,porušení míru“, které by šlo označit za interakc</w:t>
      </w:r>
      <w:r w:rsidR="00CA187B" w:rsidRPr="003A1835">
        <w:t>i</w:t>
      </w:r>
      <w:r w:rsidRPr="003A1835">
        <w:t xml:space="preserve"> mezi ozbrojenými jednotkami proti sobě stojících států.</w:t>
      </w:r>
      <w:r w:rsidRPr="003A1835">
        <w:rPr>
          <w:rStyle w:val="Znakapoznpodarou"/>
        </w:rPr>
        <w:footnoteReference w:id="80"/>
      </w:r>
      <w:r w:rsidRPr="003A1835">
        <w:t xml:space="preserve"> Pro to, aby bylo určité jednání označené jako porušující mír, nepostačuje pouhá interakce mezi proti sobě stojícími ozbrojenými jednotkami, ale musí zde zcela jistě dojít i k negativním účinkům plynoucím z tohoto působení ve sféře napadeného státu.</w:t>
      </w:r>
      <w:r w:rsidRPr="003A1835">
        <w:rPr>
          <w:rStyle w:val="Znakapoznpodarou"/>
        </w:rPr>
        <w:footnoteReference w:id="81"/>
      </w:r>
      <w:r>
        <w:t xml:space="preserve"> Posledním pojmem uvedeným v čl. 39 Charty OSN je „útočný čin“. Útočný čin nebo také agrese je oproti dvěma předchozím pojmům jednoznačně definován. Definici agrese nalezneme v rezoluci Valného shromáždění OSN A/RES/3314 z roku 1974. Jako agrese je zde označeno </w:t>
      </w:r>
      <w:r w:rsidRPr="00C128E6">
        <w:t xml:space="preserve">použití ozbrojené síly státem proti svrchovanosti, územní celistvosti nebo politické nezávislosti jiného státu nebo jakýmkoli jiným způsobem, který není v souladu s Chartou </w:t>
      </w:r>
      <w:r>
        <w:t>OSN.</w:t>
      </w:r>
      <w:r>
        <w:rPr>
          <w:rStyle w:val="Znakapoznpodarou"/>
        </w:rPr>
        <w:footnoteReference w:id="82"/>
      </w:r>
      <w:r>
        <w:t xml:space="preserve"> Rezoluce také ve svém čl. 3 uvádí výčet jednání, které jsou považována za akt agrese, přičemž čl. 4 rovněž stanovuje, že se nejedná o výčet taxativní. Jako stále aktuální případ agrese můžeme uvést jednání Ruské federace </w:t>
      </w:r>
      <w:r>
        <w:lastRenderedPageBreak/>
        <w:t>na území Ukrajiny, které bylo označeno za agresi v rezolucí Valného shromáždění OSN A/RES/ES-11/1.</w:t>
      </w:r>
      <w:r>
        <w:rPr>
          <w:rStyle w:val="Znakapoznpodarou"/>
        </w:rPr>
        <w:footnoteReference w:id="83"/>
      </w:r>
      <w:r>
        <w:t xml:space="preserve"> </w:t>
      </w:r>
    </w:p>
    <w:p w14:paraId="3BB09A0B" w14:textId="2923C94F" w:rsidR="009A0ACB" w:rsidRDefault="009A0ACB" w:rsidP="009A0ACB">
      <w:pPr>
        <w:jc w:val="both"/>
      </w:pPr>
      <w:r>
        <w:tab/>
        <w:t>Otázka, jak by výše uvedená pravidla ius ad bellum mohl</w:t>
      </w:r>
      <w:r w:rsidR="00146C9E">
        <w:t>a být</w:t>
      </w:r>
      <w:r>
        <w:t xml:space="preserve"> poruš</w:t>
      </w:r>
      <w:r w:rsidR="00146C9E">
        <w:t>ena</w:t>
      </w:r>
      <w:r>
        <w:t xml:space="preserve"> autonomní</w:t>
      </w:r>
      <w:r w:rsidR="00146C9E">
        <w:t xml:space="preserve">mi </w:t>
      </w:r>
      <w:r>
        <w:t>zbraňov</w:t>
      </w:r>
      <w:r w:rsidR="00146C9E">
        <w:t>ými</w:t>
      </w:r>
      <w:r>
        <w:t xml:space="preserve"> systémy bude rozebrán</w:t>
      </w:r>
      <w:r w:rsidR="00B6535C">
        <w:t>a</w:t>
      </w:r>
      <w:r>
        <w:t xml:space="preserve"> v tomto odstavci. Základní pravidlo uvedené v čl.2 odst. 4 Charty OSN spočívající v zákazu použití síly v mezinárodních vztazích nespecifikuje, jaký konkrétní druh síly by to měl být. Z toho vyplývá, že násilí je zde míněno obecně jakékoli. Aby tedy stát vlastnící autonomní zbraňové systémy mohl porušit čl. 2 odst. 4 Charty OSN, musel by se skrze takové zbraně uchýlit k použití násilí spočívajícímu ve vojenské aktivitě, což obecné užití síly zcela bez pochyby je, a to ať už by se jednalo nejenom a autonomní zbraňový systém, tak i o jakoukoli jinou zbraň, nebylo by sporu o tom, že stát, který tuto zbraň použil proti jinému státu,  tím porušuje čl. 2 odst. 4 Charty OSN. Ovšem ve vztahu k autonomním zbraňovým systémům, na rozdíl od obyčejných zbraní, se ještě nabízí otázka odpovědnosti za jednání v podstatě samostatně uvažující zbraně, která bude zmíněna v následující podkapitole.</w:t>
      </w:r>
    </w:p>
    <w:p w14:paraId="47DE8537" w14:textId="72DAC004" w:rsidR="00133A26" w:rsidRDefault="00B6535C" w:rsidP="00B07BA9">
      <w:pPr>
        <w:ind w:firstLine="708"/>
        <w:jc w:val="both"/>
      </w:pPr>
      <w:r>
        <w:t>Je zde rovněž otázka</w:t>
      </w:r>
      <w:r w:rsidR="009A0ACB">
        <w:t xml:space="preserve">, zda je použitím autonomních zbraňových systémů možné ohrozit nebo porušit mír či spáchat útočný čin dle znění čl. 39 Charty OSN. Ohledně požadavků na činnost, která je schopná ohrozit mír nemůže být pochyb, že použití autonomních zbraňových systémů na činnost, která nebude přímo působit fyzicky na území jiného států (například monitorování území jiného státu), může být způsobilá k ohrožení míru. Co se týče porušení míru, jako interakce mezi ozbrojenými složkami státu, která způsobuje fyzické následky na území jednoho z těchto států, tak k účelu destruktivního působení na vojenské cíle protivníka jsou zbraně (nejen autonomní) ze své podstaty stvořeny. A konečně odpověď na otázku, zda je autonomním zbraňový systéme spáchat útočný čin, si můžeme kladně odpovědět na základě rezoluce Valného shromáždění OSN A/RES/3314 z roku 1974, kde je uvedena definice agrese. Rezoluce jako agresi uvádí situaci, kdy dojde k </w:t>
      </w:r>
      <w:r w:rsidR="009A0ACB" w:rsidRPr="004E292E">
        <w:t>útok</w:t>
      </w:r>
      <w:r w:rsidR="009A0ACB">
        <w:t>u</w:t>
      </w:r>
      <w:r w:rsidR="009A0ACB" w:rsidRPr="004E292E">
        <w:t xml:space="preserve"> ozbrojených sil státu na pevninu, moře nebo letectvo nebo námořní a leteckou flotilu jiného státu</w:t>
      </w:r>
      <w:r w:rsidR="009A0ACB">
        <w:t>.</w:t>
      </w:r>
      <w:r w:rsidR="009A0ACB">
        <w:rPr>
          <w:rStyle w:val="Znakapoznpodarou"/>
        </w:rPr>
        <w:footnoteReference w:id="84"/>
      </w:r>
      <w:r w:rsidR="009A0ACB">
        <w:t xml:space="preserve"> Z tohoto vyplývá, že pokud by bylo k útoku použito autonomního zbraňového systému, jednalo by se o agresi. Autonomní zbraňové systémy tedy lze zcela jistě označit jako způsobilé k jednání popsaném v</w:t>
      </w:r>
      <w:r w:rsidR="002134EB">
        <w:t> </w:t>
      </w:r>
      <w:r w:rsidR="009A0ACB">
        <w:t>čl</w:t>
      </w:r>
      <w:r w:rsidR="002134EB">
        <w:t>.</w:t>
      </w:r>
      <w:r w:rsidR="009A0ACB">
        <w:t xml:space="preserve"> 39 Charty OSN, které je porušením zákazu použití síly v mezinárodních vztazích podle čl</w:t>
      </w:r>
      <w:r w:rsidR="002134EB">
        <w:t>.</w:t>
      </w:r>
      <w:r w:rsidR="009A0ACB">
        <w:t xml:space="preserve"> 2 odst. 4 Charty OSN. </w:t>
      </w:r>
    </w:p>
    <w:p w14:paraId="142B85CB" w14:textId="73C290FC" w:rsidR="00CA6239" w:rsidRDefault="00CA6239" w:rsidP="00E159F8">
      <w:pPr>
        <w:pStyle w:val="Nadpis1"/>
        <w:numPr>
          <w:ilvl w:val="0"/>
          <w:numId w:val="24"/>
        </w:numPr>
      </w:pPr>
      <w:bookmarkStart w:id="23" w:name="_Toc164801758"/>
      <w:r w:rsidRPr="00CA6239">
        <w:lastRenderedPageBreak/>
        <w:t>Autonomní zbraňové systémy a požadavky mezinárodního humanitárního práva</w:t>
      </w:r>
      <w:bookmarkEnd w:id="23"/>
    </w:p>
    <w:p w14:paraId="7D8F16FE" w14:textId="32220D6F" w:rsidR="00CA6239" w:rsidRDefault="00E159F8" w:rsidP="00E159F8">
      <w:pPr>
        <w:pStyle w:val="Nadpis2"/>
        <w:numPr>
          <w:ilvl w:val="1"/>
          <w:numId w:val="24"/>
        </w:numPr>
      </w:pPr>
      <w:r>
        <w:t xml:space="preserve"> </w:t>
      </w:r>
      <w:bookmarkStart w:id="24" w:name="_Toc164801759"/>
      <w:r w:rsidR="00CA6239" w:rsidRPr="009E091F">
        <w:t>Omezení užití určitého druhu zbraní</w:t>
      </w:r>
      <w:bookmarkEnd w:id="24"/>
      <w:r w:rsidR="00CA6239" w:rsidRPr="009E091F">
        <w:t xml:space="preserve"> </w:t>
      </w:r>
    </w:p>
    <w:p w14:paraId="757214C4" w14:textId="0E98184D" w:rsidR="00CA6239" w:rsidRDefault="00CA6239" w:rsidP="00CA6239">
      <w:pPr>
        <w:ind w:firstLine="432"/>
        <w:jc w:val="both"/>
      </w:pPr>
      <w:r>
        <w:t xml:space="preserve">V kontextu </w:t>
      </w:r>
      <w:r w:rsidR="00603E2F">
        <w:t>p</w:t>
      </w:r>
      <w:r>
        <w:t>roběhlých nebo probíhajících konfliktů často vznikla otázka, jestli by se nemělo změnit zacházení s civilním obyvatelstvem nebo s aktivními účastníky bojů (v dnešní terminologii je používaný termín ,,</w:t>
      </w:r>
      <w:r w:rsidRPr="00E668CA">
        <w:t>kombatant</w:t>
      </w:r>
      <w:r>
        <w:t>“ pro osobu jakkoli aktivně se účastnící bojů a s tím rovněž vznikajícími právy i povinnostmi)</w:t>
      </w:r>
      <w:r>
        <w:rPr>
          <w:rStyle w:val="Znakapoznpodarou"/>
        </w:rPr>
        <w:footnoteReference w:id="85"/>
      </w:r>
      <w:r w:rsidR="00603E2F">
        <w:t xml:space="preserve"> </w:t>
      </w:r>
      <w:r>
        <w:t>na obou stranách, ať už se jednalo o osoby aktivně se bojů účastnících nebo například zraněných nebo zajatců. Tento proces humanizace můžeme začít spatřovat již v 18. století, kdy se začínají objevovat protesty proti krutosti a nehumánnosti se kterou jsou nejen války</w:t>
      </w:r>
      <w:r w:rsidR="00603E2F">
        <w:t xml:space="preserve"> a </w:t>
      </w:r>
      <w:r>
        <w:t xml:space="preserve">bitvy vedeny. Tuto myšlenku, která se týká </w:t>
      </w:r>
      <w:r w:rsidR="00603E2F">
        <w:t>důsledků</w:t>
      </w:r>
      <w:r>
        <w:t xml:space="preserve"> válečného konfliktu výstižně vykresluje výrok Emera de Vattel: </w:t>
      </w:r>
      <w:r w:rsidRPr="006E25DA">
        <w:rPr>
          <w:i/>
          <w:iCs/>
        </w:rPr>
        <w:t>,,Zatížen vším zlem, kter</w:t>
      </w:r>
      <w:r>
        <w:rPr>
          <w:i/>
          <w:iCs/>
        </w:rPr>
        <w:t>é</w:t>
      </w:r>
      <w:r w:rsidRPr="006E25DA">
        <w:rPr>
          <w:i/>
          <w:iCs/>
        </w:rPr>
        <w:t xml:space="preserve"> bezdůvodně způsobil svým poddaným, je vinen ještě vším oním zlem, které vnesl do národa nevinného, prolitá krev,</w:t>
      </w:r>
      <w:r>
        <w:rPr>
          <w:i/>
          <w:iCs/>
        </w:rPr>
        <w:t xml:space="preserve"> </w:t>
      </w:r>
      <w:r w:rsidRPr="006E25DA">
        <w:rPr>
          <w:i/>
          <w:iCs/>
        </w:rPr>
        <w:t>města vypleněná, kraje zničené, hle, toť jeho zločiny“</w:t>
      </w:r>
      <w:r>
        <w:rPr>
          <w:rStyle w:val="Znakapoznpodarou"/>
          <w:i/>
          <w:iCs/>
        </w:rPr>
        <w:footnoteReference w:id="86"/>
      </w:r>
      <w:r>
        <w:rPr>
          <w:i/>
          <w:iCs/>
        </w:rPr>
        <w:t>,</w:t>
      </w:r>
      <w:r>
        <w:t xml:space="preserve"> z něhož je zřejmý důraz na škody způsobené civilnímu obyvatelstvu. Do té doby</w:t>
      </w:r>
      <w:r w:rsidR="00603E2F">
        <w:t xml:space="preserve"> nebylo komplexně</w:t>
      </w:r>
      <w:r>
        <w:t> vedení války ničím omezeno</w:t>
      </w:r>
      <w:r w:rsidR="00603E2F">
        <w:t xml:space="preserve"> nebylo tedy možné vyvozovat </w:t>
      </w:r>
      <w:r>
        <w:t xml:space="preserve">ani žádné postihy, </w:t>
      </w:r>
      <w:r w:rsidR="005F65E8">
        <w:t xml:space="preserve">které jsou dnes považovány za závažné zločiny, například vedení </w:t>
      </w:r>
      <w:r>
        <w:t>útočné války</w:t>
      </w:r>
      <w:r w:rsidR="00603E2F">
        <w:t>.</w:t>
      </w:r>
      <w:r>
        <w:rPr>
          <w:rStyle w:val="Znakapoznpodarou"/>
        </w:rPr>
        <w:footnoteReference w:id="87"/>
      </w:r>
      <w:r>
        <w:t xml:space="preserve"> </w:t>
      </w:r>
    </w:p>
    <w:p w14:paraId="6CF7DB2C" w14:textId="0F4BC618" w:rsidR="00DC429A" w:rsidRDefault="00CA6239" w:rsidP="00603E2F">
      <w:pPr>
        <w:ind w:firstLine="432"/>
        <w:jc w:val="both"/>
      </w:pPr>
      <w:r>
        <w:t>Historicky existuje mnoho smluv, které se týkají regulace, omezení nebo úplného zákazu určitých druhů zbraní. Paradoxně je</w:t>
      </w:r>
      <w:r w:rsidRPr="009C09B7">
        <w:t xml:space="preserve"> </w:t>
      </w:r>
      <w:r>
        <w:t>zajímavé, že úpravy týkající se regulace zbraní slavily mnohem větší úspěch v rámci vnitrostátních úprav než v rámci úprav mezinárodních. Za zmínku stojí např. zákaz používání planých zbraní v Japonsku z roku 1607</w:t>
      </w:r>
      <w:r>
        <w:rPr>
          <w:rStyle w:val="Znakapoznpodarou"/>
        </w:rPr>
        <w:footnoteReference w:id="88"/>
      </w:r>
      <w:r>
        <w:t>, který zde byl po dlouhou dobu dodržován. Zajímavostí je, že úprava směřovala naopak proti palným zbraním, které se v té době stávaly významnou součástí tehdejšího světa a v představovaly výrazný technologický pokrok. Ovšem vnitrostátní smlouvy tohoto typu nejsou zas tak časté. Oproti tomu</w:t>
      </w:r>
      <w:r w:rsidR="00502970">
        <w:t>,</w:t>
      </w:r>
      <w:r>
        <w:t xml:space="preserve"> </w:t>
      </w:r>
      <w:r w:rsidR="00D54EB0">
        <w:t>k</w:t>
      </w:r>
      <w:r>
        <w:t>dyž se zaměříme na</w:t>
      </w:r>
      <w:r w:rsidR="002E61BC">
        <w:t xml:space="preserve"> smlouvy mezinárodní a</w:t>
      </w:r>
      <w:r>
        <w:t xml:space="preserve"> úspěšnost, se kterou jednotlivé smlouvy skutečně účinkovali, zjistíme, že rozhodně ne všechny smlouvy svůj účel splnily a mnohdy nedocházelo</w:t>
      </w:r>
      <w:r w:rsidR="002E61BC">
        <w:t>,</w:t>
      </w:r>
      <w:r>
        <w:t xml:space="preserve"> nebo stále ještě</w:t>
      </w:r>
      <w:r w:rsidR="002E61BC">
        <w:t xml:space="preserve"> aktuálně</w:t>
      </w:r>
      <w:r>
        <w:t xml:space="preserve"> </w:t>
      </w:r>
      <w:r>
        <w:lastRenderedPageBreak/>
        <w:t>nedochází</w:t>
      </w:r>
      <w:r w:rsidR="002E61BC">
        <w:t xml:space="preserve"> </w:t>
      </w:r>
      <w:r>
        <w:t>k zamýšlené a účinné regulaci určitých druhů zbraní</w:t>
      </w:r>
      <w:r w:rsidR="00673667">
        <w:t>.</w:t>
      </w:r>
      <w:r>
        <w:rPr>
          <w:rStyle w:val="Znakapoznpodarou"/>
        </w:rPr>
        <w:footnoteReference w:id="89"/>
      </w:r>
      <w:r w:rsidR="00673667">
        <w:t xml:space="preserve"> </w:t>
      </w:r>
      <w:r>
        <w:t>Můžeme</w:t>
      </w:r>
      <w:r w:rsidR="000F793E">
        <w:t xml:space="preserve"> </w:t>
      </w:r>
      <w:r>
        <w:t>zmínit dohody, ke kterým některé státy nepřistoupily, a to i přes to, že tendence k omezení těchto zbraní v dané době značně rezonovaly v mezinárodním společenství. Jako příklad můžeme uvést Haagské úmluvy z roku 1899 a 1907, kterými bylo zakázané použití projektilů shazovaných z balonů a také obecně bombardování ze vzduchu</w:t>
      </w:r>
      <w:r w:rsidR="00145FDD">
        <w:t>, které</w:t>
      </w:r>
      <w:r>
        <w:t xml:space="preserve"> neměly valného účinku</w:t>
      </w:r>
      <w:r w:rsidR="00145FDD">
        <w:t>.</w:t>
      </w:r>
      <w:r>
        <w:rPr>
          <w:rStyle w:val="Znakapoznpodarou"/>
        </w:rPr>
        <w:footnoteReference w:id="90"/>
      </w:r>
      <w:r w:rsidR="00145FDD">
        <w:t xml:space="preserve"> </w:t>
      </w:r>
      <w:r>
        <w:t>Důvody, které vedou státy k tomu, aby tyto dohody porušovaly, vůbec neuzavíraly nebo si v rámci těchto dohod vyjednávaly různé výjimky pro zbraně, které momentálně již vlastní</w:t>
      </w:r>
      <w:r w:rsidR="001373E7">
        <w:t>,</w:t>
      </w:r>
      <w:r>
        <w:t xml:space="preserve"> jsou v zásadě trojího typu. Účinnost mezinárodních smluv, vynucování jejich dodržování a ochota států vůbec tyto dohody dodržovat je závislá na tom, jak je daná zbraň vnímaná protistranou jako efektivní (hlavně s ohledem na její destruktivní účinky)</w:t>
      </w:r>
      <w:r w:rsidR="00D85526">
        <w:t>. Dále</w:t>
      </w:r>
      <w:r>
        <w:t xml:space="preserve"> na tom, jak je daná zbraň schopná poskytnout výjimečnou výhodu nad protistranou, a nakonec i tím, kolik stran danou zbraní disponuje a tím pádem, jak moc je složité dosáhnout konsenzu ohledně používání daného druhu zbraní.</w:t>
      </w:r>
      <w:r>
        <w:rPr>
          <w:rStyle w:val="Znakapoznpodarou"/>
        </w:rPr>
        <w:footnoteReference w:id="91"/>
      </w:r>
      <w:r>
        <w:t xml:space="preserve"> Ovšem jako hlavní kritérium, které bylo hlavním motivem pro vývoj nových zbraní je zcela bez pochyby kritérium spočívající v poskytnutí rozhodující výhody nad protivníkem.</w:t>
      </w:r>
      <w:r>
        <w:rPr>
          <w:rStyle w:val="Znakapoznpodarou"/>
        </w:rPr>
        <w:footnoteReference w:id="92"/>
      </w:r>
      <w:r>
        <w:t xml:space="preserve"> Přičemž prvek zisku výhody nad protivníkem je nutné opět korigovat přes obecné principy, které omezují volnost stran při volbě prostředků, kterými zamýšlejí zásadní výhodu získat. Jsou jimi princip rozlišování, který zakazuje cílenou aktivitu proti osobám a předmětům nesouvisejícím s vojenskými silami protivníka. Dále princip zamezení nadměrného utrpení, který omezuje intenzitu a rozsah prostředků potřebných pro eliminaci nepřátelských sil, a nakonec i princip proporcionality, který omezuje možnost řízení útoků proti vojenským cílům v závislosti na způsobení vedlejších škod na civilních objektech.</w:t>
      </w:r>
      <w:r>
        <w:rPr>
          <w:rStyle w:val="Znakapoznpodarou"/>
        </w:rPr>
        <w:footnoteReference w:id="93"/>
      </w:r>
      <w:r w:rsidR="00D85526">
        <w:t xml:space="preserve"> O všech těchto aspektech bude pojednáno v následujícím výkladu.  </w:t>
      </w:r>
    </w:p>
    <w:p w14:paraId="52C9F422" w14:textId="21D0D518" w:rsidR="00CA6239" w:rsidRPr="00CA6239" w:rsidRDefault="00CA6239" w:rsidP="00E159F8">
      <w:pPr>
        <w:pStyle w:val="Nadpis2"/>
        <w:numPr>
          <w:ilvl w:val="1"/>
          <w:numId w:val="22"/>
        </w:numPr>
      </w:pPr>
      <w:bookmarkStart w:id="25" w:name="_Toc164801760"/>
      <w:r w:rsidRPr="00CA6239">
        <w:lastRenderedPageBreak/>
        <w:t>Obecné pravidla omezující používání zbraní v mezinárodním humanitárním právu</w:t>
      </w:r>
      <w:bookmarkEnd w:id="25"/>
    </w:p>
    <w:p w14:paraId="26F914A5" w14:textId="77777777" w:rsidR="0069770B" w:rsidRDefault="00CA6239" w:rsidP="0069770B">
      <w:pPr>
        <w:jc w:val="both"/>
      </w:pPr>
      <w:r>
        <w:t>Obecně je právní úprava vedení ozbrojených konfliktů založená na skupině mezinárodních smluv, tradičně označovaných jako Haagské právo a Ženevské právo. V rámci Haagského práva se jedná o úmluvy přijaté v roce 1899 a následně revidované roku 1907, které upravují některé aspekty vedení války na zemi, moři a ve vzduchu. Haagská úmluva (IV) o zákonech a obyčejích pozemní války z roku 1907 je příkladem mezinárodní úmluvy, jíž byl přiznán charakter obyčejového práva.</w:t>
      </w:r>
      <w:r>
        <w:rPr>
          <w:rStyle w:val="Znakapoznpodarou"/>
        </w:rPr>
        <w:footnoteReference w:id="94"/>
      </w:r>
      <w:r>
        <w:t xml:space="preserve"> Ženevské právo vychází z původní Ženevské úmluvy z roku 1864, která byla postupně doplňována, až nakonec vznikly čtyři samostatné úmluvy doplněné třemi dodatkovými protokoly. Ženevské úmluvy chrání především raněné a nemocné příslušníky ozbrojených sil v poli,</w:t>
      </w:r>
      <w:r>
        <w:rPr>
          <w:rStyle w:val="Znakapoznpodarou"/>
        </w:rPr>
        <w:footnoteReference w:id="95"/>
      </w:r>
      <w:r>
        <w:t xml:space="preserve"> raněné, nemocné a trosečníky ozbrojených sil na moři,</w:t>
      </w:r>
      <w:r>
        <w:rPr>
          <w:rStyle w:val="Znakapoznpodarou"/>
        </w:rPr>
        <w:footnoteReference w:id="96"/>
      </w:r>
      <w:r>
        <w:t xml:space="preserve"> válečné zajatce</w:t>
      </w:r>
      <w:r>
        <w:rPr>
          <w:rStyle w:val="Znakapoznpodarou"/>
        </w:rPr>
        <w:footnoteReference w:id="97"/>
      </w:r>
      <w:r>
        <w:t xml:space="preserve"> a civilní osoby za války.</w:t>
      </w:r>
      <w:r>
        <w:rPr>
          <w:rStyle w:val="Znakapoznpodarou"/>
        </w:rPr>
        <w:footnoteReference w:id="98"/>
      </w:r>
      <w:r>
        <w:t xml:space="preserve"> Smluvní systémy Haagského a Ženevského práva jsou mezi sebou propojené a vzájemně se v mnoha normách prolínají a má se za to, že společně vytvářejí systém mezinárodního humanitárního práva.</w:t>
      </w:r>
      <w:r>
        <w:rPr>
          <w:rStyle w:val="Znakapoznpodarou"/>
        </w:rPr>
        <w:footnoteReference w:id="99"/>
      </w:r>
      <w:r>
        <w:t xml:space="preserve"> Zajímavým prvkem, který ovlivňuje pohled válčících stran na vedení válečného konfliktu jsou i tzv. „</w:t>
      </w:r>
      <w:r w:rsidRPr="004F6D5D">
        <w:rPr>
          <w:i/>
          <w:iCs/>
        </w:rPr>
        <w:t>restatements</w:t>
      </w:r>
      <w:r>
        <w:t>“, které spočívají v přeformulovávání stávajícího zvykového práva, poskytov</w:t>
      </w:r>
      <w:r w:rsidR="00CE130B">
        <w:t>ání</w:t>
      </w:r>
      <w:r>
        <w:t xml:space="preserve"> výklad</w:t>
      </w:r>
      <w:r w:rsidR="00CE130B">
        <w:t>u</w:t>
      </w:r>
      <w:r>
        <w:t xml:space="preserve"> a definic na základě pohledu skupin odborníků v dané oblasti. Tyto restatementy mohou hrát významnou roli při zachycení mezinárodního obyčeje, který by případně mohl být v budoucnu vyjádřen i mezinárodní smlouvou</w:t>
      </w:r>
      <w:r w:rsidR="008A640F">
        <w:t>.</w:t>
      </w:r>
      <w:r>
        <w:t xml:space="preserve"> </w:t>
      </w:r>
      <w:r w:rsidR="008A640F">
        <w:t>R</w:t>
      </w:r>
      <w:r>
        <w:t xml:space="preserve">ovněž není vyloučeno, aby se určitý restatement, i přes to, že nejde o mezinárodní obyčej nebo povinnost plynoucí z mezinárodní smlouvy, stal inspirací pro budoucí obecnou praxi států. Mezi významné restatementy můžeme uvést Manuál o </w:t>
      </w:r>
      <w:r w:rsidRPr="00B53435">
        <w:t>mezinárodním právu použitelném pro ozbrojené konflikty na moři</w:t>
      </w:r>
      <w:r>
        <w:t>, vytvořený roku 1994 Mezinárodním humanitárním institutem v San Remu.</w:t>
      </w:r>
      <w:r>
        <w:rPr>
          <w:rStyle w:val="Znakapoznpodarou"/>
        </w:rPr>
        <w:footnoteReference w:id="100"/>
      </w:r>
    </w:p>
    <w:p w14:paraId="3F64F10B" w14:textId="016C00A2" w:rsidR="00CA6239" w:rsidRDefault="000D50F5" w:rsidP="004B609B">
      <w:pPr>
        <w:ind w:firstLine="708"/>
        <w:jc w:val="both"/>
      </w:pPr>
      <w:r>
        <w:lastRenderedPageBreak/>
        <w:t>P</w:t>
      </w:r>
      <w:r w:rsidR="00CA6239">
        <w:t>ro náš další výklad bude</w:t>
      </w:r>
      <w:r>
        <w:t xml:space="preserve"> ovšem</w:t>
      </w:r>
      <w:r w:rsidR="00CA6239">
        <w:t xml:space="preserve"> klíčový soubor pravidel označovaný jako ,,haagské právo“, jelikož ten se zaměřuje na právní úpravu použití zbraňových systémů a způsobu vedení bojových operací. </w:t>
      </w:r>
      <w:r w:rsidR="00DD00B9">
        <w:t>Ú</w:t>
      </w:r>
      <w:r w:rsidR="00CA6239">
        <w:t>prav</w:t>
      </w:r>
      <w:r w:rsidR="00D56DC9">
        <w:t>u</w:t>
      </w:r>
      <w:r w:rsidR="00CA6239">
        <w:t xml:space="preserve"> použití zbraní při vedení mezinárodních konfliktů, najdeme</w:t>
      </w:r>
      <w:r w:rsidR="00D56DC9">
        <w:t xml:space="preserve"> </w:t>
      </w:r>
      <w:r w:rsidR="00CA6239">
        <w:t>především v rámci Dodatkového protokolu k Ženevským úmluvám ze dne 12. srpna 1949, o ochraně obětí mezinárodních konfliktů. Tato úmluva obecně stanovuje určité požadavky pro používání zbraní, v rámci ozbrojen</w:t>
      </w:r>
      <w:r w:rsidR="00906B35">
        <w:t>ých</w:t>
      </w:r>
      <w:r w:rsidR="00CA6239">
        <w:t xml:space="preserve"> konflikt</w:t>
      </w:r>
      <w:r w:rsidR="00906B35">
        <w:t xml:space="preserve">ů </w:t>
      </w:r>
      <w:r w:rsidR="00CA6239">
        <w:t>jako takových. Jedná se především o požadavky spočívající v zákazu použití zbraní, které nemají rozlišující účinek</w:t>
      </w:r>
      <w:r w:rsidR="00CA6239">
        <w:rPr>
          <w:rStyle w:val="Znakapoznpodarou"/>
        </w:rPr>
        <w:footnoteReference w:id="101"/>
      </w:r>
      <w:r w:rsidR="00A258EB">
        <w:t xml:space="preserve"> </w:t>
      </w:r>
      <w:r w:rsidR="00CA6239">
        <w:t>a způsobují nadměrná zranění nebo zbytečné útrapy.</w:t>
      </w:r>
      <w:r w:rsidR="00CA6239">
        <w:rPr>
          <w:rStyle w:val="Znakapoznpodarou"/>
        </w:rPr>
        <w:footnoteReference w:id="102"/>
      </w:r>
      <w:r w:rsidR="00CA6239">
        <w:t xml:space="preserve"> Důležit</w:t>
      </w:r>
      <w:r w:rsidR="00F65E23">
        <w:t>á</w:t>
      </w:r>
      <w:r w:rsidR="00CA6239">
        <w:t xml:space="preserve"> je zde povaha těchto omezujících pravidel, které jsou uznávané za mezinárodní obyčej, a tedy jejich působnost není omezena pouze na smluvní strany, které ratifikovaly Dodatkový protokol I., ale i na státy, které tak neučinily.</w:t>
      </w:r>
      <w:r w:rsidR="00CA6239">
        <w:rPr>
          <w:rStyle w:val="Znakapoznpodarou"/>
        </w:rPr>
        <w:footnoteReference w:id="103"/>
      </w:r>
      <w:r w:rsidR="00CA6239">
        <w:t xml:space="preserve"> Dalším omezením, které poskytuje Dodatkový protokol I. je zákaz vedení války způsobem, kterým je poškozeno nebo </w:t>
      </w:r>
      <w:r w:rsidR="004B609B">
        <w:t xml:space="preserve">ohroženo </w:t>
      </w:r>
      <w:r w:rsidR="00CA6239">
        <w:t>životní prostředí.</w:t>
      </w:r>
      <w:r w:rsidR="00CA6239">
        <w:rPr>
          <w:rStyle w:val="Znakapoznpodarou"/>
        </w:rPr>
        <w:footnoteReference w:id="104"/>
      </w:r>
    </w:p>
    <w:p w14:paraId="1E800A71" w14:textId="2258D175" w:rsidR="00CA6239" w:rsidRPr="008150A2" w:rsidRDefault="00CA6239" w:rsidP="00C028AD">
      <w:pPr>
        <w:pStyle w:val="Nadpis3"/>
        <w:numPr>
          <w:ilvl w:val="2"/>
          <w:numId w:val="21"/>
        </w:numPr>
      </w:pPr>
      <w:bookmarkStart w:id="26" w:name="_Toc164801761"/>
      <w:r w:rsidRPr="008150A2">
        <w:t>Zbraně s nerozlišujícím charakterem</w:t>
      </w:r>
      <w:bookmarkEnd w:id="26"/>
      <w:r w:rsidRPr="008150A2">
        <w:t xml:space="preserve"> </w:t>
      </w:r>
    </w:p>
    <w:p w14:paraId="311D438E" w14:textId="1FB11D51" w:rsidR="00CA6239" w:rsidRDefault="00CA6239" w:rsidP="00CA6239">
      <w:pPr>
        <w:ind w:firstLine="708"/>
        <w:jc w:val="both"/>
      </w:pPr>
      <w:r>
        <w:t>Zbraně, které nemají rozlišující účinky, jsou zakázány čl. 51 Dodatkového protokolu I., lze podle odst. 4 pís. b)  téhož článku definovat jako prostředky, které neumožňují zaměření na konkrétní vojenský objekt a podle odst. 4 pís. c) jako prostředky jejichž účinek nelze omezit, takže při každém použití zasahují vojenské i civilní cíle nebo objekty bez rozdílu. Podmínk</w:t>
      </w:r>
      <w:r w:rsidR="009D697B">
        <w:t>a</w:t>
      </w:r>
      <w:r>
        <w:t xml:space="preserve"> pro stanovení zákazu zbraní, kter</w:t>
      </w:r>
      <w:r w:rsidR="009D697B">
        <w:t>é</w:t>
      </w:r>
      <w:r>
        <w:t xml:space="preserve"> nemají rozlišující charakter plyne z čl. 48 Dodatkového protokolu I., kde je vyjádřeno základní pravidlo striktního rozlišování mezi civilním obyvatelstvem a kombatanty a mezi objekty civilního rázu a vojenskými objekty</w:t>
      </w:r>
      <w:r w:rsidR="00F066AC">
        <w:t>.</w:t>
      </w:r>
      <w:r>
        <w:t xml:space="preserve"> </w:t>
      </w:r>
      <w:r w:rsidR="00F066AC">
        <w:t xml:space="preserve">K tomuto rozlišování </w:t>
      </w:r>
      <w:r>
        <w:t>jsou strany konfliktu povinny. Z tohoto pravidla lze logicky dovodit, že pokud mají strany konfliktu striktně rozlišovat mezi kombatanty a civilním obyvatelstvem, je nutné, aby jimi používané zbraně byly takovéhoto rozlišování schopné.</w:t>
      </w:r>
      <w:r>
        <w:rPr>
          <w:rStyle w:val="Znakapoznpodarou"/>
        </w:rPr>
        <w:footnoteReference w:id="105"/>
      </w:r>
      <w:r>
        <w:t xml:space="preserve"> Za zbraně, které nemohou být podle požadavk</w:t>
      </w:r>
      <w:r w:rsidR="00EE38C8">
        <w:t>ů</w:t>
      </w:r>
      <w:r>
        <w:t xml:space="preserve"> čl. 51 odst. 4 pís. b) Dodatkového protokolu I. zaměřeny na konkrétní vojenské objekty</w:t>
      </w:r>
      <w:r w:rsidR="005B6666">
        <w:t>,</w:t>
      </w:r>
      <w:r>
        <w:t xml:space="preserve"> je nutné považovat takové zbraně, které nejsou ze své podstaty a konstrukčního řešení schopné takovéhoto zaměření.</w:t>
      </w:r>
      <w:r>
        <w:rPr>
          <w:rStyle w:val="Znakapoznpodarou"/>
        </w:rPr>
        <w:footnoteReference w:id="106"/>
      </w:r>
      <w:r>
        <w:t xml:space="preserve"> Jako </w:t>
      </w:r>
      <w:r>
        <w:lastRenderedPageBreak/>
        <w:t>příklad takového druhu zbraní můžeme uvést protipěchotní miny</w:t>
      </w:r>
      <w:r>
        <w:rPr>
          <w:rStyle w:val="Znakapoznpodarou"/>
        </w:rPr>
        <w:footnoteReference w:id="107"/>
      </w:r>
      <w:r>
        <w:t xml:space="preserve"> nebo využití tak zvaného </w:t>
      </w:r>
      <w:r w:rsidR="00D22896" w:rsidRPr="00D22896">
        <w:rPr>
          <w:i/>
          <w:iCs/>
        </w:rPr>
        <w:t>„</w:t>
      </w:r>
      <w:r w:rsidRPr="00D22896">
        <w:rPr>
          <w:i/>
          <w:iCs/>
        </w:rPr>
        <w:t>kobercového bombardování</w:t>
      </w:r>
      <w:r w:rsidR="00D22896">
        <w:rPr>
          <w:i/>
          <w:iCs/>
        </w:rPr>
        <w:t>,</w:t>
      </w:r>
      <w:r w:rsidR="00D22896" w:rsidRPr="00D22896">
        <w:rPr>
          <w:i/>
          <w:iCs/>
        </w:rPr>
        <w:t>“</w:t>
      </w:r>
      <w:r>
        <w:t xml:space="preserve"> které by splňovalo jak podmínky čl. 51 odst. 4, tak je příkladem typu útoku, který předpokládá a konkrétně označuje jako nerozlišující i čl. 51 odst. 5 pís. a) Dodatkového protokolu I. Samostatný odstavec je kobercovému bombardování věnován především z důvodu jeho častému využívání v minulosti.</w:t>
      </w:r>
      <w:r>
        <w:rPr>
          <w:rStyle w:val="Znakapoznpodarou"/>
        </w:rPr>
        <w:footnoteReference w:id="108"/>
      </w:r>
      <w:r>
        <w:t xml:space="preserve"> Druhým výše předpokládaným druhem zbraní podle čl. 51 odst. 4 pís. c) jsou zbraně, jejichž účinek nelze omezit, takže při každém použití zasahují vojenské i civilní cíle nebo objekty bez rozdílu. Příkladem takového účinku může být použití většího množství výbušniny, než je nutné, na zničení malého cíle nebo činnost jedné strany konfliktu spočívající v otravování studní. Ovšem musí se rozlišovat samotný přímý účinek zbraně např. využití ohně, který by mohl být v konkrétním případě v pořádku, od případného požáru, který by se následně </w:t>
      </w:r>
      <w:r w:rsidR="00D22896">
        <w:t>nekontrolovaně rozšíř</w:t>
      </w:r>
      <w:r w:rsidR="00F319BB">
        <w:t>i</w:t>
      </w:r>
      <w:r w:rsidR="00D22896">
        <w:t>l.</w:t>
      </w:r>
      <w:r>
        <w:rPr>
          <w:rStyle w:val="Znakapoznpodarou"/>
        </w:rPr>
        <w:footnoteReference w:id="109"/>
      </w:r>
    </w:p>
    <w:p w14:paraId="4AB56265" w14:textId="68BE63F2" w:rsidR="00CA6239" w:rsidRDefault="00CA6239" w:rsidP="00CA6239">
      <w:pPr>
        <w:ind w:firstLine="708"/>
        <w:jc w:val="both"/>
      </w:pPr>
      <w:r>
        <w:t>Proto</w:t>
      </w:r>
      <w:r w:rsidR="00F319BB">
        <w:t>,</w:t>
      </w:r>
      <w:r>
        <w:t xml:space="preserve"> aby dle výše uvedených kritérií, bylo možné nějaký prostředek označit jako zbraň, která nemá rozlišující účinek je nutné zdůraznit základní kritérium pro takové hodnocení. To je skutečnost, že určitá zbraň ze své podstaty nedisponuje rozlišujícími účinky vůbec. Tedy, že není možné ji zacílit na konkrétní vojenský objekt nebo pokud z jejího účinku nelze vyloučit civilisty a civilní objekty. Taková zbraň odporuje požadavkům čl. 51 odst. 4 Dodatkového protokolu I., naopak nelze tento článek vztahovat na případ, kdy je zbraň, která je schopná cíleně rozlišit a zasáhnout vojenské objekty, použita nerozlišujícím způsobem.</w:t>
      </w:r>
    </w:p>
    <w:p w14:paraId="2B8CA54B" w14:textId="7D554353" w:rsidR="00CA6239" w:rsidRDefault="00CA6239" w:rsidP="00C028AD">
      <w:pPr>
        <w:pStyle w:val="Nadpis3"/>
        <w:numPr>
          <w:ilvl w:val="2"/>
          <w:numId w:val="20"/>
        </w:numPr>
      </w:pPr>
      <w:bookmarkStart w:id="27" w:name="_Toc164801762"/>
      <w:r w:rsidRPr="008150A2">
        <w:t>Zbraně způsobující nadměrná zranění a útrapy</w:t>
      </w:r>
      <w:bookmarkEnd w:id="27"/>
    </w:p>
    <w:p w14:paraId="4DADF79A" w14:textId="3797B1A1" w:rsidR="00CA6239" w:rsidRDefault="00CA6239" w:rsidP="00EF5E19">
      <w:pPr>
        <w:ind w:firstLine="708"/>
        <w:jc w:val="both"/>
      </w:pPr>
      <w:r>
        <w:t xml:space="preserve">Dalším druhem zbraní, které jsou zakázané podle čl. 35 odst.2 Dodatkového protokolu I. jsou zbraně, které svou povahou způsobují nadměrná zranění nebo zbytečné útrapy. Toto pravidlo vyplývá z dlouhodobé snahy státu o zmírnění nebo polidštění účinků, které zbraně působí osobám podílejícím se na válečných konfliktech. Tento cíl, se zaměřením na konkrétní zbraně sledovaly v minulosti i samostatné úmluvy. Jako příklad lze uvést Ottawskou úmluvu z roku 1997, které se zaměřovala na použití protipěchotních min nebo St. Petěrburskou deklaraci z roku 1868, která se zabývala omezováním používání určitých druhů projektilů. Konkrétně se týká projektilů vážících </w:t>
      </w:r>
      <w:r>
        <w:lastRenderedPageBreak/>
        <w:t>méně, něž 400g obsahujících výbušnou, třaskavou nebo hořlavou látku. Je důležité zde zmínit, že i St. Petěrburská úmluva ve své preambuli pamatuje</w:t>
      </w:r>
      <w:r w:rsidRPr="00E82D15">
        <w:t xml:space="preserve"> </w:t>
      </w:r>
      <w:r>
        <w:t>rovněž na budoucí pokrok ve vývoji prostředků určených pro vedení válečných konfliktů a ukládá smluvním stranám povinnost, aby při budoucím pokroku ve vyzbrojování zachovávaly úmluvou stanovené zásady a sladily nezbytnosti války se zákony lidskosti.</w:t>
      </w:r>
      <w:r>
        <w:rPr>
          <w:rStyle w:val="Znakapoznpodarou"/>
        </w:rPr>
        <w:footnoteReference w:id="110"/>
      </w:r>
      <w:r>
        <w:t xml:space="preserve"> Přičemž tento princip obsahuje ve svém ustanovení čl. 36 i Dodatkový protokol I., který ukládá povinnost při studiu, v</w:t>
      </w:r>
      <w:r>
        <w:rPr>
          <w:rFonts w:hint="cs"/>
        </w:rPr>
        <w:t>ý</w:t>
      </w:r>
      <w:r>
        <w:t>voji, z</w:t>
      </w:r>
      <w:r>
        <w:rPr>
          <w:rFonts w:hint="cs"/>
        </w:rPr>
        <w:t>í</w:t>
      </w:r>
      <w:r>
        <w:t>sk</w:t>
      </w:r>
      <w:r>
        <w:rPr>
          <w:rFonts w:hint="cs"/>
        </w:rPr>
        <w:t>á</w:t>
      </w:r>
      <w:r>
        <w:t>v</w:t>
      </w:r>
      <w:r>
        <w:rPr>
          <w:rFonts w:hint="cs"/>
        </w:rPr>
        <w:t>á</w:t>
      </w:r>
      <w:r>
        <w:t>n</w:t>
      </w:r>
      <w:r>
        <w:rPr>
          <w:rFonts w:hint="cs"/>
        </w:rPr>
        <w:t>í</w:t>
      </w:r>
      <w:r>
        <w:t xml:space="preserve"> nebo zav</w:t>
      </w:r>
      <w:r>
        <w:rPr>
          <w:rFonts w:hint="cs"/>
        </w:rPr>
        <w:t>á</w:t>
      </w:r>
      <w:r>
        <w:t>děn</w:t>
      </w:r>
      <w:r>
        <w:rPr>
          <w:rFonts w:hint="cs"/>
        </w:rPr>
        <w:t>í</w:t>
      </w:r>
      <w:r>
        <w:t xml:space="preserve"> nov</w:t>
      </w:r>
      <w:r>
        <w:rPr>
          <w:rFonts w:hint="cs"/>
        </w:rPr>
        <w:t>ý</w:t>
      </w:r>
      <w:r>
        <w:t>ch druhů zbran</w:t>
      </w:r>
      <w:r>
        <w:rPr>
          <w:rFonts w:hint="cs"/>
        </w:rPr>
        <w:t>í</w:t>
      </w:r>
      <w:r>
        <w:t>, prostředků nebo způsobů veden</w:t>
      </w:r>
      <w:r>
        <w:rPr>
          <w:rFonts w:hint="cs"/>
        </w:rPr>
        <w:t>í</w:t>
      </w:r>
      <w:r>
        <w:t xml:space="preserve"> v</w:t>
      </w:r>
      <w:r>
        <w:rPr>
          <w:rFonts w:hint="cs"/>
        </w:rPr>
        <w:t>á</w:t>
      </w:r>
      <w:r>
        <w:t>lky určit, zda použití takovéto nové zbraně není, za některých podmínek nebo obecně, v rozporu s Dodatkovým protokolem I. nebo jinou normou mezinárodního práva.</w:t>
      </w:r>
      <w:r>
        <w:rPr>
          <w:rStyle w:val="Znakapoznpodarou"/>
        </w:rPr>
        <w:footnoteReference w:id="111"/>
      </w:r>
      <w:r>
        <w:t xml:space="preserve"> </w:t>
      </w:r>
    </w:p>
    <w:p w14:paraId="2600A21E" w14:textId="0579AC91" w:rsidR="00CA6239" w:rsidRDefault="00CA6239" w:rsidP="00EF5E19">
      <w:pPr>
        <w:ind w:firstLine="708"/>
        <w:jc w:val="both"/>
      </w:pPr>
      <w:r>
        <w:t>Obecně čl. 35 odst. 2 Dodatkového protokolu</w:t>
      </w:r>
      <w:r w:rsidR="00F71C96">
        <w:t xml:space="preserve"> I.</w:t>
      </w:r>
      <w:r>
        <w:t xml:space="preserve"> má za cíl prosazení výše popsaného principu, i když bez jakýchkoli upřesňujících kritérií. Přesto, že čl. 35 odst. 2 Dodatkového protokolu</w:t>
      </w:r>
      <w:r w:rsidR="00041637">
        <w:t xml:space="preserve"> I.</w:t>
      </w:r>
      <w:r>
        <w:t xml:space="preserve"> pouze deklaruje zákaz použití zbraní, které svou povahou způsobují nadměrná zranění nebo zbytečné útrapy, musíme ho chápat v kontextu toho, že hlavním cílem bojující strany je odzbrojení nepřítele.</w:t>
      </w:r>
      <w:r>
        <w:rPr>
          <w:rStyle w:val="Znakapoznpodarou"/>
        </w:rPr>
        <w:footnoteReference w:id="112"/>
      </w:r>
      <w:r>
        <w:t xml:space="preserve"> Odzbrojení nepřítele neznamená jeho úplnou eliminaci, ale pouze jeho vyřazení z boje za použití přiměřených prostředků. Tento požadavek vyplývá i z čl. 35 odst. 1 Dodatkového protokolu I., který omezuje válčící strany ve výběru způsobů a prostředků k vedení války.</w:t>
      </w:r>
      <w:r>
        <w:rPr>
          <w:rStyle w:val="Znakapoznpodarou"/>
        </w:rPr>
        <w:footnoteReference w:id="113"/>
      </w:r>
      <w:r>
        <w:t xml:space="preserve"> Bojující strany tedy nemají možnost zbytečně způsobovat zranění nebo škody či používat nepřiměřeného násilí.</w:t>
      </w:r>
      <w:r>
        <w:rPr>
          <w:rStyle w:val="Znakapoznpodarou"/>
        </w:rPr>
        <w:footnoteReference w:id="114"/>
      </w:r>
      <w:r>
        <w:t xml:space="preserve"> Další důležitou otázkou, která souvisí se zákazem zbraní podle čl. 35 odst. 2 Dodatkového protokolu I. je význam termínů „nadměrné zranění“ a „zbytečné útrapy,“ jelikož na posouzení, zda má určitá zbraň takový účinek sama o sobě, závisí případný zákaz takové zbraně. Oba tyto termíny je nutné při jejich použití stavět do opozice vůči požadavku na zvýšení skutečně získané vojenské výhody.</w:t>
      </w:r>
      <w:r>
        <w:rPr>
          <w:rStyle w:val="Znakapoznpodarou"/>
        </w:rPr>
        <w:footnoteReference w:id="115"/>
      </w:r>
      <w:r>
        <w:t xml:space="preserve"> Nutnost poměřování mezi skutečným vojenským přínosem použité </w:t>
      </w:r>
      <w:r>
        <w:lastRenderedPageBreak/>
        <w:t>zbraně a způsobeným utrpením a případný zákaz použití zbraní, které tyto požadavky nesplňují plyne i z rozhodnutí Mezinárodního soudního dvora. Mezinárodní soudní dvůr označil jako zbytečné útrapy takové utrpení, které je větší, než jaké je nevyhnutelné pro dosažení legitimního vojenského cíle.</w:t>
      </w:r>
      <w:r>
        <w:rPr>
          <w:rStyle w:val="Znakapoznpodarou"/>
        </w:rPr>
        <w:footnoteReference w:id="116"/>
      </w:r>
      <w:r>
        <w:t xml:space="preserve"> Je důležité podotknout, že není důležité, zda je zbraň konstruovaná tak, že způsobuje smrt nebo, zda je nesmrtící. Příkladem může být termobarická bomba, při jejímž využití je mizivá šance na přežití, ale jelikož smrt je okamžitá, nemusí být taková zbraň považována za zakázanou, oproti tomu použití oslepujícího laseru je nesmrtící, a přesto výslovně označené za zbraň způsobující nepřiměřené utrpení.</w:t>
      </w:r>
      <w:r>
        <w:rPr>
          <w:rStyle w:val="Znakapoznpodarou"/>
        </w:rPr>
        <w:footnoteReference w:id="117"/>
      </w:r>
      <w:r>
        <w:t xml:space="preserve"> Dalšími důležitými faktory pro posouzení, jestli je použití dané zbraně přípustné, je možnost výběru mezi zbraněmi různého druhu, které by mohly způsobit menší utrpení, ovšem za zachování dostatečného účinku při eliminaci protivníka.</w:t>
      </w:r>
      <w:r>
        <w:rPr>
          <w:rStyle w:val="Znakapoznpodarou"/>
        </w:rPr>
        <w:footnoteReference w:id="118"/>
      </w:r>
      <w:r>
        <w:t xml:space="preserve"> </w:t>
      </w:r>
    </w:p>
    <w:p w14:paraId="01582435" w14:textId="4B313BDC" w:rsidR="00CA6239" w:rsidRPr="008150A2" w:rsidRDefault="00CA6239" w:rsidP="00CA6239">
      <w:pPr>
        <w:jc w:val="both"/>
      </w:pPr>
      <w:r>
        <w:tab/>
        <w:t>Na základě výše uvedeného j</w:t>
      </w:r>
      <w:r w:rsidR="00A70B48">
        <w:t>e</w:t>
      </w:r>
      <w:r>
        <w:t xml:space="preserve"> tedy klíčové, aby zbraň mohla být zakázána podle čl. 35 odst. 2 Dodatkového protokolu I., že zbraň je vyvíjena s úmyslem, aby při svém použití působila nadměrná zranění nebo zbytečné útrapy. Jelikož zbraně ze své podstaty zranění způsobují, tak takto způsobené zranění nebo útrapy musí být posuzovány z hlediska toho, zda v daném případě legitimně sledovaný vojenský zisk převyšuje způsobené útrapy a zranění</w:t>
      </w:r>
      <w:r w:rsidR="00B66F4A">
        <w:t>,</w:t>
      </w:r>
      <w:r>
        <w:t xml:space="preserve"> a zároveň, zda v konkrétní situaci nepřichází v úvahu jiná zbraň s obdobnou účinností, která by ovšem způsobila menší útrapy a zranění. </w:t>
      </w:r>
    </w:p>
    <w:p w14:paraId="2D71A76C" w14:textId="68893505" w:rsidR="00CA6239" w:rsidRPr="008150A2" w:rsidRDefault="00CA6239" w:rsidP="00C028AD">
      <w:pPr>
        <w:pStyle w:val="Nadpis3"/>
        <w:numPr>
          <w:ilvl w:val="2"/>
          <w:numId w:val="19"/>
        </w:numPr>
      </w:pPr>
      <w:bookmarkStart w:id="29" w:name="_Toc164801763"/>
      <w:r w:rsidRPr="008150A2">
        <w:t>Zbraně poškozující životní prostředí</w:t>
      </w:r>
      <w:bookmarkEnd w:id="29"/>
      <w:r w:rsidRPr="008150A2">
        <w:t xml:space="preserve"> </w:t>
      </w:r>
    </w:p>
    <w:p w14:paraId="7C30AD7A" w14:textId="2398E716" w:rsidR="00CA6239" w:rsidRDefault="00CA6239" w:rsidP="00EF5E19">
      <w:pPr>
        <w:ind w:firstLine="708"/>
        <w:jc w:val="both"/>
      </w:pPr>
      <w:r>
        <w:t>Článek 35 odst. 3 Dodatkového protokolu I. se zaměřuje na zákaz pou</w:t>
      </w:r>
      <w:r>
        <w:rPr>
          <w:rFonts w:hint="cs"/>
        </w:rPr>
        <w:t>ž</w:t>
      </w:r>
      <w:r>
        <w:t>ití způsobů nebo prostředků veden</w:t>
      </w:r>
      <w:r>
        <w:rPr>
          <w:rFonts w:hint="cs"/>
        </w:rPr>
        <w:t>í</w:t>
      </w:r>
      <w:r>
        <w:t xml:space="preserve"> v</w:t>
      </w:r>
      <w:r>
        <w:rPr>
          <w:rFonts w:hint="cs"/>
        </w:rPr>
        <w:t>á</w:t>
      </w:r>
      <w:r>
        <w:t>lky, jejich</w:t>
      </w:r>
      <w:r>
        <w:rPr>
          <w:rFonts w:hint="cs"/>
        </w:rPr>
        <w:t>ž</w:t>
      </w:r>
      <w:r>
        <w:t xml:space="preserve"> c</w:t>
      </w:r>
      <w:r>
        <w:rPr>
          <w:rFonts w:hint="cs"/>
        </w:rPr>
        <w:t>í</w:t>
      </w:r>
      <w:r>
        <w:t>lem je způsobit, nebo u nich</w:t>
      </w:r>
      <w:r>
        <w:rPr>
          <w:rFonts w:hint="cs"/>
        </w:rPr>
        <w:t>ž</w:t>
      </w:r>
      <w:r>
        <w:t xml:space="preserve"> se d</w:t>
      </w:r>
      <w:r>
        <w:rPr>
          <w:rFonts w:hint="cs"/>
        </w:rPr>
        <w:t>á</w:t>
      </w:r>
      <w:r>
        <w:t xml:space="preserve"> oček</w:t>
      </w:r>
      <w:r>
        <w:rPr>
          <w:rFonts w:hint="cs"/>
        </w:rPr>
        <w:t>á</w:t>
      </w:r>
      <w:r>
        <w:t xml:space="preserve">vat, </w:t>
      </w:r>
      <w:r>
        <w:rPr>
          <w:rFonts w:hint="cs"/>
        </w:rPr>
        <w:t>ž</w:t>
      </w:r>
      <w:r>
        <w:t>e mohou způsobit rozs</w:t>
      </w:r>
      <w:r>
        <w:rPr>
          <w:rFonts w:hint="cs"/>
        </w:rPr>
        <w:t>á</w:t>
      </w:r>
      <w:r>
        <w:t>hl</w:t>
      </w:r>
      <w:r>
        <w:rPr>
          <w:rFonts w:hint="cs"/>
        </w:rPr>
        <w:t>é</w:t>
      </w:r>
      <w:r>
        <w:t>, dlouhodob</w:t>
      </w:r>
      <w:r>
        <w:rPr>
          <w:rFonts w:hint="cs"/>
        </w:rPr>
        <w:t>é</w:t>
      </w:r>
      <w:r>
        <w:t xml:space="preserve"> a v</w:t>
      </w:r>
      <w:r>
        <w:rPr>
          <w:rFonts w:hint="cs"/>
        </w:rPr>
        <w:t>áž</w:t>
      </w:r>
      <w:r>
        <w:t>n</w:t>
      </w:r>
      <w:r>
        <w:rPr>
          <w:rFonts w:hint="cs"/>
        </w:rPr>
        <w:t>é</w:t>
      </w:r>
      <w:r>
        <w:t xml:space="preserve"> </w:t>
      </w:r>
      <w:r>
        <w:rPr>
          <w:rFonts w:hint="cs"/>
        </w:rPr>
        <w:t>š</w:t>
      </w:r>
      <w:r>
        <w:t xml:space="preserve">kody na </w:t>
      </w:r>
      <w:r>
        <w:rPr>
          <w:rFonts w:hint="cs"/>
        </w:rPr>
        <w:t>ž</w:t>
      </w:r>
      <w:r>
        <w:t>ivotn</w:t>
      </w:r>
      <w:r>
        <w:rPr>
          <w:rFonts w:hint="cs"/>
        </w:rPr>
        <w:t>í</w:t>
      </w:r>
      <w:r>
        <w:t>m prostřed</w:t>
      </w:r>
      <w:r>
        <w:rPr>
          <w:rFonts w:hint="cs"/>
        </w:rPr>
        <w:t>í</w:t>
      </w:r>
      <w:r>
        <w:t>.</w:t>
      </w:r>
      <w:r>
        <w:rPr>
          <w:rStyle w:val="Znakapoznpodarou"/>
        </w:rPr>
        <w:footnoteReference w:id="119"/>
      </w:r>
      <w:r>
        <w:t xml:space="preserve"> Tento zákaz není namířen proti určitému druhu zbraní, který by se zaměřoval přímo na životní prostředí, ani na ochranu životního prostředí na území států, které mezi sebou vedou ozbrojený konflikt, jehož poškození mohlo ohrozit jak civilisty, tak kombatanty na takovém území. Zákaz směřuje obecně vůči kterékoli hrozbě proti životnímu prostředí, protože je zde akcentována globální povaha problematiky </w:t>
      </w:r>
      <w:r>
        <w:lastRenderedPageBreak/>
        <w:t>životního prostředí.</w:t>
      </w:r>
      <w:r>
        <w:rPr>
          <w:rStyle w:val="Znakapoznpodarou"/>
        </w:rPr>
        <w:footnoteReference w:id="120"/>
      </w:r>
      <w:r>
        <w:t xml:space="preserve"> Je nutné zde zdůraznit, že se nemusí jednat přímo o činnost strany ve válečném konfliktu zaměřenou na ovlivnění či poškození životního prostředí, ale že vážné důsledky pro životní prostředí můžou mít i pozůstatky po válečných konfliktech. Příkladem může být zaminování rozsáhlého území nebo neodstranění pozůstatků války, které obsahují např</w:t>
      </w:r>
      <w:r w:rsidR="00BB6945">
        <w:t>íklad</w:t>
      </w:r>
      <w:r>
        <w:t xml:space="preserve"> chemikálie.</w:t>
      </w:r>
      <w:r>
        <w:rPr>
          <w:rStyle w:val="Znakapoznpodarou"/>
        </w:rPr>
        <w:footnoteReference w:id="121"/>
      </w:r>
      <w:r>
        <w:t xml:space="preserve"> Ovšem i při vedení vojenských operací, jakýmkoli druhem zbraní, musí strany dbát na to, aby se vyvarovaly poškození životního prostředí, které by následně znamenalo ohrožení pro zdraví či samotné přežití obyvatelstva.</w:t>
      </w:r>
      <w:r>
        <w:rPr>
          <w:rStyle w:val="Znakapoznpodarou"/>
        </w:rPr>
        <w:footnoteReference w:id="122"/>
      </w:r>
      <w:r>
        <w:t xml:space="preserve"> Tuto povinnost ukládá čl. 55 Dodatkového protokolu I., který právě směřuje především k ochraně civilního obyvatelstva, přičemž čl. 35 odst. 3 se vztahuje k zákazu způsobování nadměrných zranění.</w:t>
      </w:r>
      <w:r>
        <w:rPr>
          <w:rStyle w:val="Znakapoznpodarou"/>
        </w:rPr>
        <w:footnoteReference w:id="123"/>
      </w:r>
      <w:r>
        <w:t xml:space="preserve"> Důležitým prvkem pro posouzení rozporu zbraně s čl. 35 odst. 3 Dodatkového protokolu I. je požadavek na to, aby zbraň svým použitím způsobila nebo mohla způsobit rozsáhlé, dlouhodobé a vážné škody na životním prostředím. Právě otázka rozsahu, dlouhodobosti a vážnosti způsobených škod, které je nutné kumulativně splnit,</w:t>
      </w:r>
      <w:r>
        <w:rPr>
          <w:rStyle w:val="Znakapoznpodarou"/>
        </w:rPr>
        <w:footnoteReference w:id="124"/>
      </w:r>
      <w:r>
        <w:t xml:space="preserve"> je určujícím proto, aby bylo možné tento zákaz aplikovat. Dodatkový protokol I. ovšem žádné meze pro tyto požadavky nestanovuje, ale již z formulace ustanovení je možné vyčíst základní požadavek na to, že zbraně, na které je toto ustanovení zaměřeno jsou rozhodně zbraně schopné způsobit skutečně značnou škodu na životním prostředí nebo životní prostředí značně ovlivnit. Ohledně požadavku dlouhodobosti není zcela přesně určen časový rámec, po který musí poškození životního prostředí trvat, ale ze zápisu z konference o potvrzení a rozvoji humanitárního práva plyne, že charakter dlouhodobosti by splňovalo ohrožení trvající v rámci dekád nikoli například pouze v rámci měsíců.</w:t>
      </w:r>
      <w:r>
        <w:rPr>
          <w:rStyle w:val="Znakapoznpodarou"/>
        </w:rPr>
        <w:footnoteReference w:id="125"/>
      </w:r>
      <w:r>
        <w:t xml:space="preserve"> Ohledně rozsahu se jedná o škodu vznikající na rozsáhlých plochách, jejichž výměra je stanovena v rámci kilometrů čtverečních.</w:t>
      </w:r>
      <w:r>
        <w:rPr>
          <w:rStyle w:val="Znakapoznpodarou"/>
        </w:rPr>
        <w:footnoteReference w:id="126"/>
      </w:r>
      <w:r>
        <w:t xml:space="preserve"> Co se týče požadavku na vážnost </w:t>
      </w:r>
      <w:r>
        <w:lastRenderedPageBreak/>
        <w:t xml:space="preserve">způsobených škod, tak dojdeme k logickému závěru, že škodu, která by nemohla být považována za vážnou není potřeba ani podle pravidel čl. 35 odst. 3 Dodatkového protokolu I. posuzovat. </w:t>
      </w:r>
    </w:p>
    <w:p w14:paraId="727C2574" w14:textId="77777777" w:rsidR="00CA6239" w:rsidRPr="00AA3B60" w:rsidRDefault="00CA6239" w:rsidP="00CA6239">
      <w:pPr>
        <w:jc w:val="both"/>
      </w:pPr>
      <w:r>
        <w:tab/>
        <w:t xml:space="preserve">Zákaz zbraní podle čl. 35 odst. 3 Dodatkového protokolu I. by šel shrnout tak, že zakazuje zbraně, které jsou svým použitím způsobilé závažně, na rozsáhlých plochách, po dobu několika desítek let narušit životní prostředí ve vztahu ke všem živím organismům. Zákaz se vztahuje na přímé použití zbraní k tomuto účelu, ale i na nevyhnutelné účinky zbraní k jiným účelům, ovšem se stejným následkem. Zákaz je z důvodu globálnosti životního prostředí absolutní a měl by být brán v potaz už při volbě zbraní, aby se poškozování životního prostředí co nejdůsledněji předcházelo. </w:t>
      </w:r>
    </w:p>
    <w:p w14:paraId="1FB5CC9A" w14:textId="15F20873" w:rsidR="00CA6239" w:rsidRPr="00C17D15" w:rsidRDefault="00CA6239" w:rsidP="006A7A25">
      <w:pPr>
        <w:pStyle w:val="Nadpis2"/>
        <w:numPr>
          <w:ilvl w:val="1"/>
          <w:numId w:val="18"/>
        </w:numPr>
      </w:pPr>
      <w:bookmarkStart w:id="31" w:name="_Toc164801764"/>
      <w:r w:rsidRPr="00C17D15">
        <w:t>Zvláštní pravidla omezující použití zbraní v mezinárodním humanitárním právu</w:t>
      </w:r>
      <w:bookmarkEnd w:id="31"/>
    </w:p>
    <w:p w14:paraId="1C76F45B" w14:textId="728709BD" w:rsidR="00CA6239" w:rsidRDefault="00CA6239" w:rsidP="00CA6239">
      <w:pPr>
        <w:ind w:firstLine="708"/>
        <w:jc w:val="both"/>
      </w:pPr>
      <w:r>
        <w:t xml:space="preserve">V této podkapitole se budu zabývat vybranými mezinárodními smlouvami, které se zaměřují na regulaci atypických druhů zbraní. Těmto specifickým úpravám se budu věnovat z důvodu, že v předchozí kapitole uvedené principy zakazující zbraně nerozlišující, působící nadměrná zranění a zbytečné útrapy nebo ohrožují životní prostředí jsou obecně závazné a jakákoli zbraň, která by byla v rozporu s těmito principy je v rozporu s mezinárodním humanitárním právem. Jde ovšem o principy vyjádřené relativně obecně a není možné vždy s jistotou říct, že některá zbraň je v konkrétním případě s nimi v rozporu, či nikoli. Právě proto byly a jsou průběžně přijímány nové rámcové úmluvy, které reagují a regulují konkrétní zbraně, místo toho, aby </w:t>
      </w:r>
      <w:r w:rsidR="00FC1778">
        <w:t>docházelo</w:t>
      </w:r>
      <w:r>
        <w:t xml:space="preserve"> k jejich úplnému zákazu podle obecných pravidel mezinárodního humanitárního práva</w:t>
      </w:r>
      <w:r w:rsidR="007127EF">
        <w:t xml:space="preserve">, jelikož využití těchto zbraní v praxi by mohlo přinést stranám, které je použijí, vojenskou výhodu. </w:t>
      </w:r>
    </w:p>
    <w:p w14:paraId="1A891AAE" w14:textId="26B89D1B" w:rsidR="00CA6239" w:rsidRDefault="00CA6239" w:rsidP="00CA6239">
      <w:pPr>
        <w:ind w:firstLine="708"/>
        <w:jc w:val="both"/>
      </w:pPr>
      <w:r>
        <w:t>Konkrétně se zde budu zabývat o Úmluvou o zákazu jaderných zbraní, Úmluvou o zákazu vývoje, výroby a hromadění zásob bakteriologických (biologických) a toxinových zbraní a o jejich zničení (dále jen Úmluva o biologických zbraních) a nakonec Úmluvou o zákazu některých konvenčních zbraní. Tyto tři úmluvy jsem si zvolil z důvodu, že se jedná, v případě prvních dvou, o tzv. zbraně hromadného ničení, které předpokládají vysoký ničivý účinek při použití proti živé síle, infrastruktuře nebo jiným cílům.</w:t>
      </w:r>
      <w:r>
        <w:rPr>
          <w:rStyle w:val="Znakapoznpodarou"/>
        </w:rPr>
        <w:footnoteReference w:id="127"/>
      </w:r>
      <w:r>
        <w:t xml:space="preserve"> Přičemž tato definice mi osobně přijde </w:t>
      </w:r>
      <w:proofErr w:type="spellStart"/>
      <w:r w:rsidR="001337ED">
        <w:t>aplikovatelá</w:t>
      </w:r>
      <w:proofErr w:type="spellEnd"/>
      <w:r>
        <w:t xml:space="preserve"> i k autonomním zbraňovým systémům, a to především vzhledem k tomu, že autonomní zbraňové systémy s plnou autonomií by při svém plošném nasazení mohli představovat obdobnou hrozbu. </w:t>
      </w:r>
      <w:r>
        <w:lastRenderedPageBreak/>
        <w:t>V potaz přichází i fakt, že plně autonomní systémy by mohly operovat například s nosiči zbraní označovanými jako zbraně hromadného ničení, a tedy rozhodovat o místě, času a způsobu použití takové zbraně. Třetí úmluvu jsem zvolil z důvodu jejího obecného dosahu ohledně omezení použití zbraní, které nejsou zbraněmi hromadného ničení.</w:t>
      </w:r>
    </w:p>
    <w:p w14:paraId="18D153F7" w14:textId="57EE9A75" w:rsidR="00CA6239" w:rsidRDefault="00CA6239" w:rsidP="00CA6239">
      <w:pPr>
        <w:jc w:val="both"/>
      </w:pPr>
      <w:r>
        <w:tab/>
        <w:t>Nejdříve se budu zabývat problematikou ohledně otázky omezeného použití jaderných zbraní. Právní problémy</w:t>
      </w:r>
      <w:r w:rsidRPr="00843F67">
        <w:t xml:space="preserve"> </w:t>
      </w:r>
      <w:r>
        <w:t xml:space="preserve">vznikaly, od okamžiku jejich zatím jediného použití v roce 1945,  především </w:t>
      </w:r>
      <w:r w:rsidR="001337ED">
        <w:t>proto</w:t>
      </w:r>
      <w:r>
        <w:t>, že se v té době jednalo o zcela inovativní zbraň, která nebyla nikdy použita. Tím pádem na</w:t>
      </w:r>
      <w:r w:rsidR="00D63CF2">
        <w:t xml:space="preserve"> konkrétní</w:t>
      </w:r>
      <w:r>
        <w:t xml:space="preserve"> úpravu nebo zákaz jejich použití nemířila žádná norma tehdejšího mezinárodního humanitárního práva.</w:t>
      </w:r>
      <w:r>
        <w:rPr>
          <w:rStyle w:val="Znakapoznpodarou"/>
        </w:rPr>
        <w:footnoteReference w:id="128"/>
      </w:r>
      <w:r>
        <w:t xml:space="preserve"> Mezinárodní snahy o omezení jaderných zbraní v letech následujících po prvním použití jaderných zbraní, se po dlouhou dobu potýkaly s neúspěchem. Důvodem pro tento neúspěch je možné spatřovat především v povaze jaderných zbraní jako odstrašujícího prostředku a ve faktu, že právě na odstrašujícím účinku jaderných zbraní jsou postaveny strategické koncepce států tyto zbraně vlastnící.</w:t>
      </w:r>
      <w:r>
        <w:rPr>
          <w:rStyle w:val="Znakapoznpodarou"/>
        </w:rPr>
        <w:footnoteReference w:id="129"/>
      </w:r>
      <w:r>
        <w:t xml:space="preserve"> Otázku legality použití jaderných zbraní nebo použití pouhé hrozby jejich použití za jakékoli situace, se na základě žádosti Valného shromáždění OSN zabýval Mezinárodní soudní dvůr ve svém poradním rozsudku Legality of the threat or use of nuclear weapons ze dne 8. července 1996.</w:t>
      </w:r>
      <w:r>
        <w:rPr>
          <w:rStyle w:val="Znakapoznpodarou"/>
        </w:rPr>
        <w:footnoteReference w:id="130"/>
      </w:r>
      <w:r>
        <w:t xml:space="preserve"> Soudní dvůr při zkoumání legality použití nebo hrozby použitím jaderné zbraně nedošel k závěru, že by se na tuto problematiku dalo vztáhnout obecně závazné pravidlo </w:t>
      </w:r>
      <w:r w:rsidR="003B5EC4">
        <w:t>nebo</w:t>
      </w:r>
      <w:r>
        <w:t xml:space="preserve"> pravidla zvykového práva. </w:t>
      </w:r>
      <w:r w:rsidR="00300AA3">
        <w:t xml:space="preserve">Soud </w:t>
      </w:r>
      <w:r>
        <w:t xml:space="preserve">se tedy </w:t>
      </w:r>
      <w:r w:rsidR="00300AA3">
        <w:t>uchýlil</w:t>
      </w:r>
      <w:r>
        <w:t xml:space="preserve"> ke zkoumání použitelnosti jaderných zbraní v rámci pravidel mezinárodního humanitárního práva.</w:t>
      </w:r>
      <w:r>
        <w:rPr>
          <w:rStyle w:val="Znakapoznpodarou"/>
        </w:rPr>
        <w:footnoteReference w:id="131"/>
      </w:r>
      <w:r>
        <w:t xml:space="preserve"> Při zkoumání souladu pravidel mezinárodní humanitárního práva a použití jaderných zbraní Soudní dvůr vymezil základní zásady humanitárního práva, které označil</w:t>
      </w:r>
      <w:r w:rsidR="00ED57C6">
        <w:t xml:space="preserve"> jako</w:t>
      </w:r>
      <w:r>
        <w:t xml:space="preserve"> zásadu ochrany civilního obyvatelstva, zásadu rozlišování a minimalizac</w:t>
      </w:r>
      <w:r w:rsidR="00ED57C6">
        <w:t>e</w:t>
      </w:r>
      <w:r>
        <w:t xml:space="preserve"> způsobeného utrpení</w:t>
      </w:r>
      <w:r w:rsidR="00ED57C6">
        <w:t>.</w:t>
      </w:r>
      <w:r>
        <w:t xml:space="preserve"> </w:t>
      </w:r>
      <w:r w:rsidR="00ED57C6">
        <w:t>R</w:t>
      </w:r>
      <w:r>
        <w:t>ovněž poukázal na význam Martensovy klauzule</w:t>
      </w:r>
      <w:r>
        <w:rPr>
          <w:rStyle w:val="Znakapoznpodarou"/>
        </w:rPr>
        <w:footnoteReference w:id="132"/>
      </w:r>
      <w:r>
        <w:t xml:space="preserve"> a určil aplikovatelnost zásad mezinárodního humanitárního práva i na jaderné zbraně.</w:t>
      </w:r>
      <w:r>
        <w:rPr>
          <w:rStyle w:val="Znakapoznpodarou"/>
        </w:rPr>
        <w:footnoteReference w:id="133"/>
      </w:r>
      <w:r w:rsidR="00ED57C6">
        <w:t xml:space="preserve"> </w:t>
      </w:r>
      <w:r>
        <w:t>Rozhodnutí soudu tedy lze shrnout zjištěními, že ani obyčejové</w:t>
      </w:r>
      <w:r w:rsidR="002220E6">
        <w:t>,</w:t>
      </w:r>
      <w:r>
        <w:t xml:space="preserve"> ani smluvní právo neopravňuje ani neobsahuje univerzální zákaz hrozby nebo použití jaderných zbraní. Dále, že hrozba nebo použití jaderných zbraní je v rozporu s čl. 2 odst. 4 Charty OSN (tedy zákazem použití nebo hrozby násilím) pokud jejich použití nespadá pod výjimky uvedené v č. 51 Charty </w:t>
      </w:r>
      <w:r>
        <w:lastRenderedPageBreak/>
        <w:t>OSN (právo na sebeobranu).</w:t>
      </w:r>
      <w:r>
        <w:rPr>
          <w:rStyle w:val="Znakapoznpodarou"/>
        </w:rPr>
        <w:footnoteReference w:id="134"/>
      </w:r>
      <w:r>
        <w:t xml:space="preserve"> K otázce legality použití nebo hrozby jaderných zbraní soud došel k výsledku, že toto je v rozporu s pravidly mezinárodního humanitárního práva. Ovšem těsný výsledek hlasování o této otázce a také konečné vyjádření </w:t>
      </w:r>
      <w:r w:rsidRPr="0096522A">
        <w:rPr>
          <w:i/>
          <w:iCs/>
        </w:rPr>
        <w:t>„the threat or use of nuclear weapons would generally be contrary to the rules of international law“</w:t>
      </w:r>
      <w:r>
        <w:rPr>
          <w:i/>
          <w:iCs/>
        </w:rPr>
        <w:t xml:space="preserve">, </w:t>
      </w:r>
      <w:r>
        <w:rPr>
          <w:rStyle w:val="Znakapoznpodarou"/>
        </w:rPr>
        <w:footnoteReference w:id="135"/>
      </w:r>
      <w:r>
        <w:t xml:space="preserve"> je důkazem rozpolcenosti v názoru na tuto otázku. Konečně o oprávněnosti hrozby nebo použití jaderných zbraní v situaci, kterou předpokládá výše zmíněný čl. 51 Charty OSN, nemohl Soudní dvůr jednoznačně rozhodnout.</w:t>
      </w:r>
      <w:r>
        <w:rPr>
          <w:rStyle w:val="Znakapoznpodarou"/>
        </w:rPr>
        <w:footnoteReference w:id="136"/>
      </w:r>
      <w:r>
        <w:t xml:space="preserve"> Směr, kterým by se tato ne zcela jednoznačně vyřešená otázka mohla posunout naznačila Dohoda o zákazu jaderných zbraní, která vešla v účinnost 22. ledna 2021. Tato dohoda zavazuje signatářské státy především k zákazu vyvíjet, testovat nebo vyrábět jaderné zbraně, tyto zbraně předávat, skladovat, předávat kontrolu nad nimi nebo povolit jejich instalaci na svém území.</w:t>
      </w:r>
      <w:r>
        <w:rPr>
          <w:rStyle w:val="Znakapoznpodarou"/>
        </w:rPr>
        <w:footnoteReference w:id="137"/>
      </w:r>
      <w:r>
        <w:t xml:space="preserve"> Rovněž se státy přijímající tuto dohodu zavazují k likvidaci svých jaderných arzenálů i s veškerým programem jaderných zbraní.</w:t>
      </w:r>
      <w:r>
        <w:rPr>
          <w:rStyle w:val="Znakapoznpodarou"/>
        </w:rPr>
        <w:footnoteReference w:id="138"/>
      </w:r>
      <w:r>
        <w:t xml:space="preserve"> Ovšem vzhledem ke skutečnosti, že mezi signatáři prozatím není žádný ze států, který jadernými zbraněmi disponuje, má tato dohoda relativně omezený dopad na existující jaderné zbraně. </w:t>
      </w:r>
    </w:p>
    <w:p w14:paraId="318EDA89" w14:textId="453AA542" w:rsidR="00CA6239" w:rsidRDefault="00CA6239" w:rsidP="00CA6239">
      <w:pPr>
        <w:ind w:firstLine="708"/>
        <w:jc w:val="both"/>
      </w:pPr>
      <w:r>
        <w:t>Jako druhý příklad způsobu omezení užívání určitého druhu zbraní se zaměřím na omezené použití biologických zbraní, jelikož zde, narozdíl od výše zmíněných jaderných zbraní, panuje zcela opačná situace v názoru na jejich používání. Omezení vztahující se k biologickým zbraním plyne především ze Smlouvy o zákazu biologických zbraní, která navazuje na Ženevský protokol z roku 1925</w:t>
      </w:r>
      <w:r>
        <w:rPr>
          <w:rStyle w:val="Znakapoznpodarou"/>
        </w:rPr>
        <w:footnoteReference w:id="139"/>
      </w:r>
      <w:r>
        <w:t>, který omezoval použití plynu a biologických zbraní. Smlouva o zákazu biologických zbraní zavazuje rovněž smluvní strany k tomu, že nikdy nebudou vyvíjet, vyrábět, hromadit biologické zbraně a rovněž se zavazují svůj stávající arzenál nikomu nepřed</w:t>
      </w:r>
      <w:r w:rsidR="00661861">
        <w:t>at</w:t>
      </w:r>
      <w:r>
        <w:t>, nýbrž ho znič</w:t>
      </w:r>
      <w:r w:rsidR="00661861">
        <w:t>it</w:t>
      </w:r>
      <w:r>
        <w:t xml:space="preserve"> nebo přev</w:t>
      </w:r>
      <w:r w:rsidR="00661861">
        <w:t>ést</w:t>
      </w:r>
      <w:r>
        <w:t xml:space="preserve"> na mírové účely.</w:t>
      </w:r>
      <w:r>
        <w:rPr>
          <w:rStyle w:val="Znakapoznpodarou"/>
        </w:rPr>
        <w:footnoteReference w:id="140"/>
      </w:r>
      <w:r>
        <w:t xml:space="preserve"> Smlouva o zákazu biologických zbraních, ale především způsob, jakým je koncipovaná její úprava, se stala rovněž vzorem pro další mezinárodní smlouvy omezující použití určitých druhů zbraní. Mimo jiné vzorem byla i pro Úmluvu o chemických zbraních nebo Ottawskou úmluvu.</w:t>
      </w:r>
      <w:r>
        <w:rPr>
          <w:rStyle w:val="Znakapoznpodarou"/>
        </w:rPr>
        <w:footnoteReference w:id="141"/>
      </w:r>
      <w:r>
        <w:t xml:space="preserve"> Každopádně na rozdíl oproti prvně zmíněným jaderným zbraním, zde není </w:t>
      </w:r>
      <w:r>
        <w:lastRenderedPageBreak/>
        <w:t>žádný prostor pro úvahy, nad závazností zákazu biologických a chemických zbraní. Jedná se o zákaz absolutní mající povahu obyčejového práva.</w:t>
      </w:r>
      <w:r>
        <w:rPr>
          <w:rStyle w:val="Znakapoznpodarou"/>
        </w:rPr>
        <w:footnoteReference w:id="142"/>
      </w:r>
    </w:p>
    <w:p w14:paraId="50628F43" w14:textId="633BAF26" w:rsidR="00CA6239" w:rsidRDefault="00CA6239" w:rsidP="00CA6239">
      <w:pPr>
        <w:ind w:firstLine="708"/>
        <w:jc w:val="both"/>
      </w:pPr>
      <w:r>
        <w:t xml:space="preserve">Jako poslední bych rád zmínil Úmluvu o některých konvenčních zbraních, </w:t>
      </w:r>
      <w:r w:rsidRPr="0023248A">
        <w:t>kter</w:t>
      </w:r>
      <w:r w:rsidRPr="0023248A">
        <w:rPr>
          <w:rFonts w:hint="cs"/>
        </w:rPr>
        <w:t>é</w:t>
      </w:r>
      <w:r w:rsidRPr="0023248A">
        <w:t xml:space="preserve"> mohou zp</w:t>
      </w:r>
      <w:r w:rsidRPr="0023248A">
        <w:rPr>
          <w:rFonts w:hint="cs"/>
        </w:rPr>
        <w:t>ů</w:t>
      </w:r>
      <w:r w:rsidRPr="0023248A">
        <w:t>sobovat nadm</w:t>
      </w:r>
      <w:r w:rsidRPr="0023248A">
        <w:rPr>
          <w:rFonts w:hint="cs"/>
        </w:rPr>
        <w:t>ě</w:t>
      </w:r>
      <w:r w:rsidRPr="0023248A">
        <w:t>rn</w:t>
      </w:r>
      <w:r w:rsidRPr="0023248A">
        <w:rPr>
          <w:rFonts w:hint="cs"/>
        </w:rPr>
        <w:t>é</w:t>
      </w:r>
      <w:r w:rsidRPr="0023248A">
        <w:t xml:space="preserve"> utrpen</w:t>
      </w:r>
      <w:r w:rsidRPr="0023248A">
        <w:rPr>
          <w:rFonts w:hint="cs"/>
        </w:rPr>
        <w:t>í</w:t>
      </w:r>
      <w:r w:rsidRPr="0023248A">
        <w:t xml:space="preserve"> nebo m</w:t>
      </w:r>
      <w:r w:rsidRPr="0023248A">
        <w:rPr>
          <w:rFonts w:hint="cs"/>
        </w:rPr>
        <w:t>í</w:t>
      </w:r>
      <w:r w:rsidRPr="0023248A">
        <w:t>t nerozli</w:t>
      </w:r>
      <w:r w:rsidRPr="0023248A">
        <w:rPr>
          <w:rFonts w:hint="cs"/>
        </w:rPr>
        <w:t>š</w:t>
      </w:r>
      <w:r w:rsidRPr="0023248A">
        <w:t>uj</w:t>
      </w:r>
      <w:r w:rsidRPr="0023248A">
        <w:rPr>
          <w:rFonts w:hint="cs"/>
        </w:rPr>
        <w:t>í</w:t>
      </w:r>
      <w:r w:rsidRPr="0023248A">
        <w:t>c</w:t>
      </w:r>
      <w:r w:rsidRPr="0023248A">
        <w:rPr>
          <w:rFonts w:hint="cs"/>
        </w:rPr>
        <w:t>í</w:t>
      </w:r>
      <w:r w:rsidRPr="0023248A">
        <w:t xml:space="preserve"> </w:t>
      </w:r>
      <w:r w:rsidRPr="0023248A">
        <w:rPr>
          <w:rFonts w:hint="cs"/>
        </w:rPr>
        <w:t>úč</w:t>
      </w:r>
      <w:r w:rsidRPr="0023248A">
        <w:t>inky</w:t>
      </w:r>
      <w:r>
        <w:t xml:space="preserve"> z roku 1980 (pro potřeby této části dále jen „Úmluva“)</w:t>
      </w:r>
      <w:r w:rsidR="00B17822">
        <w:t>.</w:t>
      </w:r>
      <w:r>
        <w:t xml:space="preserve"> </w:t>
      </w:r>
      <w:r w:rsidR="00B17822">
        <w:t xml:space="preserve">Důvodem pro zařazení Úmluvy je </w:t>
      </w:r>
      <w:r>
        <w:t>její použitelnosti na zbraně, které rozsahem svých účinků nedosahují na úroveň zbraní hromadného ničení. Z hlediska budoucího použití autonomních zbraňových systémů totiž považuji za pravděpodobnější</w:t>
      </w:r>
      <w:r w:rsidR="005A0B21">
        <w:t xml:space="preserve"> jejich</w:t>
      </w:r>
      <w:r>
        <w:t xml:space="preserve"> nasazení se </w:t>
      </w:r>
      <w:r w:rsidR="005A0B21">
        <w:t>záměrem</w:t>
      </w:r>
      <w:r>
        <w:t xml:space="preserve"> činit menší </w:t>
      </w:r>
      <w:r w:rsidR="005A0B21">
        <w:t>škody</w:t>
      </w:r>
      <w:r>
        <w:t xml:space="preserve"> než zbraně hromadného ničení. Pro </w:t>
      </w:r>
      <w:r w:rsidR="005A0B21">
        <w:t>úplnost</w:t>
      </w:r>
      <w:r>
        <w:t xml:space="preserve"> uvedu, že za konvenční zbraně se považují zbraně, které nejsou chemické, biologické ani jaderné.</w:t>
      </w:r>
      <w:r>
        <w:rPr>
          <w:rStyle w:val="Znakapoznpodarou"/>
        </w:rPr>
        <w:footnoteReference w:id="143"/>
      </w:r>
      <w:r>
        <w:t xml:space="preserve"> Zákazu či omezení určitého druhu konvenčních zbraní se v minulosti týkalo velké množství mezinárodních smluv, jako příklad můžeme uvést již výše zmíněn</w:t>
      </w:r>
      <w:r w:rsidR="00B85144">
        <w:t>é</w:t>
      </w:r>
      <w:r>
        <w:t xml:space="preserve"> St. Petěrburskou deklaraci zakazující výbušné střely lehčí než 400 gramů, Ottawskou úmluvu zakazující protipěchotní miny a dále třeba Úmluvu o kazetové munici, tuto munici zakazující.</w:t>
      </w:r>
    </w:p>
    <w:p w14:paraId="701EE0D8" w14:textId="472EB817" w:rsidR="00CA6239" w:rsidRDefault="00CA6239" w:rsidP="00CA6239">
      <w:pPr>
        <w:ind w:firstLine="708"/>
        <w:jc w:val="both"/>
      </w:pPr>
      <w:r>
        <w:t>Úmluva reaguje především na případy často používaný</w:t>
      </w:r>
      <w:r w:rsidR="006809C9">
        <w:t>ch</w:t>
      </w:r>
      <w:r>
        <w:t xml:space="preserve"> a nebezpečných zbraní, které se objevují v druhé půli 20. stolet</w:t>
      </w:r>
      <w:r w:rsidR="00617877">
        <w:t>í, a</w:t>
      </w:r>
      <w:r>
        <w:t xml:space="preserve"> které mohou způsobovat nadměrné utrpení nebo mít nerozlišující účinky.</w:t>
      </w:r>
      <w:r>
        <w:rPr>
          <w:rStyle w:val="Znakapoznpodarou"/>
        </w:rPr>
        <w:footnoteReference w:id="144"/>
      </w:r>
      <w:r>
        <w:t xml:space="preserve"> Nicméně, hlavní roli při omezení některých zbraní nenese sama Úmluva, která obsahuje pouze základní ustanovení o platnosti, přístupu k Úmluvě či výpovědi.</w:t>
      </w:r>
      <w:r>
        <w:rPr>
          <w:rStyle w:val="Znakapoznpodarou"/>
        </w:rPr>
        <w:footnoteReference w:id="145"/>
      </w:r>
      <w:r>
        <w:t xml:space="preserve"> Hlavní roli hraje pět dodatkových protokolů k Úmluvě, které již obsahují konkrétní omezující pravidla. Protokoly se postupně týkají zbraní se střepinami nezjistitelnými rentgenovými paprsky</w:t>
      </w:r>
      <w:r>
        <w:rPr>
          <w:rStyle w:val="Znakapoznpodarou"/>
        </w:rPr>
        <w:footnoteReference w:id="146"/>
      </w:r>
      <w:r>
        <w:t>, min a nástrah</w:t>
      </w:r>
      <w:r>
        <w:rPr>
          <w:rStyle w:val="Znakapoznpodarou"/>
        </w:rPr>
        <w:footnoteReference w:id="147"/>
      </w:r>
      <w:r>
        <w:t>, zápalných zbraní</w:t>
      </w:r>
      <w:r>
        <w:rPr>
          <w:rStyle w:val="Znakapoznpodarou"/>
        </w:rPr>
        <w:footnoteReference w:id="148"/>
      </w:r>
      <w:r>
        <w:t>, oslepujících laserových zbraní</w:t>
      </w:r>
      <w:r>
        <w:rPr>
          <w:rStyle w:val="Znakapoznpodarou"/>
        </w:rPr>
        <w:footnoteReference w:id="149"/>
      </w:r>
      <w:r>
        <w:t xml:space="preserve"> a specifický protokol týkající se výbušných zbytků války.</w:t>
      </w:r>
      <w:r>
        <w:rPr>
          <w:rStyle w:val="Znakapoznpodarou"/>
        </w:rPr>
        <w:footnoteReference w:id="150"/>
      </w:r>
      <w:r>
        <w:t xml:space="preserve"> Protokol I velmi stručně zakazuje používání zbraní, které jako primární účinek využívají střepiny, které jsou v lidském těle nezjistitelné rentgenovými paprsky. Protokol II se zaměřuje na zákaz min, nástrah a jiných prostředků, jejichž účinek spočívá v aktivaci, která nastává </w:t>
      </w:r>
      <w:r>
        <w:lastRenderedPageBreak/>
        <w:t>neočekávaně nebo v reakci na přiblížení osoby, vozidla nebo jiného předmětu nebo po uplynutí určité doby.</w:t>
      </w:r>
      <w:r>
        <w:rPr>
          <w:rStyle w:val="Znakapoznpodarou"/>
        </w:rPr>
        <w:footnoteReference w:id="151"/>
      </w:r>
      <w:r>
        <w:t xml:space="preserve"> Protokol II. rovněž klade důraz na povinnost stran válečného konfliktu zaznamenávat polohu minový polí a případně předávat informace o nich.</w:t>
      </w:r>
      <w:r>
        <w:rPr>
          <w:rStyle w:val="Znakapoznpodarou"/>
        </w:rPr>
        <w:footnoteReference w:id="152"/>
      </w:r>
      <w:r>
        <w:t xml:space="preserve"> Zákaz min a nástrah je především založen na obecném zákazu použití zbraní s nerozlišujícím účinkem.</w:t>
      </w:r>
      <w:r>
        <w:rPr>
          <w:rStyle w:val="Znakapoznpodarou"/>
        </w:rPr>
        <w:footnoteReference w:id="153"/>
      </w:r>
      <w:r>
        <w:t xml:space="preserve"> Protokol III. je zaměřen na zákaz použití zápalných zbraní, které definuje jako zbraně, jejichž primárním účinkem je zapálení objektu nebo způsobení popálenin osobám působením ohně nebo tepla.</w:t>
      </w:r>
      <w:r>
        <w:rPr>
          <w:rStyle w:val="Znakapoznpodarou"/>
        </w:rPr>
        <w:footnoteReference w:id="154"/>
      </w:r>
      <w:r>
        <w:t xml:space="preserve"> Protokol III. omezuje použití zápalných zbraní v situaci, kdy hrozí, že by zápalnou zbraní mohly být zasažení civilisté nebo civilní objekty.</w:t>
      </w:r>
      <w:r>
        <w:rPr>
          <w:rStyle w:val="Znakapoznpodarou"/>
        </w:rPr>
        <w:footnoteReference w:id="155"/>
      </w:r>
      <w:r>
        <w:t xml:space="preserve"> Protokol III. ovšem nevylučuje použití zápalných zbraní ve vztahu ke kombatantům a vojenským objektům, předpokladem zde samozřejmě bude soulad se základními pravidly mezinárodního humanitárního práva a fakt, že zápalná zbraň nezasáhne civilní obyvatelstvo ani objekty. Protokol IV. zakazuje použití laserových zbraní, které jsou sestavené výlučně za účelem nebo jedním z jejich účinků, bylo způsobení trvalého oslepnutí.</w:t>
      </w:r>
      <w:r>
        <w:rPr>
          <w:rStyle w:val="Znakapoznpodarou"/>
        </w:rPr>
        <w:footnoteReference w:id="156"/>
      </w:r>
      <w:r>
        <w:t xml:space="preserve"> Pokud k oslepení dojde z důvodu náhodného nebo průvodního účinku během legitimního vojenského použití, není to v rozporu s Protokolem IV.</w:t>
      </w:r>
      <w:r>
        <w:rPr>
          <w:rStyle w:val="Znakapoznpodarou"/>
        </w:rPr>
        <w:footnoteReference w:id="157"/>
      </w:r>
      <w:r>
        <w:t xml:space="preserve"> Protokoly III a IV jsou především zaměřeny na zákazy z důvodu způsobování nadměrného utrpení.</w:t>
      </w:r>
    </w:p>
    <w:p w14:paraId="6BA4A0B3" w14:textId="0ECA8F3E" w:rsidR="00CA6239" w:rsidRDefault="00CA6239" w:rsidP="00CA6239">
      <w:pPr>
        <w:ind w:firstLine="708"/>
        <w:jc w:val="both"/>
      </w:pPr>
      <w:r>
        <w:t>Z hlediska možné budoucí právní úpravy použití autonomních zbraňových systémů je vhodné zde nakonec zmínit čl. 8 odst. 2 Úmluvy, který stanovuje podmínky pro přijetí dalšího dodatkového protokolu, který by se týkal dalších konvenčních zbraní. Záměr zahrnout autonomní zbraňové systémy pod Úmluvu o zákazu některých konvenčních zbraní, pravděpodobně jako další dodatkový protokol, plyne z výstupu Konference smluvních stran této úmluvy. Zájem stran Úmluvy o problematiku autonomních zbraňových systémů můžeme sledovat do roku 2013, kdy bylo na konferenci v Ženevě rozhodnuto o svolání neformálního setkání expertů na problematiku autonomních zbraňových systémů, které by mělo za úkol posoudit soulad těchto zbraňových systémů s účelem a cíli Úmluvy.</w:t>
      </w:r>
      <w:r>
        <w:rPr>
          <w:rStyle w:val="Znakapoznpodarou"/>
        </w:rPr>
        <w:footnoteReference w:id="158"/>
      </w:r>
    </w:p>
    <w:p w14:paraId="35785994" w14:textId="0786FF0C" w:rsidR="00EF5E19" w:rsidRDefault="00EF5E19" w:rsidP="006A7A25">
      <w:pPr>
        <w:pStyle w:val="Nadpis2"/>
        <w:numPr>
          <w:ilvl w:val="1"/>
          <w:numId w:val="17"/>
        </w:numPr>
      </w:pPr>
      <w:bookmarkStart w:id="33" w:name="_Toc164801765"/>
      <w:r w:rsidRPr="00EF5E19">
        <w:lastRenderedPageBreak/>
        <w:t>Možná aplikace omezujících pravidel na autonomní zbraňové systémy</w:t>
      </w:r>
      <w:bookmarkEnd w:id="33"/>
    </w:p>
    <w:p w14:paraId="1204A234" w14:textId="40B9FB43" w:rsidR="00190879" w:rsidRDefault="003A51D4" w:rsidP="003A51D4">
      <w:pPr>
        <w:ind w:firstLine="708"/>
        <w:jc w:val="both"/>
      </w:pPr>
      <w:r>
        <w:t xml:space="preserve">Na základě výše uvedených kritérií si lze odvodit odpověď na otázku, zda by autonomní zbraňové systémy mohly být zakázané jako takové. Z existujících zvláštních úprav zakazující použití určitý druh zbraní, nelze zákaz vztáhnout na autonomní zbraňové systémy. Do budoucna by ale mohla úprava tímto způsobem (například jako nový dodatkový protokol k Úmluvě o zákazu některých konvenční zbraní) představovat vhodnou cestu k úpravě nebo zákazu autonomních zbraňových systémů. Pokud by tedy došlo ke vzniku a použití autonomních zbraňových systémů dříve, než by nějaká konkrétní úprava vznikla, musely by se případné otázky spojené s použitím autonomních zbraňových systémů posuzovat podle obecných omezujících pravidel. Hlavní otázkou by tedy bylo, jestli autonomní zbraňové systémy jsou schopné dostatečného rozlišování, nezpůsobují nadměrná zranění nebo zbytečné útrapy nebo nepůsobí vážné škody na životním prostředí. Pro posouzení je dále vhodné si rozlišit, zda se o autonomii bavíme ve vztahu k druhu munice, kterou je zbraňový sytém vybaven nebo o prostředku ( dron, letadlo, ponorka), který určitý druh munice přepravuje. Ohledně charakteru munice, která by sama o sobě obsahovala sebelepší technologii schopnou rozlišovat vojenské cíle od civilních, ale jednalo by se například o chemickou zbraň, nemůže být sporu o rozporu takovéto autonomní munice se základními pravidly mezinárodního humanitárního práva a zákazu použití takové zbraně. S povahou munice a jejích účinků souvisejí spíše zákazy nadměrných zranění a zbytečných útrap a zákaz značných škod na životním prostředí. Větší roli bude hrát autonomie použitá v prostředku, který nese určitý zbraňový sytém. U autonomního prostředku můžeme uvést i situaci, kdy nenese žádný zbraňový systém a není tedy důvod pro posuzování jeho souladu s výše uvedenými pravidly. Ovšem budoucí praxi si představuji tak, že autonomními systémy budou vybavené prostředky, které budou mít možnost volby mezi různými zbraněmi, které už ovšem nebudou mít žádnou autonomii. </w:t>
      </w:r>
      <w:r w:rsidR="00F1498E">
        <w:t>Prvek</w:t>
      </w:r>
      <w:r>
        <w:t xml:space="preserve">, který se bude ve vazbě na autonomii prostředku, který </w:t>
      </w:r>
      <w:proofErr w:type="gramStart"/>
      <w:r>
        <w:t>slouží</w:t>
      </w:r>
      <w:proofErr w:type="gramEnd"/>
      <w:r>
        <w:t xml:space="preserve"> k přepravě munice, velice bedlivě pozorovat, je zákaz nerozlišujících útoků. Zákaz nerozlišujících útoků obsahuje dva dílčí zákazy: zákaz zbraní, které není </w:t>
      </w:r>
      <w:r w:rsidRPr="005A10C0">
        <w:t>mo</w:t>
      </w:r>
      <w:r w:rsidRPr="005A10C0">
        <w:rPr>
          <w:rFonts w:hint="cs"/>
        </w:rPr>
        <w:t>ž</w:t>
      </w:r>
      <w:r w:rsidRPr="005A10C0">
        <w:t>n</w:t>
      </w:r>
      <w:r w:rsidRPr="005A10C0">
        <w:rPr>
          <w:rFonts w:hint="cs"/>
        </w:rPr>
        <w:t>é</w:t>
      </w:r>
      <w:r w:rsidRPr="005A10C0">
        <w:t xml:space="preserve"> zac</w:t>
      </w:r>
      <w:r w:rsidRPr="005A10C0">
        <w:rPr>
          <w:rFonts w:hint="cs"/>
        </w:rPr>
        <w:t>í</w:t>
      </w:r>
      <w:r w:rsidRPr="005A10C0">
        <w:t>lit na konkr</w:t>
      </w:r>
      <w:r w:rsidRPr="005A10C0">
        <w:rPr>
          <w:rFonts w:hint="cs"/>
        </w:rPr>
        <w:t>é</w:t>
      </w:r>
      <w:r w:rsidRPr="005A10C0">
        <w:t>tn</w:t>
      </w:r>
      <w:r w:rsidRPr="005A10C0">
        <w:rPr>
          <w:rFonts w:hint="cs"/>
        </w:rPr>
        <w:t>í</w:t>
      </w:r>
      <w:r w:rsidRPr="005A10C0">
        <w:t xml:space="preserve"> vojensk</w:t>
      </w:r>
      <w:r w:rsidRPr="005A10C0">
        <w:rPr>
          <w:rFonts w:hint="cs"/>
        </w:rPr>
        <w:t>ý</w:t>
      </w:r>
      <w:r w:rsidRPr="005A10C0">
        <w:t xml:space="preserve"> objekt </w:t>
      </w:r>
      <w:r>
        <w:t>a nelze</w:t>
      </w:r>
      <w:r w:rsidRPr="005A10C0">
        <w:t xml:space="preserve"> z jej</w:t>
      </w:r>
      <w:r w:rsidRPr="005A10C0">
        <w:rPr>
          <w:rFonts w:hint="cs"/>
        </w:rPr>
        <w:t>í</w:t>
      </w:r>
      <w:r w:rsidRPr="005A10C0">
        <w:t xml:space="preserve">ho </w:t>
      </w:r>
      <w:r w:rsidRPr="005A10C0">
        <w:rPr>
          <w:rFonts w:hint="cs"/>
        </w:rPr>
        <w:t>úč</w:t>
      </w:r>
      <w:r w:rsidRPr="005A10C0">
        <w:t>inku nelze vylou</w:t>
      </w:r>
      <w:r w:rsidRPr="005A10C0">
        <w:rPr>
          <w:rFonts w:hint="cs"/>
        </w:rPr>
        <w:t>č</w:t>
      </w:r>
      <w:r w:rsidRPr="005A10C0">
        <w:t>it civilisty a civiln</w:t>
      </w:r>
      <w:r w:rsidRPr="005A10C0">
        <w:rPr>
          <w:rFonts w:hint="cs"/>
        </w:rPr>
        <w:t>í</w:t>
      </w:r>
      <w:r w:rsidRPr="005A10C0">
        <w:t xml:space="preserve"> objekty</w:t>
      </w:r>
      <w:r>
        <w:t xml:space="preserve"> viz výše podkapitola 4.2.1. Ve vztahu k autonomii prostředku, který zbraň nese mi přijde nejdůležitější požadavek na to, aby takový prostředek byl schopný zaměřit se pouze na dovolené cíle. Na vývoj tohoto prvku by měla mít logicky zájem i strana používající autonomní systém. Bylo by pak už tedy pouze otázkou, jakou měrou a s jakou chybovostí by autonomní sytém byl schopen rozlišit cíle legitimní cíle od cílů civilních. Kdyby rozlišovací schopnost systému byl</w:t>
      </w:r>
      <w:r w:rsidR="00622EDA">
        <w:t>a</w:t>
      </w:r>
      <w:r>
        <w:t xml:space="preserve"> mizivá, až nulová, byl by takový sytém zcela jistě označen za zakázaný. Otázka ovšem vzniká v případě, kdy by systém byl schopný rozlišování, ale nebyl by zcela neomylný. Podle mého názoru </w:t>
      </w:r>
      <w:r>
        <w:lastRenderedPageBreak/>
        <w:t>by takový systém neodporoval zákazu používání nerozlišujících zbraní za okolností, že je používán v prostředí, kde je ze své podstaty také minimalizováno riziko zasažení civilních cílů. Umím si představit, že systém nedisponující zcela neomylným softwarem (například s úspěšností 80%) pro rozlišování civilistů a kombatantů by mohl být nasazen k zabezpečení demilitarizovaného pásma, bez toho, aby porušil zákaz použití nerozlišujících zbraní. Oproti tomu v případě, že by stejný sytém byl použit k hlídkování na území s častým výskytem civilistů, by byl zákaz použití nerozlišující zbraně porušen.</w:t>
      </w:r>
    </w:p>
    <w:p w14:paraId="3BE7DC7D" w14:textId="10C8E750" w:rsidR="00EF5233" w:rsidRDefault="00EF5233" w:rsidP="00EF5233">
      <w:pPr>
        <w:pStyle w:val="Nadpis2"/>
        <w:numPr>
          <w:ilvl w:val="1"/>
          <w:numId w:val="17"/>
        </w:numPr>
      </w:pPr>
      <w:bookmarkStart w:id="34" w:name="_Toc164801766"/>
      <w:r>
        <w:t>Odpovědnost za protiprávní jednání autonomních zbraňových systémů</w:t>
      </w:r>
      <w:bookmarkEnd w:id="34"/>
    </w:p>
    <w:p w14:paraId="49027808" w14:textId="77777777" w:rsidR="00EF5233" w:rsidRDefault="00EF5233" w:rsidP="00EF5233">
      <w:pPr>
        <w:ind w:firstLine="576"/>
        <w:jc w:val="both"/>
      </w:pPr>
      <w:r>
        <w:t>S výše probíranou otázkou, zda jsou autonomní zbraňové systémy způsobilé porušovat normy mezinárodního práva zcela logicky souvisí i vznik odpovědnosti za toto protiprávní chování.</w:t>
      </w:r>
      <w:r>
        <w:rPr>
          <w:rStyle w:val="Znakapoznpodarou"/>
        </w:rPr>
        <w:footnoteReference w:id="159"/>
      </w:r>
      <w:r>
        <w:t xml:space="preserve"> Vznik případné odpovědnosti a tím i hrozba sankce je také základním stavebním kamenem pro jakýkoli právní systém. Nabízí se zde několik druhů odpovědnosti, a to individuální, odpovědnost nadřízeného, odpovědnost státu a odpovědnost výrobce zařízení.</w:t>
      </w:r>
      <w:r>
        <w:rPr>
          <w:rStyle w:val="Znakapoznpodarou"/>
        </w:rPr>
        <w:footnoteReference w:id="160"/>
      </w:r>
      <w:r>
        <w:t xml:space="preserve"> Já se zaměřím ve svém výkladu na odpovědnost individuální a odpovědnost států.</w:t>
      </w:r>
      <w:r w:rsidRPr="00841548">
        <w:t xml:space="preserve"> </w:t>
      </w:r>
      <w:r>
        <w:t xml:space="preserve">V případě existence plné autonomie u zbraňových systémů, by se mohla nabízet otázka, zda by se k samostatně uvažujícím zbraním nemělo přistupovat spíše jako ke kombatantům než jako k určitému druhu zbraně. Tyto úvahy mi ale nepřijdou příliš relevantní, jelikož dle mého názoru by v případě, že by existovala nějaká individuální odpovědnost autonomního zbraňového systému, tak by zde případné sankcionování samotného systému neměla žádný význam. Přičemž existence možnosti vzniku individuální odpovědnosti považuji za velice důležitý prvek při porušování norem mezinárodního humanitárního práva. Proto k autonomním zbraňovým systémům budu přistupovat jako ke speciálnímu druhu zbraně, z jejichž použití v rozporu s pravidly mezinárodního humanitárního práva může vzniknout odpovědnost konkrétním fyzickým osobám. </w:t>
      </w:r>
    </w:p>
    <w:p w14:paraId="7EC3B5D3" w14:textId="77777777" w:rsidR="00EF5233" w:rsidRDefault="00EF5233" w:rsidP="00EF5233">
      <w:pPr>
        <w:ind w:firstLine="708"/>
        <w:jc w:val="both"/>
      </w:pPr>
      <w:r>
        <w:t xml:space="preserve">Podmínky pro vznik individuální odpovědnosti konkrétní osoby za porušení mezinárodního humanitárního práva shrnul Mezinárodní trestní tribunál ve věci Tadić. Požadované podmínky jsou následující: </w:t>
      </w:r>
      <w:r>
        <w:rPr>
          <w:sz w:val="23"/>
          <w:szCs w:val="23"/>
        </w:rPr>
        <w:t xml:space="preserve">1) čin musí závažně porušovat pravidla mezinárodního humanitárního práva, 2) porušené pravidlo musí mít obyčejový charakter nebo plynout ze smlouvy, 3) porušované pravidlo chrání důležitou hodnotu a musí být porušeno závažně a konečně 4) porušení </w:t>
      </w:r>
      <w:r>
        <w:rPr>
          <w:sz w:val="23"/>
          <w:szCs w:val="23"/>
        </w:rPr>
        <w:lastRenderedPageBreak/>
        <w:t>pravidla zakládá individuální trestní odpovědnost osoby, která pravidlo porušila.</w:t>
      </w:r>
      <w:r>
        <w:rPr>
          <w:rStyle w:val="Znakapoznpodarou"/>
          <w:sz w:val="23"/>
          <w:szCs w:val="23"/>
        </w:rPr>
        <w:footnoteReference w:id="161"/>
      </w:r>
      <w:r>
        <w:rPr>
          <w:sz w:val="23"/>
          <w:szCs w:val="23"/>
        </w:rPr>
        <w:t xml:space="preserve"> Pro určení konkrétního způsobu, kterým by autonomní zbraňové systémy mohly být použity ke spáchání válečných zločinů můžeme vycházet čl. 8 Římského statutu mezinárodního trestního soudu. Přičemž autonomní zbraňové systémy by měly asi hlavní využití při použití zakázaných prostředků nebo způsobů vedení bojů, například </w:t>
      </w:r>
      <w:r w:rsidRPr="00CF49F0">
        <w:rPr>
          <w:sz w:val="23"/>
          <w:szCs w:val="23"/>
        </w:rPr>
        <w:t>úmyslné vedení útoků proti civilním objektům, tedy objektům, které nejsou vojenskými cíli</w:t>
      </w:r>
      <w:r>
        <w:rPr>
          <w:rStyle w:val="Znakapoznpodarou"/>
          <w:sz w:val="23"/>
          <w:szCs w:val="23"/>
        </w:rPr>
        <w:footnoteReference w:id="162"/>
      </w:r>
      <w:r>
        <w:rPr>
          <w:sz w:val="23"/>
          <w:szCs w:val="23"/>
        </w:rPr>
        <w:t xml:space="preserve"> nebo </w:t>
      </w:r>
      <w:r>
        <w:t>používání jedu nebo otravných zbraní.</w:t>
      </w:r>
      <w:r>
        <w:rPr>
          <w:rStyle w:val="Znakapoznpodarou"/>
        </w:rPr>
        <w:footnoteReference w:id="163"/>
      </w:r>
      <w:r>
        <w:t xml:space="preserve"> Přičemž spáchání činů uvedených v čl. 8 Římského statutu může založit buď individuální odpovědnost fyzické osoby</w:t>
      </w:r>
      <w:r>
        <w:rPr>
          <w:rStyle w:val="Znakapoznpodarou"/>
        </w:rPr>
        <w:footnoteReference w:id="164"/>
      </w:r>
      <w:r>
        <w:t xml:space="preserve"> či osoby nadřízené.</w:t>
      </w:r>
      <w:r>
        <w:rPr>
          <w:rStyle w:val="Znakapoznpodarou"/>
        </w:rPr>
        <w:footnoteReference w:id="165"/>
      </w:r>
      <w:r>
        <w:t xml:space="preserve"> Pro následující popis odpovědnosti státu za porušení pravidel mezinárodního humanitárního práva je vhodné ještě zmínit čl. 25 odst. 4 Římského statutu, který zajišťuje nedotknutelnost odpovědnosti individuální a státu podle mezinárodního práva. </w:t>
      </w:r>
    </w:p>
    <w:p w14:paraId="1D00BE3E" w14:textId="1AD5690F" w:rsidR="00C34A37" w:rsidRDefault="00EF5233" w:rsidP="00FE42D1">
      <w:pPr>
        <w:jc w:val="both"/>
      </w:pPr>
      <w:r>
        <w:tab/>
        <w:t>Odpověď na otázku odpovědnosti států za použití autonomních zbraňových systémů v rozporu s pravidly mezinárodního humanitárního práva, je nutné založit na předpokladu, že v budoucnu vzniklé autonomní zbraňové systémy se stanou pevnou součástí ozbrojených sil daného státu. Za splnění tohoto předpokladu by nám problematiku přičitatelnosti protiprávního jednání státu řešil čl. 91 Dodatkového protokolu I, který stanovuje, že strana konfliktu, která poruší ustanovení Úmluv nebo Dodatkového protokolu I bude odpovědná za veškeré škody spáchané osobami příslušejícími k jejím ozbrojeným silám.</w:t>
      </w:r>
      <w:r>
        <w:rPr>
          <w:rStyle w:val="Znakapoznpodarou"/>
        </w:rPr>
        <w:footnoteReference w:id="166"/>
      </w:r>
      <w:r>
        <w:t xml:space="preserve"> Na základě tohoto článku můžeme bez pochyby uvést, že pokud se budou autonomní zbraňové systémy jakkoli účastnit bojových akci, které provádějí ozbrojené síly státu, ponese také tento stát odpovědnost za škody, které případně autonomní zbraňové systémy způsobí, včetně jednání porušujícího pravidla mezinárodního humanitárního práva. Argument, že strany nemohou odpovídat za jednání samostatně vyhodnocujícího systému nepovažuji v tomto případě jako validní. Naopak vědomí strany, že používá v ozbrojeném konfliktu ne zcela spolehlivou zbraň </w:t>
      </w:r>
      <w:proofErr w:type="gramStart"/>
      <w:r>
        <w:t>svědčí</w:t>
      </w:r>
      <w:proofErr w:type="gramEnd"/>
      <w:r>
        <w:t xml:space="preserve"> pro vznik odpovědnosti. Například nízká spolehlivost je jedním z důvodů zákazu použití kazetové munice, kdy strany tuto úmluvu uzavíraly, mimo jiné, se záměrem zvyšovat ochranu civilních obyvatel před účinky zbytků kazetové munice v prostředí po skončení konfliktu.</w:t>
      </w:r>
      <w:r>
        <w:rPr>
          <w:rStyle w:val="Znakapoznpodarou"/>
        </w:rPr>
        <w:footnoteReference w:id="167"/>
      </w:r>
    </w:p>
    <w:p w14:paraId="1F794DFC" w14:textId="2B64F250" w:rsidR="00305DFA" w:rsidRDefault="00305DFA" w:rsidP="00BA64F0">
      <w:pPr>
        <w:pStyle w:val="Nadpis1"/>
        <w:numPr>
          <w:ilvl w:val="0"/>
          <w:numId w:val="17"/>
        </w:numPr>
      </w:pPr>
      <w:bookmarkStart w:id="39" w:name="_Toc164801767"/>
      <w:r>
        <w:lastRenderedPageBreak/>
        <w:t>Závěr</w:t>
      </w:r>
      <w:bookmarkEnd w:id="39"/>
    </w:p>
    <w:p w14:paraId="7C5AE96B" w14:textId="2213560D" w:rsidR="00BB5208" w:rsidRDefault="00120CE3" w:rsidP="00120CE3">
      <w:pPr>
        <w:jc w:val="both"/>
      </w:pPr>
      <w:r>
        <w:tab/>
        <w:t>Regulace autonomních zbra</w:t>
      </w:r>
      <w:r w:rsidR="00FE11B0">
        <w:t>ňových systémů</w:t>
      </w:r>
      <w:r>
        <w:t xml:space="preserve"> je nutná především z toho důvodu, že se jedná o zbraně nevyzpytatelné povahy, jejichž</w:t>
      </w:r>
      <w:r w:rsidR="00C34A37">
        <w:t xml:space="preserve"> neregulované</w:t>
      </w:r>
      <w:r>
        <w:t xml:space="preserve"> použití na bojištích kteréhokoli konfliktu by mohlo </w:t>
      </w:r>
      <w:r w:rsidR="00C34A37">
        <w:t>napáchat velké množství škod způsobem, který by byl v rozporu s požadavky mezinárodního humanitárního práva</w:t>
      </w:r>
      <w:r w:rsidR="00FE11B0">
        <w:t>.</w:t>
      </w:r>
      <w:r>
        <w:t xml:space="preserve"> </w:t>
      </w:r>
      <w:r w:rsidR="00FE11B0">
        <w:t>P</w:t>
      </w:r>
      <w:r>
        <w:t>ředevším</w:t>
      </w:r>
      <w:r w:rsidR="00FE11B0">
        <w:t xml:space="preserve"> </w:t>
      </w:r>
      <w:r>
        <w:t>z důvodu možnosti provádět neustálé útoky na velké ploše, s možností napadání velkého množství individuálních cílů. Jednalo by se sice o útoky na konkrétní cíle, čímž by se značně omezily další škody na okolním prostředí</w:t>
      </w:r>
      <w:r w:rsidR="00224163">
        <w:t>,</w:t>
      </w:r>
      <w:r w:rsidR="00FE11B0">
        <w:t xml:space="preserve"> </w:t>
      </w:r>
      <w:r w:rsidR="00224163">
        <w:t>o</w:t>
      </w:r>
      <w:r w:rsidR="00FE11B0">
        <w:t>všem z</w:t>
      </w:r>
      <w:r>
        <w:t xml:space="preserve"> hlediska </w:t>
      </w:r>
      <w:r w:rsidR="00D670C3">
        <w:t>té vlastnosti autonomních zbraní</w:t>
      </w:r>
      <w:r>
        <w:t xml:space="preserve">, že </w:t>
      </w:r>
      <w:r w:rsidR="006659C2">
        <w:t>v budoucnu by byly schopné</w:t>
      </w:r>
      <w:r w:rsidR="00D670C3">
        <w:t xml:space="preserve"> </w:t>
      </w:r>
      <w:r>
        <w:t xml:space="preserve">samostatně </w:t>
      </w:r>
      <w:r w:rsidR="00D670C3">
        <w:t>operovat a ničit i živé cíle plošně, bez lidské kontroly</w:t>
      </w:r>
      <w:r w:rsidR="006659C2">
        <w:t>,</w:t>
      </w:r>
      <w:r w:rsidR="00D670C3">
        <w:t xml:space="preserve"> považuji jejich nebezpečnost, obdobnou jako u zbraní hromadného ničení. Při sestavování pravidel pro jejich regulaci</w:t>
      </w:r>
      <w:r w:rsidR="00C80E6F">
        <w:t xml:space="preserve"> by</w:t>
      </w:r>
      <w:r w:rsidR="006659C2">
        <w:t xml:space="preserve"> bylo vhodné zvolit</w:t>
      </w:r>
      <w:r w:rsidR="00C80E6F">
        <w:t xml:space="preserve"> model úpravy založené </w:t>
      </w:r>
      <w:r w:rsidR="006659C2">
        <w:t xml:space="preserve">na </w:t>
      </w:r>
      <w:r w:rsidR="00C3396A">
        <w:t>sestavení nového dodatkového protokolu k již existující Úmluvě o zákazu některých konvenčních zbraní, který by stanovoval omezení spojená s použitím autonomních zbraňových systémů.</w:t>
      </w:r>
      <w:r w:rsidR="00DE268A">
        <w:t xml:space="preserve"> Velk</w:t>
      </w:r>
      <w:r w:rsidR="00C3396A">
        <w:t>ý důraz</w:t>
      </w:r>
      <w:r w:rsidR="00DE268A">
        <w:t xml:space="preserve"> by </w:t>
      </w:r>
      <w:r w:rsidR="00C3396A">
        <w:t>se při případné regulaci</w:t>
      </w:r>
      <w:r w:rsidR="00DE268A">
        <w:t xml:space="preserve"> měl </w:t>
      </w:r>
      <w:r w:rsidR="00C3396A">
        <w:t>klást na</w:t>
      </w:r>
      <w:r w:rsidR="00DE268A">
        <w:t xml:space="preserve"> precizní definice autonomie, k jejímuž sestavení by šlo využít restatementů, které již existují v dnešní době</w:t>
      </w:r>
      <w:r w:rsidR="00A72D7A">
        <w:t xml:space="preserve"> ve velkém množství</w:t>
      </w:r>
      <w:r w:rsidR="00DE268A">
        <w:t>. Mělo by se jednat o kogentní úpravu s pouze omezeným</w:t>
      </w:r>
      <w:r w:rsidR="00AB434A">
        <w:t xml:space="preserve"> počtem výjimek. Výjimky by</w:t>
      </w:r>
      <w:r w:rsidR="004A49B3">
        <w:t>,</w:t>
      </w:r>
      <w:r w:rsidR="00AB434A">
        <w:t xml:space="preserve"> dle mého názoru</w:t>
      </w:r>
      <w:r w:rsidR="004A49B3">
        <w:t>,</w:t>
      </w:r>
      <w:r w:rsidR="00AB434A">
        <w:t xml:space="preserve"> měly spočívat v </w:t>
      </w:r>
      <w:r w:rsidR="002F7C4B">
        <w:t xml:space="preserve">použití autonomních zbraňových systémů </w:t>
      </w:r>
      <w:r w:rsidR="00C3396A">
        <w:t>pouze v případech, kdy by bylo možné vyloučit porušení všech aktuálních norem mezinárodního práva</w:t>
      </w:r>
      <w:r w:rsidR="006F4507">
        <w:t>.</w:t>
      </w:r>
      <w:r w:rsidR="000844A2">
        <w:t xml:space="preserve"> </w:t>
      </w:r>
      <w:r w:rsidR="00C3396A">
        <w:t>Konkrétní</w:t>
      </w:r>
      <w:r w:rsidR="00F10C12">
        <w:t xml:space="preserve"> výjimky by mohly spočívat kupříkladu pouze na výkonu obranné činnosti subjektů, které jsou obecně zapovězeny jako cíle bojových operací, například nemocnice, školy atd. Ovšem reálná funkčnost těchto hypotetických pravidel by samozřejmě závisela na ochotě subjektů mezinárodního práva (především států) na takové dohodě participovat a daná pravidla dodržovat.</w:t>
      </w:r>
    </w:p>
    <w:p w14:paraId="00578EB3" w14:textId="77777777" w:rsidR="00B75150" w:rsidRDefault="00B75150" w:rsidP="00120CE3">
      <w:pPr>
        <w:jc w:val="both"/>
      </w:pPr>
    </w:p>
    <w:p w14:paraId="2FA121CC" w14:textId="77777777" w:rsidR="00B75150" w:rsidRDefault="00B75150" w:rsidP="00120CE3">
      <w:pPr>
        <w:jc w:val="both"/>
      </w:pPr>
    </w:p>
    <w:p w14:paraId="660E9576" w14:textId="77777777" w:rsidR="00B75150" w:rsidRDefault="00B75150" w:rsidP="00120CE3">
      <w:pPr>
        <w:jc w:val="both"/>
      </w:pPr>
    </w:p>
    <w:p w14:paraId="4FB0D4D6" w14:textId="77777777" w:rsidR="00B75150" w:rsidRDefault="00B75150" w:rsidP="00120CE3">
      <w:pPr>
        <w:jc w:val="both"/>
      </w:pPr>
    </w:p>
    <w:p w14:paraId="383E2824" w14:textId="77777777" w:rsidR="00B75150" w:rsidRDefault="00B75150" w:rsidP="00120CE3">
      <w:pPr>
        <w:jc w:val="both"/>
      </w:pPr>
    </w:p>
    <w:p w14:paraId="0F49AA69" w14:textId="77777777" w:rsidR="00B75150" w:rsidRDefault="00B75150" w:rsidP="00120CE3">
      <w:pPr>
        <w:jc w:val="both"/>
      </w:pPr>
    </w:p>
    <w:p w14:paraId="6F37382F" w14:textId="77777777" w:rsidR="00B75150" w:rsidRDefault="00B75150" w:rsidP="00120CE3">
      <w:pPr>
        <w:jc w:val="both"/>
      </w:pPr>
    </w:p>
    <w:p w14:paraId="6533895E" w14:textId="5339407F" w:rsidR="004B3010" w:rsidRDefault="00FE42D1" w:rsidP="00B17E98">
      <w:pPr>
        <w:pStyle w:val="Nadpis1"/>
        <w:numPr>
          <w:ilvl w:val="0"/>
          <w:numId w:val="0"/>
        </w:numPr>
      </w:pPr>
      <w:bookmarkStart w:id="40" w:name="_Toc164801768"/>
      <w:r>
        <w:lastRenderedPageBreak/>
        <w:t>6</w:t>
      </w:r>
      <w:r w:rsidR="00B80E01">
        <w:t>.</w:t>
      </w:r>
      <w:r w:rsidR="00AB3B54">
        <w:tab/>
      </w:r>
      <w:r w:rsidR="004B3010">
        <w:t>Seznam použitých zdrojů</w:t>
      </w:r>
      <w:bookmarkEnd w:id="40"/>
      <w:r w:rsidR="003B5310">
        <w:t xml:space="preserve"> </w:t>
      </w:r>
    </w:p>
    <w:p w14:paraId="4854FC70" w14:textId="1CB96E14" w:rsidR="001E041D" w:rsidRPr="00BB5208" w:rsidRDefault="001E041D" w:rsidP="001E041D">
      <w:pPr>
        <w:pStyle w:val="Textpoznpodarou"/>
      </w:pPr>
      <w:r w:rsidRPr="00BB5208">
        <w:rPr>
          <w:sz w:val="24"/>
          <w:szCs w:val="24"/>
        </w:rPr>
        <w:t xml:space="preserve">1) CATTON, L., </w:t>
      </w:r>
      <w:proofErr w:type="spellStart"/>
      <w:r w:rsidRPr="00BB5208">
        <w:rPr>
          <w:sz w:val="24"/>
          <w:szCs w:val="24"/>
        </w:rPr>
        <w:t>Jeffrey</w:t>
      </w:r>
      <w:proofErr w:type="spellEnd"/>
      <w:r w:rsidRPr="00BB5208">
        <w:rPr>
          <w:sz w:val="24"/>
          <w:szCs w:val="24"/>
        </w:rPr>
        <w:t xml:space="preserve">. </w:t>
      </w:r>
      <w:r w:rsidRPr="00BB5208">
        <w:rPr>
          <w:i/>
          <w:iCs/>
          <w:sz w:val="24"/>
          <w:szCs w:val="24"/>
        </w:rPr>
        <w:t xml:space="preserve">Autonomous weapon </w:t>
      </w:r>
      <w:proofErr w:type="spellStart"/>
      <w:r w:rsidRPr="00BB5208">
        <w:rPr>
          <w:i/>
          <w:iCs/>
          <w:sz w:val="24"/>
          <w:szCs w:val="24"/>
        </w:rPr>
        <w:t>sysems</w:t>
      </w:r>
      <w:proofErr w:type="spellEnd"/>
      <w:r w:rsidRPr="00BB5208">
        <w:rPr>
          <w:i/>
          <w:iCs/>
          <w:sz w:val="24"/>
          <w:szCs w:val="24"/>
        </w:rPr>
        <w:t xml:space="preserve">: A </w:t>
      </w:r>
      <w:proofErr w:type="spellStart"/>
      <w:r w:rsidRPr="00BB5208">
        <w:rPr>
          <w:i/>
          <w:iCs/>
          <w:sz w:val="24"/>
          <w:szCs w:val="24"/>
        </w:rPr>
        <w:t>brief</w:t>
      </w:r>
      <w:proofErr w:type="spellEnd"/>
      <w:r w:rsidRPr="00BB5208">
        <w:rPr>
          <w:i/>
          <w:iCs/>
          <w:sz w:val="24"/>
          <w:szCs w:val="24"/>
        </w:rPr>
        <w:t xml:space="preserve"> </w:t>
      </w:r>
      <w:proofErr w:type="spellStart"/>
      <w:r w:rsidRPr="00BB5208">
        <w:rPr>
          <w:i/>
          <w:iCs/>
          <w:sz w:val="24"/>
          <w:szCs w:val="24"/>
        </w:rPr>
        <w:t>survey</w:t>
      </w:r>
      <w:proofErr w:type="spellEnd"/>
      <w:r w:rsidRPr="00BB5208">
        <w:rPr>
          <w:i/>
          <w:iCs/>
          <w:sz w:val="24"/>
          <w:szCs w:val="24"/>
        </w:rPr>
        <w:t xml:space="preserve"> of </w:t>
      </w:r>
      <w:proofErr w:type="spellStart"/>
      <w:r w:rsidRPr="00BB5208">
        <w:rPr>
          <w:i/>
          <w:iCs/>
          <w:sz w:val="24"/>
          <w:szCs w:val="24"/>
        </w:rPr>
        <w:t>developmental</w:t>
      </w:r>
      <w:proofErr w:type="spellEnd"/>
      <w:r w:rsidRPr="00BB5208">
        <w:rPr>
          <w:i/>
          <w:iCs/>
          <w:sz w:val="24"/>
          <w:szCs w:val="24"/>
        </w:rPr>
        <w:t xml:space="preserve">, </w:t>
      </w:r>
      <w:proofErr w:type="spellStart"/>
      <w:r w:rsidRPr="00BB5208">
        <w:rPr>
          <w:i/>
          <w:iCs/>
          <w:sz w:val="24"/>
          <w:szCs w:val="24"/>
        </w:rPr>
        <w:t>operational</w:t>
      </w:r>
      <w:proofErr w:type="spellEnd"/>
      <w:r w:rsidRPr="00BB5208">
        <w:rPr>
          <w:i/>
          <w:iCs/>
          <w:sz w:val="24"/>
          <w:szCs w:val="24"/>
        </w:rPr>
        <w:t xml:space="preserve">, </w:t>
      </w:r>
      <w:proofErr w:type="spellStart"/>
      <w:r w:rsidRPr="00BB5208">
        <w:rPr>
          <w:i/>
          <w:iCs/>
          <w:sz w:val="24"/>
          <w:szCs w:val="24"/>
        </w:rPr>
        <w:t>legal</w:t>
      </w:r>
      <w:proofErr w:type="spellEnd"/>
      <w:r w:rsidRPr="00BB5208">
        <w:rPr>
          <w:i/>
          <w:iCs/>
          <w:sz w:val="24"/>
          <w:szCs w:val="24"/>
        </w:rPr>
        <w:t xml:space="preserve">, and </w:t>
      </w:r>
      <w:proofErr w:type="spellStart"/>
      <w:r w:rsidRPr="00BB5208">
        <w:rPr>
          <w:i/>
          <w:iCs/>
          <w:sz w:val="24"/>
          <w:szCs w:val="24"/>
        </w:rPr>
        <w:t>ethical</w:t>
      </w:r>
      <w:proofErr w:type="spellEnd"/>
      <w:r w:rsidRPr="00BB5208">
        <w:rPr>
          <w:i/>
          <w:iCs/>
          <w:sz w:val="24"/>
          <w:szCs w:val="24"/>
        </w:rPr>
        <w:t xml:space="preserve"> Issues</w:t>
      </w:r>
      <w:r w:rsidRPr="00BB5208">
        <w:rPr>
          <w:sz w:val="24"/>
          <w:szCs w:val="24"/>
        </w:rPr>
        <w:t xml:space="preserve">. </w:t>
      </w:r>
      <w:proofErr w:type="spellStart"/>
      <w:r w:rsidRPr="00BB5208">
        <w:rPr>
          <w:sz w:val="24"/>
          <w:szCs w:val="24"/>
        </w:rPr>
        <w:t>Strategic</w:t>
      </w:r>
      <w:proofErr w:type="spellEnd"/>
      <w:r w:rsidRPr="00BB5208">
        <w:rPr>
          <w:sz w:val="24"/>
          <w:szCs w:val="24"/>
        </w:rPr>
        <w:t xml:space="preserve"> </w:t>
      </w:r>
      <w:proofErr w:type="spellStart"/>
      <w:r w:rsidRPr="00BB5208">
        <w:rPr>
          <w:sz w:val="24"/>
          <w:szCs w:val="24"/>
        </w:rPr>
        <w:t>Studies</w:t>
      </w:r>
      <w:proofErr w:type="spellEnd"/>
      <w:r w:rsidRPr="00BB5208">
        <w:rPr>
          <w:sz w:val="24"/>
          <w:szCs w:val="24"/>
        </w:rPr>
        <w:t xml:space="preserve"> Institute and U.S. </w:t>
      </w:r>
      <w:proofErr w:type="spellStart"/>
      <w:r w:rsidRPr="00BB5208">
        <w:rPr>
          <w:sz w:val="24"/>
          <w:szCs w:val="24"/>
        </w:rPr>
        <w:t>Army</w:t>
      </w:r>
      <w:proofErr w:type="spellEnd"/>
      <w:r w:rsidRPr="00BB5208">
        <w:rPr>
          <w:sz w:val="24"/>
          <w:szCs w:val="24"/>
        </w:rPr>
        <w:t xml:space="preserve"> </w:t>
      </w:r>
      <w:proofErr w:type="spellStart"/>
      <w:r w:rsidRPr="00BB5208">
        <w:rPr>
          <w:sz w:val="24"/>
          <w:szCs w:val="24"/>
        </w:rPr>
        <w:t>War</w:t>
      </w:r>
      <w:proofErr w:type="spellEnd"/>
      <w:r w:rsidRPr="00BB5208">
        <w:rPr>
          <w:sz w:val="24"/>
          <w:szCs w:val="24"/>
        </w:rPr>
        <w:t xml:space="preserve"> </w:t>
      </w:r>
      <w:proofErr w:type="spellStart"/>
      <w:r w:rsidRPr="00BB5208">
        <w:rPr>
          <w:sz w:val="24"/>
          <w:szCs w:val="24"/>
        </w:rPr>
        <w:t>College</w:t>
      </w:r>
      <w:proofErr w:type="spellEnd"/>
      <w:r w:rsidRPr="00BB5208">
        <w:rPr>
          <w:sz w:val="24"/>
          <w:szCs w:val="24"/>
        </w:rPr>
        <w:t xml:space="preserve"> </w:t>
      </w:r>
      <w:proofErr w:type="spellStart"/>
      <w:r w:rsidRPr="00BB5208">
        <w:rPr>
          <w:sz w:val="24"/>
          <w:szCs w:val="24"/>
        </w:rPr>
        <w:t>Press</w:t>
      </w:r>
      <w:proofErr w:type="spellEnd"/>
      <w:r w:rsidRPr="00BB5208">
        <w:rPr>
          <w:sz w:val="24"/>
          <w:szCs w:val="24"/>
        </w:rPr>
        <w:t xml:space="preserve"> – 2015</w:t>
      </w:r>
      <w:r w:rsidR="00690469" w:rsidRPr="00BB5208">
        <w:rPr>
          <w:sz w:val="24"/>
          <w:szCs w:val="24"/>
        </w:rPr>
        <w:t xml:space="preserve">, 99 s. </w:t>
      </w:r>
      <w:r w:rsidRPr="00BB5208">
        <w:rPr>
          <w:sz w:val="24"/>
          <w:szCs w:val="24"/>
        </w:rPr>
        <w:t xml:space="preserve"> [online]. Dostupné z: </w:t>
      </w:r>
      <w:hyperlink r:id="rId8" w:history="1">
        <w:r w:rsidRPr="00BB5208">
          <w:rPr>
            <w:rStyle w:val="Hypertextovodkaz"/>
            <w:sz w:val="24"/>
            <w:szCs w:val="24"/>
          </w:rPr>
          <w:t>https://www.jstor.org/stable/resrep11227?seq=1</w:t>
        </w:r>
      </w:hyperlink>
      <w:r w:rsidRPr="00BB5208">
        <w:rPr>
          <w:rStyle w:val="Hypertextovodkaz"/>
        </w:rPr>
        <w:br/>
      </w:r>
      <w:r w:rsidR="00C614C4" w:rsidRPr="00BB5208">
        <w:br/>
      </w:r>
      <w:r w:rsidRPr="00BB5208">
        <w:rPr>
          <w:sz w:val="24"/>
          <w:szCs w:val="24"/>
        </w:rPr>
        <w:t xml:space="preserve">2) SCHARRE, Paul, HOROWITZ, C., Michael. </w:t>
      </w:r>
      <w:proofErr w:type="spellStart"/>
      <w:r w:rsidRPr="00BB5208">
        <w:rPr>
          <w:sz w:val="24"/>
          <w:szCs w:val="24"/>
        </w:rPr>
        <w:t>Working</w:t>
      </w:r>
      <w:proofErr w:type="spellEnd"/>
      <w:r w:rsidRPr="00BB5208">
        <w:rPr>
          <w:sz w:val="24"/>
          <w:szCs w:val="24"/>
        </w:rPr>
        <w:t xml:space="preserve"> </w:t>
      </w:r>
      <w:proofErr w:type="spellStart"/>
      <w:r w:rsidRPr="00BB5208">
        <w:rPr>
          <w:sz w:val="24"/>
          <w:szCs w:val="24"/>
        </w:rPr>
        <w:t>paper</w:t>
      </w:r>
      <w:proofErr w:type="spellEnd"/>
      <w:r w:rsidRPr="00BB5208">
        <w:rPr>
          <w:sz w:val="24"/>
          <w:szCs w:val="24"/>
        </w:rPr>
        <w:t xml:space="preserve">. </w:t>
      </w:r>
      <w:r w:rsidRPr="00BB5208">
        <w:rPr>
          <w:i/>
          <w:iCs/>
          <w:sz w:val="24"/>
          <w:szCs w:val="24"/>
        </w:rPr>
        <w:t xml:space="preserve">An </w:t>
      </w:r>
      <w:proofErr w:type="spellStart"/>
      <w:r w:rsidRPr="00BB5208">
        <w:rPr>
          <w:i/>
          <w:iCs/>
          <w:sz w:val="24"/>
          <w:szCs w:val="24"/>
        </w:rPr>
        <w:t>Introduction</w:t>
      </w:r>
      <w:proofErr w:type="spellEnd"/>
      <w:r w:rsidRPr="00BB5208">
        <w:rPr>
          <w:i/>
          <w:iCs/>
          <w:sz w:val="24"/>
          <w:szCs w:val="24"/>
        </w:rPr>
        <w:t xml:space="preserve"> autonomy in weapon systems</w:t>
      </w:r>
      <w:r w:rsidRPr="00BB5208">
        <w:rPr>
          <w:sz w:val="24"/>
          <w:szCs w:val="24"/>
        </w:rPr>
        <w:t xml:space="preserve"> – 13. února 2015</w:t>
      </w:r>
      <w:r w:rsidR="001F52CB" w:rsidRPr="00BB5208">
        <w:rPr>
          <w:sz w:val="24"/>
          <w:szCs w:val="24"/>
        </w:rPr>
        <w:t>, 23 s.</w:t>
      </w:r>
      <w:r w:rsidRPr="00BB5208">
        <w:rPr>
          <w:sz w:val="24"/>
          <w:szCs w:val="24"/>
        </w:rPr>
        <w:t xml:space="preserve"> [online] Dostupné z: </w:t>
      </w:r>
      <w:hyperlink r:id="rId9" w:history="1">
        <w:r w:rsidRPr="00BB5208">
          <w:rPr>
            <w:rStyle w:val="Hypertextovodkaz"/>
            <w:sz w:val="24"/>
            <w:szCs w:val="24"/>
          </w:rPr>
          <w:t>https://www.cnas.org/publications/reports/an-introduction-to-autonomy-in-weapon-systems</w:t>
        </w:r>
      </w:hyperlink>
    </w:p>
    <w:p w14:paraId="08E401AD" w14:textId="422C97FE" w:rsidR="00B323B0" w:rsidRPr="00BB5208" w:rsidRDefault="0004534F" w:rsidP="001E041D">
      <w:pPr>
        <w:rPr>
          <w:rStyle w:val="Hypertextovodkaz"/>
        </w:rPr>
      </w:pPr>
      <w:r w:rsidRPr="00BB5208">
        <w:t xml:space="preserve">3) </w:t>
      </w:r>
      <w:proofErr w:type="spellStart"/>
      <w:r w:rsidR="001E041D" w:rsidRPr="00BB5208">
        <w:rPr>
          <w:i/>
          <w:iCs/>
        </w:rPr>
        <w:t>Saving</w:t>
      </w:r>
      <w:proofErr w:type="spellEnd"/>
      <w:r w:rsidR="001E041D" w:rsidRPr="00BB5208">
        <w:rPr>
          <w:i/>
          <w:iCs/>
        </w:rPr>
        <w:t xml:space="preserve"> the </w:t>
      </w:r>
      <w:proofErr w:type="spellStart"/>
      <w:r w:rsidR="001E041D" w:rsidRPr="00BB5208">
        <w:rPr>
          <w:i/>
          <w:iCs/>
        </w:rPr>
        <w:t>Good</w:t>
      </w:r>
      <w:proofErr w:type="spellEnd"/>
      <w:r w:rsidR="001E041D" w:rsidRPr="00BB5208">
        <w:rPr>
          <w:i/>
          <w:iCs/>
        </w:rPr>
        <w:t xml:space="preserve"> </w:t>
      </w:r>
      <w:proofErr w:type="spellStart"/>
      <w:r w:rsidR="001E041D" w:rsidRPr="00BB5208">
        <w:rPr>
          <w:i/>
          <w:iCs/>
        </w:rPr>
        <w:t>Guys</w:t>
      </w:r>
      <w:proofErr w:type="spellEnd"/>
      <w:r w:rsidR="001E041D" w:rsidRPr="00BB5208">
        <w:rPr>
          <w:i/>
          <w:iCs/>
        </w:rPr>
        <w:t xml:space="preserve"> with Auto GCAS Technology</w:t>
      </w:r>
      <w:r w:rsidR="001E041D" w:rsidRPr="00BB5208">
        <w:t xml:space="preserve"> [online]. Lockheedmartin.com. Dostupné z: </w:t>
      </w:r>
      <w:hyperlink r:id="rId10" w:history="1">
        <w:r w:rsidR="001E041D" w:rsidRPr="00BB5208">
          <w:rPr>
            <w:rStyle w:val="Hypertextovodkaz"/>
          </w:rPr>
          <w:t>https://www.lockheedmartin.com/en-us/products/autogcas.html</w:t>
        </w:r>
      </w:hyperlink>
    </w:p>
    <w:p w14:paraId="36B231E3" w14:textId="2A01A8AC" w:rsidR="00B323B0" w:rsidRPr="00BB5208" w:rsidRDefault="00B323B0" w:rsidP="00B323B0">
      <w:pPr>
        <w:pStyle w:val="Textpoznpodarou"/>
        <w:rPr>
          <w:sz w:val="24"/>
          <w:szCs w:val="24"/>
        </w:rPr>
      </w:pPr>
      <w:r w:rsidRPr="00BB5208">
        <w:rPr>
          <w:sz w:val="24"/>
          <w:szCs w:val="24"/>
        </w:rPr>
        <w:t xml:space="preserve">4) International Committee of the </w:t>
      </w:r>
      <w:proofErr w:type="spellStart"/>
      <w:r w:rsidRPr="00BB5208">
        <w:rPr>
          <w:sz w:val="24"/>
          <w:szCs w:val="24"/>
        </w:rPr>
        <w:t>Red</w:t>
      </w:r>
      <w:proofErr w:type="spellEnd"/>
      <w:r w:rsidRPr="00BB5208">
        <w:rPr>
          <w:sz w:val="24"/>
          <w:szCs w:val="24"/>
        </w:rPr>
        <w:t xml:space="preserve"> Cross.</w:t>
      </w:r>
      <w:r w:rsidRPr="00BB5208">
        <w:rPr>
          <w:i/>
          <w:iCs/>
          <w:sz w:val="24"/>
          <w:szCs w:val="24"/>
        </w:rPr>
        <w:t xml:space="preserve"> Autonomous weapon systems. </w:t>
      </w:r>
      <w:proofErr w:type="spellStart"/>
      <w:r w:rsidRPr="00BB5208">
        <w:rPr>
          <w:i/>
          <w:iCs/>
          <w:sz w:val="24"/>
          <w:szCs w:val="24"/>
        </w:rPr>
        <w:t>Implication</w:t>
      </w:r>
      <w:proofErr w:type="spellEnd"/>
      <w:r w:rsidRPr="00BB5208">
        <w:rPr>
          <w:i/>
          <w:iCs/>
          <w:sz w:val="24"/>
          <w:szCs w:val="24"/>
        </w:rPr>
        <w:t xml:space="preserve"> of </w:t>
      </w:r>
      <w:proofErr w:type="spellStart"/>
      <w:r w:rsidRPr="00BB5208">
        <w:rPr>
          <w:i/>
          <w:iCs/>
          <w:sz w:val="24"/>
          <w:szCs w:val="24"/>
        </w:rPr>
        <w:t>increasing</w:t>
      </w:r>
      <w:proofErr w:type="spellEnd"/>
      <w:r w:rsidRPr="00BB5208">
        <w:rPr>
          <w:i/>
          <w:iCs/>
          <w:sz w:val="24"/>
          <w:szCs w:val="24"/>
        </w:rPr>
        <w:t xml:space="preserve"> autonomy in the </w:t>
      </w:r>
      <w:proofErr w:type="spellStart"/>
      <w:r w:rsidRPr="00BB5208">
        <w:rPr>
          <w:i/>
          <w:iCs/>
          <w:sz w:val="24"/>
          <w:szCs w:val="24"/>
        </w:rPr>
        <w:t>critical</w:t>
      </w:r>
      <w:proofErr w:type="spellEnd"/>
      <w:r w:rsidRPr="00BB5208">
        <w:rPr>
          <w:i/>
          <w:iCs/>
          <w:sz w:val="24"/>
          <w:szCs w:val="24"/>
        </w:rPr>
        <w:t xml:space="preserve"> </w:t>
      </w:r>
      <w:proofErr w:type="spellStart"/>
      <w:r w:rsidRPr="00BB5208">
        <w:rPr>
          <w:i/>
          <w:iCs/>
          <w:sz w:val="24"/>
          <w:szCs w:val="24"/>
        </w:rPr>
        <w:t>functions</w:t>
      </w:r>
      <w:proofErr w:type="spellEnd"/>
      <w:r w:rsidRPr="00BB5208">
        <w:rPr>
          <w:i/>
          <w:iCs/>
          <w:sz w:val="24"/>
          <w:szCs w:val="24"/>
        </w:rPr>
        <w:t xml:space="preserve"> of weapons – 2016 Expert meeting </w:t>
      </w:r>
      <w:r w:rsidRPr="00BB5208">
        <w:rPr>
          <w:sz w:val="24"/>
          <w:szCs w:val="24"/>
        </w:rPr>
        <w:t xml:space="preserve">[online]. International Committee of the </w:t>
      </w:r>
      <w:proofErr w:type="spellStart"/>
      <w:r w:rsidRPr="00BB5208">
        <w:rPr>
          <w:sz w:val="24"/>
          <w:szCs w:val="24"/>
        </w:rPr>
        <w:t>Red</w:t>
      </w:r>
      <w:proofErr w:type="spellEnd"/>
      <w:r w:rsidRPr="00BB5208">
        <w:rPr>
          <w:sz w:val="24"/>
          <w:szCs w:val="24"/>
        </w:rPr>
        <w:t xml:space="preserve"> Cross, 2016</w:t>
      </w:r>
      <w:r w:rsidR="001E3F28" w:rsidRPr="00BB5208">
        <w:rPr>
          <w:sz w:val="24"/>
          <w:szCs w:val="24"/>
        </w:rPr>
        <w:t>, 94 s</w:t>
      </w:r>
      <w:r w:rsidRPr="00BB5208">
        <w:rPr>
          <w:sz w:val="24"/>
          <w:szCs w:val="24"/>
        </w:rPr>
        <w:t xml:space="preserve">. Dostupné z: </w:t>
      </w:r>
      <w:hyperlink r:id="rId11" w:history="1">
        <w:r w:rsidRPr="00BB5208">
          <w:rPr>
            <w:rStyle w:val="Hypertextovodkaz"/>
            <w:sz w:val="24"/>
            <w:szCs w:val="24"/>
          </w:rPr>
          <w:t>https://www.icrc.org/en/publication/4283-autonomous-weapons-systems</w:t>
        </w:r>
      </w:hyperlink>
      <w:r w:rsidRPr="00BB5208">
        <w:rPr>
          <w:sz w:val="24"/>
          <w:szCs w:val="24"/>
        </w:rPr>
        <w:t xml:space="preserve"> </w:t>
      </w:r>
    </w:p>
    <w:p w14:paraId="43CFB454" w14:textId="484B54B5" w:rsidR="00B323B0" w:rsidRPr="00BB5208" w:rsidRDefault="00B323B0" w:rsidP="00EC0E12">
      <w:pPr>
        <w:spacing w:line="240" w:lineRule="auto"/>
        <w:rPr>
          <w:rStyle w:val="Hypertextovodkaz"/>
        </w:rPr>
      </w:pPr>
      <w:r w:rsidRPr="00BB5208">
        <w:t xml:space="preserve">5) Advisory Council on International </w:t>
      </w:r>
      <w:proofErr w:type="spellStart"/>
      <w:r w:rsidRPr="00BB5208">
        <w:t>Affairs</w:t>
      </w:r>
      <w:proofErr w:type="spellEnd"/>
      <w:r w:rsidRPr="00BB5208">
        <w:t xml:space="preserve"> / Advisory Committee on Issues of Public</w:t>
      </w:r>
      <w:r w:rsidR="00EC0E12" w:rsidRPr="00BB5208">
        <w:t xml:space="preserve"> </w:t>
      </w:r>
      <w:r w:rsidRPr="00BB5208">
        <w:t xml:space="preserve">International Law. </w:t>
      </w:r>
      <w:r w:rsidRPr="00BB5208">
        <w:rPr>
          <w:i/>
          <w:iCs/>
        </w:rPr>
        <w:t xml:space="preserve">Autonomous weapon systems. The </w:t>
      </w:r>
      <w:proofErr w:type="spellStart"/>
      <w:r w:rsidRPr="00BB5208">
        <w:rPr>
          <w:i/>
          <w:iCs/>
        </w:rPr>
        <w:t>need</w:t>
      </w:r>
      <w:proofErr w:type="spellEnd"/>
      <w:r w:rsidRPr="00BB5208">
        <w:rPr>
          <w:i/>
          <w:iCs/>
        </w:rPr>
        <w:t xml:space="preserve"> </w:t>
      </w:r>
      <w:proofErr w:type="spellStart"/>
      <w:r w:rsidRPr="00BB5208">
        <w:rPr>
          <w:i/>
          <w:iCs/>
        </w:rPr>
        <w:t>for</w:t>
      </w:r>
      <w:proofErr w:type="spellEnd"/>
      <w:r w:rsidRPr="00BB5208">
        <w:rPr>
          <w:i/>
          <w:iCs/>
        </w:rPr>
        <w:t xml:space="preserve"> </w:t>
      </w:r>
      <w:proofErr w:type="spellStart"/>
      <w:r w:rsidRPr="00BB5208">
        <w:rPr>
          <w:i/>
          <w:iCs/>
        </w:rPr>
        <w:t>meaningful</w:t>
      </w:r>
      <w:proofErr w:type="spellEnd"/>
      <w:r w:rsidRPr="00BB5208">
        <w:rPr>
          <w:i/>
          <w:iCs/>
        </w:rPr>
        <w:t xml:space="preserve"> human control</w:t>
      </w:r>
      <w:r w:rsidRPr="00BB5208">
        <w:t xml:space="preserve"> </w:t>
      </w:r>
      <w:r w:rsidRPr="00BB5208">
        <w:rPr>
          <w:i/>
          <w:iCs/>
        </w:rPr>
        <w:t>– 2015</w:t>
      </w:r>
      <w:r w:rsidR="00EC0E12" w:rsidRPr="00BB5208">
        <w:rPr>
          <w:i/>
          <w:iCs/>
        </w:rPr>
        <w:t xml:space="preserve"> </w:t>
      </w:r>
      <w:r w:rsidR="000D747F" w:rsidRPr="00BB5208">
        <w:t xml:space="preserve">[online] </w:t>
      </w:r>
      <w:r w:rsidR="00FE3D0A" w:rsidRPr="00BB5208">
        <w:t xml:space="preserve">Advisory Council on International </w:t>
      </w:r>
      <w:proofErr w:type="spellStart"/>
      <w:r w:rsidR="00FE3D0A" w:rsidRPr="00BB5208">
        <w:t>Affairs</w:t>
      </w:r>
      <w:proofErr w:type="spellEnd"/>
      <w:r w:rsidR="00FE3D0A" w:rsidRPr="00BB5208">
        <w:t xml:space="preserve"> 2.10.2015 </w:t>
      </w:r>
      <w:r w:rsidR="00EC0E12" w:rsidRPr="00BB5208">
        <w:t xml:space="preserve">54 </w:t>
      </w:r>
      <w:proofErr w:type="gramStart"/>
      <w:r w:rsidR="00EC0E12" w:rsidRPr="00BB5208">
        <w:t>s</w:t>
      </w:r>
      <w:r w:rsidR="00EC0E12" w:rsidRPr="00BB5208">
        <w:rPr>
          <w:i/>
          <w:iCs/>
        </w:rPr>
        <w:t>.</w:t>
      </w:r>
      <w:r w:rsidRPr="00BB5208">
        <w:t>.</w:t>
      </w:r>
      <w:proofErr w:type="gramEnd"/>
      <w:r w:rsidRPr="00BB5208">
        <w:t xml:space="preserve"> Dostupné z: </w:t>
      </w:r>
      <w:hyperlink r:id="rId12" w:history="1">
        <w:r w:rsidRPr="00BB5208">
          <w:rPr>
            <w:rStyle w:val="Hypertextovodkaz"/>
          </w:rPr>
          <w:t>https://www.advisorycouncilinternationalaffairs.nl/documents/publications/2015/10/02/autonomous-weapon-systems</w:t>
        </w:r>
      </w:hyperlink>
    </w:p>
    <w:p w14:paraId="21245932" w14:textId="06B86841" w:rsidR="003B5310" w:rsidRPr="00BB5208" w:rsidRDefault="00B323B0" w:rsidP="00B323B0">
      <w:pPr>
        <w:pStyle w:val="Textpoznpodarou"/>
        <w:rPr>
          <w:sz w:val="24"/>
          <w:szCs w:val="24"/>
        </w:rPr>
      </w:pPr>
      <w:r w:rsidRPr="00BB5208">
        <w:rPr>
          <w:sz w:val="24"/>
          <w:szCs w:val="24"/>
        </w:rPr>
        <w:t xml:space="preserve">6) SCHARRE, Paul. </w:t>
      </w:r>
      <w:r w:rsidRPr="00BB5208">
        <w:rPr>
          <w:i/>
          <w:iCs/>
          <w:sz w:val="24"/>
          <w:szCs w:val="24"/>
        </w:rPr>
        <w:t>Armáda strojů: autonomní zbraně a budoucnost války</w:t>
      </w:r>
      <w:r w:rsidRPr="00BB5208">
        <w:rPr>
          <w:sz w:val="24"/>
          <w:szCs w:val="24"/>
        </w:rPr>
        <w:t>. 1. vydání. Praha: Knižní klub. Universum (Knižní klub), 2018, 535 s.</w:t>
      </w:r>
    </w:p>
    <w:p w14:paraId="29D15ED5" w14:textId="17920ACD" w:rsidR="00A952A4" w:rsidRPr="00BB5208" w:rsidRDefault="003B5310" w:rsidP="00BB5208">
      <w:pPr>
        <w:spacing w:line="240" w:lineRule="auto"/>
      </w:pPr>
      <w:r w:rsidRPr="00BB5208">
        <w:t xml:space="preserve">7) EČER, Bohuslav. </w:t>
      </w:r>
      <w:r w:rsidRPr="00BB5208">
        <w:rPr>
          <w:i/>
          <w:iCs/>
        </w:rPr>
        <w:t>Vývoj a základy mezinárodního práva trestního: (se zvláštním zřetelem k československé účasti na potrestání zločinů druhé světové války a zejména na přípravě, zřízení a díle Mezinárodního vojenského tribunálu v Norimberku)</w:t>
      </w:r>
      <w:r w:rsidRPr="00BB5208">
        <w:t>. Praha: V. Linhart, 1948</w:t>
      </w:r>
      <w:r w:rsidR="001E3F28" w:rsidRPr="00BB5208">
        <w:t>. 216 s.</w:t>
      </w:r>
      <w:r w:rsidR="00BF0E24" w:rsidRPr="00BB5208">
        <w:rPr>
          <w:szCs w:val="24"/>
        </w:rPr>
        <w:br/>
      </w:r>
      <w:r w:rsidR="00BF0E24" w:rsidRPr="00BB5208">
        <w:rPr>
          <w:szCs w:val="24"/>
        </w:rPr>
        <w:br/>
      </w:r>
      <w:r w:rsidR="00BB5208" w:rsidRPr="00BB5208">
        <w:rPr>
          <w:szCs w:val="24"/>
        </w:rPr>
        <w:t>8</w:t>
      </w:r>
      <w:r w:rsidR="00BF0E24" w:rsidRPr="00BB5208">
        <w:rPr>
          <w:szCs w:val="24"/>
        </w:rPr>
        <w:t>)</w:t>
      </w:r>
      <w:r w:rsidR="00BF0E24" w:rsidRPr="00BB5208">
        <w:rPr>
          <w:sz w:val="32"/>
          <w:szCs w:val="32"/>
        </w:rPr>
        <w:t xml:space="preserve"> </w:t>
      </w:r>
      <w:r w:rsidR="00BF0E24" w:rsidRPr="00BB5208">
        <w:rPr>
          <w:szCs w:val="24"/>
        </w:rPr>
        <w:t xml:space="preserve">FERREIRA, Maria Isabel </w:t>
      </w:r>
      <w:proofErr w:type="spellStart"/>
      <w:r w:rsidR="00BF0E24" w:rsidRPr="00BB5208">
        <w:rPr>
          <w:szCs w:val="24"/>
        </w:rPr>
        <w:t>Aldinhas</w:t>
      </w:r>
      <w:proofErr w:type="spellEnd"/>
      <w:r w:rsidR="00BF0E24" w:rsidRPr="00BB5208">
        <w:rPr>
          <w:szCs w:val="24"/>
        </w:rPr>
        <w:t xml:space="preserve"> a kol. </w:t>
      </w:r>
      <w:r w:rsidR="00BF0E24" w:rsidRPr="00BB5208">
        <w:rPr>
          <w:i/>
          <w:iCs/>
          <w:szCs w:val="24"/>
        </w:rPr>
        <w:t xml:space="preserve">A </w:t>
      </w:r>
      <w:proofErr w:type="spellStart"/>
      <w:r w:rsidR="00BF0E24" w:rsidRPr="00BB5208">
        <w:rPr>
          <w:i/>
          <w:iCs/>
          <w:szCs w:val="24"/>
        </w:rPr>
        <w:t>World</w:t>
      </w:r>
      <w:proofErr w:type="spellEnd"/>
      <w:r w:rsidR="00BF0E24" w:rsidRPr="00BB5208">
        <w:rPr>
          <w:i/>
          <w:iCs/>
          <w:szCs w:val="24"/>
        </w:rPr>
        <w:t xml:space="preserve"> with </w:t>
      </w:r>
      <w:proofErr w:type="spellStart"/>
      <w:r w:rsidR="00BF0E24" w:rsidRPr="00BB5208">
        <w:rPr>
          <w:i/>
          <w:iCs/>
          <w:szCs w:val="24"/>
        </w:rPr>
        <w:t>Robots</w:t>
      </w:r>
      <w:proofErr w:type="spellEnd"/>
      <w:r w:rsidR="00BF0E24" w:rsidRPr="00BB5208">
        <w:rPr>
          <w:i/>
          <w:iCs/>
          <w:szCs w:val="24"/>
        </w:rPr>
        <w:t xml:space="preserve">: International </w:t>
      </w:r>
      <w:proofErr w:type="spellStart"/>
      <w:r w:rsidR="00BF0E24" w:rsidRPr="00BB5208">
        <w:rPr>
          <w:i/>
          <w:iCs/>
          <w:szCs w:val="24"/>
        </w:rPr>
        <w:t>Conference</w:t>
      </w:r>
      <w:proofErr w:type="spellEnd"/>
      <w:r w:rsidR="00BF0E24" w:rsidRPr="00BB5208">
        <w:rPr>
          <w:i/>
          <w:iCs/>
          <w:szCs w:val="24"/>
        </w:rPr>
        <w:t xml:space="preserve"> on Robot </w:t>
      </w:r>
      <w:proofErr w:type="spellStart"/>
      <w:r w:rsidR="00BF0E24" w:rsidRPr="00BB5208">
        <w:rPr>
          <w:i/>
          <w:iCs/>
          <w:szCs w:val="24"/>
        </w:rPr>
        <w:t>Ethicks</w:t>
      </w:r>
      <w:proofErr w:type="spellEnd"/>
      <w:r w:rsidR="00BF0E24" w:rsidRPr="00BB5208">
        <w:rPr>
          <w:i/>
          <w:iCs/>
          <w:szCs w:val="24"/>
        </w:rPr>
        <w:t>: ICRE 2015</w:t>
      </w:r>
      <w:r w:rsidR="000D747F" w:rsidRPr="00BB5208">
        <w:rPr>
          <w:i/>
          <w:iCs/>
          <w:szCs w:val="24"/>
        </w:rPr>
        <w:t xml:space="preserve"> </w:t>
      </w:r>
      <w:r w:rsidR="000D747F" w:rsidRPr="00BB5208">
        <w:rPr>
          <w:szCs w:val="24"/>
        </w:rPr>
        <w:t xml:space="preserve">[online] </w:t>
      </w:r>
      <w:r w:rsidR="00BF0E24" w:rsidRPr="00BB5208">
        <w:rPr>
          <w:szCs w:val="24"/>
        </w:rPr>
        <w:t>1. vydání.</w:t>
      </w:r>
      <w:r w:rsidR="00BF0E24" w:rsidRPr="00BB5208">
        <w:rPr>
          <w:i/>
          <w:iCs/>
          <w:szCs w:val="24"/>
        </w:rPr>
        <w:t xml:space="preserve"> </w:t>
      </w:r>
      <w:proofErr w:type="spellStart"/>
      <w:r w:rsidR="00BF0E24" w:rsidRPr="00BB5208">
        <w:rPr>
          <w:szCs w:val="24"/>
        </w:rPr>
        <w:t>Springer</w:t>
      </w:r>
      <w:proofErr w:type="spellEnd"/>
      <w:r w:rsidR="00BF0E24" w:rsidRPr="00BB5208">
        <w:rPr>
          <w:szCs w:val="24"/>
        </w:rPr>
        <w:t xml:space="preserve"> International </w:t>
      </w:r>
      <w:proofErr w:type="spellStart"/>
      <w:r w:rsidR="00BF0E24" w:rsidRPr="00BB5208">
        <w:rPr>
          <w:szCs w:val="24"/>
        </w:rPr>
        <w:t>Publishing</w:t>
      </w:r>
      <w:proofErr w:type="spellEnd"/>
      <w:r w:rsidR="00BF0E24" w:rsidRPr="00BB5208">
        <w:rPr>
          <w:szCs w:val="24"/>
        </w:rPr>
        <w:t xml:space="preserve"> AG, 2017</w:t>
      </w:r>
      <w:r w:rsidR="00C94FC3" w:rsidRPr="00BB5208">
        <w:rPr>
          <w:szCs w:val="24"/>
        </w:rPr>
        <w:t>. 240 s.</w:t>
      </w:r>
      <w:r w:rsidR="00BF0E24" w:rsidRPr="00BB5208">
        <w:rPr>
          <w:szCs w:val="24"/>
        </w:rPr>
        <w:t xml:space="preserve"> Dostupné z: </w:t>
      </w:r>
      <w:hyperlink r:id="rId13" w:history="1">
        <w:r w:rsidR="00BF0E24" w:rsidRPr="00BB5208">
          <w:rPr>
            <w:rStyle w:val="Hypertextovodkaz"/>
            <w:szCs w:val="24"/>
          </w:rPr>
          <w:t>https://link.springer.com/book/10.1007/978-3-319-46667-5</w:t>
        </w:r>
      </w:hyperlink>
    </w:p>
    <w:p w14:paraId="4F5A3BBB" w14:textId="52065879" w:rsidR="006E4F6E" w:rsidRPr="00BB5208" w:rsidRDefault="00BB5208" w:rsidP="00616E14">
      <w:bookmarkStart w:id="41" w:name="_Hlk106284451"/>
      <w:r>
        <w:t>9</w:t>
      </w:r>
      <w:r w:rsidR="006E4F6E" w:rsidRPr="00BB5208">
        <w:t xml:space="preserve">) DINSTEIN, </w:t>
      </w:r>
      <w:proofErr w:type="spellStart"/>
      <w:r w:rsidR="006E4F6E" w:rsidRPr="00BB5208">
        <w:t>Yoram</w:t>
      </w:r>
      <w:proofErr w:type="spellEnd"/>
      <w:r w:rsidR="006E4F6E" w:rsidRPr="00BB5208">
        <w:t xml:space="preserve"> </w:t>
      </w:r>
      <w:r w:rsidR="006E4F6E" w:rsidRPr="00BB5208">
        <w:rPr>
          <w:i/>
          <w:iCs/>
        </w:rPr>
        <w:t xml:space="preserve">The </w:t>
      </w:r>
      <w:proofErr w:type="spellStart"/>
      <w:r w:rsidR="006E4F6E" w:rsidRPr="00BB5208">
        <w:rPr>
          <w:i/>
          <w:iCs/>
        </w:rPr>
        <w:t>Conduct</w:t>
      </w:r>
      <w:proofErr w:type="spellEnd"/>
      <w:r w:rsidR="006E4F6E" w:rsidRPr="00BB5208">
        <w:rPr>
          <w:i/>
          <w:iCs/>
        </w:rPr>
        <w:t xml:space="preserve"> of </w:t>
      </w:r>
      <w:proofErr w:type="spellStart"/>
      <w:r w:rsidR="006E4F6E" w:rsidRPr="00BB5208">
        <w:rPr>
          <w:i/>
          <w:iCs/>
        </w:rPr>
        <w:t>Hostilities</w:t>
      </w:r>
      <w:proofErr w:type="spellEnd"/>
      <w:r w:rsidR="006E4F6E" w:rsidRPr="00BB5208">
        <w:rPr>
          <w:i/>
          <w:iCs/>
        </w:rPr>
        <w:t xml:space="preserve"> </w:t>
      </w:r>
      <w:proofErr w:type="spellStart"/>
      <w:r w:rsidR="006E4F6E" w:rsidRPr="00BB5208">
        <w:rPr>
          <w:i/>
          <w:iCs/>
        </w:rPr>
        <w:t>under</w:t>
      </w:r>
      <w:proofErr w:type="spellEnd"/>
      <w:r w:rsidR="006E4F6E" w:rsidRPr="00BB5208">
        <w:rPr>
          <w:i/>
          <w:iCs/>
        </w:rPr>
        <w:t xml:space="preserve"> the Law of International </w:t>
      </w:r>
      <w:proofErr w:type="spellStart"/>
      <w:r w:rsidR="006E4F6E" w:rsidRPr="00BB5208">
        <w:rPr>
          <w:i/>
          <w:iCs/>
        </w:rPr>
        <w:t>Armed</w:t>
      </w:r>
      <w:proofErr w:type="spellEnd"/>
      <w:r w:rsidR="006E4F6E" w:rsidRPr="00BB5208">
        <w:rPr>
          <w:i/>
          <w:iCs/>
        </w:rPr>
        <w:t xml:space="preserve"> </w:t>
      </w:r>
      <w:proofErr w:type="spellStart"/>
      <w:r w:rsidR="006E4F6E" w:rsidRPr="00BB5208">
        <w:rPr>
          <w:i/>
          <w:iCs/>
        </w:rPr>
        <w:t>Conflict</w:t>
      </w:r>
      <w:proofErr w:type="spellEnd"/>
      <w:r w:rsidR="006E4F6E" w:rsidRPr="00BB5208">
        <w:t xml:space="preserve">. [online]  Cambridge: Cambridge University </w:t>
      </w:r>
      <w:proofErr w:type="spellStart"/>
      <w:r w:rsidR="006E4F6E" w:rsidRPr="00BB5208">
        <w:t>Press</w:t>
      </w:r>
      <w:proofErr w:type="spellEnd"/>
      <w:r w:rsidR="006E4F6E" w:rsidRPr="00BB5208">
        <w:t xml:space="preserve">, 3. vydání, 2016. </w:t>
      </w:r>
      <w:r w:rsidR="002F2364" w:rsidRPr="00BB5208">
        <w:t>358 s.</w:t>
      </w:r>
      <w:r w:rsidR="006E4F6E" w:rsidRPr="00BB5208">
        <w:t xml:space="preserve"> Dostupné z: </w:t>
      </w:r>
      <w:hyperlink r:id="rId14" w:history="1">
        <w:r w:rsidR="006E4F6E" w:rsidRPr="00BB5208">
          <w:rPr>
            <w:rStyle w:val="Hypertextovodkaz"/>
          </w:rPr>
          <w:t>https://www.cambridge.org/core/books/conduct-of-hostilities-under-the-law-of-international-armed-conflict/6F968AB75832E7A46CD4FEE7CA86BB8F</w:t>
        </w:r>
      </w:hyperlink>
    </w:p>
    <w:p w14:paraId="1BA6492D" w14:textId="32BA3E38" w:rsidR="000D747F" w:rsidRPr="00BB5208" w:rsidRDefault="000D747F" w:rsidP="006E4F6E">
      <w:r w:rsidRPr="00BB5208">
        <w:t>1</w:t>
      </w:r>
      <w:r w:rsidR="00BB5208">
        <w:t>0)</w:t>
      </w:r>
      <w:r w:rsidRPr="00BB5208">
        <w:t xml:space="preserve"> </w:t>
      </w:r>
      <w:r w:rsidR="00557315" w:rsidRPr="00BB5208">
        <w:t xml:space="preserve">Deklarace o zřeknutí se použití, v době války, výbušných projektilů pod 400 gramů váhy ze dne 29. prosince 1868, (St. </w:t>
      </w:r>
      <w:proofErr w:type="spellStart"/>
      <w:r w:rsidR="00557315" w:rsidRPr="00BB5208">
        <w:t>Petersburg</w:t>
      </w:r>
      <w:proofErr w:type="spellEnd"/>
      <w:r w:rsidR="00557315" w:rsidRPr="00BB5208">
        <w:t xml:space="preserve"> (</w:t>
      </w:r>
      <w:proofErr w:type="spellStart"/>
      <w:r w:rsidR="00557315" w:rsidRPr="00BB5208">
        <w:t>Declaration</w:t>
      </w:r>
      <w:proofErr w:type="spellEnd"/>
      <w:r w:rsidR="00557315" w:rsidRPr="00BB5208">
        <w:t xml:space="preserve"> </w:t>
      </w:r>
      <w:proofErr w:type="spellStart"/>
      <w:r w:rsidR="00557315" w:rsidRPr="00BB5208">
        <w:t>Renouncing</w:t>
      </w:r>
      <w:proofErr w:type="spellEnd"/>
      <w:r w:rsidR="00557315" w:rsidRPr="00BB5208">
        <w:t xml:space="preserve"> the Use, in Time of </w:t>
      </w:r>
      <w:proofErr w:type="spellStart"/>
      <w:r w:rsidR="00557315" w:rsidRPr="00BB5208">
        <w:t>War</w:t>
      </w:r>
      <w:proofErr w:type="spellEnd"/>
      <w:r w:rsidR="00557315" w:rsidRPr="00BB5208">
        <w:t xml:space="preserve">, of </w:t>
      </w:r>
      <w:proofErr w:type="spellStart"/>
      <w:r w:rsidR="00557315" w:rsidRPr="00BB5208">
        <w:t>Explosive</w:t>
      </w:r>
      <w:proofErr w:type="spellEnd"/>
      <w:r w:rsidR="00557315" w:rsidRPr="00BB5208">
        <w:t xml:space="preserve"> </w:t>
      </w:r>
      <w:proofErr w:type="spellStart"/>
      <w:r w:rsidR="00557315" w:rsidRPr="00BB5208">
        <w:t>Projectiles</w:t>
      </w:r>
      <w:proofErr w:type="spellEnd"/>
      <w:r w:rsidR="00557315" w:rsidRPr="00BB5208">
        <w:t xml:space="preserve"> </w:t>
      </w:r>
      <w:proofErr w:type="spellStart"/>
      <w:r w:rsidR="00557315" w:rsidRPr="00BB5208">
        <w:t>Under</w:t>
      </w:r>
      <w:proofErr w:type="spellEnd"/>
      <w:r w:rsidR="00557315" w:rsidRPr="00BB5208">
        <w:t xml:space="preserve"> 400 </w:t>
      </w:r>
      <w:proofErr w:type="spellStart"/>
      <w:r w:rsidR="00557315" w:rsidRPr="00BB5208">
        <w:t>Grammes</w:t>
      </w:r>
      <w:proofErr w:type="spellEnd"/>
      <w:r w:rsidR="00557315" w:rsidRPr="00BB5208">
        <w:t xml:space="preserve"> </w:t>
      </w:r>
      <w:proofErr w:type="spellStart"/>
      <w:r w:rsidR="00557315" w:rsidRPr="00BB5208">
        <w:t>Weight</w:t>
      </w:r>
      <w:proofErr w:type="spellEnd"/>
      <w:r w:rsidR="00557315" w:rsidRPr="00BB5208">
        <w:t xml:space="preserve">. Saint </w:t>
      </w:r>
      <w:proofErr w:type="spellStart"/>
      <w:r w:rsidR="00557315" w:rsidRPr="00BB5208">
        <w:t>Petersburg</w:t>
      </w:r>
      <w:proofErr w:type="spellEnd"/>
      <w:r w:rsidR="00557315" w:rsidRPr="00BB5208">
        <w:t xml:space="preserve">, 29 </w:t>
      </w:r>
      <w:proofErr w:type="spellStart"/>
      <w:r w:rsidR="00557315" w:rsidRPr="00BB5208">
        <w:t>November</w:t>
      </w:r>
      <w:proofErr w:type="spellEnd"/>
      <w:r w:rsidR="00557315" w:rsidRPr="00BB5208">
        <w:t xml:space="preserve"> / 11 </w:t>
      </w:r>
      <w:proofErr w:type="spellStart"/>
      <w:r w:rsidR="00557315" w:rsidRPr="00BB5208">
        <w:t>December</w:t>
      </w:r>
      <w:proofErr w:type="spellEnd"/>
      <w:r w:rsidR="00557315" w:rsidRPr="00BB5208">
        <w:t xml:space="preserve"> 1868), [online] Dostupné z: </w:t>
      </w:r>
      <w:hyperlink r:id="rId15" w:history="1">
        <w:r w:rsidR="00557315" w:rsidRPr="00BB5208">
          <w:rPr>
            <w:rStyle w:val="Hypertextovodkaz"/>
          </w:rPr>
          <w:t>https://ihl-databases.icrc.org/applic/ihl/ihl.nsf/Article.xsp?action=openDocument&amp;documentId=568842C2B90F4A29C12563CD0051547C</w:t>
        </w:r>
      </w:hyperlink>
    </w:p>
    <w:p w14:paraId="140AA7EC" w14:textId="071CA0A2" w:rsidR="000D747F" w:rsidRPr="00BB5208" w:rsidRDefault="00292DC4" w:rsidP="00292DC4">
      <w:pPr>
        <w:rPr>
          <w:szCs w:val="24"/>
        </w:rPr>
      </w:pPr>
      <w:r w:rsidRPr="00BB5208">
        <w:rPr>
          <w:szCs w:val="24"/>
        </w:rPr>
        <w:lastRenderedPageBreak/>
        <w:t>1</w:t>
      </w:r>
      <w:r w:rsidR="00155B5F">
        <w:rPr>
          <w:szCs w:val="24"/>
        </w:rPr>
        <w:t>1</w:t>
      </w:r>
      <w:r w:rsidRPr="00BB5208">
        <w:rPr>
          <w:szCs w:val="24"/>
        </w:rPr>
        <w:t xml:space="preserve">) ASTROTH, Alexander. The </w:t>
      </w:r>
      <w:proofErr w:type="spellStart"/>
      <w:r w:rsidRPr="00BB5208">
        <w:rPr>
          <w:szCs w:val="24"/>
        </w:rPr>
        <w:t>Decline</w:t>
      </w:r>
      <w:proofErr w:type="spellEnd"/>
      <w:r w:rsidRPr="00BB5208">
        <w:rPr>
          <w:szCs w:val="24"/>
        </w:rPr>
        <w:t xml:space="preserve"> of </w:t>
      </w:r>
      <w:proofErr w:type="spellStart"/>
      <w:r w:rsidRPr="00BB5208">
        <w:rPr>
          <w:szCs w:val="24"/>
        </w:rPr>
        <w:t>Japanese</w:t>
      </w:r>
      <w:proofErr w:type="spellEnd"/>
      <w:r w:rsidRPr="00BB5208">
        <w:rPr>
          <w:szCs w:val="24"/>
        </w:rPr>
        <w:t xml:space="preserve"> </w:t>
      </w:r>
      <w:proofErr w:type="spellStart"/>
      <w:r w:rsidRPr="00BB5208">
        <w:rPr>
          <w:szCs w:val="24"/>
        </w:rPr>
        <w:t>Firearm</w:t>
      </w:r>
      <w:proofErr w:type="spellEnd"/>
      <w:r w:rsidRPr="00BB5208">
        <w:rPr>
          <w:szCs w:val="24"/>
        </w:rPr>
        <w:t xml:space="preserve"> </w:t>
      </w:r>
      <w:proofErr w:type="spellStart"/>
      <w:r w:rsidRPr="00BB5208">
        <w:rPr>
          <w:szCs w:val="24"/>
        </w:rPr>
        <w:t>Manufacturing</w:t>
      </w:r>
      <w:proofErr w:type="spellEnd"/>
      <w:r w:rsidRPr="00BB5208">
        <w:rPr>
          <w:szCs w:val="24"/>
        </w:rPr>
        <w:t xml:space="preserve"> and </w:t>
      </w:r>
      <w:proofErr w:type="spellStart"/>
      <w:r w:rsidRPr="00BB5208">
        <w:rPr>
          <w:szCs w:val="24"/>
        </w:rPr>
        <w:t>Proliferation</w:t>
      </w:r>
      <w:proofErr w:type="spellEnd"/>
      <w:r w:rsidRPr="00BB5208">
        <w:rPr>
          <w:szCs w:val="24"/>
        </w:rPr>
        <w:t xml:space="preserve"> in the </w:t>
      </w:r>
      <w:proofErr w:type="spellStart"/>
      <w:r w:rsidRPr="00BB5208">
        <w:rPr>
          <w:szCs w:val="24"/>
        </w:rPr>
        <w:t>Seventeenth</w:t>
      </w:r>
      <w:proofErr w:type="spellEnd"/>
      <w:r w:rsidRPr="00BB5208">
        <w:rPr>
          <w:szCs w:val="24"/>
        </w:rPr>
        <w:t xml:space="preserve"> </w:t>
      </w:r>
      <w:proofErr w:type="spellStart"/>
      <w:r w:rsidRPr="00BB5208">
        <w:rPr>
          <w:szCs w:val="24"/>
        </w:rPr>
        <w:t>Century</w:t>
      </w:r>
      <w:proofErr w:type="spellEnd"/>
      <w:r w:rsidR="005B483E" w:rsidRPr="00BB5208">
        <w:rPr>
          <w:szCs w:val="24"/>
        </w:rPr>
        <w:t xml:space="preserve"> </w:t>
      </w:r>
      <w:r w:rsidRPr="00BB5208">
        <w:rPr>
          <w:szCs w:val="24"/>
        </w:rPr>
        <w:t xml:space="preserve">In: The Age of </w:t>
      </w:r>
      <w:proofErr w:type="spellStart"/>
      <w:r w:rsidRPr="00BB5208">
        <w:rPr>
          <w:szCs w:val="24"/>
        </w:rPr>
        <w:t>Gunpowder</w:t>
      </w:r>
      <w:proofErr w:type="spellEnd"/>
      <w:r w:rsidRPr="00BB5208">
        <w:rPr>
          <w:szCs w:val="24"/>
        </w:rPr>
        <w:t xml:space="preserve"> - An Era of </w:t>
      </w:r>
      <w:proofErr w:type="spellStart"/>
      <w:r w:rsidRPr="00BB5208">
        <w:rPr>
          <w:szCs w:val="24"/>
        </w:rPr>
        <w:t>Technological</w:t>
      </w:r>
      <w:proofErr w:type="spellEnd"/>
      <w:r w:rsidRPr="00BB5208">
        <w:rPr>
          <w:szCs w:val="24"/>
        </w:rPr>
        <w:t xml:space="preserve">, </w:t>
      </w:r>
      <w:proofErr w:type="spellStart"/>
      <w:r w:rsidRPr="00BB5208">
        <w:rPr>
          <w:szCs w:val="24"/>
        </w:rPr>
        <w:t>Tactical</w:t>
      </w:r>
      <w:proofErr w:type="spellEnd"/>
      <w:r w:rsidRPr="00BB5208">
        <w:rPr>
          <w:szCs w:val="24"/>
        </w:rPr>
        <w:t xml:space="preserve">, </w:t>
      </w:r>
      <w:proofErr w:type="spellStart"/>
      <w:r w:rsidRPr="00BB5208">
        <w:rPr>
          <w:szCs w:val="24"/>
        </w:rPr>
        <w:t>Strategic</w:t>
      </w:r>
      <w:proofErr w:type="spellEnd"/>
      <w:r w:rsidRPr="00BB5208">
        <w:rPr>
          <w:szCs w:val="24"/>
        </w:rPr>
        <w:t xml:space="preserve">, and Leadership </w:t>
      </w:r>
      <w:proofErr w:type="spellStart"/>
      <w:r w:rsidRPr="00BB5208">
        <w:rPr>
          <w:szCs w:val="24"/>
        </w:rPr>
        <w:t>Innovations</w:t>
      </w:r>
      <w:proofErr w:type="spellEnd"/>
      <w:r w:rsidRPr="00BB5208">
        <w:rPr>
          <w:szCs w:val="24"/>
        </w:rPr>
        <w:t xml:space="preserve"> [online] </w:t>
      </w:r>
      <w:proofErr w:type="spellStart"/>
      <w:r w:rsidRPr="00BB5208">
        <w:rPr>
          <w:szCs w:val="24"/>
        </w:rPr>
        <w:t>Emory</w:t>
      </w:r>
      <w:proofErr w:type="spellEnd"/>
      <w:r w:rsidRPr="00BB5208">
        <w:rPr>
          <w:szCs w:val="24"/>
        </w:rPr>
        <w:t xml:space="preserve"> </w:t>
      </w:r>
      <w:proofErr w:type="spellStart"/>
      <w:r w:rsidRPr="00BB5208">
        <w:rPr>
          <w:szCs w:val="24"/>
        </w:rPr>
        <w:t>Endeavors</w:t>
      </w:r>
      <w:proofErr w:type="spellEnd"/>
      <w:r w:rsidRPr="00BB5208">
        <w:rPr>
          <w:szCs w:val="24"/>
        </w:rPr>
        <w:t xml:space="preserve"> in </w:t>
      </w:r>
      <w:proofErr w:type="spellStart"/>
      <w:r w:rsidRPr="00BB5208">
        <w:rPr>
          <w:szCs w:val="24"/>
        </w:rPr>
        <w:t>History</w:t>
      </w:r>
      <w:proofErr w:type="spellEnd"/>
      <w:r w:rsidRPr="00BB5208">
        <w:rPr>
          <w:szCs w:val="24"/>
        </w:rPr>
        <w:t xml:space="preserve">, </w:t>
      </w:r>
      <w:proofErr w:type="spellStart"/>
      <w:r w:rsidRPr="00BB5208">
        <w:rPr>
          <w:szCs w:val="24"/>
        </w:rPr>
        <w:t>Volume</w:t>
      </w:r>
      <w:proofErr w:type="spellEnd"/>
      <w:r w:rsidRPr="00BB5208">
        <w:rPr>
          <w:szCs w:val="24"/>
        </w:rPr>
        <w:t xml:space="preserve"> V. 2013, 227 s. Dostupné z:</w:t>
      </w:r>
      <w:r w:rsidR="005D5958" w:rsidRPr="00BB5208">
        <w:rPr>
          <w:szCs w:val="24"/>
        </w:rPr>
        <w:t xml:space="preserve"> </w:t>
      </w:r>
      <w:hyperlink r:id="rId16" w:history="1">
        <w:r w:rsidR="005D5958" w:rsidRPr="00BB5208">
          <w:rPr>
            <w:rStyle w:val="Hypertextovodkaz"/>
            <w:szCs w:val="24"/>
          </w:rPr>
          <w:t>http://history.emory.edu/home/undergraduate/endeavors-journal/volume-5.html</w:t>
        </w:r>
      </w:hyperlink>
      <w:r w:rsidRPr="00BB5208">
        <w:rPr>
          <w:szCs w:val="24"/>
        </w:rPr>
        <w:t xml:space="preserve"> </w:t>
      </w:r>
    </w:p>
    <w:p w14:paraId="7E8298C9" w14:textId="0F0C79DC" w:rsidR="00A04B01" w:rsidRPr="00BB5208" w:rsidRDefault="00A04B01" w:rsidP="00292DC4">
      <w:r w:rsidRPr="00BB5208">
        <w:t>1</w:t>
      </w:r>
      <w:r w:rsidR="00155B5F">
        <w:t>2</w:t>
      </w:r>
      <w:r w:rsidRPr="00BB5208">
        <w:t>) Dodatkový protokol</w:t>
      </w:r>
      <w:r w:rsidR="00A47E1F" w:rsidRPr="00BB5208">
        <w:t xml:space="preserve"> I</w:t>
      </w:r>
      <w:r w:rsidRPr="00BB5208">
        <w:t xml:space="preserve"> k Ženevským úmluvám z 12. srpna 1949 o ochraně obětí mezinárodních ozbrojených konfliktů</w:t>
      </w:r>
    </w:p>
    <w:p w14:paraId="5A22EF45" w14:textId="0FF8B1F0" w:rsidR="00A04B01" w:rsidRPr="00BB5208" w:rsidRDefault="00A04B01" w:rsidP="00931070">
      <w:r w:rsidRPr="00BB5208">
        <w:t>1</w:t>
      </w:r>
      <w:r w:rsidR="00155B5F">
        <w:t>3</w:t>
      </w:r>
      <w:r w:rsidRPr="00BB5208">
        <w:t xml:space="preserve">) </w:t>
      </w:r>
      <w:r w:rsidR="00901F1C" w:rsidRPr="00BB5208">
        <w:t>30/1947 Sb.,</w:t>
      </w:r>
      <w:r w:rsidR="00660DB8" w:rsidRPr="00BB5208">
        <w:t xml:space="preserve"> Vyhláška ministra zahraničních věcí o</w:t>
      </w:r>
      <w:r w:rsidR="00901F1C" w:rsidRPr="00BB5208">
        <w:t xml:space="preserve"> </w:t>
      </w:r>
      <w:r w:rsidR="00931070" w:rsidRPr="00BB5208">
        <w:t>Chart</w:t>
      </w:r>
      <w:r w:rsidR="00660DB8" w:rsidRPr="00BB5208">
        <w:t>ě</w:t>
      </w:r>
      <w:r w:rsidR="00931070" w:rsidRPr="00BB5208">
        <w:t xml:space="preserve"> Organizace spojených národů a Statut</w:t>
      </w:r>
      <w:r w:rsidR="00660DB8" w:rsidRPr="00BB5208">
        <w:t>u</w:t>
      </w:r>
      <w:r w:rsidR="00931070" w:rsidRPr="00BB5208">
        <w:t xml:space="preserve"> Mezinárodního soudního dvora</w:t>
      </w:r>
      <w:r w:rsidRPr="00BB5208">
        <w:t>,</w:t>
      </w:r>
      <w:r w:rsidR="00931070" w:rsidRPr="00BB5208">
        <w:t xml:space="preserve"> </w:t>
      </w:r>
      <w:r w:rsidRPr="00BB5208">
        <w:t>ze dne 16. ledna 1947</w:t>
      </w:r>
    </w:p>
    <w:bookmarkEnd w:id="41"/>
    <w:p w14:paraId="52F2B241" w14:textId="67341B1F" w:rsidR="003D6325" w:rsidRPr="00BB5208" w:rsidRDefault="003D6325" w:rsidP="009459A3">
      <w:r w:rsidRPr="00BB5208">
        <w:t>1</w:t>
      </w:r>
      <w:r w:rsidR="00155B5F">
        <w:t>4</w:t>
      </w:r>
      <w:r w:rsidRPr="00BB5208">
        <w:t xml:space="preserve">) USAF Inteligence </w:t>
      </w:r>
      <w:proofErr w:type="spellStart"/>
      <w:r w:rsidRPr="00BB5208">
        <w:t>Targeting</w:t>
      </w:r>
      <w:proofErr w:type="spellEnd"/>
      <w:r w:rsidRPr="00BB5208">
        <w:t xml:space="preserve"> </w:t>
      </w:r>
      <w:proofErr w:type="spellStart"/>
      <w:r w:rsidRPr="00BB5208">
        <w:t>Guide</w:t>
      </w:r>
      <w:proofErr w:type="spellEnd"/>
      <w:r w:rsidRPr="00BB5208">
        <w:t xml:space="preserve">. </w:t>
      </w:r>
      <w:r w:rsidRPr="00BB5208">
        <w:rPr>
          <w:i/>
          <w:iCs/>
        </w:rPr>
        <w:t>AIR ROFCE PAMPHLET 14-210 Inteligence. 1. FEBRUARY 1998</w:t>
      </w:r>
      <w:r w:rsidRPr="00BB5208">
        <w:t xml:space="preserve">  [online]. fas.org, 189 s. Dostupné z:</w:t>
      </w:r>
      <w:hyperlink r:id="rId17" w:anchor="page180" w:history="1">
        <w:r w:rsidR="005D5958" w:rsidRPr="00BB5208">
          <w:rPr>
            <w:rStyle w:val="Hypertextovodkaz"/>
          </w:rPr>
          <w:t>https://irp.fas.org/doddir/usaf/afpam14 210/part20.htm#page180</w:t>
        </w:r>
      </w:hyperlink>
    </w:p>
    <w:p w14:paraId="679BADD4" w14:textId="2F20C17B" w:rsidR="00C73569" w:rsidRPr="00BB5208" w:rsidRDefault="009459A3" w:rsidP="009459A3">
      <w:pPr>
        <w:rPr>
          <w:rStyle w:val="Hypertextovodkaz"/>
        </w:rPr>
      </w:pPr>
      <w:r w:rsidRPr="00BB5208">
        <w:t>1</w:t>
      </w:r>
      <w:r w:rsidR="00155B5F">
        <w:t>5</w:t>
      </w:r>
      <w:r w:rsidRPr="00BB5208">
        <w:t xml:space="preserve">) JUKL, Marek. </w:t>
      </w:r>
      <w:r w:rsidRPr="00BB5208">
        <w:rPr>
          <w:i/>
          <w:iCs/>
        </w:rPr>
        <w:t>Ženevské úmluvy, obyčeje a zásady humanitárního práva</w:t>
      </w:r>
      <w:r w:rsidRPr="00BB5208">
        <w:t xml:space="preserve"> [online]. cervenykriz.eu, [cit. 20. července 2022]. 160 s. Dostupné z: </w:t>
      </w:r>
      <w:hyperlink r:id="rId18" w:history="1">
        <w:r w:rsidRPr="00BB5208">
          <w:rPr>
            <w:rStyle w:val="Hypertextovodkaz"/>
          </w:rPr>
          <w:t>https://www.cervenykriz.eu/zasady-humanitarniho-prava</w:t>
        </w:r>
      </w:hyperlink>
    </w:p>
    <w:p w14:paraId="358FFB4E" w14:textId="288BE0A8" w:rsidR="00C614C4" w:rsidRPr="00BB5208" w:rsidRDefault="00155B5F" w:rsidP="000E5479">
      <w:r>
        <w:t>16</w:t>
      </w:r>
      <w:r w:rsidR="009E154F" w:rsidRPr="00BB5208">
        <w:t xml:space="preserve">) ONDŘEJ, Jan; ŠTURMA, Pavel; BÍLKOVÁ, Veronika a JÍLEK, Dalibor. </w:t>
      </w:r>
      <w:r w:rsidR="009E154F" w:rsidRPr="00BB5208">
        <w:rPr>
          <w:i/>
          <w:iCs/>
        </w:rPr>
        <w:t>Mezinárodní humanitární právo</w:t>
      </w:r>
      <w:r w:rsidR="009E154F" w:rsidRPr="00BB5208">
        <w:t>. Beckova edice právní instituty. V Praze: C.H. Beck, 2010, 536 s.</w:t>
      </w:r>
    </w:p>
    <w:p w14:paraId="18FAC119" w14:textId="4A04CA28" w:rsidR="009E154F" w:rsidRPr="00BB5208" w:rsidRDefault="00155B5F" w:rsidP="000E5479">
      <w:r>
        <w:t>17</w:t>
      </w:r>
      <w:r w:rsidR="009E154F" w:rsidRPr="00BB5208">
        <w:t xml:space="preserve">) POTOČNÝ, Miroslav a ONDŘEJ, Jan. </w:t>
      </w:r>
      <w:r w:rsidR="009E154F" w:rsidRPr="00BB5208">
        <w:rPr>
          <w:i/>
          <w:iCs/>
        </w:rPr>
        <w:t>Mezinárodní právo veřejné: zvláštní část</w:t>
      </w:r>
      <w:r w:rsidR="009E154F" w:rsidRPr="00BB5208">
        <w:t xml:space="preserve">. 6., dopl. a </w:t>
      </w:r>
      <w:proofErr w:type="spellStart"/>
      <w:r w:rsidR="009E154F" w:rsidRPr="00BB5208">
        <w:t>rozš</w:t>
      </w:r>
      <w:proofErr w:type="spellEnd"/>
      <w:r w:rsidR="009E154F" w:rsidRPr="00BB5208">
        <w:t>. vyd. Právnické učebnice. V Praze: C.H. Beck, 2011, 533 s.</w:t>
      </w:r>
    </w:p>
    <w:p w14:paraId="024AF589" w14:textId="066B8750" w:rsidR="00D40723" w:rsidRPr="00BB5208" w:rsidRDefault="00155B5F" w:rsidP="00D40723">
      <w:r>
        <w:t>18</w:t>
      </w:r>
      <w:r w:rsidR="00D40723" w:rsidRPr="00BB5208">
        <w:t xml:space="preserve">) REEVES, </w:t>
      </w:r>
      <w:proofErr w:type="spellStart"/>
      <w:r w:rsidR="00D40723" w:rsidRPr="00BB5208">
        <w:t>Shane</w:t>
      </w:r>
      <w:proofErr w:type="spellEnd"/>
      <w:r w:rsidR="00D40723" w:rsidRPr="00BB5208">
        <w:t xml:space="preserve"> R., JOHNSON, William J., </w:t>
      </w:r>
      <w:r w:rsidR="00D40723" w:rsidRPr="00BB5208">
        <w:rPr>
          <w:i/>
          <w:iCs/>
        </w:rPr>
        <w:t xml:space="preserve">Autonomous Weapons: Are </w:t>
      </w:r>
      <w:proofErr w:type="spellStart"/>
      <w:r w:rsidR="00D40723" w:rsidRPr="00BB5208">
        <w:rPr>
          <w:i/>
          <w:iCs/>
        </w:rPr>
        <w:t>You</w:t>
      </w:r>
      <w:proofErr w:type="spellEnd"/>
      <w:r w:rsidR="00D40723" w:rsidRPr="00BB5208">
        <w:rPr>
          <w:i/>
          <w:iCs/>
        </w:rPr>
        <w:t xml:space="preserve"> </w:t>
      </w:r>
      <w:proofErr w:type="spellStart"/>
      <w:r w:rsidR="00D40723" w:rsidRPr="00BB5208">
        <w:rPr>
          <w:i/>
          <w:iCs/>
        </w:rPr>
        <w:t>Sure</w:t>
      </w:r>
      <w:proofErr w:type="spellEnd"/>
      <w:r w:rsidR="00D40723" w:rsidRPr="00BB5208">
        <w:rPr>
          <w:i/>
          <w:iCs/>
        </w:rPr>
        <w:t xml:space="preserve"> These Are </w:t>
      </w:r>
      <w:proofErr w:type="spellStart"/>
      <w:r w:rsidR="00D40723" w:rsidRPr="00BB5208">
        <w:rPr>
          <w:i/>
          <w:iCs/>
        </w:rPr>
        <w:t>Killer</w:t>
      </w:r>
      <w:proofErr w:type="spellEnd"/>
      <w:r w:rsidR="00D40723" w:rsidRPr="00BB5208">
        <w:rPr>
          <w:i/>
          <w:iCs/>
        </w:rPr>
        <w:t xml:space="preserve"> </w:t>
      </w:r>
      <w:proofErr w:type="spellStart"/>
      <w:r w:rsidR="00D40723" w:rsidRPr="00BB5208">
        <w:rPr>
          <w:i/>
          <w:iCs/>
        </w:rPr>
        <w:t>Robots</w:t>
      </w:r>
      <w:proofErr w:type="spellEnd"/>
      <w:r w:rsidR="00D40723" w:rsidRPr="00BB5208">
        <w:rPr>
          <w:i/>
          <w:iCs/>
        </w:rPr>
        <w:t xml:space="preserve">? </w:t>
      </w:r>
      <w:proofErr w:type="spellStart"/>
      <w:r w:rsidR="00D40723" w:rsidRPr="00BB5208">
        <w:rPr>
          <w:i/>
          <w:iCs/>
        </w:rPr>
        <w:t>Can</w:t>
      </w:r>
      <w:proofErr w:type="spellEnd"/>
      <w:r w:rsidR="00D40723" w:rsidRPr="00BB5208">
        <w:rPr>
          <w:i/>
          <w:iCs/>
        </w:rPr>
        <w:t xml:space="preserve"> </w:t>
      </w:r>
      <w:proofErr w:type="spellStart"/>
      <w:r w:rsidR="00D40723" w:rsidRPr="00BB5208">
        <w:rPr>
          <w:i/>
          <w:iCs/>
        </w:rPr>
        <w:t>We</w:t>
      </w:r>
      <w:proofErr w:type="spellEnd"/>
      <w:r w:rsidR="00D40723" w:rsidRPr="00BB5208">
        <w:rPr>
          <w:i/>
          <w:iCs/>
        </w:rPr>
        <w:t xml:space="preserve"> Talk </w:t>
      </w:r>
      <w:proofErr w:type="spellStart"/>
      <w:r w:rsidR="00D40723" w:rsidRPr="00BB5208">
        <w:rPr>
          <w:i/>
          <w:iCs/>
        </w:rPr>
        <w:t>About</w:t>
      </w:r>
      <w:proofErr w:type="spellEnd"/>
      <w:r w:rsidR="00D40723" w:rsidRPr="00BB5208">
        <w:rPr>
          <w:i/>
          <w:iCs/>
        </w:rPr>
        <w:t xml:space="preserve"> </w:t>
      </w:r>
      <w:proofErr w:type="gramStart"/>
      <w:r w:rsidR="00D40723" w:rsidRPr="00BB5208">
        <w:rPr>
          <w:i/>
          <w:iCs/>
        </w:rPr>
        <w:t>It?,</w:t>
      </w:r>
      <w:proofErr w:type="gramEnd"/>
      <w:r w:rsidR="00D40723" w:rsidRPr="00BB5208">
        <w:t xml:space="preserve"> [online]. ARMY LAW. 2014; s. 29. Dostupné z:</w:t>
      </w:r>
      <w:r w:rsidR="00CB7D23" w:rsidRPr="00BB5208">
        <w:t xml:space="preserve"> </w:t>
      </w:r>
      <w:hyperlink r:id="rId19" w:history="1">
        <w:r w:rsidR="00CB7D23" w:rsidRPr="00BB5208">
          <w:rPr>
            <w:rStyle w:val="Hypertextovodkaz"/>
            <w:sz w:val="22"/>
            <w:szCs w:val="20"/>
          </w:rPr>
          <w:t>https://www.proquest.com/docview/1540957074/DA54FCA08594ECDPQ/1?accountid=16730</w:t>
        </w:r>
      </w:hyperlink>
      <w:r w:rsidR="00D40723" w:rsidRPr="00BB5208">
        <w:rPr>
          <w:sz w:val="22"/>
          <w:szCs w:val="20"/>
        </w:rPr>
        <w:t xml:space="preserve"> </w:t>
      </w:r>
    </w:p>
    <w:p w14:paraId="0A818930" w14:textId="4DA7B20D" w:rsidR="000C38EE" w:rsidRPr="00BB5208" w:rsidRDefault="00155B5F" w:rsidP="00D40723">
      <w:r>
        <w:t>19</w:t>
      </w:r>
      <w:r w:rsidR="000C38EE" w:rsidRPr="00BB5208">
        <w:t xml:space="preserve">) MCFARLAND, Tim, 2020. </w:t>
      </w:r>
      <w:proofErr w:type="spellStart"/>
      <w:r w:rsidR="000C38EE" w:rsidRPr="00BB5208">
        <w:t>Legal</w:t>
      </w:r>
      <w:proofErr w:type="spellEnd"/>
      <w:r w:rsidR="000C38EE" w:rsidRPr="00BB5208">
        <w:t xml:space="preserve"> Background. In: Autonomous Weapon Systems and the Law of </w:t>
      </w:r>
      <w:proofErr w:type="spellStart"/>
      <w:r w:rsidR="000C38EE" w:rsidRPr="00BB5208">
        <w:t>Armed</w:t>
      </w:r>
      <w:proofErr w:type="spellEnd"/>
      <w:r w:rsidR="000C38EE" w:rsidRPr="00BB5208">
        <w:t xml:space="preserve"> </w:t>
      </w:r>
      <w:proofErr w:type="spellStart"/>
      <w:r w:rsidR="000C38EE" w:rsidRPr="00BB5208">
        <w:t>Conflict</w:t>
      </w:r>
      <w:proofErr w:type="spellEnd"/>
      <w:r w:rsidR="000C38EE" w:rsidRPr="00BB5208">
        <w:t xml:space="preserve">: </w:t>
      </w:r>
      <w:proofErr w:type="spellStart"/>
      <w:r w:rsidR="000C38EE" w:rsidRPr="00BB5208">
        <w:t>Compatibility</w:t>
      </w:r>
      <w:proofErr w:type="spellEnd"/>
      <w:r w:rsidR="000C38EE" w:rsidRPr="00BB5208">
        <w:t xml:space="preserve"> with International </w:t>
      </w:r>
      <w:proofErr w:type="spellStart"/>
      <w:r w:rsidR="000C38EE" w:rsidRPr="00BB5208">
        <w:t>Humanitarian</w:t>
      </w:r>
      <w:proofErr w:type="spellEnd"/>
      <w:r w:rsidR="000C38EE" w:rsidRPr="00BB5208">
        <w:t xml:space="preserve"> Law [online]. Cambridge: Cambridge University </w:t>
      </w:r>
      <w:proofErr w:type="spellStart"/>
      <w:r w:rsidR="000C38EE" w:rsidRPr="00BB5208">
        <w:t>Press</w:t>
      </w:r>
      <w:proofErr w:type="spellEnd"/>
      <w:r w:rsidR="000C38EE" w:rsidRPr="00BB5208">
        <w:t xml:space="preserve">, s. 8. Dostupné z: </w:t>
      </w:r>
      <w:hyperlink r:id="rId20" w:history="1">
        <w:r w:rsidR="000C38EE" w:rsidRPr="00BB5208">
          <w:rPr>
            <w:rStyle w:val="Hypertextovodkaz"/>
          </w:rPr>
          <w:t>https://www.cambridge.org/core/books/autonomous-weapon-systems-and-the-law-of-armed-conflict/09BFF6BB5B88E34935678B5A0606A8A7</w:t>
        </w:r>
      </w:hyperlink>
      <w:r w:rsidR="000C38EE" w:rsidRPr="00BB5208">
        <w:t xml:space="preserve"> </w:t>
      </w:r>
    </w:p>
    <w:p w14:paraId="3E7D4105" w14:textId="11FE56F6" w:rsidR="00A23FFD" w:rsidRPr="00BB5208" w:rsidRDefault="00155B5F" w:rsidP="00D40723">
      <w:r>
        <w:lastRenderedPageBreak/>
        <w:t>20</w:t>
      </w:r>
      <w:r w:rsidR="00EE55B2" w:rsidRPr="00BB5208">
        <w:t xml:space="preserve">) 126/1929 Sb., </w:t>
      </w:r>
      <w:proofErr w:type="spellStart"/>
      <w:r w:rsidR="00EE55B2" w:rsidRPr="00BB5208">
        <w:t>Kelloggův</w:t>
      </w:r>
      <w:proofErr w:type="spellEnd"/>
      <w:r w:rsidR="00EE55B2" w:rsidRPr="00BB5208">
        <w:t xml:space="preserve"> pakt, ze dne 27. srpna 1928</w:t>
      </w:r>
      <w:r w:rsidR="00A23FFD" w:rsidRPr="00BB5208">
        <w:t xml:space="preserve"> [online]. Dostupné z: </w:t>
      </w:r>
      <w:hyperlink r:id="rId21" w:history="1">
        <w:r w:rsidR="00A23FFD" w:rsidRPr="00BB5208">
          <w:rPr>
            <w:rStyle w:val="Hypertextovodkaz"/>
          </w:rPr>
          <w:t>https://www.aspi.cz/products/lawText/1/4878/1/2/mezinarodni-umluva-c-126-1929-sb-kelloguv-pakt/mezinarodni-umluva-c-126-1929-sb-kelloguv-pakt</w:t>
        </w:r>
      </w:hyperlink>
    </w:p>
    <w:p w14:paraId="08C85D82" w14:textId="711D7738" w:rsidR="005A11E4" w:rsidRPr="00BB5208" w:rsidRDefault="00155B5F" w:rsidP="00D40723">
      <w:r>
        <w:t>21</w:t>
      </w:r>
      <w:r w:rsidR="005A11E4" w:rsidRPr="00BB5208">
        <w:t xml:space="preserve">) </w:t>
      </w:r>
      <w:r w:rsidR="008004A7" w:rsidRPr="00BB5208">
        <w:t xml:space="preserve">International </w:t>
      </w:r>
      <w:proofErr w:type="spellStart"/>
      <w:r w:rsidR="008004A7" w:rsidRPr="00BB5208">
        <w:t>Criminal</w:t>
      </w:r>
      <w:proofErr w:type="spellEnd"/>
      <w:r w:rsidR="008004A7" w:rsidRPr="00BB5208">
        <w:t xml:space="preserve"> </w:t>
      </w:r>
      <w:proofErr w:type="spellStart"/>
      <w:r w:rsidR="008004A7" w:rsidRPr="00BB5208">
        <w:t>Tribunal</w:t>
      </w:r>
      <w:proofErr w:type="spellEnd"/>
      <w:r w:rsidR="008004A7" w:rsidRPr="00BB5208">
        <w:t xml:space="preserve"> </w:t>
      </w:r>
      <w:proofErr w:type="spellStart"/>
      <w:r w:rsidR="008004A7" w:rsidRPr="00BB5208">
        <w:t>for</w:t>
      </w:r>
      <w:proofErr w:type="spellEnd"/>
      <w:r w:rsidR="008004A7" w:rsidRPr="00BB5208">
        <w:t xml:space="preserve"> the </w:t>
      </w:r>
      <w:proofErr w:type="spellStart"/>
      <w:r w:rsidR="008004A7" w:rsidRPr="00BB5208">
        <w:t>former</w:t>
      </w:r>
      <w:proofErr w:type="spellEnd"/>
      <w:r w:rsidR="008004A7" w:rsidRPr="00BB5208">
        <w:t xml:space="preserve"> </w:t>
      </w:r>
      <w:proofErr w:type="spellStart"/>
      <w:r w:rsidR="008004A7" w:rsidRPr="00BB5208">
        <w:t>Yugoslavia</w:t>
      </w:r>
      <w:proofErr w:type="spellEnd"/>
      <w:r w:rsidR="008004A7" w:rsidRPr="00BB5208">
        <w:t xml:space="preserve"> (ICTY) </w:t>
      </w:r>
      <w:proofErr w:type="spellStart"/>
      <w:r w:rsidR="008004A7" w:rsidRPr="00BB5208">
        <w:t>Appeals</w:t>
      </w:r>
      <w:proofErr w:type="spellEnd"/>
      <w:r w:rsidR="008004A7" w:rsidRPr="00BB5208">
        <w:t xml:space="preserve"> </w:t>
      </w:r>
      <w:proofErr w:type="spellStart"/>
      <w:r w:rsidR="008004A7" w:rsidRPr="00BB5208">
        <w:t>Chamber</w:t>
      </w:r>
      <w:proofErr w:type="spellEnd"/>
      <w:r w:rsidR="008004A7" w:rsidRPr="00BB5208">
        <w:t xml:space="preserve">: Rozsudek ICTY </w:t>
      </w:r>
      <w:proofErr w:type="spellStart"/>
      <w:r w:rsidR="008004A7" w:rsidRPr="00BB5208">
        <w:t>Appeals</w:t>
      </w:r>
      <w:proofErr w:type="spellEnd"/>
      <w:r w:rsidR="008004A7" w:rsidRPr="00BB5208">
        <w:t xml:space="preserve"> </w:t>
      </w:r>
      <w:proofErr w:type="spellStart"/>
      <w:r w:rsidR="008004A7" w:rsidRPr="00BB5208">
        <w:t>Chamber</w:t>
      </w:r>
      <w:proofErr w:type="spellEnd"/>
      <w:r w:rsidR="008004A7" w:rsidRPr="00BB5208">
        <w:t xml:space="preserve">, ve věci </w:t>
      </w:r>
      <w:r w:rsidR="008004A7" w:rsidRPr="00BB5208">
        <w:rPr>
          <w:lang w:eastAsia="cs-CZ"/>
        </w:rPr>
        <w:t>Prosecutor vs. Duško Tadić,</w:t>
      </w:r>
      <w:r w:rsidR="008004A7" w:rsidRPr="00BB5208">
        <w:t xml:space="preserve"> ze dne 2. října 1995, </w:t>
      </w:r>
      <w:proofErr w:type="spellStart"/>
      <w:r w:rsidR="008004A7" w:rsidRPr="00BB5208">
        <w:t>sp</w:t>
      </w:r>
      <w:proofErr w:type="spellEnd"/>
      <w:r w:rsidR="008004A7" w:rsidRPr="00BB5208">
        <w:t xml:space="preserve">. zn. IT-94-1-AR72 [online]. Dostupné z: </w:t>
      </w:r>
      <w:hyperlink r:id="rId22" w:history="1">
        <w:r w:rsidR="008004A7" w:rsidRPr="00BB5208">
          <w:rPr>
            <w:rStyle w:val="Hypertextovodkaz"/>
          </w:rPr>
          <w:t>https://www.asylumlawdatabase.eu/en/content/icty-prosecutor-v-tadic-it-94-1-ar72-icty</w:t>
        </w:r>
      </w:hyperlink>
    </w:p>
    <w:p w14:paraId="00FBE3F5" w14:textId="061594B5" w:rsidR="00AF4AC6" w:rsidRPr="00BB5208" w:rsidRDefault="00155B5F" w:rsidP="00D40723">
      <w:pPr>
        <w:rPr>
          <w:rStyle w:val="Hypertextovodkaz"/>
          <w:lang w:eastAsia="cs-CZ"/>
        </w:rPr>
      </w:pPr>
      <w:r>
        <w:t>22</w:t>
      </w:r>
      <w:r w:rsidR="00A543D8" w:rsidRPr="00BB5208">
        <w:t xml:space="preserve">) </w:t>
      </w:r>
      <w:r w:rsidR="00A543D8" w:rsidRPr="00BB5208">
        <w:rPr>
          <w:lang w:eastAsia="cs-CZ"/>
        </w:rPr>
        <w:t>Rezoluce Valného shromáždění OSN 2105 (XX),</w:t>
      </w:r>
      <w:r w:rsidR="008216FB" w:rsidRPr="00BB5208">
        <w:rPr>
          <w:lang w:eastAsia="cs-CZ"/>
        </w:rPr>
        <w:t xml:space="preserve"> </w:t>
      </w:r>
      <w:proofErr w:type="spellStart"/>
      <w:r w:rsidR="008216FB" w:rsidRPr="00BB5208">
        <w:rPr>
          <w:lang w:eastAsia="cs-CZ"/>
        </w:rPr>
        <w:t>Implementation</w:t>
      </w:r>
      <w:proofErr w:type="spellEnd"/>
      <w:r w:rsidR="008216FB" w:rsidRPr="00BB5208">
        <w:rPr>
          <w:lang w:eastAsia="cs-CZ"/>
        </w:rPr>
        <w:t xml:space="preserve"> of the </w:t>
      </w:r>
      <w:proofErr w:type="spellStart"/>
      <w:r w:rsidR="008216FB" w:rsidRPr="00BB5208">
        <w:rPr>
          <w:lang w:eastAsia="cs-CZ"/>
        </w:rPr>
        <w:t>Declaration</w:t>
      </w:r>
      <w:proofErr w:type="spellEnd"/>
      <w:r w:rsidR="008216FB" w:rsidRPr="00BB5208">
        <w:rPr>
          <w:lang w:eastAsia="cs-CZ"/>
        </w:rPr>
        <w:t xml:space="preserve"> on the </w:t>
      </w:r>
      <w:proofErr w:type="spellStart"/>
      <w:r w:rsidR="008216FB" w:rsidRPr="00BB5208">
        <w:rPr>
          <w:lang w:eastAsia="cs-CZ"/>
        </w:rPr>
        <w:t>Granting</w:t>
      </w:r>
      <w:proofErr w:type="spellEnd"/>
      <w:r w:rsidR="008216FB" w:rsidRPr="00BB5208">
        <w:rPr>
          <w:lang w:eastAsia="cs-CZ"/>
        </w:rPr>
        <w:t xml:space="preserve"> of </w:t>
      </w:r>
      <w:proofErr w:type="spellStart"/>
      <w:r w:rsidR="008216FB" w:rsidRPr="00BB5208">
        <w:rPr>
          <w:lang w:eastAsia="cs-CZ"/>
        </w:rPr>
        <w:t>Independence</w:t>
      </w:r>
      <w:proofErr w:type="spellEnd"/>
      <w:r w:rsidR="008216FB" w:rsidRPr="00BB5208">
        <w:rPr>
          <w:lang w:eastAsia="cs-CZ"/>
        </w:rPr>
        <w:t xml:space="preserve"> to </w:t>
      </w:r>
      <w:proofErr w:type="spellStart"/>
      <w:r w:rsidR="008216FB" w:rsidRPr="00BB5208">
        <w:rPr>
          <w:lang w:eastAsia="cs-CZ"/>
        </w:rPr>
        <w:t>Colonial</w:t>
      </w:r>
      <w:proofErr w:type="spellEnd"/>
      <w:r w:rsidR="008216FB" w:rsidRPr="00BB5208">
        <w:rPr>
          <w:lang w:eastAsia="cs-CZ"/>
        </w:rPr>
        <w:t xml:space="preserve"> </w:t>
      </w:r>
      <w:proofErr w:type="spellStart"/>
      <w:r w:rsidR="008216FB" w:rsidRPr="00BB5208">
        <w:rPr>
          <w:lang w:eastAsia="cs-CZ"/>
        </w:rPr>
        <w:t>Countries</w:t>
      </w:r>
      <w:proofErr w:type="spellEnd"/>
      <w:r w:rsidR="008216FB" w:rsidRPr="00BB5208">
        <w:rPr>
          <w:lang w:eastAsia="cs-CZ"/>
        </w:rPr>
        <w:t xml:space="preserve"> and </w:t>
      </w:r>
      <w:proofErr w:type="spellStart"/>
      <w:r w:rsidR="008216FB" w:rsidRPr="00BB5208">
        <w:rPr>
          <w:lang w:eastAsia="cs-CZ"/>
        </w:rPr>
        <w:t>Peoples</w:t>
      </w:r>
      <w:proofErr w:type="spellEnd"/>
      <w:r w:rsidR="008216FB" w:rsidRPr="00BB5208">
        <w:rPr>
          <w:lang w:eastAsia="cs-CZ"/>
        </w:rPr>
        <w:t>,</w:t>
      </w:r>
      <w:r w:rsidR="00A543D8" w:rsidRPr="00BB5208">
        <w:rPr>
          <w:lang w:eastAsia="cs-CZ"/>
        </w:rPr>
        <w:t xml:space="preserve"> ze dne 20.12.1965 [online]. Dostupné z: </w:t>
      </w:r>
      <w:hyperlink r:id="rId23" w:history="1">
        <w:r w:rsidR="00A543D8" w:rsidRPr="00BB5208">
          <w:rPr>
            <w:rStyle w:val="Hypertextovodkaz"/>
            <w:lang w:eastAsia="cs-CZ"/>
          </w:rPr>
          <w:t>https://digitallibrary.un.org/record/203463?ln=en</w:t>
        </w:r>
      </w:hyperlink>
    </w:p>
    <w:p w14:paraId="07465631" w14:textId="023CD0A0" w:rsidR="00AF4AC6" w:rsidRPr="00BB5208" w:rsidRDefault="00155B5F" w:rsidP="00D40723">
      <w:r>
        <w:t>23</w:t>
      </w:r>
      <w:r w:rsidR="00AF4AC6" w:rsidRPr="00BB5208">
        <w:t xml:space="preserve">) FIRLEJ, </w:t>
      </w:r>
      <w:proofErr w:type="spellStart"/>
      <w:r w:rsidR="00AF4AC6" w:rsidRPr="00BB5208">
        <w:t>Mikołaj</w:t>
      </w:r>
      <w:proofErr w:type="spellEnd"/>
      <w:r w:rsidR="00AF4AC6" w:rsidRPr="00BB5208">
        <w:t xml:space="preserve"> and TAEIHAGH, </w:t>
      </w:r>
      <w:proofErr w:type="spellStart"/>
      <w:r w:rsidR="00AF4AC6" w:rsidRPr="00BB5208">
        <w:t>Araz</w:t>
      </w:r>
      <w:proofErr w:type="spellEnd"/>
      <w:r w:rsidR="00AF4AC6" w:rsidRPr="00BB5208">
        <w:t xml:space="preserve">. </w:t>
      </w:r>
      <w:proofErr w:type="spellStart"/>
      <w:r w:rsidR="00AF4AC6" w:rsidRPr="00BB5208">
        <w:t>Regulating</w:t>
      </w:r>
      <w:proofErr w:type="spellEnd"/>
      <w:r w:rsidR="00AF4AC6" w:rsidRPr="00BB5208">
        <w:t xml:space="preserve"> Human Control </w:t>
      </w:r>
      <w:proofErr w:type="spellStart"/>
      <w:r w:rsidR="00AF4AC6" w:rsidRPr="00BB5208">
        <w:t>Over</w:t>
      </w:r>
      <w:proofErr w:type="spellEnd"/>
      <w:r w:rsidR="00AF4AC6" w:rsidRPr="00BB5208">
        <w:t xml:space="preserve"> Autonomous Systems, </w:t>
      </w:r>
      <w:proofErr w:type="spellStart"/>
      <w:r w:rsidR="00AF4AC6" w:rsidRPr="00BB5208">
        <w:t>Forthcoming</w:t>
      </w:r>
      <w:proofErr w:type="spellEnd"/>
      <w:r w:rsidR="00AF4AC6" w:rsidRPr="00BB5208">
        <w:t xml:space="preserve"> in </w:t>
      </w:r>
      <w:proofErr w:type="spellStart"/>
      <w:r w:rsidR="00AF4AC6" w:rsidRPr="00BB5208">
        <w:t>Regulation</w:t>
      </w:r>
      <w:proofErr w:type="spellEnd"/>
      <w:r w:rsidR="00AF4AC6" w:rsidRPr="00BB5208">
        <w:t xml:space="preserve"> and </w:t>
      </w:r>
      <w:proofErr w:type="spellStart"/>
      <w:r w:rsidR="00AF4AC6" w:rsidRPr="00BB5208">
        <w:t>Governance</w:t>
      </w:r>
      <w:proofErr w:type="spellEnd"/>
      <w:r w:rsidR="00AF4AC6" w:rsidRPr="00BB5208">
        <w:t xml:space="preserve"> [online], 20.června 2020, [cit. 7. února 2024]. Dostupné z: </w:t>
      </w:r>
      <w:hyperlink r:id="rId24" w:history="1">
        <w:r w:rsidR="00AF4AC6" w:rsidRPr="00BB5208">
          <w:rPr>
            <w:rStyle w:val="Hypertextovodkaz"/>
          </w:rPr>
          <w:t>https://papers.ssrn.com/sol3/papers.cfm?abstract_id=3662526</w:t>
        </w:r>
      </w:hyperlink>
    </w:p>
    <w:p w14:paraId="0F049DD1" w14:textId="123A6B72" w:rsidR="00AE3C09" w:rsidRPr="00BB5208" w:rsidRDefault="00155B5F" w:rsidP="00D40723">
      <w:r>
        <w:t>24</w:t>
      </w:r>
      <w:r w:rsidR="00AE3C09" w:rsidRPr="00BB5208">
        <w:t xml:space="preserve">) Rozsudek Mezinárodního vojenského tribunálu pro Dálný východ, ze dne 12.listopadu 1948, [online]. Dostupné z: </w:t>
      </w:r>
      <w:hyperlink r:id="rId25" w:history="1">
        <w:r w:rsidR="00AE3C09" w:rsidRPr="00BB5208">
          <w:rPr>
            <w:rStyle w:val="Hypertextovodkaz"/>
          </w:rPr>
          <w:t>https://www.loc.gov/item/2021692613/</w:t>
        </w:r>
      </w:hyperlink>
    </w:p>
    <w:p w14:paraId="6B287559" w14:textId="799B5F12" w:rsidR="00A47413" w:rsidRPr="00BB5208" w:rsidRDefault="00155B5F" w:rsidP="00D40723">
      <w:r>
        <w:t>25</w:t>
      </w:r>
      <w:r w:rsidR="00A47413" w:rsidRPr="00BB5208">
        <w:t>) Ženevská úmluva o zlepšení osudu raněných a nemocných příslušníků ozbrojených sil v poli, ze dne 12. srpna 1949</w:t>
      </w:r>
    </w:p>
    <w:p w14:paraId="7FF2AE37" w14:textId="66CBAA3C" w:rsidR="00A47413" w:rsidRPr="00BB5208" w:rsidRDefault="00155B5F" w:rsidP="00D40723">
      <w:r>
        <w:t>26</w:t>
      </w:r>
      <w:r w:rsidR="00A47413" w:rsidRPr="00BB5208">
        <w:t>) Ženevská úmluva o zlepšení osudu raněných, nemocných a trosečníků ozbrojených sil na moři, ze dne 12. srpna 1949</w:t>
      </w:r>
    </w:p>
    <w:p w14:paraId="3227E0A6" w14:textId="5F6F895E" w:rsidR="00A47413" w:rsidRPr="00BB5208" w:rsidRDefault="00155B5F" w:rsidP="00D40723">
      <w:r>
        <w:t>27</w:t>
      </w:r>
      <w:r w:rsidR="00A47413" w:rsidRPr="00BB5208">
        <w:t>) Ženevská úmluva o zacházení s válečnými zajatci, ze dne 12. srpna 1949</w:t>
      </w:r>
    </w:p>
    <w:p w14:paraId="1A09FA68" w14:textId="39F97F67" w:rsidR="00A47413" w:rsidRPr="00BB5208" w:rsidRDefault="00155B5F" w:rsidP="00D40723">
      <w:r>
        <w:t>28</w:t>
      </w:r>
      <w:r w:rsidR="00A47413" w:rsidRPr="00BB5208">
        <w:t>) Ženevská úmluva o ochraně civilních osob za války, ze dne 12. srpna 1949</w:t>
      </w:r>
    </w:p>
    <w:p w14:paraId="47B05AB9" w14:textId="2CD9039A" w:rsidR="00C96A4D" w:rsidRPr="00BB5208" w:rsidRDefault="00155B5F" w:rsidP="00C96A4D">
      <w:r>
        <w:t>29</w:t>
      </w:r>
      <w:r w:rsidR="00064BDD" w:rsidRPr="00BB5208">
        <w:t xml:space="preserve">) Terminologický slovník termínů a definic NATO, AAP-06, </w:t>
      </w:r>
      <w:r w:rsidR="009A7053" w:rsidRPr="00BB5208">
        <w:t>326 s</w:t>
      </w:r>
      <w:r w:rsidR="00064BDD" w:rsidRPr="00BB5208">
        <w:t xml:space="preserve"> [online] Dostupné z: </w:t>
      </w:r>
      <w:hyperlink r:id="rId26" w:history="1">
        <w:r w:rsidR="00064BDD" w:rsidRPr="00BB5208">
          <w:rPr>
            <w:rStyle w:val="Hypertextovodkaz"/>
          </w:rPr>
          <w:t>https://oos.army.cz/standardizace/terminologie/terminologicky-slovnik-aap-06</w:t>
        </w:r>
      </w:hyperlink>
    </w:p>
    <w:p w14:paraId="31082EAC" w14:textId="5ACCD02C" w:rsidR="00C96A4D" w:rsidRPr="00BB5208" w:rsidRDefault="00155B5F" w:rsidP="00C96A4D">
      <w:r>
        <w:t>30</w:t>
      </w:r>
      <w:r w:rsidR="00C96A4D" w:rsidRPr="00BB5208">
        <w:t xml:space="preserve">) Poradní rozsudek Mezinárodního soudního dvora ve věci Legality of the threat or use of nuclear weapons, </w:t>
      </w:r>
      <w:proofErr w:type="spellStart"/>
      <w:r w:rsidR="00C96A4D" w:rsidRPr="00BB5208">
        <w:t>R</w:t>
      </w:r>
      <w:r w:rsidR="00D16693" w:rsidRPr="00BB5208">
        <w:t>eports</w:t>
      </w:r>
      <w:proofErr w:type="spellEnd"/>
      <w:r w:rsidR="00C96A4D" w:rsidRPr="00BB5208">
        <w:t xml:space="preserve"> </w:t>
      </w:r>
      <w:r w:rsidR="00D16693" w:rsidRPr="00BB5208">
        <w:t>of</w:t>
      </w:r>
      <w:r w:rsidR="00C96A4D" w:rsidRPr="00BB5208">
        <w:t xml:space="preserve"> </w:t>
      </w:r>
      <w:proofErr w:type="spellStart"/>
      <w:r w:rsidR="00C96A4D" w:rsidRPr="00BB5208">
        <w:t>J</w:t>
      </w:r>
      <w:r w:rsidR="00D16693" w:rsidRPr="00BB5208">
        <w:t>udgements</w:t>
      </w:r>
      <w:proofErr w:type="spellEnd"/>
      <w:r w:rsidR="00C96A4D" w:rsidRPr="00BB5208">
        <w:t xml:space="preserve">, ADVISORY OPINIONS AND ORDERS General List No. 95, ze dne 8. července 1996, [online]. Dostupné z: </w:t>
      </w:r>
      <w:hyperlink r:id="rId27" w:history="1">
        <w:r w:rsidR="00C96A4D" w:rsidRPr="00BB5208">
          <w:rPr>
            <w:rStyle w:val="Hypertextovodkaz"/>
          </w:rPr>
          <w:t>https://www.icj-cij.org/case/95</w:t>
        </w:r>
      </w:hyperlink>
    </w:p>
    <w:p w14:paraId="7B94CA9B" w14:textId="0DA308BE" w:rsidR="00A47413" w:rsidRPr="00BB5208" w:rsidRDefault="00155B5F" w:rsidP="00BA48B0">
      <w:r>
        <w:lastRenderedPageBreak/>
        <w:t>31</w:t>
      </w:r>
      <w:r w:rsidR="00DA030A" w:rsidRPr="00BB5208">
        <w:t xml:space="preserve">) Treaty on the prohobition of nuclear weapons, ze dne 7. června 2017 [online]. Dostupné z: </w:t>
      </w:r>
      <w:hyperlink r:id="rId28" w:history="1">
        <w:r w:rsidR="00DA030A" w:rsidRPr="00BB5208">
          <w:rPr>
            <w:rStyle w:val="Hypertextovodkaz"/>
          </w:rPr>
          <w:t>https://treaties.un.org/Pages/ViewDetails.aspx?src=TREATY&amp;mtdsg_no=XXVI-9&amp;chapter=26&amp;clang=_en</w:t>
        </w:r>
      </w:hyperlink>
    </w:p>
    <w:p w14:paraId="5E28C590" w14:textId="37B3DE15" w:rsidR="00BA48B0" w:rsidRDefault="00155B5F" w:rsidP="00BA48B0">
      <w:r>
        <w:t>32</w:t>
      </w:r>
      <w:r w:rsidR="00BA48B0" w:rsidRPr="00BB5208">
        <w:t>) 96/1975 Sb., Vyhláška ministra zahraničních věcí o Úmluvě o zákazu vývoje, výroby a hromadění zásob bakteriologických (biologických) a toxinových zbraní a o jejich zničení, ze dne 9. července 1975</w:t>
      </w:r>
      <w:r w:rsidR="00BA48B0">
        <w:t xml:space="preserve"> </w:t>
      </w:r>
    </w:p>
    <w:p w14:paraId="18D8512C" w14:textId="706033C6" w:rsidR="003A13B0" w:rsidRDefault="00155B5F" w:rsidP="00BA48B0">
      <w:r>
        <w:t xml:space="preserve">33) </w:t>
      </w:r>
      <w:r w:rsidR="003A13B0" w:rsidRPr="003A13B0">
        <w:t xml:space="preserve">PILLOUD, Claude, Yves SANDOZ, Christophe SWINARSKI a Bruno ZIMMERMANN &amp; International Committee Of The </w:t>
      </w:r>
      <w:proofErr w:type="spellStart"/>
      <w:r w:rsidR="003A13B0" w:rsidRPr="003A13B0">
        <w:t>Red</w:t>
      </w:r>
      <w:proofErr w:type="spellEnd"/>
      <w:r w:rsidR="003A13B0" w:rsidRPr="003A13B0">
        <w:t xml:space="preserve"> Cross. </w:t>
      </w:r>
      <w:proofErr w:type="spellStart"/>
      <w:r w:rsidR="003A13B0" w:rsidRPr="003A13B0">
        <w:t>Commentary</w:t>
      </w:r>
      <w:proofErr w:type="spellEnd"/>
      <w:r w:rsidR="003A13B0" w:rsidRPr="003A13B0">
        <w:t xml:space="preserve"> on the </w:t>
      </w:r>
      <w:proofErr w:type="spellStart"/>
      <w:r w:rsidR="003A13B0" w:rsidRPr="003A13B0">
        <w:t>additional</w:t>
      </w:r>
      <w:proofErr w:type="spellEnd"/>
      <w:r w:rsidR="003A13B0" w:rsidRPr="003A13B0">
        <w:t xml:space="preserve"> </w:t>
      </w:r>
      <w:proofErr w:type="spellStart"/>
      <w:r w:rsidR="003A13B0" w:rsidRPr="003A13B0">
        <w:t>protocols</w:t>
      </w:r>
      <w:proofErr w:type="spellEnd"/>
      <w:r w:rsidR="003A13B0" w:rsidRPr="003A13B0">
        <w:t xml:space="preserve"> of 8 June 1977 to the </w:t>
      </w:r>
      <w:proofErr w:type="spellStart"/>
      <w:r w:rsidR="003A13B0" w:rsidRPr="003A13B0">
        <w:t>Geneva</w:t>
      </w:r>
      <w:proofErr w:type="spellEnd"/>
      <w:r w:rsidR="003A13B0" w:rsidRPr="003A13B0">
        <w:t xml:space="preserve"> </w:t>
      </w:r>
      <w:proofErr w:type="spellStart"/>
      <w:r w:rsidR="003A13B0" w:rsidRPr="003A13B0">
        <w:t>Conventions</w:t>
      </w:r>
      <w:proofErr w:type="spellEnd"/>
      <w:r w:rsidR="003A13B0" w:rsidRPr="003A13B0">
        <w:t xml:space="preserve"> of 12 August 1949 [online], </w:t>
      </w:r>
      <w:proofErr w:type="spellStart"/>
      <w:r w:rsidR="003A13B0" w:rsidRPr="003A13B0">
        <w:t>Kluwer</w:t>
      </w:r>
      <w:proofErr w:type="spellEnd"/>
      <w:r w:rsidR="003A13B0" w:rsidRPr="003A13B0">
        <w:t xml:space="preserve"> </w:t>
      </w:r>
      <w:proofErr w:type="spellStart"/>
      <w:r w:rsidR="003A13B0" w:rsidRPr="003A13B0">
        <w:t>Academic</w:t>
      </w:r>
      <w:proofErr w:type="spellEnd"/>
      <w:r w:rsidR="003A13B0" w:rsidRPr="003A13B0">
        <w:t xml:space="preserve"> </w:t>
      </w:r>
      <w:proofErr w:type="spellStart"/>
      <w:r w:rsidR="003A13B0" w:rsidRPr="003A13B0">
        <w:t>Publishers</w:t>
      </w:r>
      <w:proofErr w:type="spellEnd"/>
      <w:r w:rsidR="003A13B0" w:rsidRPr="003A13B0">
        <w:t xml:space="preserve">, 1987, </w:t>
      </w:r>
      <w:r w:rsidR="003A13B0">
        <w:t xml:space="preserve">1625 s, </w:t>
      </w:r>
      <w:r w:rsidR="003A13B0" w:rsidRPr="003A13B0">
        <w:t xml:space="preserve"> Dostupné z: </w:t>
      </w:r>
      <w:hyperlink r:id="rId29" w:history="1">
        <w:r w:rsidR="003A13B0" w:rsidRPr="008E5A5F">
          <w:rPr>
            <w:rStyle w:val="Hypertextovodkaz"/>
          </w:rPr>
          <w:t>https://www.loc.gov/item/2011525357/</w:t>
        </w:r>
      </w:hyperlink>
      <w:r w:rsidR="003A13B0">
        <w:t xml:space="preserve"> </w:t>
      </w:r>
      <w:r w:rsidR="003A13B0" w:rsidRPr="003A13B0">
        <w:t xml:space="preserve"> </w:t>
      </w:r>
      <w:r w:rsidR="003A13B0">
        <w:t xml:space="preserve"> </w:t>
      </w:r>
      <w:r w:rsidR="003A13B0" w:rsidRPr="003A13B0">
        <w:t xml:space="preserve"> </w:t>
      </w:r>
    </w:p>
    <w:p w14:paraId="11EF2420" w14:textId="452AD0D9" w:rsidR="003118D6" w:rsidRPr="003A13B0" w:rsidRDefault="00155B5F" w:rsidP="00BA48B0">
      <w:r>
        <w:t xml:space="preserve">34) </w:t>
      </w:r>
      <w:proofErr w:type="spellStart"/>
      <w:r w:rsidR="003A13B0" w:rsidRPr="003A13B0">
        <w:t>Diplomatic</w:t>
      </w:r>
      <w:proofErr w:type="spellEnd"/>
      <w:r w:rsidR="003A13B0" w:rsidRPr="003A13B0">
        <w:t xml:space="preserve"> </w:t>
      </w:r>
      <w:proofErr w:type="spellStart"/>
      <w:r w:rsidR="003A13B0" w:rsidRPr="003A13B0">
        <w:t>Conference</w:t>
      </w:r>
      <w:proofErr w:type="spellEnd"/>
      <w:r w:rsidR="003A13B0" w:rsidRPr="003A13B0">
        <w:t xml:space="preserve"> On The </w:t>
      </w:r>
      <w:proofErr w:type="spellStart"/>
      <w:r w:rsidR="003A13B0" w:rsidRPr="003A13B0">
        <w:t>Reaffirmation</w:t>
      </w:r>
      <w:proofErr w:type="spellEnd"/>
      <w:r w:rsidR="003A13B0" w:rsidRPr="003A13B0">
        <w:t xml:space="preserve"> And Development Of International </w:t>
      </w:r>
      <w:proofErr w:type="spellStart"/>
      <w:r w:rsidR="003A13B0" w:rsidRPr="003A13B0">
        <w:t>Humanitarian</w:t>
      </w:r>
      <w:proofErr w:type="spellEnd"/>
      <w:r w:rsidR="003A13B0" w:rsidRPr="003A13B0">
        <w:t xml:space="preserve"> Law </w:t>
      </w:r>
      <w:proofErr w:type="spellStart"/>
      <w:r w:rsidR="003A13B0" w:rsidRPr="003A13B0">
        <w:t>Applicable</w:t>
      </w:r>
      <w:proofErr w:type="spellEnd"/>
      <w:r w:rsidR="003A13B0" w:rsidRPr="003A13B0">
        <w:t xml:space="preserve"> In </w:t>
      </w:r>
      <w:proofErr w:type="spellStart"/>
      <w:r w:rsidR="003A13B0" w:rsidRPr="003A13B0">
        <w:t>Armed</w:t>
      </w:r>
      <w:proofErr w:type="spellEnd"/>
      <w:r w:rsidR="003A13B0" w:rsidRPr="003A13B0">
        <w:t xml:space="preserve"> </w:t>
      </w:r>
      <w:proofErr w:type="spellStart"/>
      <w:r w:rsidR="003A13B0" w:rsidRPr="003A13B0">
        <w:t>Conflicts</w:t>
      </w:r>
      <w:proofErr w:type="spellEnd"/>
      <w:r w:rsidR="003A13B0" w:rsidRPr="003A13B0">
        <w:t xml:space="preserve">, and </w:t>
      </w:r>
      <w:proofErr w:type="spellStart"/>
      <w:r w:rsidR="003A13B0" w:rsidRPr="003A13B0">
        <w:t>Switzerland</w:t>
      </w:r>
      <w:proofErr w:type="spellEnd"/>
      <w:r w:rsidR="003A13B0" w:rsidRPr="003A13B0">
        <w:t xml:space="preserve">. </w:t>
      </w:r>
      <w:proofErr w:type="spellStart"/>
      <w:r w:rsidR="003A13B0" w:rsidRPr="003A13B0">
        <w:t>Bundesrat</w:t>
      </w:r>
      <w:proofErr w:type="spellEnd"/>
      <w:r w:rsidR="003A13B0" w:rsidRPr="003A13B0">
        <w:t xml:space="preserve">. </w:t>
      </w:r>
      <w:proofErr w:type="spellStart"/>
      <w:r w:rsidR="003A13B0" w:rsidRPr="003A13B0">
        <w:rPr>
          <w:rStyle w:val="CittHTML"/>
          <w:i w:val="0"/>
          <w:iCs w:val="0"/>
        </w:rPr>
        <w:t>Official</w:t>
      </w:r>
      <w:proofErr w:type="spellEnd"/>
      <w:r w:rsidR="003A13B0" w:rsidRPr="003A13B0">
        <w:rPr>
          <w:rStyle w:val="CittHTML"/>
          <w:i w:val="0"/>
          <w:iCs w:val="0"/>
        </w:rPr>
        <w:t xml:space="preserve"> </w:t>
      </w:r>
      <w:proofErr w:type="spellStart"/>
      <w:r w:rsidR="003A13B0" w:rsidRPr="003A13B0">
        <w:rPr>
          <w:rStyle w:val="CittHTML"/>
          <w:i w:val="0"/>
          <w:iCs w:val="0"/>
        </w:rPr>
        <w:t>records</w:t>
      </w:r>
      <w:proofErr w:type="spellEnd"/>
      <w:r w:rsidR="003A13B0" w:rsidRPr="003A13B0">
        <w:rPr>
          <w:rStyle w:val="CittHTML"/>
          <w:i w:val="0"/>
          <w:iCs w:val="0"/>
        </w:rPr>
        <w:t xml:space="preserve"> of the </w:t>
      </w:r>
      <w:proofErr w:type="spellStart"/>
      <w:r w:rsidR="003A13B0" w:rsidRPr="003A13B0">
        <w:rPr>
          <w:rStyle w:val="CittHTML"/>
          <w:i w:val="0"/>
          <w:iCs w:val="0"/>
        </w:rPr>
        <w:t>Diplomatic</w:t>
      </w:r>
      <w:proofErr w:type="spellEnd"/>
      <w:r w:rsidR="003A13B0" w:rsidRPr="003A13B0">
        <w:rPr>
          <w:rStyle w:val="CittHTML"/>
          <w:i w:val="0"/>
          <w:iCs w:val="0"/>
        </w:rPr>
        <w:t xml:space="preserve"> </w:t>
      </w:r>
      <w:proofErr w:type="spellStart"/>
      <w:r w:rsidR="003A13B0" w:rsidRPr="003A13B0">
        <w:rPr>
          <w:rStyle w:val="CittHTML"/>
          <w:i w:val="0"/>
          <w:iCs w:val="0"/>
        </w:rPr>
        <w:t>Conference</w:t>
      </w:r>
      <w:proofErr w:type="spellEnd"/>
      <w:r w:rsidR="003A13B0" w:rsidRPr="003A13B0">
        <w:rPr>
          <w:rStyle w:val="CittHTML"/>
          <w:i w:val="0"/>
          <w:iCs w:val="0"/>
        </w:rPr>
        <w:t xml:space="preserve"> on the </w:t>
      </w:r>
      <w:proofErr w:type="spellStart"/>
      <w:r w:rsidR="003A13B0" w:rsidRPr="003A13B0">
        <w:rPr>
          <w:rStyle w:val="CittHTML"/>
          <w:i w:val="0"/>
          <w:iCs w:val="0"/>
        </w:rPr>
        <w:t>Reaffirmation</w:t>
      </w:r>
      <w:proofErr w:type="spellEnd"/>
      <w:r w:rsidR="003A13B0" w:rsidRPr="003A13B0">
        <w:rPr>
          <w:rStyle w:val="CittHTML"/>
          <w:i w:val="0"/>
          <w:iCs w:val="0"/>
        </w:rPr>
        <w:t xml:space="preserve"> and Development of International </w:t>
      </w:r>
      <w:proofErr w:type="spellStart"/>
      <w:r w:rsidR="003A13B0" w:rsidRPr="003A13B0">
        <w:rPr>
          <w:rStyle w:val="CittHTML"/>
          <w:i w:val="0"/>
          <w:iCs w:val="0"/>
        </w:rPr>
        <w:t>Humanitarian</w:t>
      </w:r>
      <w:proofErr w:type="spellEnd"/>
      <w:r w:rsidR="003A13B0" w:rsidRPr="003A13B0">
        <w:rPr>
          <w:rStyle w:val="CittHTML"/>
          <w:i w:val="0"/>
          <w:iCs w:val="0"/>
        </w:rPr>
        <w:t xml:space="preserve"> Law </w:t>
      </w:r>
      <w:proofErr w:type="spellStart"/>
      <w:r w:rsidR="003A13B0" w:rsidRPr="003A13B0">
        <w:rPr>
          <w:rStyle w:val="CittHTML"/>
          <w:i w:val="0"/>
          <w:iCs w:val="0"/>
        </w:rPr>
        <w:t>Applicable</w:t>
      </w:r>
      <w:proofErr w:type="spellEnd"/>
      <w:r w:rsidR="003A13B0" w:rsidRPr="003A13B0">
        <w:rPr>
          <w:rStyle w:val="CittHTML"/>
          <w:i w:val="0"/>
          <w:iCs w:val="0"/>
        </w:rPr>
        <w:t xml:space="preserve"> in </w:t>
      </w:r>
      <w:proofErr w:type="spellStart"/>
      <w:r w:rsidR="003A13B0" w:rsidRPr="003A13B0">
        <w:rPr>
          <w:rStyle w:val="CittHTML"/>
          <w:i w:val="0"/>
          <w:iCs w:val="0"/>
        </w:rPr>
        <w:t>Armed</w:t>
      </w:r>
      <w:proofErr w:type="spellEnd"/>
      <w:r w:rsidR="003A13B0" w:rsidRPr="003A13B0">
        <w:rPr>
          <w:rStyle w:val="CittHTML"/>
          <w:i w:val="0"/>
          <w:iCs w:val="0"/>
        </w:rPr>
        <w:t xml:space="preserve"> </w:t>
      </w:r>
      <w:proofErr w:type="spellStart"/>
      <w:r w:rsidR="003A13B0" w:rsidRPr="003A13B0">
        <w:rPr>
          <w:rStyle w:val="CittHTML"/>
          <w:i w:val="0"/>
          <w:iCs w:val="0"/>
        </w:rPr>
        <w:t>Conflicts</w:t>
      </w:r>
      <w:proofErr w:type="spellEnd"/>
      <w:r w:rsidR="003A13B0" w:rsidRPr="003A13B0">
        <w:rPr>
          <w:rStyle w:val="CittHTML"/>
          <w:i w:val="0"/>
          <w:iCs w:val="0"/>
        </w:rPr>
        <w:t xml:space="preserve">, </w:t>
      </w:r>
      <w:proofErr w:type="spellStart"/>
      <w:r w:rsidR="003A13B0" w:rsidRPr="003A13B0">
        <w:rPr>
          <w:rStyle w:val="CittHTML"/>
          <w:i w:val="0"/>
          <w:iCs w:val="0"/>
        </w:rPr>
        <w:t>Geneva</w:t>
      </w:r>
      <w:proofErr w:type="spellEnd"/>
      <w:r w:rsidR="003A13B0" w:rsidRPr="003A13B0">
        <w:rPr>
          <w:rStyle w:val="CittHTML"/>
          <w:i w:val="0"/>
          <w:iCs w:val="0"/>
        </w:rPr>
        <w:t xml:space="preserve"> -1977</w:t>
      </w:r>
      <w:r w:rsidR="003A13B0" w:rsidRPr="003A13B0">
        <w:t xml:space="preserve">. Bern: </w:t>
      </w:r>
      <w:proofErr w:type="spellStart"/>
      <w:r w:rsidR="003A13B0" w:rsidRPr="003A13B0">
        <w:t>Federal</w:t>
      </w:r>
      <w:proofErr w:type="spellEnd"/>
      <w:r w:rsidR="003A13B0" w:rsidRPr="003A13B0">
        <w:t xml:space="preserve"> </w:t>
      </w:r>
      <w:proofErr w:type="spellStart"/>
      <w:r w:rsidR="003A13B0" w:rsidRPr="003A13B0">
        <w:t>Political</w:t>
      </w:r>
      <w:proofErr w:type="spellEnd"/>
      <w:r w:rsidR="003A13B0" w:rsidRPr="003A13B0">
        <w:t xml:space="preserve"> </w:t>
      </w:r>
      <w:proofErr w:type="spellStart"/>
      <w:r w:rsidR="003A13B0" w:rsidRPr="003A13B0">
        <w:t>Dept</w:t>
      </w:r>
      <w:proofErr w:type="spellEnd"/>
      <w:r w:rsidR="003A13B0" w:rsidRPr="003A13B0">
        <w:t xml:space="preserve">, 1978, </w:t>
      </w:r>
      <w:proofErr w:type="spellStart"/>
      <w:r w:rsidR="003A13B0" w:rsidRPr="003A13B0">
        <w:t>volume</w:t>
      </w:r>
      <w:proofErr w:type="spellEnd"/>
      <w:r w:rsidR="003A13B0" w:rsidRPr="003A13B0">
        <w:t xml:space="preserve"> XV.,</w:t>
      </w:r>
      <w:r w:rsidR="003A13B0">
        <w:t>529 s.</w:t>
      </w:r>
      <w:r w:rsidR="003A13B0" w:rsidRPr="003A13B0">
        <w:t xml:space="preserve"> Dostupné z: </w:t>
      </w:r>
      <w:hyperlink r:id="rId30" w:history="1">
        <w:r w:rsidR="003A13B0" w:rsidRPr="003A13B0">
          <w:rPr>
            <w:rStyle w:val="Hypertextovodkaz"/>
          </w:rPr>
          <w:t>https://www.loc.gov/item/2011525500/</w:t>
        </w:r>
      </w:hyperlink>
    </w:p>
    <w:p w14:paraId="6605BA19" w14:textId="399DF66B" w:rsidR="00EE512F" w:rsidRDefault="00155B5F" w:rsidP="00EE512F">
      <w:r>
        <w:t xml:space="preserve">35) </w:t>
      </w:r>
      <w:r w:rsidR="00EE512F">
        <w:t>Sdělení Ministerstva zahraničních věcí, č. 21/1999 Sb., Úmluva o některých konvenčních zbraních, které mohou způsobovat nadměrné utrpení nebo mít nerozlišující účinky</w:t>
      </w:r>
    </w:p>
    <w:p w14:paraId="3A515A53" w14:textId="4AB39A08" w:rsidR="00EE512F" w:rsidRDefault="00155B5F" w:rsidP="00EE512F">
      <w:r>
        <w:t xml:space="preserve">36) </w:t>
      </w:r>
      <w:r w:rsidR="00EE512F">
        <w:t>Sdělení Ministerstva zahraničních věcí, č. 21/1999 Sb., Úmluva o některých konvenčních zbraních, které mohou způsobovat nadměrné utrpení nebo mít nerozlišující účinky. Protokol o nezjistitelných střepinách (Protokol I).</w:t>
      </w:r>
    </w:p>
    <w:p w14:paraId="177D2A9E" w14:textId="3621AC7C" w:rsidR="00EE512F" w:rsidRDefault="00155B5F" w:rsidP="00EE512F">
      <w:r>
        <w:t xml:space="preserve">37) </w:t>
      </w:r>
      <w:r w:rsidR="00EE512F">
        <w:t>Sdělení Ministerstva zahraničních věcí, č. 21/1999 Sb., Úmluva o některých konvenčních zbraních, které mohou způsobovat nadměrné utrpení nebo mít nerozlišující účinky. Protokol o zákazu nebo omezení použití min, nástrah a jiných prostředků (Protokol II)</w:t>
      </w:r>
    </w:p>
    <w:p w14:paraId="414F1773" w14:textId="6D7E9687" w:rsidR="00EE512F" w:rsidRDefault="00155B5F" w:rsidP="00EE512F">
      <w:r>
        <w:t xml:space="preserve">38) </w:t>
      </w:r>
      <w:r w:rsidR="00EE512F">
        <w:t>Sdělení Ministerstva zahraničních věcí, č. 21/1999 Sb., Úmluva o některých konvenčních zbraních, které mohou způsobovat nadměrné utrpení nebo mít nerozlišující účinky. Protokol o zákazu nebo omezení použití zápalných zbraní (Protokol III)</w:t>
      </w:r>
    </w:p>
    <w:p w14:paraId="401C429E" w14:textId="48425673" w:rsidR="00EE512F" w:rsidRDefault="00155B5F" w:rsidP="00EE512F">
      <w:r>
        <w:t xml:space="preserve">39) </w:t>
      </w:r>
      <w:r w:rsidR="00EE512F">
        <w:t>Sdělení Ministerstva zahraničních věcí, č. 21/1999 Sb., Úmluva o některých konvenčních zbraních, které mohou způsobovat nadměrné utrpení nebo mít nerozlišující účinky. Protokol o oslepujících laserových zbraních (Protokol IV)</w:t>
      </w:r>
    </w:p>
    <w:p w14:paraId="35A132DC" w14:textId="381C00BA" w:rsidR="00C614C4" w:rsidRDefault="00155B5F" w:rsidP="00EE512F">
      <w:r>
        <w:lastRenderedPageBreak/>
        <w:t xml:space="preserve">40) </w:t>
      </w:r>
      <w:r w:rsidR="00EE512F">
        <w:t>Sdělení Ministerstva zahraničních věcí, č. 21/1999 Sb., Úmluva o některých konvenčních zbraních, které mohou způsobovat nadměrné utrpení nebo mít nerozlišující účinky. Protokol o výbušných zbytcích války (Protokol V)</w:t>
      </w:r>
    </w:p>
    <w:p w14:paraId="30585BA8" w14:textId="2F46ED37" w:rsidR="00C614C4" w:rsidRDefault="00155B5F" w:rsidP="00D40723">
      <w:r>
        <w:t xml:space="preserve">41) </w:t>
      </w:r>
      <w:r w:rsidR="00CD4174" w:rsidRPr="00CD4174">
        <w:t xml:space="preserve">Meeting of the </w:t>
      </w:r>
      <w:proofErr w:type="spellStart"/>
      <w:r w:rsidR="00CD4174" w:rsidRPr="00CD4174">
        <w:t>High</w:t>
      </w:r>
      <w:proofErr w:type="spellEnd"/>
      <w:r w:rsidR="00CD4174" w:rsidRPr="00CD4174">
        <w:t xml:space="preserve"> </w:t>
      </w:r>
      <w:proofErr w:type="spellStart"/>
      <w:r w:rsidR="00CD4174" w:rsidRPr="00CD4174">
        <w:t>Contracting</w:t>
      </w:r>
      <w:proofErr w:type="spellEnd"/>
      <w:r w:rsidR="00CD4174" w:rsidRPr="00CD4174">
        <w:t xml:space="preserve"> </w:t>
      </w:r>
      <w:proofErr w:type="spellStart"/>
      <w:r w:rsidR="00CD4174" w:rsidRPr="00CD4174">
        <w:t>Parties</w:t>
      </w:r>
      <w:proofErr w:type="spellEnd"/>
      <w:r w:rsidR="00CD4174" w:rsidRPr="00CD4174">
        <w:t xml:space="preserve"> to the </w:t>
      </w:r>
      <w:proofErr w:type="spellStart"/>
      <w:r w:rsidR="00CD4174" w:rsidRPr="00CD4174">
        <w:t>Convention</w:t>
      </w:r>
      <w:proofErr w:type="spellEnd"/>
      <w:r w:rsidR="00CD4174" w:rsidRPr="00CD4174">
        <w:t xml:space="preserve"> on </w:t>
      </w:r>
      <w:proofErr w:type="spellStart"/>
      <w:r w:rsidR="00CD4174" w:rsidRPr="00CD4174">
        <w:t>Prohibitions</w:t>
      </w:r>
      <w:proofErr w:type="spellEnd"/>
      <w:r w:rsidR="00CD4174" w:rsidRPr="00CD4174">
        <w:t xml:space="preserve"> or </w:t>
      </w:r>
      <w:proofErr w:type="spellStart"/>
      <w:r w:rsidR="00CD4174" w:rsidRPr="00CD4174">
        <w:t>Restrictions</w:t>
      </w:r>
      <w:proofErr w:type="spellEnd"/>
      <w:r w:rsidR="00CD4174" w:rsidRPr="00CD4174">
        <w:t xml:space="preserve"> on the use of </w:t>
      </w:r>
      <w:proofErr w:type="spellStart"/>
      <w:r w:rsidR="00CD4174" w:rsidRPr="00CD4174">
        <w:t>Certain</w:t>
      </w:r>
      <w:proofErr w:type="spellEnd"/>
      <w:r w:rsidR="00CD4174" w:rsidRPr="00CD4174">
        <w:t xml:space="preserve"> </w:t>
      </w:r>
      <w:proofErr w:type="spellStart"/>
      <w:r w:rsidR="00CD4174" w:rsidRPr="00CD4174">
        <w:t>Conventional</w:t>
      </w:r>
      <w:proofErr w:type="spellEnd"/>
      <w:r w:rsidR="00CD4174" w:rsidRPr="00CD4174">
        <w:t xml:space="preserve"> Weapons </w:t>
      </w:r>
      <w:proofErr w:type="spellStart"/>
      <w:r w:rsidR="00CD4174" w:rsidRPr="00CD4174">
        <w:t>Which</w:t>
      </w:r>
      <w:proofErr w:type="spellEnd"/>
      <w:r w:rsidR="00CD4174" w:rsidRPr="00CD4174">
        <w:t xml:space="preserve"> May Be </w:t>
      </w:r>
      <w:proofErr w:type="spellStart"/>
      <w:r w:rsidR="00CD4174" w:rsidRPr="00CD4174">
        <w:t>Deemed</w:t>
      </w:r>
      <w:proofErr w:type="spellEnd"/>
      <w:r w:rsidR="00CD4174" w:rsidRPr="00CD4174">
        <w:t xml:space="preserve"> to Be </w:t>
      </w:r>
      <w:proofErr w:type="spellStart"/>
      <w:r w:rsidR="00CD4174" w:rsidRPr="00CD4174">
        <w:t>Excessively</w:t>
      </w:r>
      <w:proofErr w:type="spellEnd"/>
      <w:r w:rsidR="00CD4174" w:rsidRPr="00CD4174">
        <w:t xml:space="preserve"> </w:t>
      </w:r>
      <w:proofErr w:type="spellStart"/>
      <w:r w:rsidR="00CD4174" w:rsidRPr="00CD4174">
        <w:t>Injurious</w:t>
      </w:r>
      <w:proofErr w:type="spellEnd"/>
      <w:r w:rsidR="00CD4174" w:rsidRPr="00CD4174">
        <w:t xml:space="preserve"> or to </w:t>
      </w:r>
      <w:proofErr w:type="spellStart"/>
      <w:r w:rsidR="00CD4174" w:rsidRPr="00CD4174">
        <w:t>Have</w:t>
      </w:r>
      <w:proofErr w:type="spellEnd"/>
      <w:r w:rsidR="00CD4174" w:rsidRPr="00CD4174">
        <w:t xml:space="preserve"> </w:t>
      </w:r>
      <w:proofErr w:type="spellStart"/>
      <w:r w:rsidR="00CD4174" w:rsidRPr="00CD4174">
        <w:t>Indiscriminate</w:t>
      </w:r>
      <w:proofErr w:type="spellEnd"/>
      <w:r w:rsidR="00CD4174" w:rsidRPr="00CD4174">
        <w:t xml:space="preserve"> </w:t>
      </w:r>
      <w:proofErr w:type="spellStart"/>
      <w:r w:rsidR="00CD4174" w:rsidRPr="00CD4174">
        <w:t>Effects</w:t>
      </w:r>
      <w:proofErr w:type="spellEnd"/>
      <w:r w:rsidR="00CD4174" w:rsidRPr="00CD4174">
        <w:t xml:space="preserve">, </w:t>
      </w:r>
      <w:proofErr w:type="spellStart"/>
      <w:r w:rsidR="00CD4174" w:rsidRPr="00CD4174">
        <w:t>Final</w:t>
      </w:r>
      <w:proofErr w:type="spellEnd"/>
      <w:r w:rsidR="00CD4174" w:rsidRPr="00CD4174">
        <w:t xml:space="preserve"> report [online], 2013 session, </w:t>
      </w:r>
      <w:proofErr w:type="spellStart"/>
      <w:r w:rsidR="00CD4174" w:rsidRPr="00CD4174">
        <w:t>Geneva</w:t>
      </w:r>
      <w:proofErr w:type="spellEnd"/>
      <w:r w:rsidR="00CD4174" w:rsidRPr="00CD4174">
        <w:t xml:space="preserve">, 14-15 </w:t>
      </w:r>
      <w:proofErr w:type="spellStart"/>
      <w:r w:rsidR="00CD4174" w:rsidRPr="00CD4174">
        <w:t>November</w:t>
      </w:r>
      <w:proofErr w:type="spellEnd"/>
      <w:r w:rsidR="00CD4174" w:rsidRPr="00CD4174">
        <w:t xml:space="preserve"> 2013. Dostupné z: </w:t>
      </w:r>
      <w:hyperlink r:id="rId31" w:history="1">
        <w:r w:rsidR="00CD4174" w:rsidRPr="008E5A5F">
          <w:rPr>
            <w:rStyle w:val="Hypertextovodkaz"/>
          </w:rPr>
          <w:t>https://digitallibrary.un.org/record/3856236?ln=en&amp;v=pdf</w:t>
        </w:r>
      </w:hyperlink>
      <w:r w:rsidR="00CD4174">
        <w:t xml:space="preserve"> </w:t>
      </w:r>
    </w:p>
    <w:p w14:paraId="04617262" w14:textId="3C114361" w:rsidR="000646FE" w:rsidRDefault="00155B5F" w:rsidP="000646FE">
      <w:pPr>
        <w:rPr>
          <w:szCs w:val="24"/>
        </w:rPr>
      </w:pPr>
      <w:r>
        <w:rPr>
          <w:szCs w:val="24"/>
        </w:rPr>
        <w:t xml:space="preserve">42) </w:t>
      </w:r>
      <w:r w:rsidR="000646FE" w:rsidRPr="00E601E5">
        <w:rPr>
          <w:szCs w:val="24"/>
        </w:rPr>
        <w:t>18/2012 Sb., Sdělení Ministerstva zahraničních věcí o sjednání Úmluvy o kazetové munici ze dne 30. května 2008</w:t>
      </w:r>
      <w:r w:rsidR="000646FE">
        <w:rPr>
          <w:szCs w:val="24"/>
        </w:rPr>
        <w:t>.</w:t>
      </w:r>
    </w:p>
    <w:p w14:paraId="296DCAFB" w14:textId="432BA682" w:rsidR="000646FE" w:rsidRDefault="00155B5F" w:rsidP="000646FE">
      <w:r>
        <w:t xml:space="preserve">43) </w:t>
      </w:r>
      <w:r w:rsidR="000646FE" w:rsidRPr="00EF3AC5">
        <w:t xml:space="preserve">84/2009 Sb., Sdělení Ministerstva zahraničních věcí o sjednání Římského statutu Mezinárodního trestního soudu ze dne 17. července 1998. </w:t>
      </w:r>
    </w:p>
    <w:p w14:paraId="43AAC0A3" w14:textId="37B7FBD1" w:rsidR="000646FE" w:rsidRDefault="00155B5F" w:rsidP="000646FE">
      <w:pPr>
        <w:rPr>
          <w:szCs w:val="24"/>
        </w:rPr>
      </w:pPr>
      <w:r>
        <w:rPr>
          <w:szCs w:val="24"/>
        </w:rPr>
        <w:t xml:space="preserve">44) </w:t>
      </w:r>
      <w:r w:rsidR="000646FE" w:rsidRPr="00222C56">
        <w:rPr>
          <w:szCs w:val="24"/>
        </w:rPr>
        <w:t xml:space="preserve">THOMPSON </w:t>
      </w:r>
      <w:proofErr w:type="spellStart"/>
      <w:r w:rsidR="000646FE" w:rsidRPr="00222C56">
        <w:rPr>
          <w:szCs w:val="24"/>
        </w:rPr>
        <w:t>Chengeta</w:t>
      </w:r>
      <w:proofErr w:type="spellEnd"/>
      <w:r w:rsidR="000646FE" w:rsidRPr="00222C56">
        <w:rPr>
          <w:szCs w:val="24"/>
        </w:rPr>
        <w:t xml:space="preserve">. Autonomous Weapon Systems and </w:t>
      </w:r>
      <w:proofErr w:type="spellStart"/>
      <w:r w:rsidR="000646FE" w:rsidRPr="00222C56">
        <w:rPr>
          <w:szCs w:val="24"/>
        </w:rPr>
        <w:t>Modes</w:t>
      </w:r>
      <w:proofErr w:type="spellEnd"/>
      <w:r w:rsidR="000646FE" w:rsidRPr="00222C56">
        <w:rPr>
          <w:szCs w:val="24"/>
        </w:rPr>
        <w:t xml:space="preserve"> of </w:t>
      </w:r>
      <w:proofErr w:type="spellStart"/>
      <w:r w:rsidR="000646FE" w:rsidRPr="00222C56">
        <w:rPr>
          <w:szCs w:val="24"/>
        </w:rPr>
        <w:t>Responsibility</w:t>
      </w:r>
      <w:proofErr w:type="spellEnd"/>
      <w:r w:rsidR="000646FE" w:rsidRPr="00222C56">
        <w:rPr>
          <w:szCs w:val="24"/>
        </w:rPr>
        <w:t xml:space="preserve"> in International Law [online] 45 </w:t>
      </w:r>
      <w:proofErr w:type="spellStart"/>
      <w:r w:rsidR="000646FE" w:rsidRPr="00222C56">
        <w:rPr>
          <w:szCs w:val="24"/>
        </w:rPr>
        <w:t>Denv</w:t>
      </w:r>
      <w:proofErr w:type="spellEnd"/>
      <w:r w:rsidR="000646FE" w:rsidRPr="00222C56">
        <w:rPr>
          <w:szCs w:val="24"/>
        </w:rPr>
        <w:t xml:space="preserve">. J. </w:t>
      </w:r>
      <w:proofErr w:type="spellStart"/>
      <w:r w:rsidR="000646FE" w:rsidRPr="00222C56">
        <w:rPr>
          <w:szCs w:val="24"/>
        </w:rPr>
        <w:t>Int'l</w:t>
      </w:r>
      <w:proofErr w:type="spellEnd"/>
      <w:r w:rsidR="000646FE" w:rsidRPr="00222C56">
        <w:rPr>
          <w:szCs w:val="24"/>
        </w:rPr>
        <w:t xml:space="preserve"> L. &amp; </w:t>
      </w:r>
      <w:proofErr w:type="spellStart"/>
      <w:r w:rsidR="000646FE" w:rsidRPr="00222C56">
        <w:rPr>
          <w:szCs w:val="24"/>
        </w:rPr>
        <w:t>Pol'y</w:t>
      </w:r>
      <w:proofErr w:type="spellEnd"/>
      <w:r w:rsidR="000646FE" w:rsidRPr="00222C56">
        <w:rPr>
          <w:szCs w:val="24"/>
        </w:rPr>
        <w:t xml:space="preserve"> 1, 2016.</w:t>
      </w:r>
      <w:r w:rsidR="000646FE">
        <w:rPr>
          <w:szCs w:val="24"/>
        </w:rPr>
        <w:t xml:space="preserve"> </w:t>
      </w:r>
      <w:r w:rsidR="000646FE" w:rsidRPr="00222C56">
        <w:rPr>
          <w:szCs w:val="24"/>
        </w:rPr>
        <w:t xml:space="preserve">Dostupné z: </w:t>
      </w:r>
      <w:hyperlink r:id="rId32" w:history="1">
        <w:r w:rsidR="000646FE" w:rsidRPr="001013FB">
          <w:rPr>
            <w:rStyle w:val="Hypertextovodkaz"/>
            <w:szCs w:val="24"/>
          </w:rPr>
          <w:t>https://digitalcommons.du.edu/djilp/vol45/iss1/3/</w:t>
        </w:r>
      </w:hyperlink>
      <w:r w:rsidR="000646FE">
        <w:rPr>
          <w:szCs w:val="24"/>
        </w:rPr>
        <w:t xml:space="preserve"> </w:t>
      </w:r>
    </w:p>
    <w:p w14:paraId="08AD1764" w14:textId="31786BF9" w:rsidR="000646FE" w:rsidRPr="00F6683F" w:rsidRDefault="00155B5F" w:rsidP="000646FE">
      <w:pPr>
        <w:rPr>
          <w:szCs w:val="24"/>
        </w:rPr>
      </w:pPr>
      <w:r>
        <w:t xml:space="preserve">45) </w:t>
      </w:r>
      <w:r w:rsidR="000646FE" w:rsidRPr="00F6683F">
        <w:t xml:space="preserve">Rezoluce Valného shromáždění OSN A/RES/3314, ze dne 14. prosince 1974, [online] Dostupné z: </w:t>
      </w:r>
      <w:hyperlink r:id="rId33" w:history="1">
        <w:r w:rsidR="000646FE" w:rsidRPr="00F6683F">
          <w:rPr>
            <w:rStyle w:val="Hypertextovodkaz"/>
          </w:rPr>
          <w:t>http://hrlibrary.umn.edu/instree/GAres3314.html</w:t>
        </w:r>
      </w:hyperlink>
    </w:p>
    <w:p w14:paraId="73671990" w14:textId="44C2FB3A" w:rsidR="000646FE" w:rsidRDefault="00155B5F" w:rsidP="000646FE">
      <w:pPr>
        <w:rPr>
          <w:rStyle w:val="Hypertextovodkaz"/>
        </w:rPr>
      </w:pPr>
      <w:r>
        <w:t xml:space="preserve">46) </w:t>
      </w:r>
      <w:r w:rsidR="000646FE" w:rsidRPr="00EC6F7C">
        <w:t>Rezoluce Valného shromáždění OSN A/RES/ES-11/1, ze dne 2. března 2022</w:t>
      </w:r>
      <w:r w:rsidR="000646FE">
        <w:t>.</w:t>
      </w:r>
      <w:r w:rsidR="000646FE" w:rsidRPr="00EC6F7C">
        <w:t xml:space="preserve"> [online] Dostupné z: </w:t>
      </w:r>
      <w:hyperlink r:id="rId34" w:history="1">
        <w:r w:rsidR="000646FE" w:rsidRPr="00EC6F7C">
          <w:rPr>
            <w:rStyle w:val="Hypertextovodkaz"/>
          </w:rPr>
          <w:t>https://documents.un.org/symbol-explorer?s=A/RES/ES-11/1&amp;i=A/RES/ES-11/1_0582221</w:t>
        </w:r>
      </w:hyperlink>
    </w:p>
    <w:p w14:paraId="554C9908" w14:textId="3C6A8737" w:rsidR="000646FE" w:rsidRDefault="00155B5F" w:rsidP="000646FE">
      <w:pPr>
        <w:rPr>
          <w:szCs w:val="24"/>
        </w:rPr>
      </w:pPr>
      <w:r>
        <w:rPr>
          <w:szCs w:val="24"/>
        </w:rPr>
        <w:t xml:space="preserve">47) </w:t>
      </w:r>
      <w:r w:rsidR="000646FE" w:rsidRPr="00EC6F7C">
        <w:rPr>
          <w:szCs w:val="24"/>
        </w:rPr>
        <w:t xml:space="preserve">Rezoluce Rady bezpečnosti OSN, S/RES/1816, ze dne 2. června 2008. [online] Dostupné z: </w:t>
      </w:r>
      <w:hyperlink r:id="rId35" w:history="1">
        <w:r w:rsidR="000646FE" w:rsidRPr="001013FB">
          <w:rPr>
            <w:rStyle w:val="Hypertextovodkaz"/>
            <w:szCs w:val="24"/>
          </w:rPr>
          <w:t>https://digitallibrary.un.org/record/627953?v=pdf</w:t>
        </w:r>
      </w:hyperlink>
      <w:r w:rsidR="000646FE">
        <w:rPr>
          <w:szCs w:val="24"/>
        </w:rPr>
        <w:t xml:space="preserve"> </w:t>
      </w:r>
    </w:p>
    <w:p w14:paraId="76979B26" w14:textId="45C3CF9A" w:rsidR="000646FE" w:rsidRPr="00EC6F7C" w:rsidRDefault="00155B5F" w:rsidP="000646FE">
      <w:pPr>
        <w:rPr>
          <w:szCs w:val="24"/>
        </w:rPr>
      </w:pPr>
      <w:r>
        <w:rPr>
          <w:szCs w:val="24"/>
        </w:rPr>
        <w:t xml:space="preserve">48) </w:t>
      </w:r>
      <w:r w:rsidR="000646FE" w:rsidRPr="00EC6F7C">
        <w:rPr>
          <w:szCs w:val="24"/>
        </w:rPr>
        <w:t>Rezoluce Rady bezpečnosti OSN, S/RES/1308, ze dne 17. července 2000</w:t>
      </w:r>
      <w:r w:rsidR="000646FE">
        <w:rPr>
          <w:szCs w:val="24"/>
        </w:rPr>
        <w:t xml:space="preserve">. </w:t>
      </w:r>
      <w:r w:rsidR="000646FE" w:rsidRPr="00EC6F7C">
        <w:rPr>
          <w:szCs w:val="24"/>
        </w:rPr>
        <w:t xml:space="preserve">[online] Dostupné z: </w:t>
      </w:r>
      <w:hyperlink r:id="rId36" w:history="1">
        <w:r w:rsidR="000646FE" w:rsidRPr="001013FB">
          <w:rPr>
            <w:rStyle w:val="Hypertextovodkaz"/>
            <w:szCs w:val="24"/>
          </w:rPr>
          <w:t>https://digitallibrary.un.org/record/418823?v=pdf</w:t>
        </w:r>
      </w:hyperlink>
      <w:r w:rsidR="000646FE">
        <w:rPr>
          <w:szCs w:val="24"/>
        </w:rPr>
        <w:t xml:space="preserve"> </w:t>
      </w:r>
    </w:p>
    <w:p w14:paraId="3127F971" w14:textId="1A88CA55" w:rsidR="000646FE" w:rsidRDefault="00155B5F" w:rsidP="000646FE">
      <w:pPr>
        <w:rPr>
          <w:rStyle w:val="Hypertextovodkaz"/>
        </w:rPr>
      </w:pPr>
      <w:r>
        <w:t xml:space="preserve">49) </w:t>
      </w:r>
      <w:r w:rsidR="000646FE" w:rsidRPr="005B0463">
        <w:t>Rezoluce Rady bezpečnosti OSN, S/RES/1296, ze dne 19. dubna 2000</w:t>
      </w:r>
      <w:r w:rsidR="000646FE">
        <w:t>.</w:t>
      </w:r>
      <w:r w:rsidR="000646FE" w:rsidRPr="005B0463">
        <w:t xml:space="preserve">[online] Dostupné z: </w:t>
      </w:r>
      <w:hyperlink r:id="rId37" w:history="1">
        <w:r w:rsidR="000646FE" w:rsidRPr="005B0463">
          <w:rPr>
            <w:rStyle w:val="Hypertextovodkaz"/>
          </w:rPr>
          <w:t>https://digitallibrary.un.org/record/412414?v=pdf</w:t>
        </w:r>
      </w:hyperlink>
    </w:p>
    <w:p w14:paraId="0D93C401" w14:textId="77777777" w:rsidR="00F93598" w:rsidRDefault="00F93598" w:rsidP="000646FE">
      <w:pPr>
        <w:rPr>
          <w:rStyle w:val="Hypertextovodkaz"/>
        </w:rPr>
      </w:pPr>
    </w:p>
    <w:p w14:paraId="6599289C" w14:textId="14BF9FF8" w:rsidR="000646FE" w:rsidRDefault="00155B5F" w:rsidP="000646FE">
      <w:pPr>
        <w:rPr>
          <w:szCs w:val="24"/>
        </w:rPr>
      </w:pPr>
      <w:r>
        <w:rPr>
          <w:szCs w:val="24"/>
        </w:rPr>
        <w:lastRenderedPageBreak/>
        <w:t xml:space="preserve">50) </w:t>
      </w:r>
      <w:r w:rsidR="000646FE" w:rsidRPr="005B0463">
        <w:rPr>
          <w:szCs w:val="24"/>
        </w:rPr>
        <w:t xml:space="preserve">Rezoluce Valného shromáždění, OSN A/RES/2625(XXV), </w:t>
      </w:r>
      <w:proofErr w:type="spellStart"/>
      <w:r w:rsidR="000646FE" w:rsidRPr="005B0463">
        <w:rPr>
          <w:szCs w:val="24"/>
        </w:rPr>
        <w:t>Declaration</w:t>
      </w:r>
      <w:proofErr w:type="spellEnd"/>
      <w:r w:rsidR="000646FE" w:rsidRPr="005B0463">
        <w:rPr>
          <w:szCs w:val="24"/>
        </w:rPr>
        <w:t xml:space="preserve"> on </w:t>
      </w:r>
      <w:proofErr w:type="spellStart"/>
      <w:r w:rsidR="000646FE" w:rsidRPr="005B0463">
        <w:rPr>
          <w:szCs w:val="24"/>
        </w:rPr>
        <w:t>Principles</w:t>
      </w:r>
      <w:proofErr w:type="spellEnd"/>
      <w:r w:rsidR="000646FE" w:rsidRPr="005B0463">
        <w:rPr>
          <w:szCs w:val="24"/>
        </w:rPr>
        <w:t xml:space="preserve"> of International Law </w:t>
      </w:r>
      <w:proofErr w:type="spellStart"/>
      <w:r w:rsidR="000646FE" w:rsidRPr="005B0463">
        <w:rPr>
          <w:szCs w:val="24"/>
        </w:rPr>
        <w:t>concerning</w:t>
      </w:r>
      <w:proofErr w:type="spellEnd"/>
      <w:r w:rsidR="000646FE" w:rsidRPr="005B0463">
        <w:rPr>
          <w:szCs w:val="24"/>
        </w:rPr>
        <w:t xml:space="preserve"> </w:t>
      </w:r>
      <w:proofErr w:type="spellStart"/>
      <w:r w:rsidR="000646FE" w:rsidRPr="005B0463">
        <w:rPr>
          <w:szCs w:val="24"/>
        </w:rPr>
        <w:t>Friendly</w:t>
      </w:r>
      <w:proofErr w:type="spellEnd"/>
      <w:r w:rsidR="000646FE" w:rsidRPr="005B0463">
        <w:rPr>
          <w:szCs w:val="24"/>
        </w:rPr>
        <w:t xml:space="preserve"> Relations and </w:t>
      </w:r>
      <w:proofErr w:type="spellStart"/>
      <w:r w:rsidR="000646FE" w:rsidRPr="005B0463">
        <w:rPr>
          <w:szCs w:val="24"/>
        </w:rPr>
        <w:t>Cooperation</w:t>
      </w:r>
      <w:proofErr w:type="spellEnd"/>
      <w:r w:rsidR="000646FE" w:rsidRPr="005B0463">
        <w:rPr>
          <w:szCs w:val="24"/>
        </w:rPr>
        <w:t xml:space="preserve"> </w:t>
      </w:r>
      <w:proofErr w:type="spellStart"/>
      <w:r w:rsidR="000646FE" w:rsidRPr="005B0463">
        <w:rPr>
          <w:szCs w:val="24"/>
        </w:rPr>
        <w:t>among</w:t>
      </w:r>
      <w:proofErr w:type="spellEnd"/>
      <w:r w:rsidR="000646FE" w:rsidRPr="005B0463">
        <w:rPr>
          <w:szCs w:val="24"/>
        </w:rPr>
        <w:t xml:space="preserve"> </w:t>
      </w:r>
      <w:proofErr w:type="spellStart"/>
      <w:r w:rsidR="000646FE" w:rsidRPr="005B0463">
        <w:rPr>
          <w:szCs w:val="24"/>
        </w:rPr>
        <w:t>States</w:t>
      </w:r>
      <w:proofErr w:type="spellEnd"/>
      <w:r w:rsidR="000646FE" w:rsidRPr="005B0463">
        <w:rPr>
          <w:szCs w:val="24"/>
        </w:rPr>
        <w:t xml:space="preserve"> in </w:t>
      </w:r>
      <w:proofErr w:type="spellStart"/>
      <w:r w:rsidR="000646FE" w:rsidRPr="005B0463">
        <w:rPr>
          <w:szCs w:val="24"/>
        </w:rPr>
        <w:t>accordance</w:t>
      </w:r>
      <w:proofErr w:type="spellEnd"/>
      <w:r w:rsidR="000646FE" w:rsidRPr="005B0463">
        <w:rPr>
          <w:szCs w:val="24"/>
        </w:rPr>
        <w:t xml:space="preserve"> with the Charter of the United </w:t>
      </w:r>
      <w:proofErr w:type="spellStart"/>
      <w:r w:rsidR="000646FE" w:rsidRPr="005B0463">
        <w:rPr>
          <w:szCs w:val="24"/>
        </w:rPr>
        <w:t>Nations</w:t>
      </w:r>
      <w:proofErr w:type="spellEnd"/>
      <w:r w:rsidR="000646FE" w:rsidRPr="005B0463">
        <w:rPr>
          <w:szCs w:val="24"/>
        </w:rPr>
        <w:t xml:space="preserve">. ze dne 24. 10. 1970 [online]. Dostupné z: </w:t>
      </w:r>
      <w:hyperlink r:id="rId38" w:history="1">
        <w:r w:rsidR="000646FE" w:rsidRPr="001013FB">
          <w:rPr>
            <w:rStyle w:val="Hypertextovodkaz"/>
            <w:szCs w:val="24"/>
          </w:rPr>
          <w:t>https://digitallibrary.un.org/record/202170?ln=en&amp;v=pdf</w:t>
        </w:r>
      </w:hyperlink>
      <w:r w:rsidR="000646FE">
        <w:rPr>
          <w:szCs w:val="24"/>
        </w:rPr>
        <w:t xml:space="preserve"> </w:t>
      </w:r>
    </w:p>
    <w:p w14:paraId="7B58CEAE" w14:textId="3BF00FCF" w:rsidR="00FB4F48" w:rsidRDefault="00155B5F" w:rsidP="000646FE">
      <w:pPr>
        <w:rPr>
          <w:rStyle w:val="Hypertextovodkaz"/>
          <w:szCs w:val="24"/>
        </w:rPr>
      </w:pPr>
      <w:r>
        <w:rPr>
          <w:szCs w:val="24"/>
        </w:rPr>
        <w:t xml:space="preserve">51) </w:t>
      </w:r>
      <w:r w:rsidR="000646FE" w:rsidRPr="005B0463">
        <w:rPr>
          <w:szCs w:val="24"/>
        </w:rPr>
        <w:t xml:space="preserve">Rozsudek Mezinárodního soudního dvora ve věci </w:t>
      </w:r>
      <w:proofErr w:type="spellStart"/>
      <w:r w:rsidR="000646FE" w:rsidRPr="005B0463">
        <w:rPr>
          <w:szCs w:val="24"/>
        </w:rPr>
        <w:t>Military</w:t>
      </w:r>
      <w:proofErr w:type="spellEnd"/>
      <w:r w:rsidR="000646FE" w:rsidRPr="005B0463">
        <w:rPr>
          <w:szCs w:val="24"/>
        </w:rPr>
        <w:t xml:space="preserve"> and </w:t>
      </w:r>
      <w:proofErr w:type="spellStart"/>
      <w:r w:rsidR="000646FE" w:rsidRPr="005B0463">
        <w:rPr>
          <w:szCs w:val="24"/>
        </w:rPr>
        <w:t>paramilitary</w:t>
      </w:r>
      <w:proofErr w:type="spellEnd"/>
      <w:r w:rsidR="000646FE" w:rsidRPr="005B0463">
        <w:rPr>
          <w:szCs w:val="24"/>
        </w:rPr>
        <w:t xml:space="preserve"> </w:t>
      </w:r>
      <w:proofErr w:type="spellStart"/>
      <w:r w:rsidR="000646FE" w:rsidRPr="005B0463">
        <w:rPr>
          <w:szCs w:val="24"/>
        </w:rPr>
        <w:t>activities</w:t>
      </w:r>
      <w:proofErr w:type="spellEnd"/>
      <w:r w:rsidR="000646FE" w:rsidRPr="005B0463">
        <w:rPr>
          <w:szCs w:val="24"/>
        </w:rPr>
        <w:t xml:space="preserve"> in and </w:t>
      </w:r>
      <w:proofErr w:type="spellStart"/>
      <w:r w:rsidR="000646FE" w:rsidRPr="005B0463">
        <w:rPr>
          <w:szCs w:val="24"/>
        </w:rPr>
        <w:t>against</w:t>
      </w:r>
      <w:proofErr w:type="spellEnd"/>
      <w:r w:rsidR="000646FE" w:rsidRPr="005B0463">
        <w:rPr>
          <w:szCs w:val="24"/>
        </w:rPr>
        <w:t xml:space="preserve"> Nicaragua (Nicaragua v. United </w:t>
      </w:r>
      <w:proofErr w:type="spellStart"/>
      <w:r w:rsidR="000646FE" w:rsidRPr="005B0463">
        <w:rPr>
          <w:szCs w:val="24"/>
        </w:rPr>
        <w:t>States</w:t>
      </w:r>
      <w:proofErr w:type="spellEnd"/>
      <w:r w:rsidR="000646FE" w:rsidRPr="005B0463">
        <w:rPr>
          <w:szCs w:val="24"/>
        </w:rPr>
        <w:t xml:space="preserve"> of America), ze dne 27. června 1986</w:t>
      </w:r>
      <w:r w:rsidR="000646FE">
        <w:rPr>
          <w:szCs w:val="24"/>
        </w:rPr>
        <w:t>.</w:t>
      </w:r>
      <w:r w:rsidR="000646FE" w:rsidRPr="005B0463">
        <w:rPr>
          <w:szCs w:val="24"/>
        </w:rPr>
        <w:t xml:space="preserve"> [online]. Dostupné z: </w:t>
      </w:r>
      <w:hyperlink r:id="rId39" w:history="1">
        <w:r w:rsidR="000646FE" w:rsidRPr="001013FB">
          <w:rPr>
            <w:rStyle w:val="Hypertextovodkaz"/>
            <w:szCs w:val="24"/>
          </w:rPr>
          <w:t>https://www.icj-cij.org/case/70</w:t>
        </w:r>
      </w:hyperlink>
    </w:p>
    <w:p w14:paraId="7742AB57" w14:textId="3CEDC2E9" w:rsidR="00FB4F48" w:rsidRPr="00FB4F48" w:rsidRDefault="00FB4F48" w:rsidP="00FB4F48">
      <w:r>
        <w:t xml:space="preserve">52) SIMMA, Bruno; KHAN, Daniel-Erasmus; NOLTE, Georg; PAULUS, Andreas; WESSENDORF, </w:t>
      </w:r>
      <w:proofErr w:type="spellStart"/>
      <w:r>
        <w:t>Nikolai</w:t>
      </w:r>
      <w:proofErr w:type="spellEnd"/>
      <w:r>
        <w:t xml:space="preserve"> et al. (</w:t>
      </w:r>
      <w:proofErr w:type="spellStart"/>
      <w:r>
        <w:t>ed</w:t>
      </w:r>
      <w:proofErr w:type="spellEnd"/>
      <w:r>
        <w:t xml:space="preserve">.). </w:t>
      </w:r>
      <w:r>
        <w:rPr>
          <w:i/>
          <w:iCs/>
        </w:rPr>
        <w:t xml:space="preserve">The Charter of the United </w:t>
      </w:r>
      <w:proofErr w:type="spellStart"/>
      <w:r>
        <w:rPr>
          <w:i/>
          <w:iCs/>
        </w:rPr>
        <w:t>Nations</w:t>
      </w:r>
      <w:proofErr w:type="spellEnd"/>
      <w:r>
        <w:rPr>
          <w:i/>
          <w:iCs/>
        </w:rPr>
        <w:t xml:space="preserve">: a </w:t>
      </w:r>
      <w:proofErr w:type="spellStart"/>
      <w:r>
        <w:rPr>
          <w:i/>
          <w:iCs/>
        </w:rPr>
        <w:t>commentary</w:t>
      </w:r>
      <w:proofErr w:type="spellEnd"/>
      <w:r>
        <w:t xml:space="preserve">. </w:t>
      </w:r>
      <w:proofErr w:type="spellStart"/>
      <w:r>
        <w:t>Volume</w:t>
      </w:r>
      <w:proofErr w:type="spellEnd"/>
      <w:r>
        <w:t xml:space="preserve"> I. </w:t>
      </w:r>
      <w:proofErr w:type="spellStart"/>
      <w:r>
        <w:t>Third</w:t>
      </w:r>
      <w:proofErr w:type="spellEnd"/>
      <w:r>
        <w:t xml:space="preserve"> </w:t>
      </w:r>
      <w:proofErr w:type="spellStart"/>
      <w:r>
        <w:t>edition</w:t>
      </w:r>
      <w:proofErr w:type="spellEnd"/>
      <w:r>
        <w:t xml:space="preserve">. Oxford: Oxford University </w:t>
      </w:r>
      <w:proofErr w:type="spellStart"/>
      <w:r>
        <w:t>Press</w:t>
      </w:r>
      <w:proofErr w:type="spellEnd"/>
      <w:r>
        <w:t>, 2012, 1236s.</w:t>
      </w:r>
    </w:p>
    <w:p w14:paraId="3D3E2FD5" w14:textId="77777777" w:rsidR="00294BDE" w:rsidRDefault="00294BDE" w:rsidP="00D40723"/>
    <w:p w14:paraId="04E9C95C" w14:textId="77777777" w:rsidR="00294BDE" w:rsidRDefault="00294BDE" w:rsidP="00D40723"/>
    <w:p w14:paraId="310556A0" w14:textId="77777777" w:rsidR="00294BDE" w:rsidRDefault="00294BDE" w:rsidP="00D40723"/>
    <w:p w14:paraId="343A73DD" w14:textId="77777777" w:rsidR="003D2FA3" w:rsidRDefault="003D2FA3" w:rsidP="00D40723"/>
    <w:p w14:paraId="409FBFFB" w14:textId="77777777" w:rsidR="003D2FA3" w:rsidRDefault="003D2FA3" w:rsidP="00D40723"/>
    <w:p w14:paraId="2A40358D" w14:textId="77777777" w:rsidR="003D2FA3" w:rsidRDefault="003D2FA3" w:rsidP="00D40723"/>
    <w:p w14:paraId="7A06525E" w14:textId="77777777" w:rsidR="00294BDE" w:rsidRDefault="00294BDE" w:rsidP="00D40723"/>
    <w:p w14:paraId="75BFB960" w14:textId="77777777" w:rsidR="00F93598" w:rsidRDefault="00F93598" w:rsidP="00D40723"/>
    <w:p w14:paraId="0A480F39" w14:textId="77777777" w:rsidR="00F93598" w:rsidRDefault="00F93598" w:rsidP="00D40723"/>
    <w:p w14:paraId="02B75DB2" w14:textId="77777777" w:rsidR="00F93598" w:rsidRDefault="00F93598" w:rsidP="00D40723"/>
    <w:p w14:paraId="734D2073" w14:textId="77777777" w:rsidR="00F93598" w:rsidRDefault="00F93598" w:rsidP="00D40723"/>
    <w:p w14:paraId="3612EE7B" w14:textId="77777777" w:rsidR="00F93598" w:rsidRDefault="00F93598" w:rsidP="00D40723"/>
    <w:p w14:paraId="48101C1A" w14:textId="77777777" w:rsidR="00F93598" w:rsidRDefault="00F93598" w:rsidP="00D40723"/>
    <w:p w14:paraId="0083C211" w14:textId="77777777" w:rsidR="00F93598" w:rsidRPr="005A11E4" w:rsidRDefault="00F93598" w:rsidP="00D40723"/>
    <w:p w14:paraId="24653F9A" w14:textId="1EE07BF5" w:rsidR="009618C6" w:rsidRDefault="00FE42D1" w:rsidP="009618C6">
      <w:pPr>
        <w:pStyle w:val="Nadpis1"/>
        <w:numPr>
          <w:ilvl w:val="0"/>
          <w:numId w:val="0"/>
        </w:numPr>
      </w:pPr>
      <w:bookmarkStart w:id="42" w:name="_Toc164801769"/>
      <w:r>
        <w:lastRenderedPageBreak/>
        <w:t>7</w:t>
      </w:r>
      <w:r w:rsidR="00AC207A">
        <w:t>.</w:t>
      </w:r>
      <w:r w:rsidR="00AB3B54">
        <w:tab/>
      </w:r>
      <w:r w:rsidR="004B3010">
        <w:t>Abstrakt</w:t>
      </w:r>
      <w:bookmarkEnd w:id="42"/>
    </w:p>
    <w:p w14:paraId="174BADDE" w14:textId="66E599C8" w:rsidR="001B3F99" w:rsidRDefault="009618C6" w:rsidP="001E754B">
      <w:pPr>
        <w:jc w:val="both"/>
      </w:pPr>
      <w:r>
        <w:tab/>
        <w:t>Práce pojednává o autonomních zbraňových systémech a jejich vztahu s mezinárodním právem. V rámci práce je věnována pozornost vysvětlení pojmu autonomie</w:t>
      </w:r>
      <w:r w:rsidR="003209EF">
        <w:t xml:space="preserve"> a</w:t>
      </w:r>
      <w:r>
        <w:t xml:space="preserve"> popsání funkce autonomních zbraňových systémů</w:t>
      </w:r>
      <w:r w:rsidR="003209EF">
        <w:t>. Vztah autonomních zbraňových systémů a mezinárodního humanitárního práva je popisována nejdříve z pohledu pravidel ius ad bellum.</w:t>
      </w:r>
      <w:r w:rsidR="00D33AD6">
        <w:t xml:space="preserve"> Dále jsou</w:t>
      </w:r>
      <w:r w:rsidR="003209EF">
        <w:t xml:space="preserve"> </w:t>
      </w:r>
      <w:r w:rsidR="00D33AD6">
        <w:t>z</w:t>
      </w:r>
      <w:r w:rsidR="003209EF">
        <w:t>míněny i možnosti, jak by mohly autonomní zbraňové systémy</w:t>
      </w:r>
      <w:r w:rsidR="00C27ACD">
        <w:t xml:space="preserve"> mohly</w:t>
      </w:r>
      <w:r w:rsidR="003209EF">
        <w:t xml:space="preserve"> </w:t>
      </w:r>
      <w:r w:rsidR="00C27ACD">
        <w:t>porušovat</w:t>
      </w:r>
      <w:r w:rsidR="003209EF">
        <w:t xml:space="preserve"> pravidla ius ad bellum.</w:t>
      </w:r>
      <w:r w:rsidR="00910EC5">
        <w:t xml:space="preserve"> Další oblastí, které se práce dotýká</w:t>
      </w:r>
      <w:r w:rsidR="001C7842">
        <w:t>,</w:t>
      </w:r>
      <w:r w:rsidR="00910EC5">
        <w:t xml:space="preserve"> je problematik</w:t>
      </w:r>
      <w:r w:rsidR="00EA5600">
        <w:t>a</w:t>
      </w:r>
      <w:r w:rsidR="00910EC5">
        <w:t xml:space="preserve"> použití specifických zbraní z pohledu mezinárodního práva a výklad o východiscích pro regulaci zbraní obecně. </w:t>
      </w:r>
      <w:r w:rsidR="003209EF">
        <w:t xml:space="preserve"> </w:t>
      </w:r>
    </w:p>
    <w:p w14:paraId="4DEDE16E" w14:textId="132AD905" w:rsidR="001E754B" w:rsidRDefault="001E754B" w:rsidP="001E754B">
      <w:pPr>
        <w:jc w:val="both"/>
      </w:pPr>
      <w:proofErr w:type="spellStart"/>
      <w:r>
        <w:t>Abstract</w:t>
      </w:r>
      <w:proofErr w:type="spellEnd"/>
      <w:r>
        <w:t xml:space="preserve"> </w:t>
      </w:r>
    </w:p>
    <w:p w14:paraId="0EE50AD5" w14:textId="7B33A5B9" w:rsidR="001B3F99" w:rsidRDefault="00F56928" w:rsidP="0009411B">
      <w:pPr>
        <w:ind w:firstLine="432"/>
        <w:jc w:val="both"/>
      </w:pPr>
      <w:r w:rsidRPr="00F56928">
        <w:t xml:space="preserve">The thesis </w:t>
      </w:r>
      <w:proofErr w:type="spellStart"/>
      <w:r w:rsidRPr="00F56928">
        <w:t>discusses</w:t>
      </w:r>
      <w:proofErr w:type="spellEnd"/>
      <w:r w:rsidRPr="00F56928">
        <w:t xml:space="preserve"> </w:t>
      </w:r>
      <w:proofErr w:type="spellStart"/>
      <w:r w:rsidRPr="00F56928">
        <w:t>autonomous</w:t>
      </w:r>
      <w:proofErr w:type="spellEnd"/>
      <w:r w:rsidRPr="00F56928">
        <w:t xml:space="preserve"> weapon systems and </w:t>
      </w:r>
      <w:proofErr w:type="spellStart"/>
      <w:r w:rsidRPr="00F56928">
        <w:t>their</w:t>
      </w:r>
      <w:proofErr w:type="spellEnd"/>
      <w:r w:rsidRPr="00F56928">
        <w:t xml:space="preserve"> relationship with international law. </w:t>
      </w:r>
      <w:proofErr w:type="spellStart"/>
      <w:r w:rsidRPr="00F56928">
        <w:t>Within</w:t>
      </w:r>
      <w:proofErr w:type="spellEnd"/>
      <w:r w:rsidRPr="00F56928">
        <w:t xml:space="preserve"> the thesis, </w:t>
      </w:r>
      <w:proofErr w:type="spellStart"/>
      <w:r w:rsidRPr="00F56928">
        <w:t>attention</w:t>
      </w:r>
      <w:proofErr w:type="spellEnd"/>
      <w:r w:rsidRPr="00F56928">
        <w:t xml:space="preserve"> </w:t>
      </w:r>
      <w:proofErr w:type="spellStart"/>
      <w:r w:rsidRPr="00F56928">
        <w:t>is</w:t>
      </w:r>
      <w:proofErr w:type="spellEnd"/>
      <w:r w:rsidRPr="00F56928">
        <w:t xml:space="preserve"> </w:t>
      </w:r>
      <w:proofErr w:type="spellStart"/>
      <w:r w:rsidRPr="00F56928">
        <w:t>paid</w:t>
      </w:r>
      <w:proofErr w:type="spellEnd"/>
      <w:r w:rsidRPr="00F56928">
        <w:t xml:space="preserve"> to </w:t>
      </w:r>
      <w:proofErr w:type="spellStart"/>
      <w:r w:rsidRPr="00F56928">
        <w:t>explaining</w:t>
      </w:r>
      <w:proofErr w:type="spellEnd"/>
      <w:r w:rsidRPr="00F56928">
        <w:t xml:space="preserve"> the </w:t>
      </w:r>
      <w:proofErr w:type="spellStart"/>
      <w:r w:rsidRPr="00F56928">
        <w:t>concept</w:t>
      </w:r>
      <w:proofErr w:type="spellEnd"/>
      <w:r w:rsidRPr="00F56928">
        <w:t xml:space="preserve"> of autonomy and </w:t>
      </w:r>
      <w:proofErr w:type="spellStart"/>
      <w:r w:rsidRPr="00F56928">
        <w:t>describing</w:t>
      </w:r>
      <w:proofErr w:type="spellEnd"/>
      <w:r w:rsidRPr="00F56928">
        <w:t xml:space="preserve"> the </w:t>
      </w:r>
      <w:proofErr w:type="spellStart"/>
      <w:r w:rsidRPr="00F56928">
        <w:t>function</w:t>
      </w:r>
      <w:proofErr w:type="spellEnd"/>
      <w:r w:rsidRPr="00F56928">
        <w:t xml:space="preserve"> of </w:t>
      </w:r>
      <w:proofErr w:type="spellStart"/>
      <w:r w:rsidRPr="00F56928">
        <w:t>autonomous</w:t>
      </w:r>
      <w:proofErr w:type="spellEnd"/>
      <w:r w:rsidRPr="00F56928">
        <w:t xml:space="preserve"> weapon systems. The relationship of </w:t>
      </w:r>
      <w:proofErr w:type="spellStart"/>
      <w:r w:rsidRPr="00F56928">
        <w:t>autonomous</w:t>
      </w:r>
      <w:proofErr w:type="spellEnd"/>
      <w:r w:rsidRPr="00F56928">
        <w:t xml:space="preserve"> weapon systems and international </w:t>
      </w:r>
      <w:proofErr w:type="spellStart"/>
      <w:r w:rsidRPr="00F56928">
        <w:t>humanitarian</w:t>
      </w:r>
      <w:proofErr w:type="spellEnd"/>
      <w:r w:rsidRPr="00F56928">
        <w:t xml:space="preserve"> law </w:t>
      </w:r>
      <w:proofErr w:type="spellStart"/>
      <w:r w:rsidRPr="00F56928">
        <w:t>is</w:t>
      </w:r>
      <w:proofErr w:type="spellEnd"/>
      <w:r w:rsidRPr="00F56928">
        <w:t xml:space="preserve"> </w:t>
      </w:r>
      <w:proofErr w:type="spellStart"/>
      <w:r w:rsidRPr="00F56928">
        <w:t>described</w:t>
      </w:r>
      <w:proofErr w:type="spellEnd"/>
      <w:r w:rsidRPr="00F56928">
        <w:t xml:space="preserve"> </w:t>
      </w:r>
      <w:proofErr w:type="spellStart"/>
      <w:r w:rsidRPr="00F56928">
        <w:t>first</w:t>
      </w:r>
      <w:proofErr w:type="spellEnd"/>
      <w:r w:rsidRPr="00F56928">
        <w:t xml:space="preserve"> </w:t>
      </w:r>
      <w:proofErr w:type="spellStart"/>
      <w:r w:rsidRPr="00F56928">
        <w:t>from</w:t>
      </w:r>
      <w:proofErr w:type="spellEnd"/>
      <w:r w:rsidRPr="00F56928">
        <w:t xml:space="preserve"> the </w:t>
      </w:r>
      <w:proofErr w:type="spellStart"/>
      <w:r w:rsidRPr="00F56928">
        <w:t>perspective</w:t>
      </w:r>
      <w:proofErr w:type="spellEnd"/>
      <w:r w:rsidRPr="00F56928">
        <w:t xml:space="preserve"> of the rules of ius ad bellum. </w:t>
      </w:r>
      <w:proofErr w:type="spellStart"/>
      <w:r w:rsidRPr="00F56928">
        <w:t>Furthermore</w:t>
      </w:r>
      <w:proofErr w:type="spellEnd"/>
      <w:r w:rsidRPr="00F56928">
        <w:t xml:space="preserve">, the </w:t>
      </w:r>
      <w:proofErr w:type="spellStart"/>
      <w:r w:rsidRPr="00F56928">
        <w:t>possibilities</w:t>
      </w:r>
      <w:proofErr w:type="spellEnd"/>
      <w:r w:rsidRPr="00F56928">
        <w:t xml:space="preserve"> of </w:t>
      </w:r>
      <w:proofErr w:type="spellStart"/>
      <w:r w:rsidRPr="00F56928">
        <w:t>how</w:t>
      </w:r>
      <w:proofErr w:type="spellEnd"/>
      <w:r w:rsidRPr="00F56928">
        <w:t xml:space="preserve"> </w:t>
      </w:r>
      <w:proofErr w:type="spellStart"/>
      <w:r w:rsidRPr="00F56928">
        <w:t>autonomous</w:t>
      </w:r>
      <w:proofErr w:type="spellEnd"/>
      <w:r w:rsidRPr="00F56928">
        <w:t xml:space="preserve"> weapon systems </w:t>
      </w:r>
      <w:proofErr w:type="spellStart"/>
      <w:r w:rsidRPr="00F56928">
        <w:t>could</w:t>
      </w:r>
      <w:proofErr w:type="spellEnd"/>
      <w:r w:rsidRPr="00F56928">
        <w:t xml:space="preserve"> </w:t>
      </w:r>
      <w:proofErr w:type="spellStart"/>
      <w:r w:rsidRPr="00F56928">
        <w:t>violate</w:t>
      </w:r>
      <w:proofErr w:type="spellEnd"/>
      <w:r w:rsidRPr="00F56928">
        <w:t xml:space="preserve"> the rules of ius ad bellum are </w:t>
      </w:r>
      <w:proofErr w:type="spellStart"/>
      <w:r w:rsidRPr="00F56928">
        <w:t>also</w:t>
      </w:r>
      <w:proofErr w:type="spellEnd"/>
      <w:r w:rsidRPr="00F56928">
        <w:t xml:space="preserve"> </w:t>
      </w:r>
      <w:proofErr w:type="spellStart"/>
      <w:r w:rsidRPr="00F56928">
        <w:t>mentioned</w:t>
      </w:r>
      <w:proofErr w:type="spellEnd"/>
      <w:r w:rsidRPr="00F56928">
        <w:t xml:space="preserve">. </w:t>
      </w:r>
      <w:proofErr w:type="spellStart"/>
      <w:r w:rsidRPr="00F56928">
        <w:t>Another</w:t>
      </w:r>
      <w:proofErr w:type="spellEnd"/>
      <w:r w:rsidRPr="00F56928">
        <w:t xml:space="preserve"> area </w:t>
      </w:r>
      <w:proofErr w:type="spellStart"/>
      <w:r w:rsidRPr="00F56928">
        <w:t>that</w:t>
      </w:r>
      <w:proofErr w:type="spellEnd"/>
      <w:r w:rsidRPr="00F56928">
        <w:t xml:space="preserve"> the thesis </w:t>
      </w:r>
      <w:proofErr w:type="spellStart"/>
      <w:r w:rsidRPr="00F56928">
        <w:t>touches</w:t>
      </w:r>
      <w:proofErr w:type="spellEnd"/>
      <w:r w:rsidRPr="00F56928">
        <w:t xml:space="preserve"> on </w:t>
      </w:r>
      <w:proofErr w:type="spellStart"/>
      <w:r w:rsidRPr="00F56928">
        <w:t>is</w:t>
      </w:r>
      <w:proofErr w:type="spellEnd"/>
      <w:r w:rsidRPr="00F56928">
        <w:t xml:space="preserve"> the </w:t>
      </w:r>
      <w:proofErr w:type="spellStart"/>
      <w:r w:rsidRPr="00F56928">
        <w:t>issue</w:t>
      </w:r>
      <w:proofErr w:type="spellEnd"/>
      <w:r w:rsidRPr="00F56928">
        <w:t xml:space="preserve"> of the use of </w:t>
      </w:r>
      <w:proofErr w:type="spellStart"/>
      <w:r w:rsidRPr="00F56928">
        <w:t>specific</w:t>
      </w:r>
      <w:proofErr w:type="spellEnd"/>
      <w:r w:rsidRPr="00F56928">
        <w:t xml:space="preserve"> weapons </w:t>
      </w:r>
      <w:proofErr w:type="spellStart"/>
      <w:r w:rsidRPr="00F56928">
        <w:t>from</w:t>
      </w:r>
      <w:proofErr w:type="spellEnd"/>
      <w:r w:rsidRPr="00F56928">
        <w:t xml:space="preserve"> the </w:t>
      </w:r>
      <w:proofErr w:type="spellStart"/>
      <w:r w:rsidRPr="00F56928">
        <w:t>perspective</w:t>
      </w:r>
      <w:proofErr w:type="spellEnd"/>
      <w:r w:rsidRPr="00F56928">
        <w:t xml:space="preserve"> of international law and the </w:t>
      </w:r>
      <w:proofErr w:type="spellStart"/>
      <w:r w:rsidRPr="00F56928">
        <w:t>interpretation</w:t>
      </w:r>
      <w:proofErr w:type="spellEnd"/>
      <w:r w:rsidRPr="00F56928">
        <w:t xml:space="preserve"> of the </w:t>
      </w:r>
      <w:proofErr w:type="spellStart"/>
      <w:r w:rsidRPr="00F56928">
        <w:t>starting</w:t>
      </w:r>
      <w:proofErr w:type="spellEnd"/>
      <w:r w:rsidRPr="00F56928">
        <w:t xml:space="preserve"> </w:t>
      </w:r>
      <w:proofErr w:type="spellStart"/>
      <w:r w:rsidRPr="00F56928">
        <w:t>points</w:t>
      </w:r>
      <w:proofErr w:type="spellEnd"/>
      <w:r w:rsidRPr="00F56928">
        <w:t xml:space="preserve"> </w:t>
      </w:r>
      <w:proofErr w:type="spellStart"/>
      <w:r w:rsidRPr="00F56928">
        <w:t>for</w:t>
      </w:r>
      <w:proofErr w:type="spellEnd"/>
      <w:r w:rsidRPr="00F56928">
        <w:t xml:space="preserve"> </w:t>
      </w:r>
      <w:proofErr w:type="spellStart"/>
      <w:r w:rsidRPr="00F56928">
        <w:t>arms</w:t>
      </w:r>
      <w:proofErr w:type="spellEnd"/>
      <w:r w:rsidRPr="00F56928">
        <w:t xml:space="preserve"> </w:t>
      </w:r>
      <w:proofErr w:type="spellStart"/>
      <w:r w:rsidRPr="00F56928">
        <w:t>regulation</w:t>
      </w:r>
      <w:proofErr w:type="spellEnd"/>
      <w:r w:rsidRPr="00F56928">
        <w:t xml:space="preserve"> in </w:t>
      </w:r>
      <w:proofErr w:type="spellStart"/>
      <w:r w:rsidRPr="00F56928">
        <w:t>general</w:t>
      </w:r>
      <w:proofErr w:type="spellEnd"/>
      <w:r w:rsidRPr="00F56928">
        <w:t>.</w:t>
      </w:r>
    </w:p>
    <w:p w14:paraId="4D59EC53" w14:textId="77777777" w:rsidR="001B3F99" w:rsidRDefault="001B3F99" w:rsidP="001B3F99"/>
    <w:p w14:paraId="424673D8" w14:textId="23D6EADB" w:rsidR="001B3F99" w:rsidRDefault="001B3F99" w:rsidP="00910EC5">
      <w:pPr>
        <w:jc w:val="both"/>
      </w:pPr>
      <w:r>
        <w:tab/>
      </w:r>
    </w:p>
    <w:p w14:paraId="126795D4" w14:textId="77777777" w:rsidR="003D2FA3" w:rsidRDefault="003D2FA3" w:rsidP="00910EC5">
      <w:pPr>
        <w:jc w:val="both"/>
      </w:pPr>
    </w:p>
    <w:p w14:paraId="2A6EF573" w14:textId="7C531A6A" w:rsidR="001B3F99" w:rsidRDefault="001B3F99" w:rsidP="00910EC5">
      <w:pPr>
        <w:jc w:val="both"/>
      </w:pPr>
    </w:p>
    <w:p w14:paraId="30C3C6E8" w14:textId="77777777" w:rsidR="00391AA8" w:rsidRDefault="00391AA8" w:rsidP="00910EC5">
      <w:pPr>
        <w:jc w:val="both"/>
      </w:pPr>
    </w:p>
    <w:p w14:paraId="1715B133" w14:textId="77777777" w:rsidR="00391AA8" w:rsidRPr="00294BDE" w:rsidRDefault="00391AA8" w:rsidP="00910EC5">
      <w:pPr>
        <w:jc w:val="both"/>
      </w:pPr>
    </w:p>
    <w:p w14:paraId="29A43535" w14:textId="0F90CFDA" w:rsidR="00621414" w:rsidRPr="00621414" w:rsidRDefault="00FE42D1" w:rsidP="00621414">
      <w:pPr>
        <w:pStyle w:val="Nadpis1"/>
        <w:numPr>
          <w:ilvl w:val="0"/>
          <w:numId w:val="0"/>
        </w:numPr>
      </w:pPr>
      <w:bookmarkStart w:id="43" w:name="_Toc164801770"/>
      <w:r>
        <w:lastRenderedPageBreak/>
        <w:t>8</w:t>
      </w:r>
      <w:r w:rsidR="00621414">
        <w:t>.</w:t>
      </w:r>
      <w:r w:rsidR="00AB3B54">
        <w:tab/>
      </w:r>
      <w:r w:rsidR="00621414">
        <w:t>Klíčová slova</w:t>
      </w:r>
      <w:bookmarkEnd w:id="43"/>
    </w:p>
    <w:bookmarkEnd w:id="0"/>
    <w:p w14:paraId="7D6CD9E2" w14:textId="2EAD2A99" w:rsidR="00517191" w:rsidRDefault="00294BDE" w:rsidP="00294BDE">
      <w:pPr>
        <w:rPr>
          <w:sz w:val="28"/>
          <w:szCs w:val="28"/>
        </w:rPr>
      </w:pPr>
      <w:r>
        <w:rPr>
          <w:sz w:val="28"/>
          <w:szCs w:val="28"/>
        </w:rPr>
        <w:t>Klíčová slova</w:t>
      </w:r>
      <w:r>
        <w:rPr>
          <w:sz w:val="28"/>
          <w:szCs w:val="28"/>
        </w:rPr>
        <w:tab/>
      </w:r>
      <w:r>
        <w:rPr>
          <w:sz w:val="28"/>
          <w:szCs w:val="28"/>
        </w:rPr>
        <w:br/>
        <w:t>Autonomní zbraňový systém, autonomie, mezinárodní humanitární právo, ius ad bellum</w:t>
      </w:r>
    </w:p>
    <w:p w14:paraId="6AB33233" w14:textId="21ABE5C7" w:rsidR="00CB615B" w:rsidRPr="009618C6" w:rsidRDefault="00294BDE">
      <w:pPr>
        <w:rPr>
          <w:sz w:val="28"/>
          <w:szCs w:val="28"/>
        </w:rPr>
      </w:pPr>
      <w:proofErr w:type="spellStart"/>
      <w:r>
        <w:rPr>
          <w:sz w:val="28"/>
          <w:szCs w:val="28"/>
        </w:rPr>
        <w:t>Key</w:t>
      </w:r>
      <w:proofErr w:type="spellEnd"/>
      <w:r>
        <w:rPr>
          <w:sz w:val="28"/>
          <w:szCs w:val="28"/>
        </w:rPr>
        <w:t xml:space="preserve"> </w:t>
      </w:r>
      <w:proofErr w:type="spellStart"/>
      <w:r>
        <w:rPr>
          <w:sz w:val="28"/>
          <w:szCs w:val="28"/>
        </w:rPr>
        <w:t>words</w:t>
      </w:r>
      <w:proofErr w:type="spellEnd"/>
      <w:r>
        <w:rPr>
          <w:sz w:val="28"/>
          <w:szCs w:val="28"/>
        </w:rPr>
        <w:t xml:space="preserve"> </w:t>
      </w:r>
      <w:r w:rsidR="00FB2297">
        <w:rPr>
          <w:sz w:val="28"/>
          <w:szCs w:val="28"/>
        </w:rPr>
        <w:br/>
      </w:r>
      <w:r w:rsidR="00FB2297" w:rsidRPr="00FB2297">
        <w:rPr>
          <w:sz w:val="28"/>
          <w:szCs w:val="28"/>
        </w:rPr>
        <w:t xml:space="preserve">Autonomous weapon </w:t>
      </w:r>
      <w:proofErr w:type="spellStart"/>
      <w:r w:rsidR="00FB2297" w:rsidRPr="00FB2297">
        <w:rPr>
          <w:sz w:val="28"/>
          <w:szCs w:val="28"/>
        </w:rPr>
        <w:t>system</w:t>
      </w:r>
      <w:proofErr w:type="spellEnd"/>
      <w:r w:rsidR="00FB2297" w:rsidRPr="00FB2297">
        <w:rPr>
          <w:sz w:val="28"/>
          <w:szCs w:val="28"/>
        </w:rPr>
        <w:t xml:space="preserve">, autonomy, international </w:t>
      </w:r>
      <w:proofErr w:type="spellStart"/>
      <w:r w:rsidR="00FB2297" w:rsidRPr="00FB2297">
        <w:rPr>
          <w:sz w:val="28"/>
          <w:szCs w:val="28"/>
        </w:rPr>
        <w:t>humanitarian</w:t>
      </w:r>
      <w:proofErr w:type="spellEnd"/>
      <w:r w:rsidR="00FB2297" w:rsidRPr="00FB2297">
        <w:rPr>
          <w:sz w:val="28"/>
          <w:szCs w:val="28"/>
        </w:rPr>
        <w:t xml:space="preserve"> law, ius ad bellum</w:t>
      </w:r>
    </w:p>
    <w:p w14:paraId="2A8C657D" w14:textId="671E377C" w:rsidR="00266E08" w:rsidRPr="00266E08" w:rsidRDefault="00266E08" w:rsidP="00266E08">
      <w:pPr>
        <w:rPr>
          <w:szCs w:val="24"/>
        </w:rPr>
      </w:pPr>
    </w:p>
    <w:p w14:paraId="0D439067" w14:textId="740778A9" w:rsidR="00266E08" w:rsidRPr="00266E08" w:rsidRDefault="00266E08" w:rsidP="00266E08">
      <w:pPr>
        <w:rPr>
          <w:szCs w:val="24"/>
        </w:rPr>
      </w:pPr>
    </w:p>
    <w:p w14:paraId="5DACE2E7" w14:textId="4C89AD55" w:rsidR="00266E08" w:rsidRPr="00266E08" w:rsidRDefault="00266E08" w:rsidP="00266E08">
      <w:pPr>
        <w:rPr>
          <w:szCs w:val="24"/>
        </w:rPr>
      </w:pPr>
    </w:p>
    <w:p w14:paraId="58CB618E" w14:textId="0D6A6FF6" w:rsidR="00266E08" w:rsidRPr="00266E08" w:rsidRDefault="00266E08" w:rsidP="00266E08">
      <w:pPr>
        <w:rPr>
          <w:szCs w:val="24"/>
        </w:rPr>
      </w:pPr>
    </w:p>
    <w:p w14:paraId="4755EF02" w14:textId="46BEF3DF" w:rsidR="00266E08" w:rsidRPr="00266E08" w:rsidRDefault="00266E08" w:rsidP="00266E08">
      <w:pPr>
        <w:rPr>
          <w:szCs w:val="24"/>
        </w:rPr>
      </w:pPr>
    </w:p>
    <w:p w14:paraId="269E8B2E" w14:textId="2B4E1D08" w:rsidR="00266E08" w:rsidRPr="00266E08" w:rsidRDefault="00266E08" w:rsidP="00266E08">
      <w:pPr>
        <w:rPr>
          <w:szCs w:val="24"/>
        </w:rPr>
      </w:pPr>
    </w:p>
    <w:p w14:paraId="6EBC9405" w14:textId="53877508" w:rsidR="00266E08" w:rsidRPr="00266E08" w:rsidRDefault="00266E08" w:rsidP="00266E08">
      <w:pPr>
        <w:rPr>
          <w:szCs w:val="24"/>
        </w:rPr>
      </w:pPr>
    </w:p>
    <w:p w14:paraId="0EA19F6F" w14:textId="696E0B89" w:rsidR="00266E08" w:rsidRPr="00266E08" w:rsidRDefault="00266E08" w:rsidP="00266E08">
      <w:pPr>
        <w:rPr>
          <w:szCs w:val="24"/>
        </w:rPr>
      </w:pPr>
    </w:p>
    <w:p w14:paraId="3DBD7909" w14:textId="28D9282F" w:rsidR="00266E08" w:rsidRPr="00266E08" w:rsidRDefault="00266E08" w:rsidP="00266E08">
      <w:pPr>
        <w:rPr>
          <w:szCs w:val="24"/>
        </w:rPr>
      </w:pPr>
    </w:p>
    <w:p w14:paraId="2DE76BB7" w14:textId="221C20C0" w:rsidR="00266E08" w:rsidRPr="00266E08" w:rsidRDefault="00266E08" w:rsidP="00266E08">
      <w:pPr>
        <w:rPr>
          <w:szCs w:val="24"/>
        </w:rPr>
      </w:pPr>
    </w:p>
    <w:p w14:paraId="2C21345A" w14:textId="10E228EE" w:rsidR="00266E08" w:rsidRPr="00266E08" w:rsidRDefault="00266E08" w:rsidP="00266E08">
      <w:pPr>
        <w:rPr>
          <w:szCs w:val="24"/>
        </w:rPr>
      </w:pPr>
    </w:p>
    <w:p w14:paraId="4F48E9D5" w14:textId="3B3F7323" w:rsidR="00266E08" w:rsidRPr="00266E08" w:rsidRDefault="00266E08" w:rsidP="00266E08">
      <w:pPr>
        <w:rPr>
          <w:szCs w:val="24"/>
        </w:rPr>
      </w:pPr>
    </w:p>
    <w:p w14:paraId="0C30C8A1" w14:textId="468D83D5" w:rsidR="00266E08" w:rsidRPr="00266E08" w:rsidRDefault="00266E08" w:rsidP="00266E08">
      <w:pPr>
        <w:rPr>
          <w:szCs w:val="24"/>
        </w:rPr>
      </w:pPr>
    </w:p>
    <w:p w14:paraId="3E0756D3" w14:textId="3A9AAB54" w:rsidR="00266E08" w:rsidRPr="00266E08" w:rsidRDefault="00266E08" w:rsidP="00266E08">
      <w:pPr>
        <w:rPr>
          <w:szCs w:val="24"/>
        </w:rPr>
      </w:pPr>
    </w:p>
    <w:p w14:paraId="6207F0EC" w14:textId="01BF8408" w:rsidR="00266E08" w:rsidRPr="00266E08" w:rsidRDefault="00266E08" w:rsidP="00266E08">
      <w:pPr>
        <w:tabs>
          <w:tab w:val="left" w:pos="2712"/>
        </w:tabs>
        <w:rPr>
          <w:szCs w:val="24"/>
        </w:rPr>
      </w:pPr>
    </w:p>
    <w:sectPr w:rsidR="00266E08" w:rsidRPr="00266E08" w:rsidSect="000D469F">
      <w:footerReference w:type="default" r:id="rId40"/>
      <w:footerReference w:type="first" r:id="rId41"/>
      <w:pgSz w:w="11906" w:h="16838"/>
      <w:pgMar w:top="1418" w:right="1134"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5A9C1C" w14:textId="77777777" w:rsidR="000D469F" w:rsidRDefault="000D469F" w:rsidP="0088060C">
      <w:pPr>
        <w:spacing w:before="0" w:after="0" w:line="240" w:lineRule="auto"/>
      </w:pPr>
      <w:r>
        <w:separator/>
      </w:r>
    </w:p>
  </w:endnote>
  <w:endnote w:type="continuationSeparator" w:id="0">
    <w:p w14:paraId="4AD8A274" w14:textId="77777777" w:rsidR="000D469F" w:rsidRDefault="000D469F" w:rsidP="0088060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Myriad Pro Light">
    <w:altName w:val="Segoe UI Light"/>
    <w:panose1 w:val="00000000000000000000"/>
    <w:charset w:val="00"/>
    <w:family w:val="swiss"/>
    <w:notTrueType/>
    <w:pitch w:val="default"/>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2746291"/>
      <w:docPartObj>
        <w:docPartGallery w:val="Page Numbers (Bottom of Page)"/>
        <w:docPartUnique/>
      </w:docPartObj>
    </w:sdtPr>
    <w:sdtContent>
      <w:p w14:paraId="5E25A837" w14:textId="246E063D" w:rsidR="0088060C" w:rsidRDefault="0088060C">
        <w:pPr>
          <w:pStyle w:val="Zpat"/>
          <w:jc w:val="right"/>
        </w:pPr>
        <w:r>
          <w:fldChar w:fldCharType="begin"/>
        </w:r>
        <w:r>
          <w:instrText>PAGE   \* MERGEFORMAT</w:instrText>
        </w:r>
        <w:r>
          <w:fldChar w:fldCharType="separate"/>
        </w:r>
        <w:r>
          <w:t>2</w:t>
        </w:r>
        <w:r>
          <w:fldChar w:fldCharType="end"/>
        </w:r>
      </w:p>
    </w:sdtContent>
  </w:sdt>
  <w:p w14:paraId="66B0563A" w14:textId="77777777" w:rsidR="0088060C" w:rsidRDefault="0088060C">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6E82C" w14:textId="4A9AE99F" w:rsidR="0088060C" w:rsidRDefault="0088060C">
    <w:pPr>
      <w:pStyle w:val="Zpat"/>
    </w:pPr>
  </w:p>
  <w:p w14:paraId="34014604" w14:textId="77777777" w:rsidR="0088060C" w:rsidRDefault="0088060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6F2E0" w14:textId="77777777" w:rsidR="000D469F" w:rsidRDefault="000D469F" w:rsidP="0088060C">
      <w:pPr>
        <w:spacing w:before="0" w:after="0" w:line="240" w:lineRule="auto"/>
      </w:pPr>
      <w:r>
        <w:separator/>
      </w:r>
    </w:p>
  </w:footnote>
  <w:footnote w:type="continuationSeparator" w:id="0">
    <w:p w14:paraId="0164330A" w14:textId="77777777" w:rsidR="000D469F" w:rsidRDefault="000D469F" w:rsidP="0088060C">
      <w:pPr>
        <w:spacing w:before="0" w:after="0" w:line="240" w:lineRule="auto"/>
      </w:pPr>
      <w:r>
        <w:continuationSeparator/>
      </w:r>
    </w:p>
  </w:footnote>
  <w:footnote w:id="1">
    <w:p w14:paraId="2ADB8C87" w14:textId="72E3BA7D" w:rsidR="0098465D" w:rsidRDefault="0098465D" w:rsidP="003F510D">
      <w:pPr>
        <w:pStyle w:val="Textpoznpodarou"/>
      </w:pPr>
      <w:r>
        <w:rPr>
          <w:rStyle w:val="Znakapoznpodarou"/>
        </w:rPr>
        <w:footnoteRef/>
      </w:r>
      <w:r>
        <w:t xml:space="preserve"> CATTON, L., Jeffrey. </w:t>
      </w:r>
      <w:r w:rsidRPr="0098465D">
        <w:rPr>
          <w:i/>
          <w:iCs/>
        </w:rPr>
        <w:t>Autonomous weapon sysems: A brief survey of developmental, operational, legal, and ethical Issues</w:t>
      </w:r>
      <w:r>
        <w:t xml:space="preserve">. </w:t>
      </w:r>
      <w:r w:rsidRPr="0098465D">
        <w:t>Strategic Studies Institute and U.S. Army War College Press</w:t>
      </w:r>
      <w:r>
        <w:t xml:space="preserve">  [online]</w:t>
      </w:r>
      <w:r w:rsidR="00BB3A92">
        <w:t>, s.5</w:t>
      </w:r>
      <w:r>
        <w:t xml:space="preserve"> Dostupné z: </w:t>
      </w:r>
      <w:hyperlink r:id="rId1" w:history="1">
        <w:r w:rsidR="002B0F6E" w:rsidRPr="005025ED">
          <w:rPr>
            <w:rStyle w:val="Hypertextovodkaz"/>
          </w:rPr>
          <w:t>https://www.jstor.org/stable/resrep11227?seq=1</w:t>
        </w:r>
      </w:hyperlink>
    </w:p>
  </w:footnote>
  <w:footnote w:id="2">
    <w:p w14:paraId="208F1316" w14:textId="29C0BC0A" w:rsidR="00083A27" w:rsidRDefault="00083A27" w:rsidP="003F510D">
      <w:pPr>
        <w:pStyle w:val="Textpoznpodarou"/>
      </w:pPr>
      <w:r>
        <w:rPr>
          <w:rStyle w:val="Znakapoznpodarou"/>
        </w:rPr>
        <w:footnoteRef/>
      </w:r>
      <w:r>
        <w:t xml:space="preserve"> SCHARRE, Paul, HOROWITZ, C., Michael. Working paper. </w:t>
      </w:r>
      <w:r w:rsidRPr="005C06BE">
        <w:rPr>
          <w:i/>
          <w:iCs/>
        </w:rPr>
        <w:t>An Introduction autonomy in weapon systems</w:t>
      </w:r>
      <w:r>
        <w:t xml:space="preserve"> [online]</w:t>
      </w:r>
      <w:r w:rsidR="00BB3A92">
        <w:t xml:space="preserve">, </w:t>
      </w:r>
      <w:r>
        <w:t xml:space="preserve">s.5 Dostupné z: </w:t>
      </w:r>
      <w:hyperlink r:id="rId2" w:history="1">
        <w:r w:rsidRPr="007F5B1C">
          <w:rPr>
            <w:rStyle w:val="Hypertextovodkaz"/>
          </w:rPr>
          <w:t>https://www.cnas.org/publications/reports/an-introduction-to-autonomy-in-weapon-systems</w:t>
        </w:r>
      </w:hyperlink>
    </w:p>
  </w:footnote>
  <w:footnote w:id="3">
    <w:p w14:paraId="44FC4E23" w14:textId="1472437A" w:rsidR="00083A27" w:rsidRDefault="00083A27" w:rsidP="003F510D">
      <w:pPr>
        <w:pStyle w:val="Textpoznpodarou"/>
      </w:pPr>
      <w:r>
        <w:rPr>
          <w:rStyle w:val="Znakapoznpodarou"/>
        </w:rPr>
        <w:footnoteRef/>
      </w:r>
      <w:r>
        <w:t xml:space="preserve"> </w:t>
      </w:r>
      <w:r w:rsidRPr="00BE58D3">
        <w:rPr>
          <w:i/>
          <w:iCs/>
        </w:rPr>
        <w:t>Saving the Good Guys with Auto GCAS Technology</w:t>
      </w:r>
      <w:r>
        <w:t xml:space="preserve"> [online]. Lockheedmartin.com, [cit. 31 března 2022]. Dostupné z: </w:t>
      </w:r>
      <w:hyperlink r:id="rId3" w:history="1">
        <w:r w:rsidRPr="00493E66">
          <w:rPr>
            <w:rStyle w:val="Hypertextovodkaz"/>
          </w:rPr>
          <w:t>https://www.lockheedmartin.com/en-us/products/autogcas.html</w:t>
        </w:r>
      </w:hyperlink>
    </w:p>
  </w:footnote>
  <w:footnote w:id="4">
    <w:p w14:paraId="410406A6" w14:textId="78D6ADDB" w:rsidR="00D0645B" w:rsidRDefault="00D0645B">
      <w:pPr>
        <w:pStyle w:val="Textpoznpodarou"/>
      </w:pPr>
      <w:r>
        <w:rPr>
          <w:rStyle w:val="Znakapoznpodarou"/>
        </w:rPr>
        <w:footnoteRef/>
      </w:r>
      <w:r>
        <w:t xml:space="preserve"> SCHARRE, Paul, HOROWITZ, C., Michael. Working paper. </w:t>
      </w:r>
      <w:r w:rsidRPr="005C06BE">
        <w:rPr>
          <w:i/>
          <w:iCs/>
        </w:rPr>
        <w:t>An Introduction autonomy in weapon systems</w:t>
      </w:r>
      <w:r>
        <w:t xml:space="preserve"> [online]. s.5 - 7 Dostupné z: </w:t>
      </w:r>
      <w:hyperlink r:id="rId4" w:history="1">
        <w:r w:rsidRPr="007F5B1C">
          <w:rPr>
            <w:rStyle w:val="Hypertextovodkaz"/>
          </w:rPr>
          <w:t>https://www.cnas.org/publications/reports/an-introduction-to-autonomy-in-weapon-systems</w:t>
        </w:r>
      </w:hyperlink>
    </w:p>
  </w:footnote>
  <w:footnote w:id="5">
    <w:p w14:paraId="13A5C2E9" w14:textId="571CFE73" w:rsidR="00D0645B" w:rsidRDefault="00D0645B">
      <w:pPr>
        <w:pStyle w:val="Textpoznpodarou"/>
      </w:pPr>
      <w:r>
        <w:rPr>
          <w:rStyle w:val="Znakapoznpodarou"/>
        </w:rPr>
        <w:footnoteRef/>
      </w:r>
      <w:r>
        <w:t xml:space="preserve"> Tamtéž</w:t>
      </w:r>
    </w:p>
  </w:footnote>
  <w:footnote w:id="6">
    <w:p w14:paraId="24CAC669" w14:textId="354C6556" w:rsidR="007E6285" w:rsidRDefault="007E6285" w:rsidP="007E6285">
      <w:pPr>
        <w:pStyle w:val="Textpoznpodarou"/>
      </w:pPr>
      <w:r>
        <w:rPr>
          <w:rStyle w:val="Znakapoznpodarou"/>
        </w:rPr>
        <w:footnoteRef/>
      </w:r>
      <w:r>
        <w:t xml:space="preserve"> </w:t>
      </w:r>
      <w:r w:rsidR="00D0645B">
        <w:t>Tamtéž</w:t>
      </w:r>
    </w:p>
  </w:footnote>
  <w:footnote w:id="7">
    <w:p w14:paraId="60EA0094" w14:textId="2051977C" w:rsidR="00317166" w:rsidRDefault="00317166">
      <w:pPr>
        <w:pStyle w:val="Textpoznpodarou"/>
      </w:pPr>
      <w:r>
        <w:rPr>
          <w:rStyle w:val="Znakapoznpodarou"/>
        </w:rPr>
        <w:footnoteRef/>
      </w:r>
      <w:r>
        <w:t xml:space="preserve"> Tamtéž</w:t>
      </w:r>
    </w:p>
  </w:footnote>
  <w:footnote w:id="8">
    <w:p w14:paraId="14E18E82" w14:textId="475187F7" w:rsidR="009323EE" w:rsidRDefault="009323EE">
      <w:pPr>
        <w:pStyle w:val="Textpoznpodarou"/>
      </w:pPr>
      <w:r>
        <w:rPr>
          <w:rStyle w:val="Znakapoznpodarou"/>
        </w:rPr>
        <w:footnoteRef/>
      </w:r>
      <w:r>
        <w:t xml:space="preserve"> </w:t>
      </w:r>
      <w:r w:rsidR="00F43241" w:rsidRPr="002A71DF">
        <w:t xml:space="preserve">SCHARRE, Paul, HOROWITZ, C., Michael. Working paper. </w:t>
      </w:r>
      <w:r w:rsidR="00F43241" w:rsidRPr="00D54C9C">
        <w:rPr>
          <w:i/>
          <w:iCs/>
        </w:rPr>
        <w:t>An Introduction autonomy in weapon systems</w:t>
      </w:r>
      <w:r w:rsidR="00F43241" w:rsidRPr="002A71DF">
        <w:t xml:space="preserve"> [online]. s.</w:t>
      </w:r>
      <w:r w:rsidR="00F43241">
        <w:t xml:space="preserve">5 </w:t>
      </w:r>
      <w:r w:rsidR="00F43241" w:rsidRPr="002A71DF">
        <w:t xml:space="preserve">Dostupné z: </w:t>
      </w:r>
      <w:hyperlink r:id="rId5" w:history="1">
        <w:r w:rsidR="00F43241" w:rsidRPr="00401573">
          <w:rPr>
            <w:rStyle w:val="Hypertextovodkaz"/>
          </w:rPr>
          <w:t>https://www.cnas.org/publications/reports/an-introduction-to-autonomy-in-weapon-systems</w:t>
        </w:r>
      </w:hyperlink>
    </w:p>
  </w:footnote>
  <w:footnote w:id="9">
    <w:p w14:paraId="324F4BAC" w14:textId="5F7FD2C6" w:rsidR="00317166" w:rsidRDefault="00317166">
      <w:pPr>
        <w:pStyle w:val="Textpoznpodarou"/>
      </w:pPr>
      <w:r>
        <w:rPr>
          <w:rStyle w:val="Znakapoznpodarou"/>
        </w:rPr>
        <w:footnoteRef/>
      </w:r>
      <w:r>
        <w:t xml:space="preserve"> </w:t>
      </w:r>
      <w:r w:rsidR="00E33501">
        <w:t xml:space="preserve">Tamtéž </w:t>
      </w:r>
      <w:r w:rsidR="00F43241" w:rsidRPr="002A71DF">
        <w:t>s.</w:t>
      </w:r>
      <w:r w:rsidR="00F43241">
        <w:t xml:space="preserve">6 </w:t>
      </w:r>
    </w:p>
  </w:footnote>
  <w:footnote w:id="10">
    <w:p w14:paraId="39DE7D18" w14:textId="7B95D091" w:rsidR="00317166" w:rsidRDefault="00317166">
      <w:pPr>
        <w:pStyle w:val="Textpoznpodarou"/>
      </w:pPr>
      <w:r>
        <w:rPr>
          <w:rStyle w:val="Znakapoznpodarou"/>
        </w:rPr>
        <w:footnoteRef/>
      </w:r>
      <w:r w:rsidR="00F43241">
        <w:t xml:space="preserve"> Tamtéž</w:t>
      </w:r>
    </w:p>
  </w:footnote>
  <w:footnote w:id="11">
    <w:p w14:paraId="33166FA8" w14:textId="271CB414" w:rsidR="002A71DF" w:rsidRDefault="002A71DF">
      <w:pPr>
        <w:pStyle w:val="Textpoznpodarou"/>
      </w:pPr>
      <w:r>
        <w:rPr>
          <w:rStyle w:val="Znakapoznpodarou"/>
        </w:rPr>
        <w:footnoteRef/>
      </w:r>
      <w:r w:rsidR="00F43241">
        <w:t xml:space="preserve"> Tamtéž</w:t>
      </w:r>
    </w:p>
  </w:footnote>
  <w:footnote w:id="12">
    <w:p w14:paraId="59EA9663" w14:textId="7F512C80" w:rsidR="002C78A4" w:rsidRDefault="002C78A4">
      <w:pPr>
        <w:pStyle w:val="Textpoznpodarou"/>
      </w:pPr>
      <w:r>
        <w:rPr>
          <w:rStyle w:val="Znakapoznpodarou"/>
        </w:rPr>
        <w:footnoteRef/>
      </w:r>
      <w:r>
        <w:t xml:space="preserve"> </w:t>
      </w:r>
      <w:r w:rsidRPr="002C78A4">
        <w:t>Advisory Council on International Affairs / Advisory Committee on Issues of Public International Law. Autonomous weapon systems. The need for meaningful human control – 2015 [online] Advisory Council on International Affairs 2.10.2015</w:t>
      </w:r>
      <w:r w:rsidR="00CB1ED9">
        <w:t>,</w:t>
      </w:r>
      <w:r w:rsidRPr="002C78A4">
        <w:t xml:space="preserve"> s.</w:t>
      </w:r>
      <w:r w:rsidR="00CB1ED9">
        <w:t xml:space="preserve"> 16</w:t>
      </w:r>
      <w:r w:rsidRPr="002C78A4">
        <w:t xml:space="preserve">. Dostupné z: </w:t>
      </w:r>
      <w:hyperlink r:id="rId6" w:history="1">
        <w:r w:rsidR="00CB1ED9" w:rsidRPr="001C3DF8">
          <w:rPr>
            <w:rStyle w:val="Hypertextovodkaz"/>
          </w:rPr>
          <w:t>https://www.advisorycouncilinternationalaffairs.nl/documents/publications/2015/10/02/autonomous-weapon-systems</w:t>
        </w:r>
      </w:hyperlink>
      <w:r w:rsidR="00CB1ED9">
        <w:t xml:space="preserve"> </w:t>
      </w:r>
    </w:p>
  </w:footnote>
  <w:footnote w:id="13">
    <w:p w14:paraId="75822DC8" w14:textId="13F39A85" w:rsidR="00B41993" w:rsidRDefault="00B41993">
      <w:pPr>
        <w:pStyle w:val="Textpoznpodarou"/>
      </w:pPr>
      <w:r>
        <w:rPr>
          <w:rStyle w:val="Znakapoznpodarou"/>
        </w:rPr>
        <w:footnoteRef/>
      </w:r>
      <w:r>
        <w:t xml:space="preserve"> Tamtéž</w:t>
      </w:r>
    </w:p>
  </w:footnote>
  <w:footnote w:id="14">
    <w:p w14:paraId="0142DB52" w14:textId="689FC60D" w:rsidR="00B41993" w:rsidRDefault="00B41993">
      <w:pPr>
        <w:pStyle w:val="Textpoznpodarou"/>
      </w:pPr>
      <w:r>
        <w:rPr>
          <w:rStyle w:val="Znakapoznpodarou"/>
        </w:rPr>
        <w:footnoteRef/>
      </w:r>
      <w:r>
        <w:t xml:space="preserve"> </w:t>
      </w:r>
      <w:r w:rsidR="003525EE">
        <w:t>Tamtéž</w:t>
      </w:r>
    </w:p>
  </w:footnote>
  <w:footnote w:id="15">
    <w:p w14:paraId="2494FB1D" w14:textId="6B4C6C42" w:rsidR="000E6977" w:rsidRDefault="000E6977">
      <w:pPr>
        <w:pStyle w:val="Textpoznpodarou"/>
      </w:pPr>
      <w:r>
        <w:rPr>
          <w:rStyle w:val="Znakapoznpodarou"/>
        </w:rPr>
        <w:footnoteRef/>
      </w:r>
      <w:r>
        <w:t xml:space="preserve"> </w:t>
      </w:r>
      <w:r w:rsidRPr="002C78A4">
        <w:t>Advisory Council on International Affairs / Advisory Committee on Issues of Public International Law. Autonomous weapon systems. The need for meaningful human control – 2015 [online] Advisory Council on International Affairs 2.10.2015</w:t>
      </w:r>
      <w:r>
        <w:t>,</w:t>
      </w:r>
      <w:r w:rsidRPr="002C78A4">
        <w:t xml:space="preserve"> s.</w:t>
      </w:r>
      <w:r>
        <w:t xml:space="preserve"> 17</w:t>
      </w:r>
      <w:r w:rsidRPr="002C78A4">
        <w:t xml:space="preserve">. Dostupné z: </w:t>
      </w:r>
      <w:hyperlink r:id="rId7" w:history="1">
        <w:r w:rsidRPr="001C3DF8">
          <w:rPr>
            <w:rStyle w:val="Hypertextovodkaz"/>
          </w:rPr>
          <w:t>https://www.advisorycouncilinternationalaffairs.nl/documents/publications/2015/10/02/autonomous-weapon-systems</w:t>
        </w:r>
      </w:hyperlink>
    </w:p>
  </w:footnote>
  <w:footnote w:id="16">
    <w:p w14:paraId="6179092D" w14:textId="772FBD87" w:rsidR="00317166" w:rsidRDefault="00317166">
      <w:pPr>
        <w:pStyle w:val="Textpoznpodarou"/>
      </w:pPr>
      <w:r>
        <w:rPr>
          <w:rStyle w:val="Znakapoznpodarou"/>
        </w:rPr>
        <w:footnoteRef/>
      </w:r>
      <w:r>
        <w:t xml:space="preserve"> </w:t>
      </w:r>
      <w:r w:rsidR="00605852" w:rsidRPr="002A71DF">
        <w:t xml:space="preserve">SCHARRE, Paul, HOROWITZ, C., Michael. Working paper. </w:t>
      </w:r>
      <w:r w:rsidR="00605852" w:rsidRPr="00D54C9C">
        <w:rPr>
          <w:i/>
          <w:iCs/>
        </w:rPr>
        <w:t>An Introduction autonomy in weapon systems</w:t>
      </w:r>
      <w:r w:rsidR="00605852" w:rsidRPr="002A71DF">
        <w:t xml:space="preserve"> [online]. s.</w:t>
      </w:r>
      <w:r w:rsidR="00605852">
        <w:t xml:space="preserve">6 </w:t>
      </w:r>
      <w:r w:rsidR="00605852" w:rsidRPr="002A71DF">
        <w:t xml:space="preserve">Dostupné z: </w:t>
      </w:r>
      <w:hyperlink r:id="rId8" w:history="1">
        <w:r w:rsidR="00605852" w:rsidRPr="00401573">
          <w:rPr>
            <w:rStyle w:val="Hypertextovodkaz"/>
          </w:rPr>
          <w:t>https://www.cnas.org/publications/reports/an-introduction-to-autonomy-in-weapon-systems</w:t>
        </w:r>
      </w:hyperlink>
    </w:p>
  </w:footnote>
  <w:footnote w:id="17">
    <w:p w14:paraId="2576054D" w14:textId="29A917F2" w:rsidR="005F326C" w:rsidRDefault="005F326C">
      <w:pPr>
        <w:pStyle w:val="Textpoznpodarou"/>
      </w:pPr>
      <w:r>
        <w:rPr>
          <w:rStyle w:val="Znakapoznpodarou"/>
        </w:rPr>
        <w:footnoteRef/>
      </w:r>
      <w:r>
        <w:t xml:space="preserve"> Tamtéž</w:t>
      </w:r>
    </w:p>
  </w:footnote>
  <w:footnote w:id="18">
    <w:p w14:paraId="3409FEB0" w14:textId="3D13B131" w:rsidR="003C45F1" w:rsidRDefault="003C45F1">
      <w:pPr>
        <w:pStyle w:val="Textpoznpodarou"/>
      </w:pPr>
      <w:r>
        <w:rPr>
          <w:rStyle w:val="Znakapoznpodarou"/>
        </w:rPr>
        <w:footnoteRef/>
      </w:r>
      <w:r>
        <w:t xml:space="preserve"> SCHARRE, Paul, HOROWITZ, C., Michael. Working paper. </w:t>
      </w:r>
      <w:r w:rsidRPr="005C06BE">
        <w:rPr>
          <w:i/>
          <w:iCs/>
        </w:rPr>
        <w:t>An Introduction autonomy in weapon systems</w:t>
      </w:r>
      <w:r>
        <w:t xml:space="preserve"> [online]. s.</w:t>
      </w:r>
      <w:r w:rsidR="00A16EE8">
        <w:t>6</w:t>
      </w:r>
      <w:r>
        <w:t xml:space="preserve"> Dostupné z: </w:t>
      </w:r>
      <w:hyperlink r:id="rId9" w:history="1">
        <w:r w:rsidRPr="007F5B1C">
          <w:rPr>
            <w:rStyle w:val="Hypertextovodkaz"/>
          </w:rPr>
          <w:t>https://www.cnas.org/publications/reports/an-introduction-to-autonomy-in-weapon-systems</w:t>
        </w:r>
      </w:hyperlink>
    </w:p>
  </w:footnote>
  <w:footnote w:id="19">
    <w:p w14:paraId="3B97B928" w14:textId="734BB1EA" w:rsidR="00C02F53" w:rsidRDefault="00C02F53" w:rsidP="009114B6">
      <w:pPr>
        <w:pStyle w:val="Textpoznpodarou"/>
      </w:pPr>
      <w:r>
        <w:rPr>
          <w:rStyle w:val="Znakapoznpodarou"/>
        </w:rPr>
        <w:footnoteRef/>
      </w:r>
      <w:r>
        <w:t xml:space="preserve"> </w:t>
      </w:r>
      <w:r w:rsidR="00D54C9C">
        <w:t xml:space="preserve">Tamtéž </w:t>
      </w:r>
      <w:r w:rsidR="009114B6">
        <w:t xml:space="preserve">s.7 </w:t>
      </w:r>
    </w:p>
  </w:footnote>
  <w:footnote w:id="20">
    <w:p w14:paraId="4A1ED5AE" w14:textId="5A6CBAFB" w:rsidR="00A546A8" w:rsidRDefault="00A546A8">
      <w:pPr>
        <w:pStyle w:val="Textpoznpodarou"/>
      </w:pPr>
      <w:r>
        <w:rPr>
          <w:rStyle w:val="Znakapoznpodarou"/>
        </w:rPr>
        <w:footnoteRef/>
      </w:r>
      <w:r>
        <w:t xml:space="preserve"> </w:t>
      </w:r>
      <w:r w:rsidR="00AF4AC6" w:rsidRPr="00AF4AC6">
        <w:t>F</w:t>
      </w:r>
      <w:r w:rsidR="00AF4AC6">
        <w:t>IRLEJ</w:t>
      </w:r>
      <w:r w:rsidR="00AF4AC6" w:rsidRPr="00AF4AC6">
        <w:t>, Mikołaj and T</w:t>
      </w:r>
      <w:r w:rsidR="00AF4AC6">
        <w:t>AEIHAGH</w:t>
      </w:r>
      <w:r w:rsidR="00AF4AC6" w:rsidRPr="00AF4AC6">
        <w:t>, Araz</w:t>
      </w:r>
      <w:r w:rsidR="00AF4AC6">
        <w:t>.</w:t>
      </w:r>
      <w:r w:rsidR="00AF4AC6" w:rsidRPr="00AF4AC6">
        <w:t xml:space="preserve"> Regulating Human Control Over Autonomous Systems</w:t>
      </w:r>
      <w:r w:rsidR="00AF4AC6">
        <w:t xml:space="preserve">, </w:t>
      </w:r>
      <w:r w:rsidR="00AF4AC6" w:rsidRPr="00AF4AC6">
        <w:t>Forthcoming in Regulation and Governance</w:t>
      </w:r>
      <w:r w:rsidR="00AF4AC6">
        <w:t xml:space="preserve"> [online],</w:t>
      </w:r>
      <w:r w:rsidR="00AF4AC6" w:rsidRPr="00AF4AC6">
        <w:t xml:space="preserve"> 20</w:t>
      </w:r>
      <w:r w:rsidR="00AF4AC6">
        <w:t>.června</w:t>
      </w:r>
      <w:r w:rsidR="00AF4AC6" w:rsidRPr="00AF4AC6">
        <w:t xml:space="preserve"> 2020, </w:t>
      </w:r>
      <w:r w:rsidR="00AF4AC6">
        <w:t xml:space="preserve">[cit. 7. února 2024]. Dostupné z: </w:t>
      </w:r>
      <w:hyperlink r:id="rId10" w:history="1">
        <w:r w:rsidR="00AF4AC6" w:rsidRPr="001C3DF8">
          <w:rPr>
            <w:rStyle w:val="Hypertextovodkaz"/>
          </w:rPr>
          <w:t>https://papers.ssrn.com/sol3/papers.cfm?abstract_id=3662526</w:t>
        </w:r>
      </w:hyperlink>
      <w:r w:rsidR="00AF4AC6">
        <w:t xml:space="preserve"> </w:t>
      </w:r>
    </w:p>
  </w:footnote>
  <w:footnote w:id="21">
    <w:p w14:paraId="2804043C" w14:textId="2CEB89FD" w:rsidR="007C5890" w:rsidRDefault="007C5890">
      <w:pPr>
        <w:pStyle w:val="Textpoznpodarou"/>
      </w:pPr>
      <w:r>
        <w:rPr>
          <w:rStyle w:val="Znakapoznpodarou"/>
        </w:rPr>
        <w:footnoteRef/>
      </w:r>
      <w:r>
        <w:t xml:space="preserve"> </w:t>
      </w:r>
      <w:r w:rsidR="00607F38" w:rsidRPr="00AF4AC6">
        <w:t>F</w:t>
      </w:r>
      <w:r w:rsidR="00607F38">
        <w:t>IRLEJ</w:t>
      </w:r>
      <w:r w:rsidR="00607F38" w:rsidRPr="00AF4AC6">
        <w:t>, Mikołaj and T</w:t>
      </w:r>
      <w:r w:rsidR="00607F38">
        <w:t>AEIHAGH</w:t>
      </w:r>
      <w:r w:rsidR="00607F38" w:rsidRPr="00AF4AC6">
        <w:t>, Araz</w:t>
      </w:r>
      <w:r w:rsidR="00607F38">
        <w:t>.</w:t>
      </w:r>
      <w:r w:rsidR="00607F38" w:rsidRPr="00AF4AC6">
        <w:t xml:space="preserve"> Regulating Human Control Over Autonomous Systems</w:t>
      </w:r>
      <w:r w:rsidR="00607F38">
        <w:t xml:space="preserve">, </w:t>
      </w:r>
      <w:r w:rsidR="00607F38" w:rsidRPr="00AF4AC6">
        <w:t>Forthcoming in Regulation and Governance</w:t>
      </w:r>
      <w:r w:rsidR="00607F38">
        <w:t xml:space="preserve"> [online],</w:t>
      </w:r>
      <w:r w:rsidR="00607F38" w:rsidRPr="00AF4AC6">
        <w:t xml:space="preserve"> 20</w:t>
      </w:r>
      <w:r w:rsidR="00607F38">
        <w:t>.června</w:t>
      </w:r>
      <w:r w:rsidR="00607F38" w:rsidRPr="00AF4AC6">
        <w:t xml:space="preserve"> 2020, </w:t>
      </w:r>
      <w:r w:rsidR="00607F38">
        <w:t xml:space="preserve">[cit. 7. února 2024]. Dostupné z: </w:t>
      </w:r>
      <w:hyperlink r:id="rId11" w:history="1">
        <w:r w:rsidR="00607F38" w:rsidRPr="001C3DF8">
          <w:rPr>
            <w:rStyle w:val="Hypertextovodkaz"/>
          </w:rPr>
          <w:t>https://papers.ssrn.com/sol3/papers.cfm?abstract_id=3662526</w:t>
        </w:r>
      </w:hyperlink>
      <w:r w:rsidR="00607F38">
        <w:t xml:space="preserve"> </w:t>
      </w:r>
      <w:r w:rsidR="00AF4AC6">
        <w:t xml:space="preserve"> </w:t>
      </w:r>
    </w:p>
  </w:footnote>
  <w:footnote w:id="22">
    <w:p w14:paraId="1CF85F59" w14:textId="03231E7E" w:rsidR="00A34EF9" w:rsidRDefault="00A34EF9">
      <w:pPr>
        <w:pStyle w:val="Textpoznpodarou"/>
      </w:pPr>
      <w:r>
        <w:rPr>
          <w:rStyle w:val="Znakapoznpodarou"/>
        </w:rPr>
        <w:footnoteRef/>
      </w:r>
      <w:r>
        <w:t xml:space="preserve"> SCHARRE, Paul, HOROWITZ, C., Michael. Working paper. </w:t>
      </w:r>
      <w:r w:rsidRPr="005C06BE">
        <w:rPr>
          <w:i/>
          <w:iCs/>
        </w:rPr>
        <w:t>An Introduction autonomy in weapon systems</w:t>
      </w:r>
      <w:r>
        <w:t xml:space="preserve"> [online]. s.7 Dostupné z: </w:t>
      </w:r>
      <w:hyperlink r:id="rId12" w:history="1">
        <w:r w:rsidRPr="007F5B1C">
          <w:rPr>
            <w:rStyle w:val="Hypertextovodkaz"/>
          </w:rPr>
          <w:t>https://www.cnas.org/publications/reports/an-introduction-to-autonomy-in-weapon-systems</w:t>
        </w:r>
      </w:hyperlink>
    </w:p>
  </w:footnote>
  <w:footnote w:id="23">
    <w:p w14:paraId="19C9DEC7" w14:textId="0F6500F6" w:rsidR="00363108" w:rsidRDefault="00363108" w:rsidP="00363108">
      <w:pPr>
        <w:pStyle w:val="Textpoznpodarou"/>
      </w:pPr>
      <w:r>
        <w:rPr>
          <w:rStyle w:val="Znakapoznpodarou"/>
        </w:rPr>
        <w:footnoteRef/>
      </w:r>
      <w:r w:rsidR="00EB7569">
        <w:t xml:space="preserve"> </w:t>
      </w:r>
      <w:r>
        <w:t>International Committee of the Red Cross.</w:t>
      </w:r>
      <w:r w:rsidRPr="008F08BA">
        <w:rPr>
          <w:i/>
          <w:iCs/>
        </w:rPr>
        <w:t xml:space="preserve"> Autonomous weapon systems. Implication of increasing autonomy in the critical functions of weapon</w:t>
      </w:r>
      <w:r>
        <w:rPr>
          <w:i/>
          <w:iCs/>
        </w:rPr>
        <w:t xml:space="preserve">s – 2016 Expert meeting </w:t>
      </w:r>
      <w:r>
        <w:t xml:space="preserve">[online]. International Committee of the Red Cross, 2016. Dostupné z: </w:t>
      </w:r>
      <w:hyperlink r:id="rId13" w:history="1">
        <w:r w:rsidRPr="009A53FF">
          <w:rPr>
            <w:rStyle w:val="Hypertextovodkaz"/>
          </w:rPr>
          <w:t>https://www.icrc.org/en/publication/4283-autonomous-weapons-systems</w:t>
        </w:r>
      </w:hyperlink>
      <w:r>
        <w:t xml:space="preserve"> </w:t>
      </w:r>
    </w:p>
  </w:footnote>
  <w:footnote w:id="24">
    <w:p w14:paraId="2A8EE192" w14:textId="7EE2A11A" w:rsidR="008560F2" w:rsidRDefault="008560F2" w:rsidP="00311CF4">
      <w:pPr>
        <w:pStyle w:val="Textpoznpodarou"/>
      </w:pPr>
      <w:r>
        <w:rPr>
          <w:rStyle w:val="Znakapoznpodarou"/>
        </w:rPr>
        <w:footnoteRef/>
      </w:r>
      <w:r>
        <w:t xml:space="preserve"> Advisory Council on International Affairs / Advisory Committee on Issues of Public International Law. </w:t>
      </w:r>
      <w:r w:rsidRPr="00C2332B">
        <w:rPr>
          <w:i/>
          <w:iCs/>
        </w:rPr>
        <w:t>Autonomous weapon systems. The need for meaningful human</w:t>
      </w:r>
      <w:r>
        <w:rPr>
          <w:i/>
          <w:iCs/>
        </w:rPr>
        <w:t xml:space="preserve"> </w:t>
      </w:r>
      <w:r w:rsidRPr="00C2332B">
        <w:rPr>
          <w:i/>
          <w:iCs/>
        </w:rPr>
        <w:t>control</w:t>
      </w:r>
      <w:r>
        <w:t xml:space="preserve"> </w:t>
      </w:r>
      <w:r w:rsidRPr="00C2332B">
        <w:rPr>
          <w:i/>
          <w:iCs/>
        </w:rPr>
        <w:t>– 2015</w:t>
      </w:r>
      <w:r>
        <w:t xml:space="preserve"> [online]. Advisory Council on International Affairs 2.10.2015, s.8. Dostupné z:</w:t>
      </w:r>
      <w:r w:rsidR="00311CF4">
        <w:t xml:space="preserve"> </w:t>
      </w:r>
      <w:hyperlink r:id="rId14" w:history="1">
        <w:r w:rsidR="00311CF4" w:rsidRPr="00133EEC">
          <w:rPr>
            <w:rStyle w:val="Hypertextovodkaz"/>
          </w:rPr>
          <w:t>https://www.advisorycouncilinternationalaffairs.nl/documents/publications/2015/10/02/autonomous-weapon-systems</w:t>
        </w:r>
      </w:hyperlink>
    </w:p>
  </w:footnote>
  <w:footnote w:id="25">
    <w:p w14:paraId="3E69F575" w14:textId="041C50D5" w:rsidR="00CA7544" w:rsidRDefault="00CA7544" w:rsidP="00B01761">
      <w:pPr>
        <w:pStyle w:val="Textpoznpodarou"/>
      </w:pPr>
      <w:r>
        <w:rPr>
          <w:rStyle w:val="Znakapoznpodarou"/>
        </w:rPr>
        <w:footnoteRef/>
      </w:r>
      <w:r>
        <w:t xml:space="preserve"> FERREIRA, Maria Isabel Aldinhas a kol. </w:t>
      </w:r>
      <w:r>
        <w:rPr>
          <w:i/>
          <w:iCs/>
        </w:rPr>
        <w:t xml:space="preserve">A World with Robots: International Conference on Robot Ethicks: ICRE 2015. </w:t>
      </w:r>
      <w:r>
        <w:t>1. vydání.</w:t>
      </w:r>
      <w:r>
        <w:rPr>
          <w:i/>
          <w:iCs/>
        </w:rPr>
        <w:t xml:space="preserve"> </w:t>
      </w:r>
      <w:r>
        <w:t>Springer International Publishing AG, 2017, s. 17</w:t>
      </w:r>
      <w:r w:rsidR="000909E6">
        <w:t>3 - 179</w:t>
      </w:r>
      <w:r>
        <w:t xml:space="preserve"> Dostupné z:</w:t>
      </w:r>
      <w:r w:rsidR="00B01761">
        <w:t xml:space="preserve"> </w:t>
      </w:r>
      <w:hyperlink r:id="rId15" w:history="1">
        <w:r w:rsidR="00B01761" w:rsidRPr="00C65B04">
          <w:rPr>
            <w:rStyle w:val="Hypertextovodkaz"/>
          </w:rPr>
          <w:t>https://link.springer.com/book/10.1007/978-3-319-46667-5</w:t>
        </w:r>
      </w:hyperlink>
    </w:p>
  </w:footnote>
  <w:footnote w:id="26">
    <w:p w14:paraId="297CDB33" w14:textId="77DCD8A8" w:rsidR="004A43E8" w:rsidRDefault="004A43E8">
      <w:pPr>
        <w:pStyle w:val="Textpoznpodarou"/>
      </w:pPr>
      <w:r>
        <w:rPr>
          <w:rStyle w:val="Znakapoznpodarou"/>
        </w:rPr>
        <w:footnoteRef/>
      </w:r>
      <w:r>
        <w:t xml:space="preserve"> Tamtéž </w:t>
      </w:r>
    </w:p>
  </w:footnote>
  <w:footnote w:id="27">
    <w:p w14:paraId="7074301D" w14:textId="348532DA" w:rsidR="00363108" w:rsidRDefault="00363108" w:rsidP="00363108">
      <w:pPr>
        <w:pStyle w:val="Textpoznpodarou"/>
      </w:pPr>
      <w:r>
        <w:rPr>
          <w:rStyle w:val="Znakapoznpodarou"/>
        </w:rPr>
        <w:footnoteRef/>
      </w:r>
      <w:r>
        <w:t xml:space="preserve"> </w:t>
      </w:r>
      <w:r w:rsidR="00D86DF9">
        <w:t xml:space="preserve">Advisory Council on International Affairs / Advisory Committee on Issues of Public International Law. </w:t>
      </w:r>
      <w:r w:rsidR="00D86DF9" w:rsidRPr="00C2332B">
        <w:rPr>
          <w:i/>
          <w:iCs/>
        </w:rPr>
        <w:t>Autonomous weapon systems. The need for meaningful human</w:t>
      </w:r>
      <w:r w:rsidR="00D86DF9">
        <w:rPr>
          <w:i/>
          <w:iCs/>
        </w:rPr>
        <w:t xml:space="preserve"> </w:t>
      </w:r>
      <w:r w:rsidR="00D86DF9" w:rsidRPr="00C2332B">
        <w:rPr>
          <w:i/>
          <w:iCs/>
        </w:rPr>
        <w:t>control</w:t>
      </w:r>
      <w:r w:rsidR="00D86DF9">
        <w:t xml:space="preserve"> </w:t>
      </w:r>
      <w:r w:rsidR="00D86DF9" w:rsidRPr="00C2332B">
        <w:rPr>
          <w:i/>
          <w:iCs/>
        </w:rPr>
        <w:t>– 2015</w:t>
      </w:r>
      <w:r w:rsidR="00D86DF9">
        <w:t xml:space="preserve"> [online]. Advisory Council on International Affairs 2.10.2015, s.8.</w:t>
      </w:r>
      <w:r w:rsidR="00D86DF9" w:rsidRPr="00D86DF9">
        <w:t xml:space="preserve"> </w:t>
      </w:r>
      <w:r w:rsidR="00D86DF9">
        <w:t>Dostupné z:</w:t>
      </w:r>
      <w:r w:rsidR="00311CF4">
        <w:t xml:space="preserve"> </w:t>
      </w:r>
      <w:hyperlink r:id="rId16" w:history="1">
        <w:r w:rsidR="00311CF4" w:rsidRPr="00133EEC">
          <w:rPr>
            <w:rStyle w:val="Hypertextovodkaz"/>
          </w:rPr>
          <w:t>https://www.advisorycouncilinternationalaffairs.nl/documents/publications/2015/10/02/autonomous-weapon-systems</w:t>
        </w:r>
      </w:hyperlink>
    </w:p>
  </w:footnote>
  <w:footnote w:id="28">
    <w:p w14:paraId="798850AE" w14:textId="637E4CCC" w:rsidR="00EF3597" w:rsidRDefault="00EF3597">
      <w:pPr>
        <w:pStyle w:val="Textpoznpodarou"/>
      </w:pPr>
      <w:r>
        <w:rPr>
          <w:rStyle w:val="Znakapoznpodarou"/>
        </w:rPr>
        <w:footnoteRef/>
      </w:r>
      <w:r>
        <w:t xml:space="preserve"> International Committee of the Red Cross.</w:t>
      </w:r>
      <w:r w:rsidRPr="008F08BA">
        <w:rPr>
          <w:i/>
          <w:iCs/>
        </w:rPr>
        <w:t xml:space="preserve"> Autonomous weapon systems. Implication of increasing autonomy in the critical functions of weapon</w:t>
      </w:r>
      <w:r>
        <w:rPr>
          <w:i/>
          <w:iCs/>
        </w:rPr>
        <w:t xml:space="preserve">s – 2016 Expert meeting </w:t>
      </w:r>
      <w:r>
        <w:t>[online]. International Committee of the Red Cross, 2016, s.</w:t>
      </w:r>
      <w:r w:rsidR="00E307A4">
        <w:t>8</w:t>
      </w:r>
      <w:r>
        <w:t xml:space="preserve">. Dostupné z: </w:t>
      </w:r>
      <w:hyperlink r:id="rId17" w:history="1">
        <w:r w:rsidRPr="009A53FF">
          <w:rPr>
            <w:rStyle w:val="Hypertextovodkaz"/>
          </w:rPr>
          <w:t>https://www.icrc.org/en/publication/4283-autonomous-weapons-systems</w:t>
        </w:r>
      </w:hyperlink>
    </w:p>
  </w:footnote>
  <w:footnote w:id="29">
    <w:p w14:paraId="211965BA" w14:textId="12AEA492" w:rsidR="00C2176D" w:rsidRDefault="00C2176D">
      <w:pPr>
        <w:pStyle w:val="Textpoznpodarou"/>
      </w:pPr>
      <w:r>
        <w:rPr>
          <w:rStyle w:val="Znakapoznpodarou"/>
        </w:rPr>
        <w:footnoteRef/>
      </w:r>
      <w:r>
        <w:t xml:space="preserve"> SCHARRE, Paul. </w:t>
      </w:r>
      <w:r w:rsidRPr="00C2176D">
        <w:rPr>
          <w:i/>
          <w:iCs/>
        </w:rPr>
        <w:t>Armáda strojů</w:t>
      </w:r>
      <w:r w:rsidR="00DF7B7F">
        <w:rPr>
          <w:i/>
          <w:iCs/>
        </w:rPr>
        <w:t>: a</w:t>
      </w:r>
      <w:r w:rsidRPr="00C2176D">
        <w:rPr>
          <w:i/>
          <w:iCs/>
        </w:rPr>
        <w:t>utonomní zbraně a budoucnost války</w:t>
      </w:r>
      <w:r>
        <w:t xml:space="preserve">. 1. vydání. </w:t>
      </w:r>
      <w:r w:rsidR="00C64172">
        <w:t>Praha: Knižní klub. Universum (Knižní klub), 2018, s.</w:t>
      </w:r>
      <w:r w:rsidR="00341523">
        <w:t xml:space="preserve"> 47-50</w:t>
      </w:r>
    </w:p>
  </w:footnote>
  <w:footnote w:id="30">
    <w:p w14:paraId="5FC03275" w14:textId="5D2F8932" w:rsidR="00121860" w:rsidRDefault="00121860">
      <w:pPr>
        <w:pStyle w:val="Textpoznpodarou"/>
      </w:pPr>
      <w:r>
        <w:rPr>
          <w:rStyle w:val="Znakapoznpodarou"/>
        </w:rPr>
        <w:footnoteRef/>
      </w:r>
      <w:r>
        <w:t xml:space="preserve"> Tamtéž, s. 66 - 69</w:t>
      </w:r>
    </w:p>
  </w:footnote>
  <w:footnote w:id="31">
    <w:p w14:paraId="71E292C8" w14:textId="77777777" w:rsidR="00A316EA" w:rsidRDefault="00A316EA" w:rsidP="00A316EA">
      <w:pPr>
        <w:pStyle w:val="Textpoznpodarou"/>
      </w:pPr>
      <w:r>
        <w:rPr>
          <w:rStyle w:val="Znakapoznpodarou"/>
        </w:rPr>
        <w:footnoteRef/>
      </w:r>
      <w:r>
        <w:t xml:space="preserve"> Advisory Council on International Affairs / Advisory Committee on Issues of Public International Law. </w:t>
      </w:r>
      <w:r w:rsidRPr="00C2332B">
        <w:rPr>
          <w:i/>
          <w:iCs/>
        </w:rPr>
        <w:t>Autonomous weapon systems. The need for meaningful human</w:t>
      </w:r>
      <w:r>
        <w:rPr>
          <w:i/>
          <w:iCs/>
        </w:rPr>
        <w:t xml:space="preserve"> </w:t>
      </w:r>
      <w:r w:rsidRPr="00C2332B">
        <w:rPr>
          <w:i/>
          <w:iCs/>
        </w:rPr>
        <w:t>control</w:t>
      </w:r>
      <w:r>
        <w:t xml:space="preserve"> </w:t>
      </w:r>
      <w:r w:rsidRPr="00C2332B">
        <w:rPr>
          <w:i/>
          <w:iCs/>
        </w:rPr>
        <w:t>– 2015</w:t>
      </w:r>
      <w:r>
        <w:t xml:space="preserve"> [online]. Advisory Council on International Affairs 2.10.2015, s.8. Dostupné z: </w:t>
      </w:r>
      <w:hyperlink r:id="rId18" w:history="1">
        <w:r w:rsidRPr="002C15DE">
          <w:rPr>
            <w:rStyle w:val="Hypertextovodkaz"/>
          </w:rPr>
          <w:t>https://www.advisorycouncilinternationalaffairs.nl/documents/publications/2015/10/02/autonomous-weapon-systems</w:t>
        </w:r>
      </w:hyperlink>
    </w:p>
  </w:footnote>
  <w:footnote w:id="32">
    <w:p w14:paraId="4DB43A71" w14:textId="5F6B5EB8" w:rsidR="00AA7256" w:rsidRDefault="00AA7256">
      <w:pPr>
        <w:pStyle w:val="Textpoznpodarou"/>
      </w:pPr>
      <w:r>
        <w:rPr>
          <w:rStyle w:val="Znakapoznpodarou"/>
        </w:rPr>
        <w:footnoteRef/>
      </w:r>
      <w:r>
        <w:t xml:space="preserve"> SCHARRE, Paul. </w:t>
      </w:r>
      <w:r w:rsidRPr="00C2176D">
        <w:rPr>
          <w:i/>
          <w:iCs/>
        </w:rPr>
        <w:t>Armáda strojů</w:t>
      </w:r>
      <w:r>
        <w:rPr>
          <w:i/>
          <w:iCs/>
        </w:rPr>
        <w:t>: a</w:t>
      </w:r>
      <w:r w:rsidRPr="00C2176D">
        <w:rPr>
          <w:i/>
          <w:iCs/>
        </w:rPr>
        <w:t>utonomní zbraně a budoucnost války</w:t>
      </w:r>
      <w:r>
        <w:t>. 1. vydání. Praha: Knižní klub. Universum (Knižní klub), 2018, s. 63-65</w:t>
      </w:r>
    </w:p>
  </w:footnote>
  <w:footnote w:id="33">
    <w:p w14:paraId="6DD70978" w14:textId="33D1A1A0" w:rsidR="00625785" w:rsidRDefault="00625785">
      <w:pPr>
        <w:pStyle w:val="Textpoznpodarou"/>
      </w:pPr>
      <w:r>
        <w:rPr>
          <w:rStyle w:val="Znakapoznpodarou"/>
        </w:rPr>
        <w:footnoteRef/>
      </w:r>
      <w:r>
        <w:t xml:space="preserve"> Tamtéž, s.69 - 71</w:t>
      </w:r>
    </w:p>
  </w:footnote>
  <w:footnote w:id="34">
    <w:p w14:paraId="7E279D8D" w14:textId="06CFAF3E" w:rsidR="00467F5A" w:rsidRDefault="00467F5A">
      <w:pPr>
        <w:pStyle w:val="Textpoznpodarou"/>
      </w:pPr>
      <w:r>
        <w:rPr>
          <w:rStyle w:val="Znakapoznpodarou"/>
        </w:rPr>
        <w:footnoteRef/>
      </w:r>
      <w:r w:rsidR="008E6511">
        <w:t xml:space="preserve"> Tamtéž</w:t>
      </w:r>
      <w:r w:rsidR="002E358E">
        <w:t xml:space="preserve">, </w:t>
      </w:r>
      <w:r w:rsidR="002E358E" w:rsidRPr="008163DB">
        <w:t>s. 6</w:t>
      </w:r>
      <w:r w:rsidR="002E358E">
        <w:t xml:space="preserve">6 </w:t>
      </w:r>
      <w:r w:rsidR="002E358E" w:rsidRPr="008163DB">
        <w:t>-</w:t>
      </w:r>
      <w:r w:rsidR="002E358E">
        <w:t xml:space="preserve"> </w:t>
      </w:r>
      <w:r w:rsidR="002E358E" w:rsidRPr="008163DB">
        <w:t>6</w:t>
      </w:r>
      <w:r w:rsidR="002E358E">
        <w:t>9</w:t>
      </w:r>
    </w:p>
  </w:footnote>
  <w:footnote w:id="35">
    <w:p w14:paraId="650EAD14" w14:textId="232FBF5C" w:rsidR="0057582F" w:rsidRDefault="0057582F">
      <w:pPr>
        <w:pStyle w:val="Textpoznpodarou"/>
      </w:pPr>
      <w:r>
        <w:rPr>
          <w:rStyle w:val="Znakapoznpodarou"/>
        </w:rPr>
        <w:footnoteRef/>
      </w:r>
      <w:r>
        <w:t xml:space="preserve"> Tamtéž, s.</w:t>
      </w:r>
      <w:r w:rsidR="009A2327">
        <w:t xml:space="preserve"> 72 - 76</w:t>
      </w:r>
    </w:p>
  </w:footnote>
  <w:footnote w:id="36">
    <w:p w14:paraId="2BDA3FA2" w14:textId="5827FD0F" w:rsidR="00A11030" w:rsidRPr="005604F3" w:rsidRDefault="00A11030" w:rsidP="00543C06">
      <w:pPr>
        <w:pStyle w:val="Textpoznpodarou"/>
      </w:pPr>
      <w:r>
        <w:rPr>
          <w:rStyle w:val="Znakapoznpodarou"/>
        </w:rPr>
        <w:footnoteRef/>
      </w:r>
      <w:r>
        <w:t xml:space="preserve"> </w:t>
      </w:r>
      <w:r w:rsidR="005604F3">
        <w:t xml:space="preserve">FERREIRA, Maria Isabel Aldinhas a kol. </w:t>
      </w:r>
      <w:r w:rsidR="005604F3">
        <w:rPr>
          <w:i/>
          <w:iCs/>
        </w:rPr>
        <w:t>A World with Robots: International Conference on Robot Ethicks: ICRE 2015.</w:t>
      </w:r>
      <w:r w:rsidR="00B62B47">
        <w:rPr>
          <w:i/>
          <w:iCs/>
        </w:rPr>
        <w:t xml:space="preserve"> </w:t>
      </w:r>
      <w:r w:rsidR="00400F21">
        <w:t>[online]</w:t>
      </w:r>
      <w:r w:rsidR="00400F21">
        <w:rPr>
          <w:i/>
          <w:iCs/>
        </w:rPr>
        <w:t xml:space="preserve"> </w:t>
      </w:r>
      <w:r w:rsidR="00B62B47">
        <w:t>1. vydání.</w:t>
      </w:r>
      <w:r w:rsidR="005604F3">
        <w:rPr>
          <w:i/>
          <w:iCs/>
        </w:rPr>
        <w:t xml:space="preserve"> </w:t>
      </w:r>
      <w:r w:rsidR="005604F3">
        <w:t xml:space="preserve">Springer </w:t>
      </w:r>
      <w:r w:rsidR="00B62B47">
        <w:t>International Publishing AG, 2017, s. 171 Dostupné z:</w:t>
      </w:r>
      <w:r w:rsidR="00543C06">
        <w:t xml:space="preserve"> </w:t>
      </w:r>
      <w:hyperlink r:id="rId19" w:history="1">
        <w:r w:rsidR="00543C06" w:rsidRPr="008B2CA3">
          <w:rPr>
            <w:rStyle w:val="Hypertextovodkaz"/>
          </w:rPr>
          <w:t>https://link.springer.com/book/10.1007/978-3-319-46667-5</w:t>
        </w:r>
      </w:hyperlink>
      <w:r w:rsidR="00B62B47">
        <w:t xml:space="preserve"> </w:t>
      </w:r>
    </w:p>
  </w:footnote>
  <w:footnote w:id="37">
    <w:p w14:paraId="5718DE63" w14:textId="773FAFF0" w:rsidR="008910E8" w:rsidRDefault="008910E8" w:rsidP="00543C06">
      <w:pPr>
        <w:pStyle w:val="Textpoznpodarou"/>
      </w:pPr>
      <w:r>
        <w:rPr>
          <w:rStyle w:val="Znakapoznpodarou"/>
        </w:rPr>
        <w:footnoteRef/>
      </w:r>
      <w:r>
        <w:t xml:space="preserve"> </w:t>
      </w:r>
      <w:r w:rsidR="001F18EA">
        <w:t xml:space="preserve">SCHARRE, Paul. </w:t>
      </w:r>
      <w:r w:rsidR="001F18EA" w:rsidRPr="00C2176D">
        <w:rPr>
          <w:i/>
          <w:iCs/>
        </w:rPr>
        <w:t>Armáda strojů</w:t>
      </w:r>
      <w:r w:rsidR="001F18EA">
        <w:rPr>
          <w:i/>
          <w:iCs/>
        </w:rPr>
        <w:t>: a</w:t>
      </w:r>
      <w:r w:rsidR="001F18EA" w:rsidRPr="00C2176D">
        <w:rPr>
          <w:i/>
          <w:iCs/>
        </w:rPr>
        <w:t>utonomní zbraně a budoucnost války</w:t>
      </w:r>
      <w:r w:rsidR="001F18EA">
        <w:t xml:space="preserve">. 1. vydání. Praha: Knižní klub. Universum (Knižní klub), 2018, </w:t>
      </w:r>
      <w:r w:rsidR="001F3BEE">
        <w:t xml:space="preserve">s. </w:t>
      </w:r>
      <w:r w:rsidR="001F18EA">
        <w:t>79 - 82</w:t>
      </w:r>
    </w:p>
  </w:footnote>
  <w:footnote w:id="38">
    <w:p w14:paraId="363EA79F" w14:textId="71555114" w:rsidR="002F7FC0" w:rsidRDefault="002F7FC0">
      <w:pPr>
        <w:pStyle w:val="Textpoznpodarou"/>
      </w:pPr>
      <w:r>
        <w:rPr>
          <w:rStyle w:val="Znakapoznpodarou"/>
        </w:rPr>
        <w:footnoteRef/>
      </w:r>
      <w:r>
        <w:t xml:space="preserve"> </w:t>
      </w:r>
      <w:r w:rsidR="00385578">
        <w:t xml:space="preserve">Tamtéž, </w:t>
      </w:r>
      <w:r w:rsidR="00615406">
        <w:t xml:space="preserve">s. </w:t>
      </w:r>
      <w:r w:rsidR="002B22C3">
        <w:t>67 a 71</w:t>
      </w:r>
    </w:p>
  </w:footnote>
  <w:footnote w:id="39">
    <w:p w14:paraId="28D1CA9B" w14:textId="0424C1A4" w:rsidR="00356950" w:rsidRDefault="00356950">
      <w:pPr>
        <w:pStyle w:val="Textpoznpodarou"/>
      </w:pPr>
      <w:r>
        <w:rPr>
          <w:rStyle w:val="Znakapoznpodarou"/>
        </w:rPr>
        <w:footnoteRef/>
      </w:r>
      <w:r>
        <w:t xml:space="preserve"> Tamtéž,</w:t>
      </w:r>
      <w:r w:rsidR="00385578">
        <w:t xml:space="preserve"> s.</w:t>
      </w:r>
      <w:r>
        <w:t xml:space="preserve"> 81 a 82</w:t>
      </w:r>
    </w:p>
  </w:footnote>
  <w:footnote w:id="40">
    <w:p w14:paraId="645A930D" w14:textId="3BF2AE5C" w:rsidR="00EA5D37" w:rsidRDefault="00EA5D37">
      <w:pPr>
        <w:pStyle w:val="Textpoznpodarou"/>
      </w:pPr>
      <w:r>
        <w:rPr>
          <w:rStyle w:val="Znakapoznpodarou"/>
        </w:rPr>
        <w:footnoteRef/>
      </w:r>
      <w:r>
        <w:t xml:space="preserve"> SCHARRE, Paul. </w:t>
      </w:r>
      <w:r w:rsidRPr="00C2176D">
        <w:rPr>
          <w:i/>
          <w:iCs/>
        </w:rPr>
        <w:t>Armáda strojů</w:t>
      </w:r>
      <w:r>
        <w:rPr>
          <w:i/>
          <w:iCs/>
        </w:rPr>
        <w:t>: a</w:t>
      </w:r>
      <w:r w:rsidRPr="00C2176D">
        <w:rPr>
          <w:i/>
          <w:iCs/>
        </w:rPr>
        <w:t>utonomní zbraně a budoucnost války</w:t>
      </w:r>
      <w:r>
        <w:t>. 1. vydání. Praha: Knižní klub. Universum (Knižní klub), 2018, s. 81 a 82</w:t>
      </w:r>
    </w:p>
  </w:footnote>
  <w:footnote w:id="41">
    <w:p w14:paraId="113B6DB9" w14:textId="75079BCD" w:rsidR="008163DB" w:rsidRDefault="008163DB">
      <w:pPr>
        <w:pStyle w:val="Textpoznpodarou"/>
      </w:pPr>
      <w:r>
        <w:rPr>
          <w:rStyle w:val="Znakapoznpodarou"/>
        </w:rPr>
        <w:footnoteRef/>
      </w:r>
      <w:r>
        <w:t xml:space="preserve"> </w:t>
      </w:r>
      <w:r w:rsidR="002E358E">
        <w:t xml:space="preserve">Tamtéž, s. 69 - 71 </w:t>
      </w:r>
    </w:p>
  </w:footnote>
  <w:footnote w:id="42">
    <w:p w14:paraId="56610D21" w14:textId="557A5D21" w:rsidR="005E0B96" w:rsidRDefault="005E0B96">
      <w:pPr>
        <w:pStyle w:val="Textpoznpodarou"/>
      </w:pPr>
      <w:r>
        <w:rPr>
          <w:rStyle w:val="Znakapoznpodarou"/>
        </w:rPr>
        <w:footnoteRef/>
      </w:r>
      <w:r w:rsidR="002E358E">
        <w:t xml:space="preserve"> </w:t>
      </w:r>
      <w:r w:rsidR="00712DBB">
        <w:t xml:space="preserve">Tamtéž, </w:t>
      </w:r>
      <w:r w:rsidR="00EB7001">
        <w:t xml:space="preserve">s. 67-71 </w:t>
      </w:r>
    </w:p>
  </w:footnote>
  <w:footnote w:id="43">
    <w:p w14:paraId="6D8B6A62" w14:textId="632E1E3E" w:rsidR="00FC5645" w:rsidRDefault="00FC5645">
      <w:pPr>
        <w:pStyle w:val="Textpoznpodarou"/>
      </w:pPr>
      <w:r>
        <w:rPr>
          <w:rStyle w:val="Znakapoznpodarou"/>
        </w:rPr>
        <w:footnoteRef/>
      </w:r>
      <w:r w:rsidR="00E87AAD">
        <w:t xml:space="preserve"> Tamtéž</w:t>
      </w:r>
      <w:r w:rsidR="00EB7001">
        <w:t xml:space="preserve">, </w:t>
      </w:r>
      <w:r w:rsidR="00EB7001" w:rsidRPr="008163DB">
        <w:t xml:space="preserve">s. </w:t>
      </w:r>
      <w:r w:rsidR="00EB7001">
        <w:t>68</w:t>
      </w:r>
    </w:p>
  </w:footnote>
  <w:footnote w:id="44">
    <w:p w14:paraId="72E742EF" w14:textId="52F09973" w:rsidR="00A42B4E" w:rsidRDefault="00A42B4E">
      <w:pPr>
        <w:pStyle w:val="Textpoznpodarou"/>
      </w:pPr>
      <w:r>
        <w:rPr>
          <w:rStyle w:val="Znakapoznpodarou"/>
        </w:rPr>
        <w:footnoteRef/>
      </w:r>
      <w:r>
        <w:t xml:space="preserve"> </w:t>
      </w:r>
      <w:r w:rsidRPr="00A42B4E">
        <w:t>Mírová smlouva mezi mocnostmi spojenými i sdruženými a Rakouskem ze dne 10. 9. 1919, ve sbírce zákonů pod č. 507/1921 Sb., preambule.</w:t>
      </w:r>
    </w:p>
  </w:footnote>
  <w:footnote w:id="45">
    <w:p w14:paraId="1448B7CC" w14:textId="77777777" w:rsidR="009A0ACB" w:rsidRDefault="009A0ACB" w:rsidP="009A0ACB">
      <w:pPr>
        <w:pStyle w:val="Textpoznpodarou"/>
      </w:pPr>
      <w:r>
        <w:rPr>
          <w:rStyle w:val="Znakapoznpodarou"/>
        </w:rPr>
        <w:footnoteRef/>
      </w:r>
      <w:r>
        <w:t xml:space="preserve"> MCFARLAND, Tim, 2020. Legal Background. In: </w:t>
      </w:r>
      <w:r>
        <w:rPr>
          <w:i/>
          <w:iCs/>
        </w:rPr>
        <w:t>Autonomous Weapon Systems and the Law of Armed Conflict: Compatibility with International Humanitarian Law</w:t>
      </w:r>
      <w:r>
        <w:t xml:space="preserve"> [online]. Cambridge: Cambridge University Press, s. 9-10. Dostupné z: </w:t>
      </w:r>
      <w:hyperlink r:id="rId20" w:history="1">
        <w:r w:rsidRPr="00E92B74">
          <w:rPr>
            <w:rStyle w:val="Hypertextovodkaz"/>
          </w:rPr>
          <w:t>https://www.cambridge.org/core/books/autonomous-weapon-systems-and-the-law-of-armed-conflict/09BFF6BB5B88E34935678B5A0606A8A7</w:t>
        </w:r>
      </w:hyperlink>
    </w:p>
  </w:footnote>
  <w:footnote w:id="46">
    <w:p w14:paraId="44BFC11C" w14:textId="77777777" w:rsidR="009A0ACB" w:rsidRDefault="009A0ACB" w:rsidP="009A0ACB">
      <w:pPr>
        <w:pStyle w:val="Textpoznpodarou"/>
      </w:pPr>
      <w:r>
        <w:rPr>
          <w:rStyle w:val="Znakapoznpodarou"/>
        </w:rPr>
        <w:footnoteRef/>
      </w:r>
      <w:r>
        <w:t xml:space="preserve"> Deklarace o zřeknutí se použití, v době války, výbušných projektilů pod 400 gramů váhy ze dne 29. prosince 1868, (St. Petersburg (</w:t>
      </w:r>
      <w:r w:rsidRPr="00525087">
        <w:t>Declaration Renouncing the Use, in Time of War, of Explosive Projectiles Under 400 Grammes Weight. Saint Petersburg, 29 November / 11 December 1868</w:t>
      </w:r>
      <w:r>
        <w:t xml:space="preserve">), [online] Dostupné z: </w:t>
      </w:r>
      <w:hyperlink r:id="rId21" w:history="1">
        <w:r w:rsidRPr="000A3EF3">
          <w:rPr>
            <w:rStyle w:val="Hypertextovodkaz"/>
          </w:rPr>
          <w:t>https://ihl-databases.icrc.org/applic/ihl/ihl.nsf/Article.xsp?action=openDocument&amp;documentId=568842C2B90F4A29C12563CD0051547C</w:t>
        </w:r>
      </w:hyperlink>
    </w:p>
  </w:footnote>
  <w:footnote w:id="47">
    <w:p w14:paraId="0B602B43" w14:textId="6D8A77BA" w:rsidR="009A0ACB" w:rsidRPr="0007598C" w:rsidRDefault="009A0ACB" w:rsidP="009A0ACB">
      <w:pPr>
        <w:pStyle w:val="Textpoznpodarou"/>
      </w:pPr>
      <w:r>
        <w:rPr>
          <w:rStyle w:val="Znakapoznpodarou"/>
        </w:rPr>
        <w:footnoteRef/>
      </w:r>
      <w:r>
        <w:t xml:space="preserve"> </w:t>
      </w:r>
      <w:r w:rsidR="00F32CEA">
        <w:t>Deklarace o zřeknutí se použití, v době války, výbušných projektilů pod 400 gramů váhy ze dne 29. prosince 1868, (St. Petersburg (</w:t>
      </w:r>
      <w:r w:rsidR="00F32CEA" w:rsidRPr="00525087">
        <w:t>Declaration Renouncing the Use, in Time of War, of Explosive Projectiles Under 400 Grammes Weight. Saint Petersburg, 29 November / 11 December 1868</w:t>
      </w:r>
      <w:r w:rsidR="00F32CEA">
        <w:t xml:space="preserve">), [online] Dostupné z: </w:t>
      </w:r>
      <w:hyperlink r:id="rId22" w:history="1">
        <w:r w:rsidR="00F32CEA" w:rsidRPr="000A3EF3">
          <w:rPr>
            <w:rStyle w:val="Hypertextovodkaz"/>
          </w:rPr>
          <w:t>https://ihl-databases.icrc.org/applic/ihl/ihl.nsf/Article.xsp?action=openDocument&amp;documentId=568842C2B90F4A29C12563CD0051547C</w:t>
        </w:r>
      </w:hyperlink>
    </w:p>
  </w:footnote>
  <w:footnote w:id="48">
    <w:p w14:paraId="036865E3" w14:textId="77777777" w:rsidR="009A0ACB" w:rsidRDefault="009A0ACB" w:rsidP="009A0ACB">
      <w:pPr>
        <w:pStyle w:val="Textpoznpodarou"/>
      </w:pPr>
      <w:r>
        <w:rPr>
          <w:rStyle w:val="Znakapoznpodarou"/>
        </w:rPr>
        <w:footnoteRef/>
      </w:r>
      <w:r>
        <w:t xml:space="preserve"> </w:t>
      </w:r>
      <w:r w:rsidRPr="008922B3">
        <w:t xml:space="preserve">Dodatkový protokol I k Ženevským úmluvám z 12. srpna 1949 o ochraně obětí mezinárodních ozbrojených konfliktů, čl. </w:t>
      </w:r>
      <w:r>
        <w:t>1 odst. 2</w:t>
      </w:r>
    </w:p>
  </w:footnote>
  <w:footnote w:id="49">
    <w:p w14:paraId="57195FF3" w14:textId="77777777" w:rsidR="009A0ACB" w:rsidRDefault="009A0ACB" w:rsidP="009A0ACB">
      <w:pPr>
        <w:pStyle w:val="Textpoznpodarou"/>
      </w:pPr>
      <w:r>
        <w:rPr>
          <w:rStyle w:val="Znakapoznpodarou"/>
        </w:rPr>
        <w:footnoteRef/>
      </w:r>
      <w:r>
        <w:t xml:space="preserve"> ONDŘEJ, Jan; ŠTURMA, Pavel; BÍLKOVÁ, Veronika a JÍLEK, Dalibor. </w:t>
      </w:r>
      <w:r>
        <w:rPr>
          <w:i/>
          <w:iCs/>
        </w:rPr>
        <w:t>Mezinárodní humanitární právo</w:t>
      </w:r>
      <w:r>
        <w:t>. Beckova edice právní instituty. V Praze: C.H. Beck, 2010, s.1</w:t>
      </w:r>
    </w:p>
  </w:footnote>
  <w:footnote w:id="50">
    <w:p w14:paraId="0382C6BF" w14:textId="427038DD" w:rsidR="009A0ACB" w:rsidRDefault="009A0ACB" w:rsidP="009A0ACB">
      <w:pPr>
        <w:pStyle w:val="Textpoznpodarou"/>
      </w:pPr>
      <w:r>
        <w:rPr>
          <w:rStyle w:val="Znakapoznpodarou"/>
        </w:rPr>
        <w:footnoteRef/>
      </w:r>
      <w:r w:rsidR="00855F66">
        <w:t xml:space="preserve">Charta OSN, </w:t>
      </w:r>
      <w:r w:rsidRPr="002C6B09">
        <w:t>čl. 2 odst. 4</w:t>
      </w:r>
    </w:p>
  </w:footnote>
  <w:footnote w:id="51">
    <w:p w14:paraId="4B0F3C37" w14:textId="77777777" w:rsidR="009A0ACB" w:rsidRDefault="009A0ACB" w:rsidP="009A0ACB">
      <w:pPr>
        <w:pStyle w:val="Textpoznpodarou"/>
      </w:pPr>
      <w:r>
        <w:rPr>
          <w:rStyle w:val="Znakapoznpodarou"/>
        </w:rPr>
        <w:footnoteRef/>
      </w:r>
      <w:r>
        <w:t xml:space="preserve"> JUKL, Marek. </w:t>
      </w:r>
      <w:r w:rsidRPr="00937FF5">
        <w:rPr>
          <w:i/>
          <w:iCs/>
        </w:rPr>
        <w:t>Ženevské úmluvy, obyčeje a zásady humanitárního práva</w:t>
      </w:r>
      <w:r>
        <w:t xml:space="preserve"> [online]. cervenykriz.eu, [cit. 20. července 2022]. s. 7 . Dostupné z: </w:t>
      </w:r>
      <w:hyperlink r:id="rId23" w:history="1">
        <w:r w:rsidRPr="00835C71">
          <w:rPr>
            <w:rStyle w:val="Hypertextovodkaz"/>
          </w:rPr>
          <w:t>https://www.cervenykriz.eu/zasady-humanitarniho-prava</w:t>
        </w:r>
      </w:hyperlink>
    </w:p>
  </w:footnote>
  <w:footnote w:id="52">
    <w:p w14:paraId="2285F7FA" w14:textId="77777777" w:rsidR="009A0ACB" w:rsidRDefault="009A0ACB" w:rsidP="009A0ACB">
      <w:pPr>
        <w:pStyle w:val="Textpoznpodarou"/>
      </w:pPr>
      <w:r>
        <w:rPr>
          <w:rStyle w:val="Znakapoznpodarou"/>
        </w:rPr>
        <w:footnoteRef/>
      </w:r>
      <w:r>
        <w:t xml:space="preserve"> </w:t>
      </w:r>
      <w:bookmarkStart w:id="12" w:name="_Hlk137674941"/>
      <w:r w:rsidRPr="000F32C2">
        <w:t>Dodatkový protokol</w:t>
      </w:r>
      <w:r>
        <w:t xml:space="preserve"> I</w:t>
      </w:r>
      <w:r w:rsidRPr="000F32C2">
        <w:t xml:space="preserve"> k Ženevským úmluvám z 12. srpna 1949 o ochraně obětí mezinárodních ozbrojených konfliktů, čl. 53</w:t>
      </w:r>
      <w:bookmarkEnd w:id="12"/>
    </w:p>
  </w:footnote>
  <w:footnote w:id="53">
    <w:p w14:paraId="0886FE2D" w14:textId="77777777" w:rsidR="009A0ACB" w:rsidRDefault="009A0ACB" w:rsidP="009A0ACB">
      <w:pPr>
        <w:pStyle w:val="Textpoznpodarou"/>
      </w:pPr>
      <w:r>
        <w:rPr>
          <w:rStyle w:val="Znakapoznpodarou"/>
        </w:rPr>
        <w:footnoteRef/>
      </w:r>
      <w:r>
        <w:t xml:space="preserve"> </w:t>
      </w:r>
      <w:r w:rsidRPr="000F32C2">
        <w:t>Tamtéž, čl. 57 odst. 1</w:t>
      </w:r>
    </w:p>
  </w:footnote>
  <w:footnote w:id="54">
    <w:p w14:paraId="3DD1BB58" w14:textId="77777777" w:rsidR="009A0ACB" w:rsidRDefault="009A0ACB" w:rsidP="009A0ACB">
      <w:pPr>
        <w:pStyle w:val="Textpoznpodarou"/>
      </w:pPr>
      <w:r>
        <w:rPr>
          <w:rStyle w:val="Znakapoznpodarou"/>
        </w:rPr>
        <w:footnoteRef/>
      </w:r>
      <w:r>
        <w:t xml:space="preserve"> Tamtéž, čl. 55 odst. 1</w:t>
      </w:r>
    </w:p>
  </w:footnote>
  <w:footnote w:id="55">
    <w:p w14:paraId="320D053F" w14:textId="77777777" w:rsidR="009A0ACB" w:rsidRDefault="009A0ACB" w:rsidP="009A0ACB">
      <w:pPr>
        <w:pStyle w:val="Textpoznpodarou"/>
      </w:pPr>
      <w:r>
        <w:rPr>
          <w:rStyle w:val="Znakapoznpodarou"/>
        </w:rPr>
        <w:footnoteRef/>
      </w:r>
      <w:r>
        <w:t xml:space="preserve"> DINSTEIN, Yoram </w:t>
      </w:r>
      <w:r>
        <w:rPr>
          <w:i/>
          <w:iCs/>
        </w:rPr>
        <w:t>The Conduct of Hostilities under the Law of International Armed Conflict</w:t>
      </w:r>
      <w:r>
        <w:t>.</w:t>
      </w:r>
      <w:r w:rsidRPr="00E156AA">
        <w:t xml:space="preserve"> </w:t>
      </w:r>
      <w:r>
        <w:t xml:space="preserve">[online]  Cambridge: Cambridge University Press, 3. vydání, 2016, 13., s. 39. Dostupné z: </w:t>
      </w:r>
      <w:hyperlink r:id="rId24" w:history="1">
        <w:r w:rsidRPr="000A3EF3">
          <w:rPr>
            <w:rStyle w:val="Hypertextovodkaz"/>
          </w:rPr>
          <w:t>https://www.cambridge.org/core/books/conduct-of-hostilities-under-the-law-of-international-armed-conflict/6F968AB75832E7A46CD4FEE7CA86BB8F</w:t>
        </w:r>
      </w:hyperlink>
    </w:p>
  </w:footnote>
  <w:footnote w:id="56">
    <w:p w14:paraId="388F1967" w14:textId="208E463C" w:rsidR="009A0ACB" w:rsidRDefault="009A0ACB" w:rsidP="009A0ACB">
      <w:pPr>
        <w:pStyle w:val="Textpoznpodarou"/>
      </w:pPr>
      <w:r>
        <w:rPr>
          <w:rStyle w:val="Znakapoznpodarou"/>
        </w:rPr>
        <w:footnoteRef/>
      </w:r>
      <w:r w:rsidR="00296CF7">
        <w:t xml:space="preserve"> </w:t>
      </w:r>
      <w:r>
        <w:t>Chart</w:t>
      </w:r>
      <w:r w:rsidR="00855F66">
        <w:t xml:space="preserve">a ONS, </w:t>
      </w:r>
      <w:r w:rsidRPr="000F32C2">
        <w:t>čl. 2 odst. 4</w:t>
      </w:r>
    </w:p>
  </w:footnote>
  <w:footnote w:id="57">
    <w:p w14:paraId="64CE6440" w14:textId="77777777" w:rsidR="009A0ACB" w:rsidRDefault="009A0ACB" w:rsidP="009A0ACB">
      <w:pPr>
        <w:pStyle w:val="Textpoznpodarou"/>
      </w:pPr>
      <w:r>
        <w:rPr>
          <w:rStyle w:val="Znakapoznpodarou"/>
        </w:rPr>
        <w:footnoteRef/>
      </w:r>
      <w:r>
        <w:t xml:space="preserve"> JUKL, Marek. </w:t>
      </w:r>
      <w:r w:rsidRPr="00937FF5">
        <w:rPr>
          <w:i/>
          <w:iCs/>
        </w:rPr>
        <w:t>Ženevské úmluvy, obyčeje a zásady humanitárního práva</w:t>
      </w:r>
      <w:r>
        <w:t xml:space="preserve"> [online]. cervenykriz.eu, [cit. 20. července 2022]. s. 147 – 150. Dostupné z: </w:t>
      </w:r>
      <w:hyperlink r:id="rId25" w:history="1">
        <w:r w:rsidRPr="00835C71">
          <w:rPr>
            <w:rStyle w:val="Hypertextovodkaz"/>
          </w:rPr>
          <w:t>https://www.cervenykriz.eu/zasady-humanitarniho-prava</w:t>
        </w:r>
      </w:hyperlink>
    </w:p>
  </w:footnote>
  <w:footnote w:id="58">
    <w:p w14:paraId="5CE8D14D" w14:textId="77777777" w:rsidR="009A0ACB" w:rsidRDefault="009A0ACB" w:rsidP="009A0ACB">
      <w:pPr>
        <w:pStyle w:val="Textpoznpodarou"/>
      </w:pPr>
      <w:r>
        <w:rPr>
          <w:rStyle w:val="Znakapoznpodarou"/>
        </w:rPr>
        <w:footnoteRef/>
      </w:r>
      <w:r>
        <w:t xml:space="preserve"> Tamtéž, s. 145 - 146</w:t>
      </w:r>
    </w:p>
  </w:footnote>
  <w:footnote w:id="59">
    <w:p w14:paraId="6AB25FF2" w14:textId="77777777" w:rsidR="009A0ACB" w:rsidRDefault="009A0ACB" w:rsidP="009A0ACB">
      <w:pPr>
        <w:pStyle w:val="Textpoznpodarou"/>
      </w:pPr>
      <w:r>
        <w:rPr>
          <w:rStyle w:val="Znakapoznpodarou"/>
        </w:rPr>
        <w:footnoteRef/>
      </w:r>
      <w:r>
        <w:t xml:space="preserve"> USAF Inteligence Targeting Guide. </w:t>
      </w:r>
      <w:r w:rsidRPr="008C2CB6">
        <w:rPr>
          <w:i/>
          <w:iCs/>
        </w:rPr>
        <w:t>AIR ROFCE PAMPHLET 14-210 Inteligence</w:t>
      </w:r>
      <w:r>
        <w:rPr>
          <w:i/>
          <w:iCs/>
        </w:rPr>
        <w:t>. 1. FEBRUARY 1998</w:t>
      </w:r>
      <w:r>
        <w:t xml:space="preserve">  </w:t>
      </w:r>
      <w:r w:rsidRPr="00957DDF">
        <w:t>[online]</w:t>
      </w:r>
      <w:r>
        <w:t xml:space="preserve">. fas.org, s. 180, Attachment 7, A7.1., [cit. 20. července 2022]. Dostupné z: </w:t>
      </w:r>
      <w:hyperlink r:id="rId26" w:anchor="page180" w:history="1">
        <w:r w:rsidRPr="00835C71">
          <w:rPr>
            <w:rStyle w:val="Hypertextovodkaz"/>
          </w:rPr>
          <w:t>https://irp.fas.org/doddir/usaf/afpam14 210/part20.htm#page180</w:t>
        </w:r>
      </w:hyperlink>
    </w:p>
  </w:footnote>
  <w:footnote w:id="60">
    <w:p w14:paraId="5817B31C" w14:textId="77777777" w:rsidR="009A0ACB" w:rsidRDefault="009A0ACB" w:rsidP="009A0ACB">
      <w:pPr>
        <w:pStyle w:val="Textpoznpodarou"/>
      </w:pPr>
      <w:r>
        <w:rPr>
          <w:rStyle w:val="Znakapoznpodarou"/>
        </w:rPr>
        <w:footnoteRef/>
      </w:r>
      <w:r>
        <w:t xml:space="preserve"> Tamtéž</w:t>
      </w:r>
    </w:p>
  </w:footnote>
  <w:footnote w:id="61">
    <w:p w14:paraId="203F1E1A" w14:textId="77777777" w:rsidR="009A0ACB" w:rsidRPr="00857323" w:rsidRDefault="009A0ACB" w:rsidP="009A0ACB">
      <w:pPr>
        <w:pStyle w:val="Textpoznpodarou"/>
      </w:pPr>
      <w:r>
        <w:rPr>
          <w:rStyle w:val="Znakapoznpodarou"/>
        </w:rPr>
        <w:footnoteRef/>
      </w:r>
      <w:r>
        <w:t xml:space="preserve"> JUKL, Marek. </w:t>
      </w:r>
      <w:r w:rsidRPr="00937FF5">
        <w:rPr>
          <w:i/>
          <w:iCs/>
        </w:rPr>
        <w:t>Ženevské úmluvy, obyčeje a zásady humanitárního práva</w:t>
      </w:r>
      <w:r>
        <w:t xml:space="preserve"> [online]. cervenykriz.eu, [cit. 20. července 2022]. s. 7. Dostupné z: </w:t>
      </w:r>
      <w:hyperlink r:id="rId27" w:history="1">
        <w:r w:rsidRPr="00835C71">
          <w:rPr>
            <w:rStyle w:val="Hypertextovodkaz"/>
          </w:rPr>
          <w:t>https://www.cervenykriz.eu/zasady-humanitarniho-prava</w:t>
        </w:r>
      </w:hyperlink>
    </w:p>
  </w:footnote>
  <w:footnote w:id="62">
    <w:p w14:paraId="3072989F" w14:textId="77777777" w:rsidR="009A0ACB" w:rsidRDefault="009A0ACB" w:rsidP="009A0ACB">
      <w:pPr>
        <w:pStyle w:val="Textpoznpodarou"/>
      </w:pPr>
      <w:r>
        <w:rPr>
          <w:rStyle w:val="Znakapoznpodarou"/>
        </w:rPr>
        <w:footnoteRef/>
      </w:r>
      <w:r>
        <w:t xml:space="preserve"> ONDŘEJ, Jan; ŠTURMA, Pavel; BÍLKOVÁ, Veronika a JÍLEK, Dalibor. </w:t>
      </w:r>
      <w:r>
        <w:rPr>
          <w:i/>
          <w:iCs/>
        </w:rPr>
        <w:t>Mezinárodní humanitární právo</w:t>
      </w:r>
      <w:r>
        <w:t>. Beckova edice právní instituty. V Praze: C.H. Beck, 2010, s.3</w:t>
      </w:r>
    </w:p>
  </w:footnote>
  <w:footnote w:id="63">
    <w:p w14:paraId="3755E90C" w14:textId="5812154C" w:rsidR="009A0ACB" w:rsidRDefault="009A0ACB" w:rsidP="009A0ACB">
      <w:pPr>
        <w:pStyle w:val="Textpoznpodarou"/>
      </w:pPr>
      <w:r>
        <w:rPr>
          <w:rStyle w:val="Znakapoznpodarou"/>
        </w:rPr>
        <w:footnoteRef/>
      </w:r>
      <w:r>
        <w:t xml:space="preserve"> 126/1929 Sb., Kellogův pakt</w:t>
      </w:r>
      <w:r w:rsidR="00A23FFD">
        <w:t xml:space="preserve"> [online]</w:t>
      </w:r>
      <w:r>
        <w:t>, čl. 1</w:t>
      </w:r>
      <w:r w:rsidR="00A23FFD">
        <w:t xml:space="preserve">. Dostupné z: </w:t>
      </w:r>
      <w:hyperlink r:id="rId28" w:history="1">
        <w:r w:rsidR="00A23FFD" w:rsidRPr="001013FB">
          <w:rPr>
            <w:rStyle w:val="Hypertextovodkaz"/>
          </w:rPr>
          <w:t>https://www.aspi.cz/products/lawText/1/4878/1/2/mezinarodni-umluva-c-126-1929-sb-kelloguv-pakt/mezinarodni-umluva-c-126-1929-sb-kelloguv-pakt</w:t>
        </w:r>
      </w:hyperlink>
      <w:r w:rsidR="00A23FFD">
        <w:t xml:space="preserve"> </w:t>
      </w:r>
    </w:p>
  </w:footnote>
  <w:footnote w:id="64">
    <w:p w14:paraId="75DA50AA" w14:textId="7C55388B" w:rsidR="009A0ACB" w:rsidRDefault="009A0ACB" w:rsidP="009A0ACB">
      <w:pPr>
        <w:pStyle w:val="Textpoznpodarou"/>
      </w:pPr>
      <w:r>
        <w:rPr>
          <w:rStyle w:val="Znakapoznpodarou"/>
        </w:rPr>
        <w:footnoteRef/>
      </w:r>
      <w:r w:rsidR="00ED52CB">
        <w:t xml:space="preserve"> Charta OSN</w:t>
      </w:r>
      <w:r>
        <w:t xml:space="preserve">, </w:t>
      </w:r>
      <w:r w:rsidRPr="00901F1C">
        <w:t>čl. 2 odst. 4</w:t>
      </w:r>
    </w:p>
  </w:footnote>
  <w:footnote w:id="65">
    <w:p w14:paraId="53558BC2" w14:textId="77777777" w:rsidR="009A0ACB" w:rsidRDefault="009A0ACB" w:rsidP="009A0ACB">
      <w:pPr>
        <w:pStyle w:val="Textpoznpodarou"/>
      </w:pPr>
      <w:r>
        <w:rPr>
          <w:rStyle w:val="Znakapoznpodarou"/>
        </w:rPr>
        <w:footnoteRef/>
      </w:r>
      <w:r>
        <w:t xml:space="preserve"> </w:t>
      </w:r>
      <w:r w:rsidRPr="009E4F44">
        <w:t>POTOČNÝ, Miroslav a ONDŘEJ, Jan. Mezinárodní právo veřejné: zvláštní část. 6., dopl. a rozš. vyd. Právnické učebnice. V Praze: C.H. Beck, 2011</w:t>
      </w:r>
      <w:r>
        <w:t>, s.448, ar. 663.</w:t>
      </w:r>
    </w:p>
  </w:footnote>
  <w:footnote w:id="66">
    <w:p w14:paraId="13DF7103" w14:textId="77777777" w:rsidR="009A0ACB" w:rsidRDefault="009A0ACB" w:rsidP="009A0ACB">
      <w:pPr>
        <w:pStyle w:val="Textpoznpodarou"/>
      </w:pPr>
      <w:r>
        <w:rPr>
          <w:rStyle w:val="Znakapoznpodarou"/>
        </w:rPr>
        <w:footnoteRef/>
      </w:r>
      <w:r>
        <w:t xml:space="preserve"> ONDŘEJ, Jan; ŠTURMA, Pavel; BÍLKOVÁ, Veronika a JÍLEK, Dalibor. </w:t>
      </w:r>
      <w:r>
        <w:rPr>
          <w:i/>
          <w:iCs/>
        </w:rPr>
        <w:t>Mezinárodní humanitární právo</w:t>
      </w:r>
      <w:r>
        <w:t>. Beckova edice právní instituty. V Praze: C.H. Beck, 2010, s.3</w:t>
      </w:r>
    </w:p>
  </w:footnote>
  <w:footnote w:id="67">
    <w:p w14:paraId="7DFF4A44" w14:textId="77777777" w:rsidR="009A0ACB" w:rsidRDefault="009A0ACB" w:rsidP="009A0ACB">
      <w:pPr>
        <w:pStyle w:val="Textpoznpodarou"/>
      </w:pPr>
      <w:r>
        <w:rPr>
          <w:rStyle w:val="Znakapoznpodarou"/>
        </w:rPr>
        <w:footnoteRef/>
      </w:r>
      <w:r>
        <w:t xml:space="preserve"> </w:t>
      </w:r>
      <w:r>
        <w:rPr>
          <w:lang w:eastAsia="cs-CZ"/>
        </w:rPr>
        <w:t xml:space="preserve">Rezoluce Valného shromáždění OSN 2105 (XX), </w:t>
      </w:r>
      <w:r w:rsidRPr="00EF3AE7">
        <w:rPr>
          <w:lang w:eastAsia="cs-CZ"/>
        </w:rPr>
        <w:t>Implementation of the Declaration on the Granting of Independence to Colonial Countries and Peoples</w:t>
      </w:r>
      <w:r>
        <w:rPr>
          <w:lang w:eastAsia="cs-CZ"/>
        </w:rPr>
        <w:t xml:space="preserve">, ze dne 20.12.1965, bod 10., s.4 [online]. Dostupné z: </w:t>
      </w:r>
      <w:hyperlink r:id="rId29" w:history="1">
        <w:r w:rsidRPr="00AC1174">
          <w:rPr>
            <w:rStyle w:val="Hypertextovodkaz"/>
            <w:lang w:eastAsia="cs-CZ"/>
          </w:rPr>
          <w:t>https://digitallibrary.un.org/record/203463?ln=en</w:t>
        </w:r>
      </w:hyperlink>
      <w:r>
        <w:rPr>
          <w:lang w:eastAsia="cs-CZ"/>
        </w:rPr>
        <w:t xml:space="preserve"> </w:t>
      </w:r>
    </w:p>
  </w:footnote>
  <w:footnote w:id="68">
    <w:p w14:paraId="45D10C29" w14:textId="79B25F55" w:rsidR="009A0ACB" w:rsidRDefault="009A0ACB" w:rsidP="009A0ACB">
      <w:pPr>
        <w:pStyle w:val="Textpoznpodarou"/>
      </w:pPr>
      <w:r>
        <w:rPr>
          <w:rStyle w:val="Znakapoznpodarou"/>
        </w:rPr>
        <w:footnoteRef/>
      </w:r>
      <w:r>
        <w:t xml:space="preserve"> </w:t>
      </w:r>
      <w:bookmarkStart w:id="16" w:name="_Hlk161999570"/>
      <w:r w:rsidRPr="000646FE">
        <w:t xml:space="preserve">Rozsudek Mezinárodního soudního dvora ve věci Military and paramilitary activities in and against Nicaragua (Nicaragua v. United States of America), ze dne 27. června 1986, ar. 34, [online]. Dostupné z: </w:t>
      </w:r>
      <w:hyperlink r:id="rId30" w:history="1">
        <w:r w:rsidRPr="000646FE">
          <w:rPr>
            <w:rStyle w:val="Hypertextovodkaz"/>
          </w:rPr>
          <w:t>https://www.icj-cij.org/case/70</w:t>
        </w:r>
      </w:hyperlink>
      <w:r>
        <w:t xml:space="preserve">  </w:t>
      </w:r>
      <w:bookmarkEnd w:id="16"/>
    </w:p>
  </w:footnote>
  <w:footnote w:id="69">
    <w:p w14:paraId="7FCC6BAA" w14:textId="77777777" w:rsidR="009A0ACB" w:rsidRDefault="009A0ACB" w:rsidP="009A0ACB">
      <w:pPr>
        <w:pStyle w:val="Textpoznpodarou"/>
      </w:pPr>
      <w:r>
        <w:rPr>
          <w:rStyle w:val="Znakapoznpodarou"/>
        </w:rPr>
        <w:footnoteRef/>
      </w:r>
      <w:r>
        <w:t xml:space="preserve"> </w:t>
      </w:r>
      <w:r w:rsidRPr="001463F5">
        <w:t>POTOČNÝ, Miroslav a ONDŘEJ, Jan. Mezinárodní právo veřejné: zvláštní část. 6., dopl. a rozš. vyd. Právnické učebnice. V Praze: C.H. Beck, 2011, s.</w:t>
      </w:r>
      <w:r>
        <w:t>5</w:t>
      </w:r>
      <w:r w:rsidRPr="001463F5">
        <w:t xml:space="preserve">, ar. </w:t>
      </w:r>
      <w:r>
        <w:t>1</w:t>
      </w:r>
      <w:r w:rsidRPr="001463F5">
        <w:t>3</w:t>
      </w:r>
    </w:p>
  </w:footnote>
  <w:footnote w:id="70">
    <w:p w14:paraId="604B52BD" w14:textId="681B4852" w:rsidR="009A0ACB" w:rsidRPr="000646FE" w:rsidRDefault="009A0ACB" w:rsidP="009A0ACB">
      <w:pPr>
        <w:pStyle w:val="Textpoznpodarou"/>
      </w:pPr>
      <w:r>
        <w:rPr>
          <w:rStyle w:val="Znakapoznpodarou"/>
        </w:rPr>
        <w:footnoteRef/>
      </w:r>
      <w:r>
        <w:t xml:space="preserve"> </w:t>
      </w:r>
      <w:bookmarkStart w:id="17" w:name="_Hlk161999493"/>
      <w:r w:rsidRPr="000646FE">
        <w:t xml:space="preserve">Rezoluce Valného shromáždění, OSN A/RES/2625(XXV), Declaration on Principles of International Law concerning Friendly Relations and Cooperation among States in accordance with the Charter of the United Nations. ze dne 24. 10. 1970 [online]. Dostupné z: </w:t>
      </w:r>
      <w:hyperlink r:id="rId31" w:history="1">
        <w:r w:rsidRPr="000646FE">
          <w:rPr>
            <w:rStyle w:val="Hypertextovodkaz"/>
          </w:rPr>
          <w:t>https://digitallibrary.un.org/record/202170?ln=en&amp;v=pdf</w:t>
        </w:r>
      </w:hyperlink>
    </w:p>
    <w:bookmarkEnd w:id="17"/>
  </w:footnote>
  <w:footnote w:id="71">
    <w:p w14:paraId="44B211C6" w14:textId="77777777" w:rsidR="009A0ACB" w:rsidRDefault="009A0ACB" w:rsidP="009A0ACB">
      <w:pPr>
        <w:pStyle w:val="Textpoznpodarou"/>
      </w:pPr>
      <w:r>
        <w:rPr>
          <w:rStyle w:val="Znakapoznpodarou"/>
        </w:rPr>
        <w:footnoteRef/>
      </w:r>
      <w:r>
        <w:t xml:space="preserve"> Tamtéž </w:t>
      </w:r>
    </w:p>
  </w:footnote>
  <w:footnote w:id="72">
    <w:p w14:paraId="7E60AF18" w14:textId="77777777" w:rsidR="009A0ACB" w:rsidRDefault="009A0ACB" w:rsidP="009A0ACB">
      <w:pPr>
        <w:pStyle w:val="Textpoznpodarou"/>
      </w:pPr>
      <w:r>
        <w:rPr>
          <w:rStyle w:val="Znakapoznpodarou"/>
        </w:rPr>
        <w:footnoteRef/>
      </w:r>
      <w:r>
        <w:t xml:space="preserve"> </w:t>
      </w:r>
      <w:r w:rsidRPr="009E4F44">
        <w:t>POTOČNÝ, Miroslav a ONDŘEJ, Jan. Mezinárodní právo veřejné: zvláštní část. 6., dopl. a rozš. vyd. Právnické učebnice. V Praze: C.H. Beck, 2011</w:t>
      </w:r>
      <w:r>
        <w:t>, s.3, ar. 3</w:t>
      </w:r>
    </w:p>
  </w:footnote>
  <w:footnote w:id="73">
    <w:p w14:paraId="5E2A2793" w14:textId="77777777" w:rsidR="009A0ACB" w:rsidRDefault="009A0ACB" w:rsidP="009A0ACB">
      <w:pPr>
        <w:pStyle w:val="Textpoznpodarou"/>
      </w:pPr>
      <w:r>
        <w:rPr>
          <w:rStyle w:val="Znakapoznpodarou"/>
        </w:rPr>
        <w:footnoteRef/>
      </w:r>
      <w:r>
        <w:t xml:space="preserve"> Tamtéž, s. 5, ar. 13</w:t>
      </w:r>
    </w:p>
  </w:footnote>
  <w:footnote w:id="74">
    <w:p w14:paraId="123D15FC" w14:textId="77777777" w:rsidR="009A0ACB" w:rsidRDefault="009A0ACB" w:rsidP="009A0ACB">
      <w:pPr>
        <w:pStyle w:val="Textpoznpodarou"/>
      </w:pPr>
      <w:r>
        <w:rPr>
          <w:rStyle w:val="Znakapoznpodarou"/>
        </w:rPr>
        <w:footnoteRef/>
      </w:r>
      <w:r>
        <w:t xml:space="preserve"> </w:t>
      </w:r>
      <w:r w:rsidRPr="00A83F81">
        <w:t>Rozsudek Mezinárodního soudního dvora ve věci Military and paramilitary activities in and against Nicaragua (Nicaragua v. United States of America), ze dne 27. června 1986,</w:t>
      </w:r>
      <w:r>
        <w:t xml:space="preserve"> ar.195</w:t>
      </w:r>
      <w:r w:rsidRPr="00A83F81">
        <w:t xml:space="preserve"> [online]. Dostupné z: https://www.icj-cij.org/case/70</w:t>
      </w:r>
    </w:p>
  </w:footnote>
  <w:footnote w:id="75">
    <w:p w14:paraId="4C812762" w14:textId="77777777" w:rsidR="009A0ACB" w:rsidRDefault="009A0ACB" w:rsidP="009A0ACB">
      <w:pPr>
        <w:pStyle w:val="Textpoznpodarou"/>
      </w:pPr>
      <w:r>
        <w:rPr>
          <w:rStyle w:val="Znakapoznpodarou"/>
        </w:rPr>
        <w:footnoteRef/>
      </w:r>
      <w:r>
        <w:t xml:space="preserve"> Tamtéž, ar. 201</w:t>
      </w:r>
    </w:p>
  </w:footnote>
  <w:footnote w:id="76">
    <w:p w14:paraId="11D0B558" w14:textId="77777777" w:rsidR="009A0ACB" w:rsidRDefault="009A0ACB" w:rsidP="009A0ACB">
      <w:pPr>
        <w:pStyle w:val="Textpoznpodarou"/>
      </w:pPr>
      <w:r>
        <w:rPr>
          <w:rStyle w:val="Znakapoznpodarou"/>
        </w:rPr>
        <w:footnoteRef/>
      </w:r>
      <w:r>
        <w:t xml:space="preserve"> Charta OSN, čl. 39</w:t>
      </w:r>
    </w:p>
  </w:footnote>
  <w:footnote w:id="77">
    <w:p w14:paraId="0EC9A32D" w14:textId="1882F0AC" w:rsidR="009A0ACB" w:rsidRDefault="009A0ACB" w:rsidP="009A0ACB">
      <w:pPr>
        <w:pStyle w:val="Textpoznpodarou"/>
      </w:pPr>
      <w:r>
        <w:rPr>
          <w:rStyle w:val="Znakapoznpodarou"/>
        </w:rPr>
        <w:footnoteRef/>
      </w:r>
      <w:r>
        <w:t xml:space="preserve"> </w:t>
      </w:r>
      <w:bookmarkStart w:id="18" w:name="_Hlk161999442"/>
      <w:r w:rsidRPr="000646FE">
        <w:t xml:space="preserve">Rezoluce Rady bezpečnosti OSN, S/RES/1296, ze dne 19. dubna 2000, ar. 5 [online] Dostupné z: </w:t>
      </w:r>
      <w:hyperlink r:id="rId32" w:history="1">
        <w:r w:rsidRPr="000646FE">
          <w:rPr>
            <w:rStyle w:val="Hypertextovodkaz"/>
          </w:rPr>
          <w:t>https://digitallibrary.un.org/record/412414?v=pdf</w:t>
        </w:r>
      </w:hyperlink>
      <w:bookmarkEnd w:id="18"/>
    </w:p>
  </w:footnote>
  <w:footnote w:id="78">
    <w:p w14:paraId="68859D48" w14:textId="77777777" w:rsidR="009A0ACB" w:rsidRPr="003A6D1D" w:rsidRDefault="009A0ACB" w:rsidP="009A0ACB">
      <w:pPr>
        <w:pStyle w:val="Textpoznpodarou"/>
        <w:rPr>
          <w:b/>
          <w:bCs/>
        </w:rPr>
      </w:pPr>
      <w:r>
        <w:rPr>
          <w:rStyle w:val="Znakapoznpodarou"/>
        </w:rPr>
        <w:footnoteRef/>
      </w:r>
      <w:r>
        <w:t xml:space="preserve"> </w:t>
      </w:r>
      <w:bookmarkStart w:id="19" w:name="_Hlk161999385"/>
      <w:r w:rsidRPr="000646FE">
        <w:t xml:space="preserve">Rezoluce Rady bezpečnosti OSN, S/RES/1308, ze dne 17. července 2000, ar. 1 [online] Dostupné z: </w:t>
      </w:r>
      <w:hyperlink r:id="rId33" w:history="1">
        <w:r w:rsidRPr="000646FE">
          <w:rPr>
            <w:rStyle w:val="Hypertextovodkaz"/>
          </w:rPr>
          <w:t>https://digitallibrary.un.org/record/418823?v=pdf</w:t>
        </w:r>
      </w:hyperlink>
      <w:r w:rsidRPr="003A6D1D">
        <w:rPr>
          <w:b/>
          <w:bCs/>
        </w:rPr>
        <w:t xml:space="preserve"> </w:t>
      </w:r>
      <w:bookmarkEnd w:id="19"/>
    </w:p>
  </w:footnote>
  <w:footnote w:id="79">
    <w:p w14:paraId="68EFCC3D" w14:textId="77777777" w:rsidR="009A0ACB" w:rsidRPr="00962C49" w:rsidRDefault="009A0ACB" w:rsidP="009A0ACB">
      <w:pPr>
        <w:pStyle w:val="Textpoznpodarou"/>
      </w:pPr>
      <w:r>
        <w:rPr>
          <w:rStyle w:val="Znakapoznpodarou"/>
        </w:rPr>
        <w:footnoteRef/>
      </w:r>
      <w:r>
        <w:t xml:space="preserve"> </w:t>
      </w:r>
      <w:bookmarkStart w:id="20" w:name="_Hlk161999358"/>
      <w:r w:rsidRPr="000646FE">
        <w:t xml:space="preserve">Rezoluce Rady bezpečnosti OSN, S/RES/1816, ze dne 2. června 2008. [online] Dostupné z: </w:t>
      </w:r>
      <w:hyperlink r:id="rId34" w:history="1">
        <w:r w:rsidRPr="00962C49">
          <w:rPr>
            <w:rStyle w:val="Hypertextovodkaz"/>
          </w:rPr>
          <w:t>https://digitallibrary.un.org/record/627953?v=pdf</w:t>
        </w:r>
      </w:hyperlink>
      <w:r w:rsidRPr="00962C49">
        <w:rPr>
          <w:b/>
          <w:bCs/>
        </w:rPr>
        <w:t xml:space="preserve">  </w:t>
      </w:r>
      <w:bookmarkEnd w:id="20"/>
    </w:p>
  </w:footnote>
  <w:footnote w:id="80">
    <w:p w14:paraId="527B2E61" w14:textId="43E78F1A" w:rsidR="009A0ACB" w:rsidRPr="00962C49" w:rsidRDefault="009A0ACB" w:rsidP="009A0ACB">
      <w:pPr>
        <w:pStyle w:val="Textpoznpodarou"/>
      </w:pPr>
      <w:r w:rsidRPr="00962C49">
        <w:rPr>
          <w:rStyle w:val="Znakapoznpodarou"/>
        </w:rPr>
        <w:footnoteRef/>
      </w:r>
      <w:r w:rsidRPr="00962C49">
        <w:t xml:space="preserve"> </w:t>
      </w:r>
      <w:r w:rsidR="00FB4F48" w:rsidRPr="00962C49">
        <w:t xml:space="preserve">SIMMA, Bruno; KHAN, Daniel-Erasmus; NOLTE, Georg; PAULUS, Andreas; WESSENDORF, Nikolai et al. (ed.). The Charter of the United Nations: a commentary. Volume I. Third edition. Oxford: Oxford University Press, 2012, </w:t>
      </w:r>
      <w:r w:rsidR="00962C49" w:rsidRPr="00962C49">
        <w:t>s. 1239, ar. 41</w:t>
      </w:r>
      <w:r w:rsidR="00FB4F48" w:rsidRPr="00962C49">
        <w:t xml:space="preserve"> </w:t>
      </w:r>
    </w:p>
  </w:footnote>
  <w:footnote w:id="81">
    <w:p w14:paraId="5AAF207E" w14:textId="77777777" w:rsidR="009A0ACB" w:rsidRDefault="009A0ACB" w:rsidP="009A0ACB">
      <w:pPr>
        <w:pStyle w:val="Textpoznpodarou"/>
      </w:pPr>
      <w:r w:rsidRPr="00962C49">
        <w:rPr>
          <w:rStyle w:val="Znakapoznpodarou"/>
        </w:rPr>
        <w:footnoteRef/>
      </w:r>
      <w:r w:rsidRPr="00962C49">
        <w:t xml:space="preserve"> Tamtéž</w:t>
      </w:r>
    </w:p>
  </w:footnote>
  <w:footnote w:id="82">
    <w:p w14:paraId="0B7E7923" w14:textId="77777777" w:rsidR="009A0ACB" w:rsidRDefault="009A0ACB" w:rsidP="009A0ACB">
      <w:pPr>
        <w:pStyle w:val="Textpoznpodarou"/>
      </w:pPr>
      <w:r>
        <w:rPr>
          <w:rStyle w:val="Znakapoznpodarou"/>
        </w:rPr>
        <w:footnoteRef/>
      </w:r>
      <w:r>
        <w:t xml:space="preserve"> </w:t>
      </w:r>
      <w:r w:rsidRPr="000646FE">
        <w:t xml:space="preserve">Rezoluce Valného shromáždění OSN A/RES/3314, ze dne 14. prosince 1974, čl. 1 [online] Dostupné z: </w:t>
      </w:r>
      <w:hyperlink r:id="rId35" w:history="1">
        <w:r w:rsidRPr="000646FE">
          <w:rPr>
            <w:rStyle w:val="Hypertextovodkaz"/>
          </w:rPr>
          <w:t>http://hrlibrary.umn.edu/instree/GAres3314.html</w:t>
        </w:r>
      </w:hyperlink>
      <w:r>
        <w:t xml:space="preserve"> </w:t>
      </w:r>
    </w:p>
  </w:footnote>
  <w:footnote w:id="83">
    <w:p w14:paraId="0DF9F4C2" w14:textId="77777777" w:rsidR="009A0ACB" w:rsidRDefault="009A0ACB" w:rsidP="009A0ACB">
      <w:pPr>
        <w:pStyle w:val="Textpoznpodarou"/>
      </w:pPr>
      <w:r>
        <w:rPr>
          <w:rStyle w:val="Znakapoznpodarou"/>
        </w:rPr>
        <w:footnoteRef/>
      </w:r>
      <w:r>
        <w:t xml:space="preserve"> </w:t>
      </w:r>
      <w:bookmarkStart w:id="21" w:name="_Hlk161999263"/>
      <w:r w:rsidRPr="000646FE">
        <w:t xml:space="preserve">Rezoluce Valného shromáždění OSN A/RES/ES-11/1, ze dne 2. března 2022, ar. 2 [online] Dostupné z: </w:t>
      </w:r>
      <w:hyperlink r:id="rId36" w:history="1">
        <w:r w:rsidRPr="000646FE">
          <w:rPr>
            <w:rStyle w:val="Hypertextovodkaz"/>
          </w:rPr>
          <w:t>https://documents.un.org/symbol-explorer?s=A/RES/ES-11/1&amp;i=A/RES/ES-11/1_0582221</w:t>
        </w:r>
      </w:hyperlink>
      <w:r w:rsidRPr="000646FE">
        <w:t xml:space="preserve"> </w:t>
      </w:r>
      <w:bookmarkEnd w:id="21"/>
    </w:p>
  </w:footnote>
  <w:footnote w:id="84">
    <w:p w14:paraId="492F5D10" w14:textId="77777777" w:rsidR="009A0ACB" w:rsidRDefault="009A0ACB" w:rsidP="009A0ACB">
      <w:pPr>
        <w:pStyle w:val="Textpoznpodarou"/>
      </w:pPr>
      <w:r>
        <w:rPr>
          <w:rStyle w:val="Znakapoznpodarou"/>
        </w:rPr>
        <w:footnoteRef/>
      </w:r>
      <w:r>
        <w:t xml:space="preserve"> </w:t>
      </w:r>
      <w:bookmarkStart w:id="22" w:name="_Hlk161998808"/>
      <w:r w:rsidRPr="000646FE">
        <w:t xml:space="preserve">Rezoluce Valného shromáždění OSN A/RES/3314, ze dne 14. prosince 1974, čl. 3 pís. d) [online] Dostupné z: </w:t>
      </w:r>
      <w:hyperlink r:id="rId37" w:history="1">
        <w:r w:rsidRPr="000646FE">
          <w:rPr>
            <w:rStyle w:val="Hypertextovodkaz"/>
          </w:rPr>
          <w:t>http://hrlibrary.umn.edu/instree/GAres3314.html</w:t>
        </w:r>
      </w:hyperlink>
      <w:bookmarkEnd w:id="22"/>
    </w:p>
  </w:footnote>
  <w:footnote w:id="85">
    <w:p w14:paraId="1F359B6D" w14:textId="62311D29" w:rsidR="00CA6239" w:rsidRDefault="00CA6239" w:rsidP="00CA6239">
      <w:pPr>
        <w:pStyle w:val="Textpoznpodarou"/>
      </w:pPr>
      <w:r>
        <w:rPr>
          <w:rStyle w:val="Znakapoznpodarou"/>
        </w:rPr>
        <w:footnoteRef/>
      </w:r>
      <w:r>
        <w:t xml:space="preserve"> DINSTEIN, Yoram </w:t>
      </w:r>
      <w:r>
        <w:rPr>
          <w:i/>
          <w:iCs/>
        </w:rPr>
        <w:t>The Conduct of Hostilities under the Law of International Armed Conflict</w:t>
      </w:r>
      <w:r>
        <w:t>.</w:t>
      </w:r>
      <w:r w:rsidRPr="00E156AA">
        <w:t xml:space="preserve"> </w:t>
      </w:r>
      <w:r>
        <w:t xml:space="preserve">[online]  Cambridge: </w:t>
      </w:r>
      <w:r w:rsidR="00D54EB0">
        <w:t>1</w:t>
      </w:r>
      <w:r>
        <w:t xml:space="preserve">Cambridge University Press, 3. vydání, 2016, s. 174 – 175. Dostupné z: </w:t>
      </w:r>
      <w:hyperlink r:id="rId38" w:history="1">
        <w:r w:rsidRPr="000A3EF3">
          <w:rPr>
            <w:rStyle w:val="Hypertextovodkaz"/>
          </w:rPr>
          <w:t>https://www.cambridge.org/core/books/conduct-of-hostilities-under-the-law-of-international-armed-conflict/6F968AB75832E7A46CD4FEE7CA86BB8F</w:t>
        </w:r>
      </w:hyperlink>
      <w:r>
        <w:t xml:space="preserve"> </w:t>
      </w:r>
    </w:p>
  </w:footnote>
  <w:footnote w:id="86">
    <w:p w14:paraId="66986EC6" w14:textId="77777777" w:rsidR="00CA6239" w:rsidRDefault="00CA6239" w:rsidP="00CA6239">
      <w:pPr>
        <w:pStyle w:val="Textpoznpodarou"/>
      </w:pPr>
      <w:r>
        <w:rPr>
          <w:rStyle w:val="Znakapoznpodarou"/>
        </w:rPr>
        <w:footnoteRef/>
      </w:r>
      <w:r>
        <w:t xml:space="preserve"> EČER, Bohuslav. </w:t>
      </w:r>
      <w:r>
        <w:rPr>
          <w:i/>
          <w:iCs/>
        </w:rPr>
        <w:t>Vývoj a základy mezinárodního práva trestního: (se zvláštním zřetelem k československé účasti na potrestání zločinů druhé světové války a zejména na přípravě, zřízení a díle Mezinárodního vojenského tribunálu v Norimberku)</w:t>
      </w:r>
      <w:r>
        <w:t>. Praha: V. Linhart, 1948, s. 19.</w:t>
      </w:r>
    </w:p>
  </w:footnote>
  <w:footnote w:id="87">
    <w:p w14:paraId="00DE9B65" w14:textId="7A5C3845" w:rsidR="00CA6239" w:rsidRDefault="00CA6239" w:rsidP="00CA6239">
      <w:pPr>
        <w:pStyle w:val="Textpoznpodarou"/>
      </w:pPr>
      <w:r>
        <w:rPr>
          <w:rStyle w:val="Znakapoznpodarou"/>
        </w:rPr>
        <w:footnoteRef/>
      </w:r>
      <w:r>
        <w:t xml:space="preserve"> </w:t>
      </w:r>
      <w:r w:rsidR="00CA15B3">
        <w:t xml:space="preserve">Tamtéž, </w:t>
      </w:r>
      <w:r>
        <w:t>s. 9.</w:t>
      </w:r>
    </w:p>
  </w:footnote>
  <w:footnote w:id="88">
    <w:p w14:paraId="76FC0FA9" w14:textId="77777777" w:rsidR="00CA6239" w:rsidRDefault="00CA6239" w:rsidP="00CA6239">
      <w:pPr>
        <w:pStyle w:val="Textpoznpodarou"/>
      </w:pPr>
      <w:r>
        <w:rPr>
          <w:rStyle w:val="Znakapoznpodarou"/>
        </w:rPr>
        <w:footnoteRef/>
      </w:r>
      <w:r>
        <w:t xml:space="preserve"> ASTROTH, Alexander. </w:t>
      </w:r>
      <w:r w:rsidRPr="00452195">
        <w:t>The Decline of Japanese Firearm Manufacturing and Proliferation in the Seventeenth Century</w:t>
      </w:r>
      <w:r>
        <w:t xml:space="preserve"> In:</w:t>
      </w:r>
      <w:r w:rsidRPr="00452195">
        <w:t xml:space="preserve"> </w:t>
      </w:r>
      <w:r>
        <w:t xml:space="preserve">The Age of Gunpowder - </w:t>
      </w:r>
      <w:r w:rsidRPr="00452195">
        <w:rPr>
          <w:i/>
          <w:iCs/>
        </w:rPr>
        <w:t>An Era of Technological, Tactical, Strategic, and Leadership Innovations</w:t>
      </w:r>
      <w:r>
        <w:rPr>
          <w:i/>
          <w:iCs/>
        </w:rPr>
        <w:t xml:space="preserve"> </w:t>
      </w:r>
      <w:r>
        <w:t>[online]</w:t>
      </w:r>
      <w:r w:rsidRPr="00452195">
        <w:rPr>
          <w:i/>
          <w:iCs/>
        </w:rPr>
        <w:t xml:space="preserve"> </w:t>
      </w:r>
      <w:r w:rsidRPr="00452195">
        <w:t>Emory Endeavors in History</w:t>
      </w:r>
      <w:r>
        <w:t>, Volume V.</w:t>
      </w:r>
      <w:r w:rsidRPr="00D52C58">
        <w:t xml:space="preserve"> 2013</w:t>
      </w:r>
      <w:r>
        <w:t xml:space="preserve">, s. 136 – 142. Dostupné z: </w:t>
      </w:r>
      <w:hyperlink r:id="rId39" w:history="1">
        <w:r w:rsidRPr="00A16DC0">
          <w:rPr>
            <w:rStyle w:val="Hypertextovodkaz"/>
          </w:rPr>
          <w:t>http://history.emory.edu/home/undergraduate/endeavors-journal/volume-5.html</w:t>
        </w:r>
      </w:hyperlink>
      <w:r>
        <w:t xml:space="preserve"> </w:t>
      </w:r>
    </w:p>
  </w:footnote>
  <w:footnote w:id="89">
    <w:p w14:paraId="3EF1B969" w14:textId="77777777" w:rsidR="00CA6239" w:rsidRPr="00D40723" w:rsidRDefault="00CA6239" w:rsidP="00CA6239">
      <w:pPr>
        <w:pStyle w:val="Textpoznpodarou"/>
        <w:rPr>
          <w:sz w:val="22"/>
          <w:szCs w:val="22"/>
        </w:rPr>
      </w:pPr>
      <w:r>
        <w:rPr>
          <w:rStyle w:val="Znakapoznpodarou"/>
        </w:rPr>
        <w:footnoteRef/>
      </w:r>
      <w:r>
        <w:t xml:space="preserve"> </w:t>
      </w:r>
      <w:r w:rsidRPr="00D40723">
        <w:t>REEVES, Shane R., JOHNSON,</w:t>
      </w:r>
      <w:r>
        <w:t xml:space="preserve"> 2014</w:t>
      </w:r>
      <w:r w:rsidRPr="00D40723">
        <w:t xml:space="preserve"> William J., </w:t>
      </w:r>
      <w:r w:rsidRPr="00D40723">
        <w:rPr>
          <w:i/>
          <w:iCs/>
        </w:rPr>
        <w:t>Autonomous Weapons: Are You Sure These Are Killer Robots? Can We Talk About It?</w:t>
      </w:r>
      <w:r w:rsidRPr="00D40723">
        <w:t>, 2014 ARMY LAW</w:t>
      </w:r>
      <w:r>
        <w:t>,</w:t>
      </w:r>
      <w:r w:rsidRPr="00D40723">
        <w:t xml:space="preserve"> s. 29. Dostupné z: </w:t>
      </w:r>
      <w:hyperlink r:id="rId40" w:history="1">
        <w:r w:rsidRPr="00D40723">
          <w:rPr>
            <w:rStyle w:val="Hypertextovodkaz"/>
          </w:rPr>
          <w:t>https://www.proquest.com/docview/1540957074/DA54FCA08594ECDPQ/1?accountid=16730</w:t>
        </w:r>
      </w:hyperlink>
      <w:r w:rsidRPr="00D40723">
        <w:t xml:space="preserve"> </w:t>
      </w:r>
    </w:p>
  </w:footnote>
  <w:footnote w:id="90">
    <w:p w14:paraId="5A62CFA1" w14:textId="77777777" w:rsidR="00CA6239" w:rsidRDefault="00CA6239" w:rsidP="00CA6239">
      <w:pPr>
        <w:pStyle w:val="Textpoznpodarou"/>
      </w:pPr>
      <w:r>
        <w:rPr>
          <w:rStyle w:val="Znakapoznpodarou"/>
        </w:rPr>
        <w:footnoteRef/>
      </w:r>
      <w:r>
        <w:t xml:space="preserve"> SCHARRE, Paul. </w:t>
      </w:r>
      <w:r w:rsidRPr="00C2176D">
        <w:rPr>
          <w:i/>
          <w:iCs/>
        </w:rPr>
        <w:t>Armáda strojů</w:t>
      </w:r>
      <w:r>
        <w:rPr>
          <w:i/>
          <w:iCs/>
        </w:rPr>
        <w:t>: a</w:t>
      </w:r>
      <w:r w:rsidRPr="00C2176D">
        <w:rPr>
          <w:i/>
          <w:iCs/>
        </w:rPr>
        <w:t>utonomní zbraně a budoucnost války</w:t>
      </w:r>
      <w:r>
        <w:t>. 1. vydání. Praha: Knižní klub. Universum (Knižní klub), 2018, s. 456</w:t>
      </w:r>
    </w:p>
  </w:footnote>
  <w:footnote w:id="91">
    <w:p w14:paraId="1BC42F34" w14:textId="77777777" w:rsidR="00CA6239" w:rsidRDefault="00CA6239" w:rsidP="00CA6239">
      <w:pPr>
        <w:pStyle w:val="Textpoznpodarou"/>
      </w:pPr>
      <w:r>
        <w:rPr>
          <w:rStyle w:val="Znakapoznpodarou"/>
        </w:rPr>
        <w:footnoteRef/>
      </w:r>
      <w:r>
        <w:t xml:space="preserve"> Tamtéž, s. 455</w:t>
      </w:r>
    </w:p>
  </w:footnote>
  <w:footnote w:id="92">
    <w:p w14:paraId="50539DF4" w14:textId="77777777" w:rsidR="00CA6239" w:rsidRDefault="00CA6239" w:rsidP="00CA6239">
      <w:pPr>
        <w:pStyle w:val="Textpoznpodarou"/>
      </w:pPr>
      <w:r>
        <w:rPr>
          <w:rStyle w:val="Znakapoznpodarou"/>
        </w:rPr>
        <w:footnoteRef/>
      </w:r>
      <w:r>
        <w:t xml:space="preserve"> MCFARLAND, Tim, 2020. Legal Background. In: </w:t>
      </w:r>
      <w:r>
        <w:rPr>
          <w:i/>
          <w:iCs/>
        </w:rPr>
        <w:t>Autonomous Weapon Systems and the Law of Armed Conflict: Compatibility with International Humanitarian Law</w:t>
      </w:r>
      <w:r>
        <w:t xml:space="preserve"> [online]. Cambridge: Cambridge University Press, s. 8. Dostupné z: </w:t>
      </w:r>
      <w:hyperlink r:id="rId41" w:history="1">
        <w:r w:rsidRPr="00E92B74">
          <w:rPr>
            <w:rStyle w:val="Hypertextovodkaz"/>
          </w:rPr>
          <w:t>https://www.cambridge.org/core/books/autonomous-weapon-systems-and-the-law-of-armed-conflict/09BFF6BB5B88E34935678B5A0606A8A7</w:t>
        </w:r>
      </w:hyperlink>
      <w:r>
        <w:t xml:space="preserve"> </w:t>
      </w:r>
    </w:p>
  </w:footnote>
  <w:footnote w:id="93">
    <w:p w14:paraId="32DF7F18" w14:textId="1C814D10" w:rsidR="00CA6239" w:rsidRDefault="00CA6239" w:rsidP="00CA6239">
      <w:pPr>
        <w:pStyle w:val="Textpoznpodarou"/>
      </w:pPr>
      <w:r>
        <w:rPr>
          <w:rStyle w:val="Znakapoznpodarou"/>
        </w:rPr>
        <w:footnoteRef/>
      </w:r>
      <w:r>
        <w:t xml:space="preserve"> </w:t>
      </w:r>
      <w:r w:rsidR="00493BFB">
        <w:t xml:space="preserve">MCFARLAND, Tim, 2020. Legal Background. In: </w:t>
      </w:r>
      <w:r w:rsidR="00493BFB">
        <w:rPr>
          <w:i/>
          <w:iCs/>
        </w:rPr>
        <w:t>Autonomous Weapon Systems and the Law of Armed Conflict: Compatibility with International Humanitarian Law</w:t>
      </w:r>
      <w:r w:rsidR="00493BFB">
        <w:t xml:space="preserve"> [online]. Cambridge: Cambridge University Press, s. 8. Dostupné z: </w:t>
      </w:r>
      <w:hyperlink r:id="rId42" w:history="1">
        <w:r w:rsidR="00493BFB" w:rsidRPr="00E92B74">
          <w:rPr>
            <w:rStyle w:val="Hypertextovodkaz"/>
          </w:rPr>
          <w:t>https://www.cambridge.org/core/books/autonomous-weapon-systems-and-the-law-of-armed-conflict/09BFF6BB5B88E34935678B5A0606A8A7</w:t>
        </w:r>
      </w:hyperlink>
    </w:p>
  </w:footnote>
  <w:footnote w:id="94">
    <w:p w14:paraId="25B5D1F7" w14:textId="77777777" w:rsidR="00CA6239" w:rsidRDefault="00CA6239" w:rsidP="00CA6239">
      <w:pPr>
        <w:pStyle w:val="Textpoznpodarou"/>
      </w:pPr>
      <w:r>
        <w:rPr>
          <w:rStyle w:val="Znakapoznpodarou"/>
        </w:rPr>
        <w:footnoteRef/>
      </w:r>
      <w:r>
        <w:t xml:space="preserve"> Rozsudek Mezinárodního vojenského tribunálu pro Dálný východ, ze dne 12.listopadu 1948, s. 65 [online]. Dostupné z: </w:t>
      </w:r>
      <w:hyperlink r:id="rId43" w:history="1">
        <w:r w:rsidRPr="00B523D3">
          <w:rPr>
            <w:rStyle w:val="Hypertextovodkaz"/>
          </w:rPr>
          <w:t>https://www.loc.gov/item/2021692613/</w:t>
        </w:r>
      </w:hyperlink>
      <w:r>
        <w:t xml:space="preserve"> </w:t>
      </w:r>
    </w:p>
  </w:footnote>
  <w:footnote w:id="95">
    <w:p w14:paraId="4B44A99A" w14:textId="77777777" w:rsidR="00CA6239" w:rsidRDefault="00CA6239" w:rsidP="00CA6239">
      <w:pPr>
        <w:pStyle w:val="Textpoznpodarou"/>
      </w:pPr>
      <w:r>
        <w:rPr>
          <w:rStyle w:val="Znakapoznpodarou"/>
        </w:rPr>
        <w:footnoteRef/>
      </w:r>
      <w:r>
        <w:t xml:space="preserve"> </w:t>
      </w:r>
      <w:r w:rsidRPr="00F01F7D">
        <w:t>Ženevská úmluva o zlepšení osudu raněných a nemocných příslušníků ozbrojených sil v</w:t>
      </w:r>
      <w:r>
        <w:t> </w:t>
      </w:r>
      <w:r w:rsidRPr="00F01F7D">
        <w:t>poli</w:t>
      </w:r>
      <w:r>
        <w:t>, ze dne 12. srpna 1949</w:t>
      </w:r>
    </w:p>
  </w:footnote>
  <w:footnote w:id="96">
    <w:p w14:paraId="242B4D9E" w14:textId="77777777" w:rsidR="00CA6239" w:rsidRDefault="00CA6239" w:rsidP="00CA6239">
      <w:pPr>
        <w:pStyle w:val="Textpoznpodarou"/>
      </w:pPr>
      <w:r>
        <w:rPr>
          <w:rStyle w:val="Znakapoznpodarou"/>
        </w:rPr>
        <w:footnoteRef/>
      </w:r>
      <w:r>
        <w:t xml:space="preserve"> </w:t>
      </w:r>
      <w:r w:rsidRPr="00F01F7D">
        <w:t>Ženevská úmluva o zlepšení osudu raněných, nemocných a trosečníků ozbrojených sil na moři</w:t>
      </w:r>
      <w:r>
        <w:t>, ze dne 12. srpna 1949</w:t>
      </w:r>
    </w:p>
  </w:footnote>
  <w:footnote w:id="97">
    <w:p w14:paraId="2C4D639E" w14:textId="77777777" w:rsidR="00CA6239" w:rsidRDefault="00CA6239" w:rsidP="00CA6239">
      <w:pPr>
        <w:pStyle w:val="Textpoznpodarou"/>
      </w:pPr>
      <w:r>
        <w:rPr>
          <w:rStyle w:val="Znakapoznpodarou"/>
        </w:rPr>
        <w:footnoteRef/>
      </w:r>
      <w:r>
        <w:t xml:space="preserve"> </w:t>
      </w:r>
      <w:r w:rsidRPr="00A47413">
        <w:t>Ženevská úmluva o zacházení s válečnými zajatci</w:t>
      </w:r>
      <w:r>
        <w:t>, ze dne 12. srpna 1949</w:t>
      </w:r>
    </w:p>
  </w:footnote>
  <w:footnote w:id="98">
    <w:p w14:paraId="2FF3673C" w14:textId="77777777" w:rsidR="00CA6239" w:rsidRDefault="00CA6239" w:rsidP="00CA6239">
      <w:pPr>
        <w:pStyle w:val="Textpoznpodarou"/>
      </w:pPr>
      <w:r>
        <w:rPr>
          <w:rStyle w:val="Znakapoznpodarou"/>
        </w:rPr>
        <w:footnoteRef/>
      </w:r>
      <w:r>
        <w:t xml:space="preserve"> </w:t>
      </w:r>
      <w:r w:rsidRPr="00A47413">
        <w:t>Ženevská úmluva o ochraně civilních osob za války</w:t>
      </w:r>
      <w:r>
        <w:t>, ze dne 12. srpna 1949</w:t>
      </w:r>
    </w:p>
  </w:footnote>
  <w:footnote w:id="99">
    <w:p w14:paraId="27CC4389" w14:textId="77777777" w:rsidR="00CA6239" w:rsidRDefault="00CA6239" w:rsidP="00CA6239">
      <w:pPr>
        <w:pStyle w:val="Textpoznpodarou"/>
      </w:pPr>
      <w:r>
        <w:rPr>
          <w:rStyle w:val="Znakapoznpodarou"/>
        </w:rPr>
        <w:footnoteRef/>
      </w:r>
      <w:r>
        <w:t xml:space="preserve"> </w:t>
      </w:r>
      <w:r w:rsidRPr="00337BFE">
        <w:t>Poradn</w:t>
      </w:r>
      <w:r w:rsidRPr="00337BFE">
        <w:rPr>
          <w:rFonts w:hint="cs"/>
        </w:rPr>
        <w:t>í</w:t>
      </w:r>
      <w:r w:rsidRPr="00337BFE">
        <w:t xml:space="preserve"> rozsudek Mezin</w:t>
      </w:r>
      <w:r w:rsidRPr="00337BFE">
        <w:rPr>
          <w:rFonts w:hint="cs"/>
        </w:rPr>
        <w:t>á</w:t>
      </w:r>
      <w:r w:rsidRPr="00337BFE">
        <w:t>rodn</w:t>
      </w:r>
      <w:r w:rsidRPr="00337BFE">
        <w:rPr>
          <w:rFonts w:hint="cs"/>
        </w:rPr>
        <w:t>í</w:t>
      </w:r>
      <w:r w:rsidRPr="00337BFE">
        <w:t>ho soudn</w:t>
      </w:r>
      <w:r w:rsidRPr="00337BFE">
        <w:rPr>
          <w:rFonts w:hint="cs"/>
        </w:rPr>
        <w:t>í</w:t>
      </w:r>
      <w:r w:rsidRPr="00337BFE">
        <w:t>ho dvora ve v</w:t>
      </w:r>
      <w:r w:rsidRPr="00337BFE">
        <w:rPr>
          <w:rFonts w:hint="cs"/>
        </w:rPr>
        <w:t>ě</w:t>
      </w:r>
      <w:r w:rsidRPr="00337BFE">
        <w:t>ci Legality of the threat or use of nuclear weapons, Reports of Judgements, ADVISORY OPINIONS AND ORDERS General List No. 95,</w:t>
      </w:r>
      <w:r>
        <w:t xml:space="preserve"> ar. 75,</w:t>
      </w:r>
      <w:r w:rsidRPr="00337BFE">
        <w:t xml:space="preserve"> ze dne 8. </w:t>
      </w:r>
      <w:r w:rsidRPr="00337BFE">
        <w:rPr>
          <w:rFonts w:hint="cs"/>
        </w:rPr>
        <w:t>č</w:t>
      </w:r>
      <w:r w:rsidRPr="00337BFE">
        <w:t>ervence 1996</w:t>
      </w:r>
      <w:r>
        <w:t xml:space="preserve"> [online], Dostupné z: </w:t>
      </w:r>
      <w:hyperlink r:id="rId44" w:history="1">
        <w:r w:rsidRPr="00B523D3">
          <w:rPr>
            <w:rStyle w:val="Hypertextovodkaz"/>
          </w:rPr>
          <w:t>https://www.icj-cij.org/case/95</w:t>
        </w:r>
      </w:hyperlink>
      <w:r>
        <w:t xml:space="preserve"> </w:t>
      </w:r>
    </w:p>
  </w:footnote>
  <w:footnote w:id="100">
    <w:p w14:paraId="6247B755" w14:textId="77777777" w:rsidR="00CA6239" w:rsidRDefault="00CA6239" w:rsidP="00CA6239">
      <w:pPr>
        <w:pStyle w:val="Textpoznpodarou"/>
      </w:pPr>
      <w:r>
        <w:rPr>
          <w:rStyle w:val="Znakapoznpodarou"/>
        </w:rPr>
        <w:footnoteRef/>
      </w:r>
      <w:r>
        <w:t xml:space="preserve"> DINSTEIN, Yoram </w:t>
      </w:r>
      <w:r>
        <w:rPr>
          <w:i/>
          <w:iCs/>
        </w:rPr>
        <w:t>The Conduct of Hostilities under the Law of International Armed Conflict</w:t>
      </w:r>
      <w:r>
        <w:t>.</w:t>
      </w:r>
      <w:r w:rsidRPr="00E156AA">
        <w:t xml:space="preserve"> </w:t>
      </w:r>
      <w:r>
        <w:t xml:space="preserve">[online]  Cambridge: Cambridge University Press, 3. vydání, 2016. s. 26 Dostupné z: </w:t>
      </w:r>
      <w:hyperlink r:id="rId45" w:history="1">
        <w:r w:rsidRPr="000A3EF3">
          <w:rPr>
            <w:rStyle w:val="Hypertextovodkaz"/>
          </w:rPr>
          <w:t>https://www.cambridge.org/core/books/conduct-of-hostilities-under-the-law-of-international-armed-conflict/6F968AB75832E7A46CD4FEE7CA86BB8F</w:t>
        </w:r>
      </w:hyperlink>
    </w:p>
  </w:footnote>
  <w:footnote w:id="101">
    <w:p w14:paraId="74512C8A" w14:textId="77777777" w:rsidR="00CA6239" w:rsidRDefault="00CA6239" w:rsidP="00CA6239">
      <w:pPr>
        <w:pStyle w:val="Textpoznpodarou"/>
      </w:pPr>
      <w:r>
        <w:rPr>
          <w:rStyle w:val="Znakapoznpodarou"/>
        </w:rPr>
        <w:footnoteRef/>
      </w:r>
      <w:r>
        <w:t xml:space="preserve"> Čl..51 odst. 4, Dodatkového protokolu I.</w:t>
      </w:r>
    </w:p>
  </w:footnote>
  <w:footnote w:id="102">
    <w:p w14:paraId="6926A337" w14:textId="77777777" w:rsidR="00CA6239" w:rsidRDefault="00CA6239" w:rsidP="00CA6239">
      <w:pPr>
        <w:pStyle w:val="Textpoznpodarou"/>
      </w:pPr>
      <w:r>
        <w:rPr>
          <w:rStyle w:val="Znakapoznpodarou"/>
        </w:rPr>
        <w:footnoteRef/>
      </w:r>
      <w:r>
        <w:t xml:space="preserve"> Čl. 35 odst. 2, Tamtéž</w:t>
      </w:r>
    </w:p>
  </w:footnote>
  <w:footnote w:id="103">
    <w:p w14:paraId="0A506334" w14:textId="77777777" w:rsidR="00CA6239" w:rsidRDefault="00CA6239" w:rsidP="00CA6239">
      <w:pPr>
        <w:pStyle w:val="Textpoznpodarou"/>
      </w:pPr>
      <w:r>
        <w:rPr>
          <w:rStyle w:val="Znakapoznpodarou"/>
        </w:rPr>
        <w:footnoteRef/>
      </w:r>
      <w:r>
        <w:t xml:space="preserve"> </w:t>
      </w:r>
      <w:r w:rsidRPr="00337BFE">
        <w:t>Poradn</w:t>
      </w:r>
      <w:r w:rsidRPr="00337BFE">
        <w:rPr>
          <w:rFonts w:hint="cs"/>
        </w:rPr>
        <w:t>í</w:t>
      </w:r>
      <w:r w:rsidRPr="00337BFE">
        <w:t xml:space="preserve"> rozsudek Mezin</w:t>
      </w:r>
      <w:r w:rsidRPr="00337BFE">
        <w:rPr>
          <w:rFonts w:hint="cs"/>
        </w:rPr>
        <w:t>á</w:t>
      </w:r>
      <w:r w:rsidRPr="00337BFE">
        <w:t>rodn</w:t>
      </w:r>
      <w:r w:rsidRPr="00337BFE">
        <w:rPr>
          <w:rFonts w:hint="cs"/>
        </w:rPr>
        <w:t>í</w:t>
      </w:r>
      <w:r w:rsidRPr="00337BFE">
        <w:t>ho soudn</w:t>
      </w:r>
      <w:r w:rsidRPr="00337BFE">
        <w:rPr>
          <w:rFonts w:hint="cs"/>
        </w:rPr>
        <w:t>í</w:t>
      </w:r>
      <w:r w:rsidRPr="00337BFE">
        <w:t>ho dvora ve v</w:t>
      </w:r>
      <w:r w:rsidRPr="00337BFE">
        <w:rPr>
          <w:rFonts w:hint="cs"/>
        </w:rPr>
        <w:t>ě</w:t>
      </w:r>
      <w:r w:rsidRPr="00337BFE">
        <w:t>ci Legality of the threat or use of nuclear weapons, Reports of Judgements, ADVISORY OPINIONS AND ORDERS General List No. 95,</w:t>
      </w:r>
      <w:r>
        <w:t xml:space="preserve"> ar. 79,</w:t>
      </w:r>
      <w:r w:rsidRPr="00337BFE">
        <w:t xml:space="preserve"> ze dne 8. </w:t>
      </w:r>
      <w:r w:rsidRPr="00337BFE">
        <w:rPr>
          <w:rFonts w:hint="cs"/>
        </w:rPr>
        <w:t>č</w:t>
      </w:r>
      <w:r w:rsidRPr="00337BFE">
        <w:t>ervence 1996, [online]. Dostupn</w:t>
      </w:r>
      <w:r w:rsidRPr="00337BFE">
        <w:rPr>
          <w:rFonts w:hint="cs"/>
        </w:rPr>
        <w:t>é</w:t>
      </w:r>
      <w:r w:rsidRPr="00337BFE">
        <w:t xml:space="preserve"> z: </w:t>
      </w:r>
      <w:hyperlink r:id="rId46" w:history="1">
        <w:r w:rsidRPr="00C53F98">
          <w:rPr>
            <w:rStyle w:val="Hypertextovodkaz"/>
          </w:rPr>
          <w:t>https://www.icj-cij.org/case/95</w:t>
        </w:r>
      </w:hyperlink>
      <w:r>
        <w:t xml:space="preserve"> </w:t>
      </w:r>
    </w:p>
  </w:footnote>
  <w:footnote w:id="104">
    <w:p w14:paraId="48FA7CC9" w14:textId="77777777" w:rsidR="00CA6239" w:rsidRDefault="00CA6239" w:rsidP="00CA6239">
      <w:pPr>
        <w:pStyle w:val="Textpoznpodarou"/>
      </w:pPr>
      <w:r>
        <w:rPr>
          <w:rStyle w:val="Znakapoznpodarou"/>
        </w:rPr>
        <w:footnoteRef/>
      </w:r>
      <w:r>
        <w:t xml:space="preserve"> Čl..35 odst. 3, Dodatkového protokolu I.</w:t>
      </w:r>
    </w:p>
  </w:footnote>
  <w:footnote w:id="105">
    <w:p w14:paraId="4C91FC04" w14:textId="77777777" w:rsidR="00CA6239" w:rsidRDefault="00CA6239" w:rsidP="00CA6239">
      <w:pPr>
        <w:pStyle w:val="Textpoznpodarou"/>
      </w:pPr>
      <w:r>
        <w:rPr>
          <w:rStyle w:val="Znakapoznpodarou"/>
        </w:rPr>
        <w:footnoteRef/>
      </w:r>
      <w:r>
        <w:t xml:space="preserve"> </w:t>
      </w:r>
      <w:r w:rsidRPr="00337BFE">
        <w:t>Poradn</w:t>
      </w:r>
      <w:r w:rsidRPr="00337BFE">
        <w:rPr>
          <w:rFonts w:hint="cs"/>
        </w:rPr>
        <w:t>í</w:t>
      </w:r>
      <w:r w:rsidRPr="00337BFE">
        <w:t xml:space="preserve"> rozsudek Mezin</w:t>
      </w:r>
      <w:r w:rsidRPr="00337BFE">
        <w:rPr>
          <w:rFonts w:hint="cs"/>
        </w:rPr>
        <w:t>á</w:t>
      </w:r>
      <w:r w:rsidRPr="00337BFE">
        <w:t>rodn</w:t>
      </w:r>
      <w:r w:rsidRPr="00337BFE">
        <w:rPr>
          <w:rFonts w:hint="cs"/>
        </w:rPr>
        <w:t>í</w:t>
      </w:r>
      <w:r w:rsidRPr="00337BFE">
        <w:t>ho soudn</w:t>
      </w:r>
      <w:r w:rsidRPr="00337BFE">
        <w:rPr>
          <w:rFonts w:hint="cs"/>
        </w:rPr>
        <w:t>í</w:t>
      </w:r>
      <w:r w:rsidRPr="00337BFE">
        <w:t>ho dvora ve v</w:t>
      </w:r>
      <w:r w:rsidRPr="00337BFE">
        <w:rPr>
          <w:rFonts w:hint="cs"/>
        </w:rPr>
        <w:t>ě</w:t>
      </w:r>
      <w:r w:rsidRPr="00337BFE">
        <w:t>ci Legality of the threat or use of nuclear weapons, Reports of Judgements, ADVISORY OPINIONS AND ORDERS General List No. 95,</w:t>
      </w:r>
      <w:r>
        <w:t xml:space="preserve"> ar. 78,</w:t>
      </w:r>
      <w:r w:rsidRPr="00337BFE">
        <w:t xml:space="preserve"> ze dne 8. </w:t>
      </w:r>
      <w:r w:rsidRPr="00337BFE">
        <w:rPr>
          <w:rFonts w:hint="cs"/>
        </w:rPr>
        <w:t>č</w:t>
      </w:r>
      <w:r w:rsidRPr="00337BFE">
        <w:t>ervence 1996, [online]. Dostupn</w:t>
      </w:r>
      <w:r w:rsidRPr="00337BFE">
        <w:rPr>
          <w:rFonts w:hint="cs"/>
        </w:rPr>
        <w:t>é</w:t>
      </w:r>
      <w:r w:rsidRPr="00337BFE">
        <w:t xml:space="preserve"> z: </w:t>
      </w:r>
      <w:hyperlink r:id="rId47" w:history="1">
        <w:r w:rsidRPr="00C53F98">
          <w:rPr>
            <w:rStyle w:val="Hypertextovodkaz"/>
          </w:rPr>
          <w:t>https://www.icj-cij.org/case/95</w:t>
        </w:r>
      </w:hyperlink>
    </w:p>
  </w:footnote>
  <w:footnote w:id="106">
    <w:p w14:paraId="177E0CDB" w14:textId="6214EFCF" w:rsidR="00CA6239" w:rsidRPr="00496435" w:rsidRDefault="00CA6239" w:rsidP="00856399">
      <w:pPr>
        <w:pStyle w:val="Textpoznpodarou"/>
      </w:pPr>
      <w:r>
        <w:rPr>
          <w:rStyle w:val="Znakapoznpodarou"/>
        </w:rPr>
        <w:footnoteRef/>
      </w:r>
      <w:r>
        <w:t xml:space="preserve"> </w:t>
      </w:r>
      <w:r w:rsidRPr="006D07C4">
        <w:t xml:space="preserve">PILLOUD, Claude, Yves SANDOZ, Christophe SWINARSKI a Bruno ZIMMERMANN &amp; International Committee Of The Red Cross. </w:t>
      </w:r>
      <w:r w:rsidRPr="006D07C4">
        <w:rPr>
          <w:i/>
          <w:iCs/>
        </w:rPr>
        <w:t xml:space="preserve">Commentary on the additional protocols of 8 June 1977 to the Geneva Conventions of 12 August 1949 </w:t>
      </w:r>
      <w:r w:rsidRPr="006D07C4">
        <w:t>[online], Kluwer Academic Publishers, 1987, s. 621, ar. 1958. Dostupné z:</w:t>
      </w:r>
      <w:r w:rsidR="00856399">
        <w:t xml:space="preserve"> </w:t>
      </w:r>
      <w:hyperlink r:id="rId48" w:history="1">
        <w:r w:rsidR="00856399" w:rsidRPr="00D868B3">
          <w:rPr>
            <w:rStyle w:val="Hypertextovodkaz"/>
          </w:rPr>
          <w:t>https://www.loc.gov/item/2011525357/</w:t>
        </w:r>
      </w:hyperlink>
    </w:p>
  </w:footnote>
  <w:footnote w:id="107">
    <w:p w14:paraId="59BFFA82" w14:textId="77777777" w:rsidR="00CA6239" w:rsidRDefault="00CA6239" w:rsidP="00CA6239">
      <w:pPr>
        <w:pStyle w:val="Textpoznpodarou"/>
      </w:pPr>
      <w:r>
        <w:rPr>
          <w:rStyle w:val="Znakapoznpodarou"/>
        </w:rPr>
        <w:footnoteRef/>
      </w:r>
      <w:r>
        <w:t xml:space="preserve"> Tamtéž, ar. 1959</w:t>
      </w:r>
    </w:p>
  </w:footnote>
  <w:footnote w:id="108">
    <w:p w14:paraId="34FA3BF9" w14:textId="77777777" w:rsidR="00CA6239" w:rsidRDefault="00CA6239" w:rsidP="00CA6239">
      <w:pPr>
        <w:pStyle w:val="Textpoznpodarou"/>
      </w:pPr>
      <w:r>
        <w:rPr>
          <w:rStyle w:val="Znakapoznpodarou"/>
        </w:rPr>
        <w:footnoteRef/>
      </w:r>
      <w:r>
        <w:t xml:space="preserve"> </w:t>
      </w:r>
      <w:r w:rsidRPr="005473BE">
        <w:t xml:space="preserve">PILLOUD, Claude, Yves SANDOZ, Christophe SWINARSKI a Bruno ZIMMERMANN &amp; International Committee Of The Red Cross. </w:t>
      </w:r>
      <w:r w:rsidRPr="005473BE">
        <w:rPr>
          <w:i/>
          <w:iCs/>
        </w:rPr>
        <w:t xml:space="preserve">Commentary on the additional protocols of 8 June 1977 to the Geneva Conventions of 12 August 1949 </w:t>
      </w:r>
      <w:r w:rsidRPr="005473BE">
        <w:t>[online], Kluwer Academic Publishers, 1987, s. 624, ar. 19</w:t>
      </w:r>
      <w:r>
        <w:t>6</w:t>
      </w:r>
      <w:r w:rsidRPr="005473BE">
        <w:t xml:space="preserve">8. Dostupné z: </w:t>
      </w:r>
      <w:hyperlink r:id="rId49" w:history="1">
        <w:r w:rsidRPr="005473BE">
          <w:rPr>
            <w:rStyle w:val="Hypertextovodkaz"/>
          </w:rPr>
          <w:t>https://www.loc.gov/item/2011525357/</w:t>
        </w:r>
      </w:hyperlink>
    </w:p>
  </w:footnote>
  <w:footnote w:id="109">
    <w:p w14:paraId="7EDB84C3" w14:textId="77777777" w:rsidR="00CA6239" w:rsidRDefault="00CA6239" w:rsidP="00CA6239">
      <w:pPr>
        <w:pStyle w:val="Textpoznpodarou"/>
      </w:pPr>
      <w:r>
        <w:rPr>
          <w:rStyle w:val="Znakapoznpodarou"/>
        </w:rPr>
        <w:footnoteRef/>
      </w:r>
      <w:r>
        <w:t xml:space="preserve"> Tamtéž, s.623, ar. 1963</w:t>
      </w:r>
    </w:p>
  </w:footnote>
  <w:footnote w:id="110">
    <w:p w14:paraId="46812DB7" w14:textId="77777777" w:rsidR="00CA6239" w:rsidRDefault="00CA6239" w:rsidP="00CA6239">
      <w:pPr>
        <w:pStyle w:val="Textpoznpodarou"/>
      </w:pPr>
      <w:r>
        <w:rPr>
          <w:rStyle w:val="Znakapoznpodarou"/>
        </w:rPr>
        <w:footnoteRef/>
      </w:r>
      <w:r>
        <w:t xml:space="preserve"> </w:t>
      </w:r>
      <w:bookmarkStart w:id="28" w:name="_Hlk161153714"/>
      <w:r>
        <w:t>Deklarace o zřeknutí se použití, v době války, výbušných projektilů pod 400 gramů váhy ze dne 29. prosince 1868, (St. Petersburg (</w:t>
      </w:r>
      <w:r w:rsidRPr="00525087">
        <w:t>Declaration Renouncing the Use, in Time of War, of Explosive Projectiles Under 400 Grammes Weight. Saint Petersburg, 29 November / 11 December 1868</w:t>
      </w:r>
      <w:r>
        <w:t xml:space="preserve">), [online] Dostupné z: </w:t>
      </w:r>
      <w:hyperlink r:id="rId50" w:history="1">
        <w:r w:rsidRPr="000A3EF3">
          <w:rPr>
            <w:rStyle w:val="Hypertextovodkaz"/>
          </w:rPr>
          <w:t>https://ihl-databases.icrc.org/applic/ihl/ihl.nsf/Article.xsp?action=openDocument&amp;documentId=568842C2B90F4A29C12563CD0051547C</w:t>
        </w:r>
      </w:hyperlink>
      <w:bookmarkEnd w:id="28"/>
    </w:p>
  </w:footnote>
  <w:footnote w:id="111">
    <w:p w14:paraId="64C3AF81" w14:textId="77777777" w:rsidR="00CA6239" w:rsidRDefault="00CA6239" w:rsidP="00CA6239">
      <w:pPr>
        <w:pStyle w:val="Textpoznpodarou"/>
      </w:pPr>
      <w:r>
        <w:rPr>
          <w:rStyle w:val="Znakapoznpodarou"/>
        </w:rPr>
        <w:footnoteRef/>
      </w:r>
      <w:r>
        <w:t xml:space="preserve"> Čl..36, Dodatkového protokolu I.</w:t>
      </w:r>
    </w:p>
  </w:footnote>
  <w:footnote w:id="112">
    <w:p w14:paraId="4230C287" w14:textId="77777777" w:rsidR="00CA6239" w:rsidRDefault="00CA6239" w:rsidP="00CA6239">
      <w:pPr>
        <w:pStyle w:val="Textpoznpodarou"/>
      </w:pPr>
      <w:r>
        <w:rPr>
          <w:rStyle w:val="Znakapoznpodarou"/>
        </w:rPr>
        <w:footnoteRef/>
      </w:r>
      <w:r>
        <w:t xml:space="preserve"> </w:t>
      </w:r>
      <w:r w:rsidRPr="0059548E">
        <w:t xml:space="preserve">PILLOUD, Claude, Yves SANDOZ, Christophe SWINARSKI a Bruno ZIMMERMANN &amp; International Committee Of The Red Cross. Commentary on the additional protocols of 8 June 1977 to the Geneva Conventions of 12 August 1949 [online], Kluwer Academic Publishers, 1987, s. </w:t>
      </w:r>
      <w:r>
        <w:t xml:space="preserve">400 </w:t>
      </w:r>
      <w:r w:rsidRPr="0059548E">
        <w:t>, ar. 1</w:t>
      </w:r>
      <w:r>
        <w:t>411</w:t>
      </w:r>
      <w:r w:rsidRPr="0059548E">
        <w:t>. Dostupn</w:t>
      </w:r>
      <w:r w:rsidRPr="0059548E">
        <w:rPr>
          <w:rFonts w:hint="cs"/>
        </w:rPr>
        <w:t>é</w:t>
      </w:r>
      <w:r w:rsidRPr="0059548E">
        <w:t xml:space="preserve"> z: </w:t>
      </w:r>
      <w:hyperlink r:id="rId51" w:history="1">
        <w:r w:rsidRPr="001719BF">
          <w:rPr>
            <w:rStyle w:val="Hypertextovodkaz"/>
          </w:rPr>
          <w:t>https://www.loc.gov/item/2011525357/</w:t>
        </w:r>
      </w:hyperlink>
      <w:r>
        <w:t xml:space="preserve"> </w:t>
      </w:r>
    </w:p>
  </w:footnote>
  <w:footnote w:id="113">
    <w:p w14:paraId="63A386A3" w14:textId="77777777" w:rsidR="00CA6239" w:rsidRDefault="00CA6239" w:rsidP="00CA6239">
      <w:pPr>
        <w:pStyle w:val="Textpoznpodarou"/>
      </w:pPr>
      <w:r>
        <w:rPr>
          <w:rStyle w:val="Znakapoznpodarou"/>
        </w:rPr>
        <w:footnoteRef/>
      </w:r>
      <w:r>
        <w:t xml:space="preserve"> </w:t>
      </w:r>
      <w:r w:rsidRPr="00DB62BF">
        <w:rPr>
          <w:rFonts w:hint="cs"/>
        </w:rPr>
        <w:t>Č</w:t>
      </w:r>
      <w:r w:rsidRPr="00DB62BF">
        <w:t>l..3</w:t>
      </w:r>
      <w:r>
        <w:t>5 odst. 1</w:t>
      </w:r>
      <w:r w:rsidRPr="00DB62BF">
        <w:t>, Dodatkov</w:t>
      </w:r>
      <w:r w:rsidRPr="00DB62BF">
        <w:rPr>
          <w:rFonts w:hint="cs"/>
        </w:rPr>
        <w:t>é</w:t>
      </w:r>
      <w:r w:rsidRPr="00DB62BF">
        <w:t>ho protokolu I.</w:t>
      </w:r>
    </w:p>
  </w:footnote>
  <w:footnote w:id="114">
    <w:p w14:paraId="13711401" w14:textId="77777777" w:rsidR="00CA6239" w:rsidRDefault="00CA6239" w:rsidP="00CA6239">
      <w:pPr>
        <w:pStyle w:val="Textpoznpodarou"/>
      </w:pPr>
      <w:r>
        <w:rPr>
          <w:rStyle w:val="Znakapoznpodarou"/>
        </w:rPr>
        <w:footnoteRef/>
      </w:r>
      <w:r>
        <w:t xml:space="preserve"> </w:t>
      </w:r>
      <w:r w:rsidRPr="0059548E">
        <w:t xml:space="preserve">PILLOUD, Claude, Yves SANDOZ, Christophe SWINARSKI a Bruno ZIMMERMANN &amp; International Committee Of The Red Cross. Commentary on the additional protocols of 8 June 1977 to the Geneva Conventions of 12 August 1949 [online], Kluwer Academic Publishers, 1987, s. </w:t>
      </w:r>
      <w:r>
        <w:t xml:space="preserve">400 </w:t>
      </w:r>
      <w:r w:rsidRPr="0059548E">
        <w:t>, ar. 1</w:t>
      </w:r>
      <w:r>
        <w:t>411</w:t>
      </w:r>
      <w:r w:rsidRPr="0059548E">
        <w:t>. Dostupn</w:t>
      </w:r>
      <w:r w:rsidRPr="0059548E">
        <w:rPr>
          <w:rFonts w:hint="cs"/>
        </w:rPr>
        <w:t>é</w:t>
      </w:r>
      <w:r w:rsidRPr="0059548E">
        <w:t xml:space="preserve"> z: </w:t>
      </w:r>
      <w:hyperlink r:id="rId52" w:history="1">
        <w:r w:rsidRPr="001719BF">
          <w:rPr>
            <w:rStyle w:val="Hypertextovodkaz"/>
          </w:rPr>
          <w:t>https://www.loc.gov/item/2011525357/</w:t>
        </w:r>
      </w:hyperlink>
    </w:p>
  </w:footnote>
  <w:footnote w:id="115">
    <w:p w14:paraId="74191658" w14:textId="77777777" w:rsidR="00CA6239" w:rsidRDefault="00CA6239" w:rsidP="00CA6239">
      <w:pPr>
        <w:pStyle w:val="Textpoznpodarou"/>
      </w:pPr>
      <w:r>
        <w:rPr>
          <w:rStyle w:val="Znakapoznpodarou"/>
        </w:rPr>
        <w:footnoteRef/>
      </w:r>
      <w:r>
        <w:t xml:space="preserve"> DINSTEIN, Yoram </w:t>
      </w:r>
      <w:r>
        <w:rPr>
          <w:i/>
          <w:iCs/>
        </w:rPr>
        <w:t>The Conduct of Hostilities under the Law of International Armed Conflict</w:t>
      </w:r>
      <w:r>
        <w:t>.</w:t>
      </w:r>
      <w:r w:rsidRPr="00E156AA">
        <w:t xml:space="preserve"> </w:t>
      </w:r>
      <w:r>
        <w:t xml:space="preserve">[online]  Cambridge: Cambridge University Press, 3. vydání, 2016. s. 74, ar. 196 Dostupné z: </w:t>
      </w:r>
      <w:hyperlink r:id="rId53" w:history="1">
        <w:r w:rsidRPr="000A3EF3">
          <w:rPr>
            <w:rStyle w:val="Hypertextovodkaz"/>
          </w:rPr>
          <w:t>https://www.cambridge.org/core/books/conduct-of-hostilities-under-the-law-of-international-armed-conflict/6F968AB75832E7A46CD4FEE7CA86BB8F</w:t>
        </w:r>
      </w:hyperlink>
    </w:p>
  </w:footnote>
  <w:footnote w:id="116">
    <w:p w14:paraId="017B1FB7" w14:textId="77777777" w:rsidR="00CA6239" w:rsidRDefault="00CA6239" w:rsidP="00CA6239">
      <w:pPr>
        <w:pStyle w:val="Textpoznpodarou"/>
      </w:pPr>
      <w:r>
        <w:rPr>
          <w:rStyle w:val="Znakapoznpodarou"/>
        </w:rPr>
        <w:footnoteRef/>
      </w:r>
      <w:r>
        <w:t xml:space="preserve"> </w:t>
      </w:r>
      <w:r w:rsidRPr="00337BFE">
        <w:t>Poradn</w:t>
      </w:r>
      <w:r w:rsidRPr="00337BFE">
        <w:rPr>
          <w:rFonts w:hint="cs"/>
        </w:rPr>
        <w:t>í</w:t>
      </w:r>
      <w:r w:rsidRPr="00337BFE">
        <w:t xml:space="preserve"> rozsudek Mezin</w:t>
      </w:r>
      <w:r w:rsidRPr="00337BFE">
        <w:rPr>
          <w:rFonts w:hint="cs"/>
        </w:rPr>
        <w:t>á</w:t>
      </w:r>
      <w:r w:rsidRPr="00337BFE">
        <w:t>rodn</w:t>
      </w:r>
      <w:r w:rsidRPr="00337BFE">
        <w:rPr>
          <w:rFonts w:hint="cs"/>
        </w:rPr>
        <w:t>í</w:t>
      </w:r>
      <w:r w:rsidRPr="00337BFE">
        <w:t>ho soudn</w:t>
      </w:r>
      <w:r w:rsidRPr="00337BFE">
        <w:rPr>
          <w:rFonts w:hint="cs"/>
        </w:rPr>
        <w:t>í</w:t>
      </w:r>
      <w:r w:rsidRPr="00337BFE">
        <w:t>ho dvora ve v</w:t>
      </w:r>
      <w:r w:rsidRPr="00337BFE">
        <w:rPr>
          <w:rFonts w:hint="cs"/>
        </w:rPr>
        <w:t>ě</w:t>
      </w:r>
      <w:r w:rsidRPr="00337BFE">
        <w:t>ci Legality of the threat or use of nuclear weapons, Reports of Judgements, ADVISORY OPINIONS AND ORDERS General List No. 95,</w:t>
      </w:r>
      <w:r>
        <w:t xml:space="preserve"> ar. 78,</w:t>
      </w:r>
      <w:r w:rsidRPr="00337BFE">
        <w:t xml:space="preserve"> ze dne 8. </w:t>
      </w:r>
      <w:r w:rsidRPr="00337BFE">
        <w:rPr>
          <w:rFonts w:hint="cs"/>
        </w:rPr>
        <w:t>č</w:t>
      </w:r>
      <w:r w:rsidRPr="00337BFE">
        <w:t>ervence 1996, [online]. Dostupn</w:t>
      </w:r>
      <w:r w:rsidRPr="00337BFE">
        <w:rPr>
          <w:rFonts w:hint="cs"/>
        </w:rPr>
        <w:t>é</w:t>
      </w:r>
      <w:r w:rsidRPr="00337BFE">
        <w:t xml:space="preserve"> z: </w:t>
      </w:r>
      <w:hyperlink r:id="rId54" w:history="1">
        <w:r w:rsidRPr="00C53F98">
          <w:rPr>
            <w:rStyle w:val="Hypertextovodkaz"/>
          </w:rPr>
          <w:t>https://www.icj-cij.org/case/95</w:t>
        </w:r>
      </w:hyperlink>
    </w:p>
  </w:footnote>
  <w:footnote w:id="117">
    <w:p w14:paraId="6B7C58C3" w14:textId="77777777" w:rsidR="00CA6239" w:rsidRDefault="00CA6239" w:rsidP="00CA6239">
      <w:pPr>
        <w:pStyle w:val="Textpoznpodarou"/>
      </w:pPr>
      <w:r>
        <w:rPr>
          <w:rStyle w:val="Znakapoznpodarou"/>
        </w:rPr>
        <w:footnoteRef/>
      </w:r>
      <w:r>
        <w:t xml:space="preserve"> DINSTEIN, Yoram </w:t>
      </w:r>
      <w:r>
        <w:rPr>
          <w:i/>
          <w:iCs/>
        </w:rPr>
        <w:t>The Conduct of Hostilities under the Law of International Armed Conflict</w:t>
      </w:r>
      <w:r>
        <w:t>.</w:t>
      </w:r>
      <w:r w:rsidRPr="00E156AA">
        <w:t xml:space="preserve"> </w:t>
      </w:r>
      <w:r>
        <w:t xml:space="preserve">[online]  Cambridge: Cambridge University Press, 3. vydání, 2016. s. 75, ar. 199 Dostupné z: </w:t>
      </w:r>
      <w:hyperlink r:id="rId55" w:history="1">
        <w:r w:rsidRPr="000A3EF3">
          <w:rPr>
            <w:rStyle w:val="Hypertextovodkaz"/>
          </w:rPr>
          <w:t>https://www.cambridge.org/core/books/conduct-of-hostilities-under-the-law-of-international-armed-conflict/6F968AB75832E7A46CD4FEE7CA86BB8F</w:t>
        </w:r>
      </w:hyperlink>
    </w:p>
  </w:footnote>
  <w:footnote w:id="118">
    <w:p w14:paraId="1C663445" w14:textId="6B102C49" w:rsidR="00CA6239" w:rsidRDefault="00CA6239" w:rsidP="00CA6239">
      <w:pPr>
        <w:pStyle w:val="Textpoznpodarou"/>
      </w:pPr>
      <w:r>
        <w:rPr>
          <w:rStyle w:val="Znakapoznpodarou"/>
        </w:rPr>
        <w:footnoteRef/>
      </w:r>
      <w:r w:rsidR="00071E4A">
        <w:t>Tamtéž,</w:t>
      </w:r>
      <w:r w:rsidRPr="0019459B">
        <w:t xml:space="preserve"> s. 7</w:t>
      </w:r>
      <w:r>
        <w:t>5</w:t>
      </w:r>
      <w:r w:rsidRPr="0019459B">
        <w:t xml:space="preserve">, ar. </w:t>
      </w:r>
      <w:r>
        <w:t>200</w:t>
      </w:r>
    </w:p>
  </w:footnote>
  <w:footnote w:id="119">
    <w:p w14:paraId="17EFEAA6" w14:textId="77777777" w:rsidR="00CA6239" w:rsidRDefault="00CA6239" w:rsidP="00CA6239">
      <w:pPr>
        <w:pStyle w:val="Textpoznpodarou"/>
      </w:pPr>
      <w:r>
        <w:rPr>
          <w:rStyle w:val="Znakapoznpodarou"/>
        </w:rPr>
        <w:footnoteRef/>
      </w:r>
      <w:r>
        <w:t xml:space="preserve"> Čl. 35 odst. 3 Dodatkového protokolu I.</w:t>
      </w:r>
    </w:p>
  </w:footnote>
  <w:footnote w:id="120">
    <w:p w14:paraId="6A09A2E4" w14:textId="77777777" w:rsidR="00CA6239" w:rsidRDefault="00CA6239" w:rsidP="00CA6239">
      <w:pPr>
        <w:pStyle w:val="Textpoznpodarou"/>
      </w:pPr>
      <w:r>
        <w:rPr>
          <w:rStyle w:val="Znakapoznpodarou"/>
        </w:rPr>
        <w:footnoteRef/>
      </w:r>
      <w:r>
        <w:t xml:space="preserve"> </w:t>
      </w:r>
      <w:r w:rsidRPr="0059548E">
        <w:t xml:space="preserve">PILLOUD, Claude, Yves SANDOZ, Christophe SWINARSKI a Bruno ZIMMERMANN &amp; International Committee Of The Red Cross. Commentary on the additional protocols of 8 June 1977 to the Geneva Conventions of 12 August 1949 [online], Kluwer Academic Publishers, 1987, s. </w:t>
      </w:r>
      <w:r>
        <w:t xml:space="preserve">410 </w:t>
      </w:r>
      <w:r w:rsidRPr="0059548E">
        <w:t>, ar. 1</w:t>
      </w:r>
      <w:r>
        <w:t>441</w:t>
      </w:r>
      <w:r w:rsidRPr="0059548E">
        <w:t>. Dostupn</w:t>
      </w:r>
      <w:r w:rsidRPr="0059548E">
        <w:rPr>
          <w:rFonts w:hint="cs"/>
        </w:rPr>
        <w:t>é</w:t>
      </w:r>
      <w:r w:rsidRPr="0059548E">
        <w:t xml:space="preserve"> z: </w:t>
      </w:r>
      <w:hyperlink r:id="rId56" w:history="1">
        <w:r w:rsidRPr="001719BF">
          <w:rPr>
            <w:rStyle w:val="Hypertextovodkaz"/>
          </w:rPr>
          <w:t>https://www.loc.gov/item/2011525357/</w:t>
        </w:r>
      </w:hyperlink>
    </w:p>
  </w:footnote>
  <w:footnote w:id="121">
    <w:p w14:paraId="0EBAF4B3" w14:textId="77777777" w:rsidR="00CA6239" w:rsidRDefault="00CA6239" w:rsidP="00CA6239">
      <w:pPr>
        <w:pStyle w:val="Textpoznpodarou"/>
      </w:pPr>
      <w:r>
        <w:rPr>
          <w:rStyle w:val="Znakapoznpodarou"/>
        </w:rPr>
        <w:footnoteRef/>
      </w:r>
      <w:r>
        <w:t xml:space="preserve"> Tamtéž, s. 411, ar. 1443</w:t>
      </w:r>
    </w:p>
  </w:footnote>
  <w:footnote w:id="122">
    <w:p w14:paraId="354A31C6" w14:textId="77777777" w:rsidR="00CA6239" w:rsidRDefault="00CA6239" w:rsidP="00CA6239">
      <w:pPr>
        <w:pStyle w:val="Textpoznpodarou"/>
      </w:pPr>
      <w:r>
        <w:rPr>
          <w:rStyle w:val="Znakapoznpodarou"/>
        </w:rPr>
        <w:footnoteRef/>
      </w:r>
      <w:r>
        <w:t xml:space="preserve"> Čl. 55, odst. 1, Dodatkového protokolu I.</w:t>
      </w:r>
    </w:p>
  </w:footnote>
  <w:footnote w:id="123">
    <w:p w14:paraId="725E488D" w14:textId="425ADDD6" w:rsidR="00CA6239" w:rsidRDefault="00CA6239" w:rsidP="00CA6239">
      <w:pPr>
        <w:pStyle w:val="Textpoznpodarou"/>
      </w:pPr>
      <w:r>
        <w:rPr>
          <w:rStyle w:val="Znakapoznpodarou"/>
        </w:rPr>
        <w:footnoteRef/>
      </w:r>
      <w:r>
        <w:t xml:space="preserve"> </w:t>
      </w:r>
      <w:r w:rsidRPr="0059548E">
        <w:t xml:space="preserve">PILLOUD, Claude, Yves SANDOZ, Christophe SWINARSKI a Bruno ZIMMERMANN &amp; International Committee Of The Red Cross. Commentary on the additional protocols of 8 June 1977 to the Geneva Conventions of 12 August 1949 [online], Kluwer Academic Publishers, 1987, s. </w:t>
      </w:r>
      <w:r>
        <w:t xml:space="preserve">414 </w:t>
      </w:r>
      <w:r w:rsidRPr="0059548E">
        <w:t>, ar. 1</w:t>
      </w:r>
      <w:r>
        <w:t>449</w:t>
      </w:r>
      <w:r w:rsidRPr="0059548E">
        <w:t>. Dostupn</w:t>
      </w:r>
      <w:r w:rsidRPr="0059548E">
        <w:rPr>
          <w:rFonts w:hint="cs"/>
        </w:rPr>
        <w:t>é</w:t>
      </w:r>
      <w:r w:rsidRPr="0059548E">
        <w:t xml:space="preserve"> z: </w:t>
      </w:r>
      <w:hyperlink r:id="rId57" w:history="1">
        <w:r w:rsidRPr="001719BF">
          <w:rPr>
            <w:rStyle w:val="Hypertextovodkaz"/>
          </w:rPr>
          <w:t>https://www.loc.gov/item/2011525357/</w:t>
        </w:r>
      </w:hyperlink>
    </w:p>
  </w:footnote>
  <w:footnote w:id="124">
    <w:p w14:paraId="26123BF1" w14:textId="0D40055E" w:rsidR="00CA6239" w:rsidRDefault="00CA6239" w:rsidP="00CA6239">
      <w:pPr>
        <w:pStyle w:val="Textpoznpodarou"/>
      </w:pPr>
      <w:r>
        <w:rPr>
          <w:rStyle w:val="Znakapoznpodarou"/>
        </w:rPr>
        <w:footnoteRef/>
      </w:r>
      <w:r w:rsidR="00B40D9E">
        <w:t xml:space="preserve"> Tamtéž</w:t>
      </w:r>
      <w:r w:rsidRPr="0059548E">
        <w:t xml:space="preserve">, s. </w:t>
      </w:r>
      <w:r>
        <w:t xml:space="preserve">418 </w:t>
      </w:r>
      <w:r w:rsidRPr="0059548E">
        <w:t>, ar. 1</w:t>
      </w:r>
      <w:r>
        <w:t>457</w:t>
      </w:r>
    </w:p>
  </w:footnote>
  <w:footnote w:id="125">
    <w:p w14:paraId="249243A0" w14:textId="77777777" w:rsidR="00CA6239" w:rsidRDefault="00CA6239" w:rsidP="00CA6239">
      <w:pPr>
        <w:pStyle w:val="Textpoznpodarou"/>
      </w:pPr>
      <w:r>
        <w:rPr>
          <w:rStyle w:val="Znakapoznpodarou"/>
        </w:rPr>
        <w:footnoteRef/>
      </w:r>
      <w:r>
        <w:t xml:space="preserve"> </w:t>
      </w:r>
      <w:bookmarkStart w:id="30" w:name="_Hlk161154818"/>
      <w:r w:rsidRPr="00064519">
        <w:t xml:space="preserve">Diplomatic Conference On The Reaffirmation And Development Of International Humanitarian Law Applicable In Armed Conflicts, and Switzerland. Bundesrat. </w:t>
      </w:r>
      <w:r w:rsidRPr="00064519">
        <w:rPr>
          <w:rStyle w:val="CittHTML"/>
        </w:rPr>
        <w:t>Official records of the Diplomatic Conference on the Reaffirmation and Development of International Humanitarian Law Applicable in Armed Conflicts, Geneva -1977</w:t>
      </w:r>
      <w:r w:rsidRPr="00064519">
        <w:t xml:space="preserve">. Bern: Federal Political Dept, 1978, volume XV., s. 268,  ar. 27. Dostupné z: </w:t>
      </w:r>
      <w:hyperlink r:id="rId58" w:history="1">
        <w:r w:rsidRPr="00064519">
          <w:rPr>
            <w:rStyle w:val="Hypertextovodkaz"/>
          </w:rPr>
          <w:t>https://www.loc.gov/item/2011525500/</w:t>
        </w:r>
      </w:hyperlink>
      <w:r>
        <w:t xml:space="preserve">  </w:t>
      </w:r>
      <w:bookmarkEnd w:id="30"/>
    </w:p>
  </w:footnote>
  <w:footnote w:id="126">
    <w:p w14:paraId="1A391803" w14:textId="77777777" w:rsidR="00CA6239" w:rsidRDefault="00CA6239" w:rsidP="00CA6239">
      <w:pPr>
        <w:pStyle w:val="Textpoznpodarou"/>
      </w:pPr>
      <w:r>
        <w:rPr>
          <w:rStyle w:val="Znakapoznpodarou"/>
        </w:rPr>
        <w:footnoteRef/>
      </w:r>
      <w:r>
        <w:t xml:space="preserve"> </w:t>
      </w:r>
      <w:r w:rsidRPr="0059548E">
        <w:t xml:space="preserve">PILLOUD, Claude, Yves SANDOZ, Christophe SWINARSKI a Bruno ZIMMERMANN &amp; International Committee Of The Red Cross. Commentary on the additional protocols of 8 June 1977 to the Geneva Conventions of 12 August 1949 [online], Kluwer Academic Publishers, 1987, s. </w:t>
      </w:r>
      <w:r>
        <w:t xml:space="preserve">420 </w:t>
      </w:r>
      <w:r w:rsidRPr="0059548E">
        <w:t>, ar. 1</w:t>
      </w:r>
      <w:r>
        <w:t>462</w:t>
      </w:r>
      <w:r w:rsidRPr="0059548E">
        <w:t>. Dostupn</w:t>
      </w:r>
      <w:r w:rsidRPr="0059548E">
        <w:rPr>
          <w:rFonts w:hint="cs"/>
        </w:rPr>
        <w:t>é</w:t>
      </w:r>
      <w:r w:rsidRPr="0059548E">
        <w:t xml:space="preserve"> z: </w:t>
      </w:r>
      <w:hyperlink r:id="rId59" w:history="1">
        <w:r w:rsidRPr="001719BF">
          <w:rPr>
            <w:rStyle w:val="Hypertextovodkaz"/>
          </w:rPr>
          <w:t>https://www.loc.gov/item/2011525357/</w:t>
        </w:r>
      </w:hyperlink>
    </w:p>
  </w:footnote>
  <w:footnote w:id="127">
    <w:p w14:paraId="1B5AD820" w14:textId="77777777" w:rsidR="00CA6239" w:rsidRDefault="00CA6239" w:rsidP="00CA6239">
      <w:pPr>
        <w:pStyle w:val="Textpoznpodarou"/>
      </w:pPr>
      <w:r>
        <w:rPr>
          <w:rStyle w:val="Znakapoznpodarou"/>
        </w:rPr>
        <w:footnoteRef/>
      </w:r>
      <w:r>
        <w:t xml:space="preserve"> Terminologický slovník termínů a definic NATO, AAP-06, s. 321 [online] Dostupné z: </w:t>
      </w:r>
      <w:hyperlink r:id="rId60" w:history="1">
        <w:r w:rsidRPr="00D2157A">
          <w:rPr>
            <w:rStyle w:val="Hypertextovodkaz"/>
          </w:rPr>
          <w:t>https://oos.army.cz/standardizace/terminologie/terminologicky-slovnik-aap-06</w:t>
        </w:r>
      </w:hyperlink>
      <w:r>
        <w:t xml:space="preserve"> </w:t>
      </w:r>
    </w:p>
  </w:footnote>
  <w:footnote w:id="128">
    <w:p w14:paraId="0721FD79" w14:textId="77777777" w:rsidR="00CA6239" w:rsidRDefault="00CA6239" w:rsidP="00CA6239">
      <w:pPr>
        <w:pStyle w:val="Textpoznpodarou"/>
      </w:pPr>
      <w:r>
        <w:rPr>
          <w:rStyle w:val="Znakapoznpodarou"/>
        </w:rPr>
        <w:footnoteRef/>
      </w:r>
      <w:r>
        <w:t xml:space="preserve"> </w:t>
      </w:r>
      <w:r w:rsidRPr="009E4F44">
        <w:t>POTOČNÝ, Miroslav a ONDŘEJ, Jan. Mezinárodní právo veřejné: zvláštní část. 6., dopl. a rozš. vyd. Právnické učebnice. V Praze: C.H. Beck, 2011</w:t>
      </w:r>
      <w:r>
        <w:t>, s.472</w:t>
      </w:r>
    </w:p>
  </w:footnote>
  <w:footnote w:id="129">
    <w:p w14:paraId="3E05C720" w14:textId="77777777" w:rsidR="00CA6239" w:rsidRDefault="00CA6239" w:rsidP="00CA6239">
      <w:pPr>
        <w:pStyle w:val="Textpoznpodarou"/>
      </w:pPr>
      <w:r>
        <w:rPr>
          <w:rStyle w:val="Znakapoznpodarou"/>
        </w:rPr>
        <w:footnoteRef/>
      </w:r>
      <w:r>
        <w:t xml:space="preserve"> </w:t>
      </w:r>
      <w:r w:rsidRPr="009C7843">
        <w:t>ONDŘEJ, Jan; ŠTURMA, Pavel; BÍLKOVÁ, Veronika a JÍLEK, Dalibor. Mezinárodní humanitární právo. Beckova edice právní instituty. V Praze: C.H. Beck, 2010, s.</w:t>
      </w:r>
      <w:r>
        <w:t>257</w:t>
      </w:r>
    </w:p>
  </w:footnote>
  <w:footnote w:id="130">
    <w:p w14:paraId="7EB4EAFE" w14:textId="77777777" w:rsidR="00CA6239" w:rsidRDefault="00CA6239" w:rsidP="00CA6239">
      <w:pPr>
        <w:pStyle w:val="Textpoznpodarou"/>
      </w:pPr>
      <w:r>
        <w:rPr>
          <w:rStyle w:val="Znakapoznpodarou"/>
        </w:rPr>
        <w:footnoteRef/>
      </w:r>
      <w:r>
        <w:t xml:space="preserve"> Tamtéž</w:t>
      </w:r>
    </w:p>
  </w:footnote>
  <w:footnote w:id="131">
    <w:p w14:paraId="7DA80057" w14:textId="77777777" w:rsidR="00CA6239" w:rsidRDefault="00CA6239" w:rsidP="00CA6239">
      <w:pPr>
        <w:pStyle w:val="Textpoznpodarou"/>
      </w:pPr>
      <w:r>
        <w:rPr>
          <w:rStyle w:val="Znakapoznpodarou"/>
        </w:rPr>
        <w:footnoteRef/>
      </w:r>
      <w:r>
        <w:t xml:space="preserve"> Poradní r</w:t>
      </w:r>
      <w:r w:rsidRPr="00C96A4D">
        <w:t>ozsudek Mezinárodního soudního dvora ve věci</w:t>
      </w:r>
      <w:r>
        <w:t xml:space="preserve"> Legality of the threat or use of nuclear weapons, General List No. 95</w:t>
      </w:r>
      <w:r w:rsidRPr="00C96A4D">
        <w:t>, ze dne 8. července 19</w:t>
      </w:r>
      <w:r>
        <w:t>9</w:t>
      </w:r>
      <w:r w:rsidRPr="00C96A4D">
        <w:t>6</w:t>
      </w:r>
      <w:r>
        <w:t>, ar.74</w:t>
      </w:r>
      <w:r w:rsidRPr="00C96A4D">
        <w:t xml:space="preserve"> [online]. Dostupné z</w:t>
      </w:r>
      <w:r>
        <w:t xml:space="preserve">: </w:t>
      </w:r>
      <w:hyperlink r:id="rId61" w:history="1">
        <w:r w:rsidRPr="00D2157A">
          <w:rPr>
            <w:rStyle w:val="Hypertextovodkaz"/>
          </w:rPr>
          <w:t>https://www.icj-cij.org/case/95</w:t>
        </w:r>
      </w:hyperlink>
      <w:r>
        <w:t xml:space="preserve">  </w:t>
      </w:r>
    </w:p>
  </w:footnote>
  <w:footnote w:id="132">
    <w:p w14:paraId="3122035D" w14:textId="78EF3819" w:rsidR="00CA6239" w:rsidRDefault="00CA6239" w:rsidP="00CA6239">
      <w:pPr>
        <w:pStyle w:val="Textpoznpodarou"/>
      </w:pPr>
      <w:r>
        <w:rPr>
          <w:rStyle w:val="Znakapoznpodarou"/>
        </w:rPr>
        <w:footnoteRef/>
      </w:r>
      <w:r w:rsidR="000C4475">
        <w:t xml:space="preserve"> Tamtéž,</w:t>
      </w:r>
      <w:r w:rsidR="00DC264C">
        <w:t xml:space="preserve"> ar.78</w:t>
      </w:r>
      <w:r w:rsidR="00FF4764">
        <w:t xml:space="preserve"> </w:t>
      </w:r>
    </w:p>
  </w:footnote>
  <w:footnote w:id="133">
    <w:p w14:paraId="00E7E712" w14:textId="77777777" w:rsidR="00CA6239" w:rsidRDefault="00CA6239" w:rsidP="00CA6239">
      <w:pPr>
        <w:pStyle w:val="Textpoznpodarou"/>
      </w:pPr>
      <w:r>
        <w:rPr>
          <w:rStyle w:val="Znakapoznpodarou"/>
        </w:rPr>
        <w:footnoteRef/>
      </w:r>
      <w:r>
        <w:t xml:space="preserve"> Tamtéž, ar. 87</w:t>
      </w:r>
    </w:p>
  </w:footnote>
  <w:footnote w:id="134">
    <w:p w14:paraId="5B9860AC" w14:textId="77777777" w:rsidR="00CA6239" w:rsidRDefault="00CA6239" w:rsidP="00CA6239">
      <w:pPr>
        <w:pStyle w:val="Textpoznpodarou"/>
      </w:pPr>
      <w:r>
        <w:rPr>
          <w:rStyle w:val="Znakapoznpodarou"/>
        </w:rPr>
        <w:footnoteRef/>
      </w:r>
      <w:r>
        <w:t xml:space="preserve"> Poradní r</w:t>
      </w:r>
      <w:r w:rsidRPr="00C96A4D">
        <w:t>ozsudek Mezinárodního soudního dvora ve věci</w:t>
      </w:r>
      <w:r>
        <w:t xml:space="preserve"> Legality of the threat or use of nuclear weapons, General List No. 95</w:t>
      </w:r>
      <w:r w:rsidRPr="00C96A4D">
        <w:t>, ze dne 8. července 19</w:t>
      </w:r>
      <w:r>
        <w:t>9</w:t>
      </w:r>
      <w:r w:rsidRPr="00C96A4D">
        <w:t>6</w:t>
      </w:r>
      <w:r>
        <w:t>, ar. 105 C</w:t>
      </w:r>
      <w:r w:rsidRPr="00C96A4D">
        <w:t xml:space="preserve"> [online]. Dostupné z</w:t>
      </w:r>
      <w:r>
        <w:t xml:space="preserve">: </w:t>
      </w:r>
      <w:hyperlink r:id="rId62" w:history="1">
        <w:r w:rsidRPr="00D2157A">
          <w:rPr>
            <w:rStyle w:val="Hypertextovodkaz"/>
          </w:rPr>
          <w:t>https://www.icj-cij.org/case/95</w:t>
        </w:r>
      </w:hyperlink>
      <w:r>
        <w:t xml:space="preserve">  </w:t>
      </w:r>
    </w:p>
  </w:footnote>
  <w:footnote w:id="135">
    <w:p w14:paraId="7FC19D18" w14:textId="77777777" w:rsidR="00CA6239" w:rsidRDefault="00CA6239" w:rsidP="00CA6239">
      <w:pPr>
        <w:pStyle w:val="Textpoznpodarou"/>
      </w:pPr>
      <w:r>
        <w:rPr>
          <w:rStyle w:val="Znakapoznpodarou"/>
        </w:rPr>
        <w:footnoteRef/>
      </w:r>
      <w:r>
        <w:t xml:space="preserve"> Tamtéž, ar. 105, E.</w:t>
      </w:r>
    </w:p>
  </w:footnote>
  <w:footnote w:id="136">
    <w:p w14:paraId="41B49BA1" w14:textId="77777777" w:rsidR="00CA6239" w:rsidRDefault="00CA6239" w:rsidP="00CA6239">
      <w:pPr>
        <w:pStyle w:val="Textpoznpodarou"/>
      </w:pPr>
      <w:r>
        <w:rPr>
          <w:rStyle w:val="Znakapoznpodarou"/>
        </w:rPr>
        <w:footnoteRef/>
      </w:r>
      <w:r>
        <w:t xml:space="preserve"> Tamtéž, ar. 105, E.</w:t>
      </w:r>
    </w:p>
  </w:footnote>
  <w:footnote w:id="137">
    <w:p w14:paraId="48C33758" w14:textId="77777777" w:rsidR="00CA6239" w:rsidRDefault="00CA6239" w:rsidP="00CA6239">
      <w:pPr>
        <w:pStyle w:val="Textpoznpodarou"/>
      </w:pPr>
      <w:r>
        <w:rPr>
          <w:rStyle w:val="Znakapoznpodarou"/>
        </w:rPr>
        <w:footnoteRef/>
      </w:r>
      <w:r>
        <w:t xml:space="preserve"> Treaty on the prohobition of nuclear weapons, ze dne 7. června 2017, čl. 1 odst. 1 pís. a)-g) [online]. Dostupné z: </w:t>
      </w:r>
      <w:hyperlink r:id="rId63" w:history="1">
        <w:r w:rsidRPr="00D2157A">
          <w:rPr>
            <w:rStyle w:val="Hypertextovodkaz"/>
          </w:rPr>
          <w:t>https://treaties.un.org/Pages/ViewDetails.aspx?src=TREATY&amp;mtdsg_no=XXVI-9&amp;chapter=26&amp;clang=_en</w:t>
        </w:r>
      </w:hyperlink>
      <w:r>
        <w:t xml:space="preserve"> </w:t>
      </w:r>
    </w:p>
  </w:footnote>
  <w:footnote w:id="138">
    <w:p w14:paraId="042F0C3B" w14:textId="77777777" w:rsidR="00CA6239" w:rsidRDefault="00CA6239" w:rsidP="00CA6239">
      <w:pPr>
        <w:pStyle w:val="Textpoznpodarou"/>
      </w:pPr>
      <w:r>
        <w:rPr>
          <w:rStyle w:val="Znakapoznpodarou"/>
        </w:rPr>
        <w:footnoteRef/>
      </w:r>
      <w:r>
        <w:t xml:space="preserve"> Tamtéž, čl. 4 odst. 1 </w:t>
      </w:r>
    </w:p>
  </w:footnote>
  <w:footnote w:id="139">
    <w:p w14:paraId="1BF4DE12" w14:textId="77777777" w:rsidR="00CA6239" w:rsidRDefault="00CA6239" w:rsidP="00CA6239">
      <w:pPr>
        <w:pStyle w:val="Textpoznpodarou"/>
      </w:pPr>
      <w:r>
        <w:rPr>
          <w:rStyle w:val="Znakapoznpodarou"/>
        </w:rPr>
        <w:footnoteRef/>
      </w:r>
      <w:r>
        <w:t xml:space="preserve"> 96/1975 Sb., Vyhláška ministra zahraničních věcí</w:t>
      </w:r>
      <w:r w:rsidRPr="00D230C7">
        <w:t xml:space="preserve"> </w:t>
      </w:r>
      <w:r>
        <w:t>o Úmluvě o zákazu vývoje, výroby a hromadění zásob</w:t>
      </w:r>
      <w:r w:rsidRPr="00D230C7">
        <w:t xml:space="preserve"> </w:t>
      </w:r>
      <w:r>
        <w:t>bakteriologických (biologických) a toxinových zbraní a o jejich zničení, ze dne 9. července 1975, preambule</w:t>
      </w:r>
    </w:p>
  </w:footnote>
  <w:footnote w:id="140">
    <w:p w14:paraId="1BF81994" w14:textId="77777777" w:rsidR="00CA6239" w:rsidRDefault="00CA6239" w:rsidP="00CA6239">
      <w:pPr>
        <w:pStyle w:val="Textpoznpodarou"/>
      </w:pPr>
      <w:r>
        <w:rPr>
          <w:rStyle w:val="Znakapoznpodarou"/>
        </w:rPr>
        <w:footnoteRef/>
      </w:r>
      <w:r>
        <w:t xml:space="preserve"> Tamtéž, čl. 1-3</w:t>
      </w:r>
    </w:p>
  </w:footnote>
  <w:footnote w:id="141">
    <w:p w14:paraId="17FA0FB8" w14:textId="77777777" w:rsidR="00CA6239" w:rsidRDefault="00CA6239" w:rsidP="00CA6239">
      <w:pPr>
        <w:pStyle w:val="Textpoznpodarou"/>
      </w:pPr>
      <w:r>
        <w:rPr>
          <w:rStyle w:val="Znakapoznpodarou"/>
        </w:rPr>
        <w:footnoteRef/>
      </w:r>
      <w:r>
        <w:t xml:space="preserve"> DINSTEIN, Yoram </w:t>
      </w:r>
      <w:r>
        <w:rPr>
          <w:i/>
          <w:iCs/>
        </w:rPr>
        <w:t>The Conduct of Hostilities under the Law of International Armed Conflict</w:t>
      </w:r>
      <w:r>
        <w:t>.</w:t>
      </w:r>
      <w:r w:rsidRPr="00E156AA">
        <w:t xml:space="preserve"> </w:t>
      </w:r>
      <w:r>
        <w:t xml:space="preserve">[online]  Cambridge: Cambridge University Press, 3. vydání, 2016. s. 94, ar. 252, Dostupné z: </w:t>
      </w:r>
      <w:hyperlink r:id="rId64" w:history="1">
        <w:r w:rsidRPr="000A3EF3">
          <w:rPr>
            <w:rStyle w:val="Hypertextovodkaz"/>
          </w:rPr>
          <w:t>https://www.cambridge.org/core/books/conduct-of-hostilities-under-the-law-of-international-armed-conflict/6F968AB75832E7A46CD4FEE7CA86BB8F</w:t>
        </w:r>
      </w:hyperlink>
    </w:p>
  </w:footnote>
  <w:footnote w:id="142">
    <w:p w14:paraId="6F39CE39" w14:textId="552EAFAB" w:rsidR="00CA6239" w:rsidRDefault="00CA6239" w:rsidP="00CA6239">
      <w:pPr>
        <w:pStyle w:val="Textpoznpodarou"/>
      </w:pPr>
      <w:r>
        <w:rPr>
          <w:rStyle w:val="Znakapoznpodarou"/>
        </w:rPr>
        <w:footnoteRef/>
      </w:r>
      <w:r>
        <w:t xml:space="preserve"> </w:t>
      </w:r>
      <w:r w:rsidR="004701A0">
        <w:t xml:space="preserve">DINSTEIN, Yoram </w:t>
      </w:r>
      <w:r w:rsidR="004701A0">
        <w:rPr>
          <w:i/>
          <w:iCs/>
        </w:rPr>
        <w:t>The Conduct of Hostilities under the Law of International Armed Conflict</w:t>
      </w:r>
      <w:r w:rsidR="004701A0">
        <w:t>.</w:t>
      </w:r>
      <w:r w:rsidR="004701A0" w:rsidRPr="00E156AA">
        <w:t xml:space="preserve"> </w:t>
      </w:r>
      <w:r w:rsidR="004701A0">
        <w:t xml:space="preserve">[online]  Cambridge: Cambridge University Press, 3. vydání, 2016. s. 94, ar. 253, Dostupné z: </w:t>
      </w:r>
      <w:hyperlink r:id="rId65" w:history="1">
        <w:r w:rsidR="004701A0" w:rsidRPr="000A3EF3">
          <w:rPr>
            <w:rStyle w:val="Hypertextovodkaz"/>
          </w:rPr>
          <w:t>https://www.cambridge.org/core/books/conduct-of-hostilities-under-the-law-of-international-armed-conflict/6F968AB75832E7A46CD4FEE7CA86BB8F</w:t>
        </w:r>
      </w:hyperlink>
    </w:p>
  </w:footnote>
  <w:footnote w:id="143">
    <w:p w14:paraId="17A94C62" w14:textId="77777777" w:rsidR="00CA6239" w:rsidRDefault="00CA6239" w:rsidP="00CA6239">
      <w:pPr>
        <w:pStyle w:val="Textpoznpodarou"/>
      </w:pPr>
      <w:r>
        <w:rPr>
          <w:rStyle w:val="Znakapoznpodarou"/>
        </w:rPr>
        <w:footnoteRef/>
      </w:r>
      <w:r>
        <w:t xml:space="preserve"> Terminologický slovník termínů a definic NATO, AAP-06, s. 77 [online] Dostupné z: </w:t>
      </w:r>
      <w:hyperlink r:id="rId66" w:history="1">
        <w:r w:rsidRPr="00D2157A">
          <w:rPr>
            <w:rStyle w:val="Hypertextovodkaz"/>
          </w:rPr>
          <w:t>https://oos.army.cz/standardizace/terminologie/terminologicky-slovnik-aap-06</w:t>
        </w:r>
      </w:hyperlink>
    </w:p>
  </w:footnote>
  <w:footnote w:id="144">
    <w:p w14:paraId="54E3FFD3" w14:textId="77777777" w:rsidR="00CA6239" w:rsidRDefault="00CA6239" w:rsidP="00CA6239">
      <w:pPr>
        <w:pStyle w:val="Textpoznpodarou"/>
      </w:pPr>
      <w:r>
        <w:rPr>
          <w:rStyle w:val="Znakapoznpodarou"/>
        </w:rPr>
        <w:footnoteRef/>
      </w:r>
      <w:r>
        <w:t xml:space="preserve"> </w:t>
      </w:r>
      <w:r w:rsidRPr="009C7843">
        <w:t>ONDŘEJ, Jan; ŠTURMA, Pavel; BÍLKOVÁ, Veronika a JÍLEK, Dalibor. Mezinárodní humanitární právo. Beckova edice právní instituty. V Praze: C.H. Beck, 2010, s.</w:t>
      </w:r>
      <w:r>
        <w:t>289</w:t>
      </w:r>
    </w:p>
  </w:footnote>
  <w:footnote w:id="145">
    <w:p w14:paraId="49DA32A5" w14:textId="77777777" w:rsidR="00CA6239" w:rsidRPr="00064519" w:rsidRDefault="00CA6239" w:rsidP="00CA6239">
      <w:pPr>
        <w:pStyle w:val="Textpoznpodarou"/>
      </w:pPr>
      <w:r w:rsidRPr="00064519">
        <w:rPr>
          <w:rStyle w:val="Znakapoznpodarou"/>
        </w:rPr>
        <w:footnoteRef/>
      </w:r>
      <w:r w:rsidRPr="00064519">
        <w:t xml:space="preserve"> Sdělení Ministerstva zahraničních věcí, č. 21/1999 Sb., Úmluva o některých konvenčních zbraních, kter</w:t>
      </w:r>
      <w:r w:rsidRPr="00064519">
        <w:rPr>
          <w:rFonts w:hint="cs"/>
        </w:rPr>
        <w:t>é</w:t>
      </w:r>
      <w:r w:rsidRPr="00064519">
        <w:t xml:space="preserve"> mohou zp</w:t>
      </w:r>
      <w:r w:rsidRPr="00064519">
        <w:rPr>
          <w:rFonts w:hint="cs"/>
        </w:rPr>
        <w:t>ů</w:t>
      </w:r>
      <w:r w:rsidRPr="00064519">
        <w:t>sobovat nadm</w:t>
      </w:r>
      <w:r w:rsidRPr="00064519">
        <w:rPr>
          <w:rFonts w:hint="cs"/>
        </w:rPr>
        <w:t>ě</w:t>
      </w:r>
      <w:r w:rsidRPr="00064519">
        <w:t>rn</w:t>
      </w:r>
      <w:r w:rsidRPr="00064519">
        <w:rPr>
          <w:rFonts w:hint="cs"/>
        </w:rPr>
        <w:t>é</w:t>
      </w:r>
      <w:r w:rsidRPr="00064519">
        <w:t xml:space="preserve"> utrpen</w:t>
      </w:r>
      <w:r w:rsidRPr="00064519">
        <w:rPr>
          <w:rFonts w:hint="cs"/>
        </w:rPr>
        <w:t>í</w:t>
      </w:r>
      <w:r w:rsidRPr="00064519">
        <w:t xml:space="preserve"> nebo m</w:t>
      </w:r>
      <w:r w:rsidRPr="00064519">
        <w:rPr>
          <w:rFonts w:hint="cs"/>
        </w:rPr>
        <w:t>í</w:t>
      </w:r>
      <w:r w:rsidRPr="00064519">
        <w:t>t nerozli</w:t>
      </w:r>
      <w:r w:rsidRPr="00064519">
        <w:rPr>
          <w:rFonts w:hint="cs"/>
        </w:rPr>
        <w:t>š</w:t>
      </w:r>
      <w:r w:rsidRPr="00064519">
        <w:t>uj</w:t>
      </w:r>
      <w:r w:rsidRPr="00064519">
        <w:rPr>
          <w:rFonts w:hint="cs"/>
        </w:rPr>
        <w:t>í</w:t>
      </w:r>
      <w:r w:rsidRPr="00064519">
        <w:t>c</w:t>
      </w:r>
      <w:r w:rsidRPr="00064519">
        <w:rPr>
          <w:rFonts w:hint="cs"/>
        </w:rPr>
        <w:t>í</w:t>
      </w:r>
      <w:r w:rsidRPr="00064519">
        <w:t xml:space="preserve"> </w:t>
      </w:r>
      <w:r w:rsidRPr="00064519">
        <w:rPr>
          <w:rFonts w:hint="cs"/>
        </w:rPr>
        <w:t>úč</w:t>
      </w:r>
      <w:r w:rsidRPr="00064519">
        <w:t>inky, čl. 1 – 11.</w:t>
      </w:r>
    </w:p>
  </w:footnote>
  <w:footnote w:id="146">
    <w:p w14:paraId="52D5BA7C" w14:textId="77777777" w:rsidR="00CA6239" w:rsidRPr="00064519" w:rsidRDefault="00CA6239" w:rsidP="00CA6239">
      <w:pPr>
        <w:pStyle w:val="Textpoznpodarou"/>
      </w:pPr>
      <w:r w:rsidRPr="00064519">
        <w:rPr>
          <w:rStyle w:val="Znakapoznpodarou"/>
        </w:rPr>
        <w:footnoteRef/>
      </w:r>
      <w:r w:rsidRPr="00064519">
        <w:t xml:space="preserve"> Protokol o nezjistitelných střepinách (Protokol I)  </w:t>
      </w:r>
    </w:p>
  </w:footnote>
  <w:footnote w:id="147">
    <w:p w14:paraId="6C5FF904" w14:textId="77777777" w:rsidR="00CA6239" w:rsidRPr="00064519" w:rsidRDefault="00CA6239" w:rsidP="00CA6239">
      <w:pPr>
        <w:pStyle w:val="Textpoznpodarou"/>
      </w:pPr>
      <w:r w:rsidRPr="00064519">
        <w:rPr>
          <w:rStyle w:val="Znakapoznpodarou"/>
        </w:rPr>
        <w:footnoteRef/>
      </w:r>
      <w:r w:rsidRPr="00064519">
        <w:t xml:space="preserve"> Protokol o z</w:t>
      </w:r>
      <w:r w:rsidRPr="00064519">
        <w:rPr>
          <w:rFonts w:hint="cs"/>
        </w:rPr>
        <w:t>á</w:t>
      </w:r>
      <w:r w:rsidRPr="00064519">
        <w:t>kazu nebo omezen</w:t>
      </w:r>
      <w:r w:rsidRPr="00064519">
        <w:rPr>
          <w:rFonts w:hint="cs"/>
        </w:rPr>
        <w:t>í</w:t>
      </w:r>
      <w:r w:rsidRPr="00064519">
        <w:t xml:space="preserve"> pou</w:t>
      </w:r>
      <w:r w:rsidRPr="00064519">
        <w:rPr>
          <w:rFonts w:hint="cs"/>
        </w:rPr>
        <w:t>ž</w:t>
      </w:r>
      <w:r w:rsidRPr="00064519">
        <w:t>it</w:t>
      </w:r>
      <w:r w:rsidRPr="00064519">
        <w:rPr>
          <w:rFonts w:hint="cs"/>
        </w:rPr>
        <w:t>í</w:t>
      </w:r>
      <w:r w:rsidRPr="00064519">
        <w:t xml:space="preserve"> min, n</w:t>
      </w:r>
      <w:r w:rsidRPr="00064519">
        <w:rPr>
          <w:rFonts w:hint="cs"/>
        </w:rPr>
        <w:t>á</w:t>
      </w:r>
      <w:r w:rsidRPr="00064519">
        <w:t>strah a jin</w:t>
      </w:r>
      <w:r w:rsidRPr="00064519">
        <w:rPr>
          <w:rFonts w:hint="cs"/>
        </w:rPr>
        <w:t>ý</w:t>
      </w:r>
      <w:r w:rsidRPr="00064519">
        <w:t>ch prost</w:t>
      </w:r>
      <w:r w:rsidRPr="00064519">
        <w:rPr>
          <w:rFonts w:hint="cs"/>
        </w:rPr>
        <w:t>ř</w:t>
      </w:r>
      <w:r w:rsidRPr="00064519">
        <w:t>edk</w:t>
      </w:r>
      <w:r w:rsidRPr="00064519">
        <w:rPr>
          <w:rFonts w:hint="cs"/>
        </w:rPr>
        <w:t>ů</w:t>
      </w:r>
      <w:r w:rsidRPr="00064519">
        <w:t xml:space="preserve"> (Protokol II)</w:t>
      </w:r>
    </w:p>
  </w:footnote>
  <w:footnote w:id="148">
    <w:p w14:paraId="38E103B7" w14:textId="77777777" w:rsidR="00CA6239" w:rsidRPr="00064519" w:rsidRDefault="00CA6239" w:rsidP="00CA6239">
      <w:pPr>
        <w:pStyle w:val="Textpoznpodarou"/>
      </w:pPr>
      <w:r w:rsidRPr="00064519">
        <w:rPr>
          <w:rStyle w:val="Znakapoznpodarou"/>
        </w:rPr>
        <w:footnoteRef/>
      </w:r>
      <w:r w:rsidRPr="00064519">
        <w:t xml:space="preserve"> Protokol o z</w:t>
      </w:r>
      <w:r w:rsidRPr="00064519">
        <w:rPr>
          <w:rFonts w:hint="cs"/>
        </w:rPr>
        <w:t>á</w:t>
      </w:r>
      <w:r w:rsidRPr="00064519">
        <w:t>kazu nebo omezen</w:t>
      </w:r>
      <w:r w:rsidRPr="00064519">
        <w:rPr>
          <w:rFonts w:hint="cs"/>
        </w:rPr>
        <w:t>í</w:t>
      </w:r>
      <w:r w:rsidRPr="00064519">
        <w:t xml:space="preserve"> pou</w:t>
      </w:r>
      <w:r w:rsidRPr="00064519">
        <w:rPr>
          <w:rFonts w:hint="cs"/>
        </w:rPr>
        <w:t>ž</w:t>
      </w:r>
      <w:r w:rsidRPr="00064519">
        <w:t>it</w:t>
      </w:r>
      <w:r w:rsidRPr="00064519">
        <w:rPr>
          <w:rFonts w:hint="cs"/>
        </w:rPr>
        <w:t>í</w:t>
      </w:r>
      <w:r w:rsidRPr="00064519">
        <w:t xml:space="preserve"> z</w:t>
      </w:r>
      <w:r w:rsidRPr="00064519">
        <w:rPr>
          <w:rFonts w:hint="cs"/>
        </w:rPr>
        <w:t>á</w:t>
      </w:r>
      <w:r w:rsidRPr="00064519">
        <w:t>paln</w:t>
      </w:r>
      <w:r w:rsidRPr="00064519">
        <w:rPr>
          <w:rFonts w:hint="cs"/>
        </w:rPr>
        <w:t>ý</w:t>
      </w:r>
      <w:r w:rsidRPr="00064519">
        <w:t>ch zbran</w:t>
      </w:r>
      <w:r w:rsidRPr="00064519">
        <w:rPr>
          <w:rFonts w:hint="cs"/>
        </w:rPr>
        <w:t>í</w:t>
      </w:r>
      <w:r w:rsidRPr="00064519">
        <w:t xml:space="preserve"> (Protokol III)</w:t>
      </w:r>
    </w:p>
  </w:footnote>
  <w:footnote w:id="149">
    <w:p w14:paraId="2B5867A9" w14:textId="77777777" w:rsidR="00CA6239" w:rsidRPr="00064519" w:rsidRDefault="00CA6239" w:rsidP="00CA6239">
      <w:pPr>
        <w:pStyle w:val="Textpoznpodarou"/>
      </w:pPr>
      <w:r w:rsidRPr="00064519">
        <w:rPr>
          <w:rStyle w:val="Znakapoznpodarou"/>
        </w:rPr>
        <w:footnoteRef/>
      </w:r>
      <w:r w:rsidRPr="00064519">
        <w:t xml:space="preserve"> Protokol o oslepuj</w:t>
      </w:r>
      <w:r w:rsidRPr="00064519">
        <w:rPr>
          <w:rFonts w:hint="cs"/>
        </w:rPr>
        <w:t>í</w:t>
      </w:r>
      <w:r w:rsidRPr="00064519">
        <w:t>c</w:t>
      </w:r>
      <w:r w:rsidRPr="00064519">
        <w:rPr>
          <w:rFonts w:hint="cs"/>
        </w:rPr>
        <w:t>í</w:t>
      </w:r>
      <w:r w:rsidRPr="00064519">
        <w:t>ch laserov</w:t>
      </w:r>
      <w:r w:rsidRPr="00064519">
        <w:rPr>
          <w:rFonts w:hint="cs"/>
        </w:rPr>
        <w:t>ý</w:t>
      </w:r>
      <w:r w:rsidRPr="00064519">
        <w:t>ch zbran</w:t>
      </w:r>
      <w:r w:rsidRPr="00064519">
        <w:rPr>
          <w:rFonts w:hint="cs"/>
        </w:rPr>
        <w:t>í</w:t>
      </w:r>
      <w:r w:rsidRPr="00064519">
        <w:t>ch (Protokol IV)</w:t>
      </w:r>
    </w:p>
  </w:footnote>
  <w:footnote w:id="150">
    <w:p w14:paraId="798D929C" w14:textId="77777777" w:rsidR="00CA6239" w:rsidRDefault="00CA6239" w:rsidP="00CA6239">
      <w:pPr>
        <w:pStyle w:val="Textpoznpodarou"/>
      </w:pPr>
      <w:r w:rsidRPr="00064519">
        <w:rPr>
          <w:rStyle w:val="Znakapoznpodarou"/>
        </w:rPr>
        <w:footnoteRef/>
      </w:r>
      <w:r w:rsidRPr="00064519">
        <w:t xml:space="preserve"> Protokol o výbušných zbytcích války (Protokol V)</w:t>
      </w:r>
      <w:r w:rsidRPr="00D137F9">
        <w:rPr>
          <w:b/>
          <w:bCs/>
        </w:rPr>
        <w:t xml:space="preserve"> </w:t>
      </w:r>
    </w:p>
  </w:footnote>
  <w:footnote w:id="151">
    <w:p w14:paraId="473E712B" w14:textId="77777777" w:rsidR="00CA6239" w:rsidRPr="00ED66B0" w:rsidRDefault="00CA6239" w:rsidP="00CA6239">
      <w:pPr>
        <w:pStyle w:val="Textpoznpodarou"/>
        <w:rPr>
          <w:b/>
          <w:bCs/>
        </w:rPr>
      </w:pPr>
      <w:r>
        <w:rPr>
          <w:rStyle w:val="Znakapoznpodarou"/>
        </w:rPr>
        <w:footnoteRef/>
      </w:r>
      <w:r>
        <w:t xml:space="preserve"> </w:t>
      </w:r>
      <w:r w:rsidRPr="00403D18">
        <w:t>Protokol o z</w:t>
      </w:r>
      <w:r w:rsidRPr="00403D18">
        <w:rPr>
          <w:rFonts w:hint="cs"/>
        </w:rPr>
        <w:t>á</w:t>
      </w:r>
      <w:r w:rsidRPr="00403D18">
        <w:t>kazu nebo omezen</w:t>
      </w:r>
      <w:r w:rsidRPr="00403D18">
        <w:rPr>
          <w:rFonts w:hint="cs"/>
        </w:rPr>
        <w:t>í</w:t>
      </w:r>
      <w:r w:rsidRPr="00403D18">
        <w:t xml:space="preserve"> pou</w:t>
      </w:r>
      <w:r w:rsidRPr="00403D18">
        <w:rPr>
          <w:rFonts w:hint="cs"/>
        </w:rPr>
        <w:t>ž</w:t>
      </w:r>
      <w:r w:rsidRPr="00403D18">
        <w:t>it</w:t>
      </w:r>
      <w:r w:rsidRPr="00403D18">
        <w:rPr>
          <w:rFonts w:hint="cs"/>
        </w:rPr>
        <w:t>í</w:t>
      </w:r>
      <w:r w:rsidRPr="00403D18">
        <w:t xml:space="preserve"> min, n</w:t>
      </w:r>
      <w:r w:rsidRPr="00403D18">
        <w:rPr>
          <w:rFonts w:hint="cs"/>
        </w:rPr>
        <w:t>á</w:t>
      </w:r>
      <w:r w:rsidRPr="00403D18">
        <w:t>strah a jin</w:t>
      </w:r>
      <w:r w:rsidRPr="00403D18">
        <w:rPr>
          <w:rFonts w:hint="cs"/>
        </w:rPr>
        <w:t>ý</w:t>
      </w:r>
      <w:r w:rsidRPr="00403D18">
        <w:t>ch prost</w:t>
      </w:r>
      <w:r w:rsidRPr="00403D18">
        <w:rPr>
          <w:rFonts w:hint="cs"/>
        </w:rPr>
        <w:t>ř</w:t>
      </w:r>
      <w:r w:rsidRPr="00403D18">
        <w:t>edk</w:t>
      </w:r>
      <w:r w:rsidRPr="00403D18">
        <w:rPr>
          <w:rFonts w:hint="cs"/>
        </w:rPr>
        <w:t>ů</w:t>
      </w:r>
      <w:r w:rsidRPr="00403D18">
        <w:t xml:space="preserve"> (Protokol II)</w:t>
      </w:r>
      <w:r>
        <w:t>, čl. 2 odst. 1-3</w:t>
      </w:r>
    </w:p>
  </w:footnote>
  <w:footnote w:id="152">
    <w:p w14:paraId="41885A42" w14:textId="77777777" w:rsidR="00CA6239" w:rsidRDefault="00CA6239" w:rsidP="00CA6239">
      <w:pPr>
        <w:pStyle w:val="Textpoznpodarou"/>
      </w:pPr>
      <w:r>
        <w:rPr>
          <w:rStyle w:val="Znakapoznpodarou"/>
        </w:rPr>
        <w:footnoteRef/>
      </w:r>
      <w:r>
        <w:t xml:space="preserve"> Tamtéž, čl.7 </w:t>
      </w:r>
    </w:p>
  </w:footnote>
  <w:footnote w:id="153">
    <w:p w14:paraId="26FB7570" w14:textId="77777777" w:rsidR="00CA6239" w:rsidRDefault="00CA6239" w:rsidP="00CA6239">
      <w:pPr>
        <w:pStyle w:val="Textpoznpodarou"/>
      </w:pPr>
      <w:r>
        <w:rPr>
          <w:rStyle w:val="Znakapoznpodarou"/>
        </w:rPr>
        <w:footnoteRef/>
      </w:r>
      <w:r>
        <w:t xml:space="preserve"> Tamtéž, čl. 3 odst. 3</w:t>
      </w:r>
    </w:p>
  </w:footnote>
  <w:footnote w:id="154">
    <w:p w14:paraId="17D50CE7" w14:textId="77777777" w:rsidR="00CA6239" w:rsidRDefault="00CA6239" w:rsidP="00CA6239">
      <w:pPr>
        <w:pStyle w:val="Textpoznpodarou"/>
      </w:pPr>
      <w:r>
        <w:rPr>
          <w:rStyle w:val="Znakapoznpodarou"/>
        </w:rPr>
        <w:footnoteRef/>
      </w:r>
      <w:r>
        <w:t xml:space="preserve"> </w:t>
      </w:r>
      <w:r w:rsidRPr="00C60387">
        <w:t>Protokol o z</w:t>
      </w:r>
      <w:r w:rsidRPr="00C60387">
        <w:rPr>
          <w:rFonts w:hint="cs"/>
        </w:rPr>
        <w:t>á</w:t>
      </w:r>
      <w:r w:rsidRPr="00C60387">
        <w:t>kazu nebo omezen</w:t>
      </w:r>
      <w:r w:rsidRPr="00C60387">
        <w:rPr>
          <w:rFonts w:hint="cs"/>
        </w:rPr>
        <w:t>í</w:t>
      </w:r>
      <w:r w:rsidRPr="00C60387">
        <w:t xml:space="preserve"> pou</w:t>
      </w:r>
      <w:r w:rsidRPr="00C60387">
        <w:rPr>
          <w:rFonts w:hint="cs"/>
        </w:rPr>
        <w:t>ž</w:t>
      </w:r>
      <w:r w:rsidRPr="00C60387">
        <w:t>it</w:t>
      </w:r>
      <w:r w:rsidRPr="00C60387">
        <w:rPr>
          <w:rFonts w:hint="cs"/>
        </w:rPr>
        <w:t>í</w:t>
      </w:r>
      <w:r w:rsidRPr="00C60387">
        <w:t xml:space="preserve"> z</w:t>
      </w:r>
      <w:r w:rsidRPr="00C60387">
        <w:rPr>
          <w:rFonts w:hint="cs"/>
        </w:rPr>
        <w:t>á</w:t>
      </w:r>
      <w:r w:rsidRPr="00C60387">
        <w:t>paln</w:t>
      </w:r>
      <w:r w:rsidRPr="00C60387">
        <w:rPr>
          <w:rFonts w:hint="cs"/>
        </w:rPr>
        <w:t>ý</w:t>
      </w:r>
      <w:r w:rsidRPr="00C60387">
        <w:t>ch zbran</w:t>
      </w:r>
      <w:r w:rsidRPr="00C60387">
        <w:rPr>
          <w:rFonts w:hint="cs"/>
        </w:rPr>
        <w:t>í</w:t>
      </w:r>
      <w:r w:rsidRPr="00C60387">
        <w:t xml:space="preserve"> (Protokol III)</w:t>
      </w:r>
      <w:r>
        <w:t xml:space="preserve">, čl. 1 odst.1 </w:t>
      </w:r>
    </w:p>
  </w:footnote>
  <w:footnote w:id="155">
    <w:p w14:paraId="635CAAC5" w14:textId="77777777" w:rsidR="00CA6239" w:rsidRDefault="00CA6239" w:rsidP="00CA6239">
      <w:pPr>
        <w:pStyle w:val="Textpoznpodarou"/>
      </w:pPr>
      <w:r>
        <w:rPr>
          <w:rStyle w:val="Znakapoznpodarou"/>
        </w:rPr>
        <w:footnoteRef/>
      </w:r>
      <w:r>
        <w:t xml:space="preserve"> Tamtéž čl. 2 </w:t>
      </w:r>
    </w:p>
  </w:footnote>
  <w:footnote w:id="156">
    <w:p w14:paraId="751031E3" w14:textId="77777777" w:rsidR="00CA6239" w:rsidRDefault="00CA6239" w:rsidP="00CA6239">
      <w:pPr>
        <w:pStyle w:val="Textpoznpodarou"/>
      </w:pPr>
      <w:r>
        <w:rPr>
          <w:rStyle w:val="Znakapoznpodarou"/>
        </w:rPr>
        <w:footnoteRef/>
      </w:r>
      <w:r>
        <w:t xml:space="preserve"> </w:t>
      </w:r>
      <w:r w:rsidRPr="00996AAA">
        <w:t>Protokol o oslepuj</w:t>
      </w:r>
      <w:r w:rsidRPr="00996AAA">
        <w:rPr>
          <w:rFonts w:hint="cs"/>
        </w:rPr>
        <w:t>í</w:t>
      </w:r>
      <w:r w:rsidRPr="00996AAA">
        <w:t>c</w:t>
      </w:r>
      <w:r w:rsidRPr="00996AAA">
        <w:rPr>
          <w:rFonts w:hint="cs"/>
        </w:rPr>
        <w:t>í</w:t>
      </w:r>
      <w:r w:rsidRPr="00996AAA">
        <w:t>ch laserov</w:t>
      </w:r>
      <w:r w:rsidRPr="00996AAA">
        <w:rPr>
          <w:rFonts w:hint="cs"/>
        </w:rPr>
        <w:t>ý</w:t>
      </w:r>
      <w:r w:rsidRPr="00996AAA">
        <w:t>ch zbran</w:t>
      </w:r>
      <w:r w:rsidRPr="00996AAA">
        <w:rPr>
          <w:rFonts w:hint="cs"/>
        </w:rPr>
        <w:t>í</w:t>
      </w:r>
      <w:r w:rsidRPr="00996AAA">
        <w:t>ch (Protokol IV)</w:t>
      </w:r>
      <w:r>
        <w:t>, čl. 1</w:t>
      </w:r>
    </w:p>
  </w:footnote>
  <w:footnote w:id="157">
    <w:p w14:paraId="0956C801" w14:textId="77777777" w:rsidR="00CA6239" w:rsidRDefault="00CA6239" w:rsidP="00CA6239">
      <w:pPr>
        <w:pStyle w:val="Textpoznpodarou"/>
      </w:pPr>
      <w:r>
        <w:rPr>
          <w:rStyle w:val="Znakapoznpodarou"/>
        </w:rPr>
        <w:footnoteRef/>
      </w:r>
      <w:r>
        <w:t xml:space="preserve"> Tamtéž, čl. 3</w:t>
      </w:r>
    </w:p>
  </w:footnote>
  <w:footnote w:id="158">
    <w:p w14:paraId="61438FA0" w14:textId="77777777" w:rsidR="00CA6239" w:rsidRDefault="00CA6239" w:rsidP="00CA6239">
      <w:pPr>
        <w:pStyle w:val="Textpoznpodarou"/>
      </w:pPr>
      <w:r>
        <w:rPr>
          <w:rStyle w:val="Znakapoznpodarou"/>
        </w:rPr>
        <w:footnoteRef/>
      </w:r>
      <w:r>
        <w:t xml:space="preserve"> </w:t>
      </w:r>
      <w:bookmarkStart w:id="32" w:name="_Hlk161155138"/>
      <w:r w:rsidRPr="00064519">
        <w:rPr>
          <w:rStyle w:val="value"/>
        </w:rPr>
        <w:t xml:space="preserve">Meeting of the High Contracting Parties to the Convention on Prohibitions or Restrictions on the use of Certain Conventional Weapons Which May Be Deemed to Be Excessively Injurious or to Have Indiscriminate Effects, Final report [online], 2013 session, Geneva, 14-15 November 2013, ar. 32 Dostupné z: </w:t>
      </w:r>
      <w:hyperlink r:id="rId67" w:history="1">
        <w:r w:rsidRPr="00064519">
          <w:rPr>
            <w:rStyle w:val="Hypertextovodkaz"/>
          </w:rPr>
          <w:t>https://digitallibrary.un.org/record/3856236?ln=en&amp;v=pdf</w:t>
        </w:r>
      </w:hyperlink>
      <w:r>
        <w:rPr>
          <w:rStyle w:val="value"/>
        </w:rPr>
        <w:t xml:space="preserve">  </w:t>
      </w:r>
      <w:bookmarkEnd w:id="32"/>
    </w:p>
  </w:footnote>
  <w:footnote w:id="159">
    <w:p w14:paraId="2A493910" w14:textId="77777777" w:rsidR="00EF5233" w:rsidRPr="0032653E" w:rsidRDefault="00EF5233" w:rsidP="00EF5233">
      <w:pPr>
        <w:pStyle w:val="Textpoznpodarou"/>
        <w:rPr>
          <w:b/>
          <w:bCs/>
        </w:rPr>
      </w:pPr>
      <w:r>
        <w:rPr>
          <w:rStyle w:val="Znakapoznpodarou"/>
        </w:rPr>
        <w:footnoteRef/>
      </w:r>
      <w:r>
        <w:t xml:space="preserve"> </w:t>
      </w:r>
      <w:bookmarkStart w:id="35" w:name="_Hlk161998774"/>
      <w:r w:rsidRPr="003E2459">
        <w:t xml:space="preserve">THOMPSON Chengeta. </w:t>
      </w:r>
      <w:r w:rsidRPr="003E2459">
        <w:rPr>
          <w:i/>
          <w:iCs/>
        </w:rPr>
        <w:t>Autonomous Weapon Systems and Modes of Responsibility in International Law</w:t>
      </w:r>
      <w:r w:rsidRPr="003E2459">
        <w:t xml:space="preserve"> [online] 45 Denv. J. Int'l L. &amp; Pol'y 1, 2016., s. 2 Dostupné z: </w:t>
      </w:r>
      <w:hyperlink r:id="rId68" w:history="1">
        <w:r w:rsidRPr="003E2459">
          <w:rPr>
            <w:rStyle w:val="Hypertextovodkaz"/>
          </w:rPr>
          <w:t>https://digitalcommons.du.edu/djilp/vol45/iss1/3/</w:t>
        </w:r>
      </w:hyperlink>
      <w:r w:rsidRPr="0032653E">
        <w:rPr>
          <w:b/>
          <w:bCs/>
        </w:rPr>
        <w:t xml:space="preserve"> </w:t>
      </w:r>
      <w:bookmarkEnd w:id="35"/>
    </w:p>
  </w:footnote>
  <w:footnote w:id="160">
    <w:p w14:paraId="561ED94D" w14:textId="77777777" w:rsidR="00EF5233" w:rsidRDefault="00EF5233" w:rsidP="00EF5233">
      <w:pPr>
        <w:pStyle w:val="Textpoznpodarou"/>
      </w:pPr>
      <w:r>
        <w:rPr>
          <w:rStyle w:val="Znakapoznpodarou"/>
        </w:rPr>
        <w:footnoteRef/>
      </w:r>
      <w:r>
        <w:t xml:space="preserve"> Tamtéž</w:t>
      </w:r>
    </w:p>
  </w:footnote>
  <w:footnote w:id="161">
    <w:p w14:paraId="78834B8A" w14:textId="77777777" w:rsidR="00EF5233" w:rsidRPr="00C41F5B" w:rsidRDefault="00EF5233" w:rsidP="00EF5233">
      <w:pPr>
        <w:pStyle w:val="Textpoznpodarou"/>
        <w:rPr>
          <w:b/>
          <w:bCs/>
        </w:rPr>
      </w:pPr>
      <w:r>
        <w:rPr>
          <w:rStyle w:val="Znakapoznpodarou"/>
        </w:rPr>
        <w:footnoteRef/>
      </w:r>
      <w:r>
        <w:t xml:space="preserve"> </w:t>
      </w:r>
      <w:bookmarkStart w:id="36" w:name="_Hlk161998746"/>
      <w:r w:rsidRPr="003E2459">
        <w:t xml:space="preserve">International Criminal Tribunal for the former Yugoslavia (ICTY) Appeals Chamber: Rozsudek ICTY Appeals Chamber, ve věci Prosecutor vs. Duško Tadić, ze dne 2. října 1995, sp. zn. IT-94-1-AR72 [online], ar. 94. Dostupné z: </w:t>
      </w:r>
      <w:hyperlink r:id="rId69" w:history="1">
        <w:r w:rsidRPr="003E2459">
          <w:rPr>
            <w:rStyle w:val="Hypertextovodkaz"/>
          </w:rPr>
          <w:t>https://www.asylumlawdatabase.eu/en/content/icty-prosecutor-v-tadic-it-94-1-ar72-icty</w:t>
        </w:r>
      </w:hyperlink>
      <w:r w:rsidRPr="00C41F5B">
        <w:rPr>
          <w:b/>
          <w:bCs/>
        </w:rPr>
        <w:t xml:space="preserve"> </w:t>
      </w:r>
    </w:p>
    <w:bookmarkEnd w:id="36"/>
  </w:footnote>
  <w:footnote w:id="162">
    <w:p w14:paraId="5FF5F4E7" w14:textId="77777777" w:rsidR="00EF5233" w:rsidRDefault="00EF5233" w:rsidP="00EF5233">
      <w:pPr>
        <w:pStyle w:val="Textpoznpodarou"/>
      </w:pPr>
      <w:r>
        <w:rPr>
          <w:rStyle w:val="Znakapoznpodarou"/>
        </w:rPr>
        <w:footnoteRef/>
      </w:r>
      <w:r>
        <w:t xml:space="preserve"> </w:t>
      </w:r>
      <w:bookmarkStart w:id="37" w:name="_Hlk161998557"/>
      <w:r w:rsidRPr="003E2459">
        <w:t>Římský statut Mezinárodního trestního soudu, čl. 8, pís. b) ii</w:t>
      </w:r>
      <w:bookmarkEnd w:id="37"/>
    </w:p>
  </w:footnote>
  <w:footnote w:id="163">
    <w:p w14:paraId="79C120D9" w14:textId="77777777" w:rsidR="00EF5233" w:rsidRDefault="00EF5233" w:rsidP="00EF5233">
      <w:pPr>
        <w:pStyle w:val="Textpoznpodarou"/>
      </w:pPr>
      <w:r>
        <w:rPr>
          <w:rStyle w:val="Znakapoznpodarou"/>
        </w:rPr>
        <w:footnoteRef/>
      </w:r>
      <w:r>
        <w:t xml:space="preserve"> Tamtéž, pís) b) xvii</w:t>
      </w:r>
    </w:p>
  </w:footnote>
  <w:footnote w:id="164">
    <w:p w14:paraId="01162A5C" w14:textId="77777777" w:rsidR="00EF5233" w:rsidRDefault="00EF5233" w:rsidP="00EF5233">
      <w:pPr>
        <w:pStyle w:val="Textpoznpodarou"/>
      </w:pPr>
      <w:r>
        <w:rPr>
          <w:rStyle w:val="Znakapoznpodarou"/>
        </w:rPr>
        <w:footnoteRef/>
      </w:r>
      <w:r w:rsidRPr="003E2459">
        <w:t>Římský statut Mezinárodního trestního soudu</w:t>
      </w:r>
      <w:r>
        <w:t>, čl. 25</w:t>
      </w:r>
    </w:p>
  </w:footnote>
  <w:footnote w:id="165">
    <w:p w14:paraId="4A63B2E9" w14:textId="77777777" w:rsidR="00EF5233" w:rsidRDefault="00EF5233" w:rsidP="00EF5233">
      <w:pPr>
        <w:pStyle w:val="Textpoznpodarou"/>
      </w:pPr>
      <w:r>
        <w:rPr>
          <w:rStyle w:val="Znakapoznpodarou"/>
        </w:rPr>
        <w:footnoteRef/>
      </w:r>
      <w:r>
        <w:t xml:space="preserve"> Tamtéž, čl. 28 </w:t>
      </w:r>
    </w:p>
  </w:footnote>
  <w:footnote w:id="166">
    <w:p w14:paraId="6DD363EB" w14:textId="77777777" w:rsidR="00EF5233" w:rsidRDefault="00EF5233" w:rsidP="00EF5233">
      <w:pPr>
        <w:pStyle w:val="Textpoznpodarou"/>
      </w:pPr>
      <w:r>
        <w:rPr>
          <w:rStyle w:val="Znakapoznpodarou"/>
        </w:rPr>
        <w:footnoteRef/>
      </w:r>
      <w:r>
        <w:t xml:space="preserve"> Dodatkový protokol I, čl. 91</w:t>
      </w:r>
    </w:p>
  </w:footnote>
  <w:footnote w:id="167">
    <w:p w14:paraId="61AD1A6A" w14:textId="77777777" w:rsidR="00EF5233" w:rsidRDefault="00EF5233" w:rsidP="00EF5233">
      <w:pPr>
        <w:pStyle w:val="Textpoznpodarou"/>
      </w:pPr>
      <w:r>
        <w:rPr>
          <w:rStyle w:val="Znakapoznpodarou"/>
        </w:rPr>
        <w:footnoteRef/>
      </w:r>
      <w:r>
        <w:rPr>
          <w:b/>
          <w:bCs/>
        </w:rPr>
        <w:t xml:space="preserve"> </w:t>
      </w:r>
      <w:bookmarkStart w:id="38" w:name="_Hlk161998546"/>
      <w:r w:rsidRPr="003E2459">
        <w:t xml:space="preserve">18/2012 Sb., Sdělení Ministerstva zahraničních věcí o sjednání Úmluvy o kazetové munici ze dne 30. května 2008, preambule. </w:t>
      </w:r>
      <w:bookmarkEnd w:id="38"/>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B6085"/>
    <w:multiLevelType w:val="hybridMultilevel"/>
    <w:tmpl w:val="DA322E78"/>
    <w:lvl w:ilvl="0" w:tplc="0405000F">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5EE3CF5"/>
    <w:multiLevelType w:val="hybridMultilevel"/>
    <w:tmpl w:val="B8B0C2C2"/>
    <w:lvl w:ilvl="0" w:tplc="797E4280">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15:restartNumberingAfterBreak="0">
    <w:nsid w:val="13E33075"/>
    <w:multiLevelType w:val="multilevel"/>
    <w:tmpl w:val="42F66C06"/>
    <w:lvl w:ilvl="0">
      <w:start w:val="1"/>
      <w:numFmt w:val="decimal"/>
      <w:lvlText w:val="%1."/>
      <w:lvlJc w:val="left"/>
      <w:pPr>
        <w:ind w:left="502"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3" w15:restartNumberingAfterBreak="0">
    <w:nsid w:val="16E8794A"/>
    <w:multiLevelType w:val="hybridMultilevel"/>
    <w:tmpl w:val="962A5E10"/>
    <w:lvl w:ilvl="0" w:tplc="4C42F6B2">
      <w:start w:val="1"/>
      <w:numFmt w:val="bullet"/>
      <w:lvlText w:val="-"/>
      <w:lvlJc w:val="left"/>
      <w:pPr>
        <w:ind w:left="1080" w:hanging="360"/>
      </w:pPr>
      <w:rPr>
        <w:rFonts w:ascii="Garamond" w:eastAsiaTheme="minorHAnsi" w:hAnsi="Garamond" w:cstheme="minorBid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A100FBF"/>
    <w:multiLevelType w:val="hybridMultilevel"/>
    <w:tmpl w:val="8D823F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A93283C"/>
    <w:multiLevelType w:val="multilevel"/>
    <w:tmpl w:val="9B2A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0B77F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B57A6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33721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7B3C8F"/>
    <w:multiLevelType w:val="multilevel"/>
    <w:tmpl w:val="DCE4B908"/>
    <w:lvl w:ilvl="0">
      <w:start w:val="4"/>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32C03C11"/>
    <w:multiLevelType w:val="multilevel"/>
    <w:tmpl w:val="27CC4112"/>
    <w:lvl w:ilvl="0">
      <w:start w:val="4"/>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344F7B22"/>
    <w:multiLevelType w:val="multilevel"/>
    <w:tmpl w:val="19BEDB48"/>
    <w:lvl w:ilvl="0">
      <w:start w:val="4"/>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000925"/>
    <w:multiLevelType w:val="hybridMultilevel"/>
    <w:tmpl w:val="883CF132"/>
    <w:lvl w:ilvl="0" w:tplc="97564F7A">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3" w15:restartNumberingAfterBreak="0">
    <w:nsid w:val="3BEA4295"/>
    <w:multiLevelType w:val="hybridMultilevel"/>
    <w:tmpl w:val="D12ADB8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C4D2245"/>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5" w15:restartNumberingAfterBreak="0">
    <w:nsid w:val="3D662731"/>
    <w:multiLevelType w:val="multilevel"/>
    <w:tmpl w:val="656ECACE"/>
    <w:lvl w:ilvl="0">
      <w:start w:val="4"/>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50A04AD2"/>
    <w:multiLevelType w:val="multilevel"/>
    <w:tmpl w:val="2196D0F0"/>
    <w:lvl w:ilvl="0">
      <w:start w:val="4"/>
      <w:numFmt w:val="decimal"/>
      <w:lvlText w:val="%1."/>
      <w:lvlJc w:val="left"/>
      <w:pPr>
        <w:ind w:left="408" w:hanging="40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599C0053"/>
    <w:multiLevelType w:val="multilevel"/>
    <w:tmpl w:val="5F221E02"/>
    <w:lvl w:ilvl="0">
      <w:start w:val="3"/>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5EA774E3"/>
    <w:multiLevelType w:val="multilevel"/>
    <w:tmpl w:val="CE1EE76C"/>
    <w:lvl w:ilvl="0">
      <w:start w:val="3"/>
      <w:numFmt w:val="decimal"/>
      <w:lvlText w:val="%1."/>
      <w:lvlJc w:val="left"/>
      <w:pPr>
        <w:ind w:left="408" w:hanging="40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621D374F"/>
    <w:multiLevelType w:val="multilevel"/>
    <w:tmpl w:val="329C0DAA"/>
    <w:lvl w:ilvl="0">
      <w:start w:val="4"/>
      <w:numFmt w:val="decimal"/>
      <w:lvlText w:val="%1."/>
      <w:lvlJc w:val="left"/>
      <w:pPr>
        <w:ind w:left="396" w:hanging="396"/>
      </w:pPr>
      <w:rPr>
        <w:rFonts w:hint="default"/>
      </w:rPr>
    </w:lvl>
    <w:lvl w:ilvl="1">
      <w:start w:val="2"/>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46D69D5"/>
    <w:multiLevelType w:val="hybridMultilevel"/>
    <w:tmpl w:val="1D0235EE"/>
    <w:lvl w:ilvl="0" w:tplc="0405000F">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94673B6"/>
    <w:multiLevelType w:val="multilevel"/>
    <w:tmpl w:val="DBACF3F2"/>
    <w:lvl w:ilvl="0">
      <w:start w:val="4"/>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B378B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B247824"/>
    <w:multiLevelType w:val="multilevel"/>
    <w:tmpl w:val="8652656C"/>
    <w:lvl w:ilvl="0">
      <w:start w:val="4"/>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27499941">
    <w:abstractNumId w:val="13"/>
  </w:num>
  <w:num w:numId="2" w16cid:durableId="382943950">
    <w:abstractNumId w:val="22"/>
  </w:num>
  <w:num w:numId="3" w16cid:durableId="213472932">
    <w:abstractNumId w:val="7"/>
  </w:num>
  <w:num w:numId="4" w16cid:durableId="950548307">
    <w:abstractNumId w:val="2"/>
  </w:num>
  <w:num w:numId="5" w16cid:durableId="139807300">
    <w:abstractNumId w:val="6"/>
  </w:num>
  <w:num w:numId="6" w16cid:durableId="245499081">
    <w:abstractNumId w:val="8"/>
  </w:num>
  <w:num w:numId="7" w16cid:durableId="1376924087">
    <w:abstractNumId w:val="14"/>
  </w:num>
  <w:num w:numId="8" w16cid:durableId="649797415">
    <w:abstractNumId w:val="14"/>
    <w:lvlOverride w:ilvl="0">
      <w:startOverride w:val="4"/>
    </w:lvlOverride>
  </w:num>
  <w:num w:numId="9" w16cid:durableId="1574194779">
    <w:abstractNumId w:val="4"/>
  </w:num>
  <w:num w:numId="10" w16cid:durableId="1341932105">
    <w:abstractNumId w:val="3"/>
  </w:num>
  <w:num w:numId="11" w16cid:durableId="163010403">
    <w:abstractNumId w:val="5"/>
  </w:num>
  <w:num w:numId="12" w16cid:durableId="1369140965">
    <w:abstractNumId w:val="20"/>
  </w:num>
  <w:num w:numId="13" w16cid:durableId="1224029680">
    <w:abstractNumId w:val="0"/>
  </w:num>
  <w:num w:numId="14" w16cid:durableId="1204097713">
    <w:abstractNumId w:val="1"/>
  </w:num>
  <w:num w:numId="15" w16cid:durableId="973296731">
    <w:abstractNumId w:val="14"/>
    <w:lvlOverride w:ilvl="0">
      <w:startOverride w:val="4"/>
    </w:lvlOverride>
  </w:num>
  <w:num w:numId="16" w16cid:durableId="21632209">
    <w:abstractNumId w:val="12"/>
  </w:num>
  <w:num w:numId="17" w16cid:durableId="500701740">
    <w:abstractNumId w:val="16"/>
  </w:num>
  <w:num w:numId="18" w16cid:durableId="1838686765">
    <w:abstractNumId w:val="9"/>
  </w:num>
  <w:num w:numId="19" w16cid:durableId="204678953">
    <w:abstractNumId w:val="21"/>
  </w:num>
  <w:num w:numId="20" w16cid:durableId="1023630676">
    <w:abstractNumId w:val="23"/>
  </w:num>
  <w:num w:numId="21" w16cid:durableId="65340726">
    <w:abstractNumId w:val="11"/>
  </w:num>
  <w:num w:numId="22" w16cid:durableId="1691494430">
    <w:abstractNumId w:val="10"/>
  </w:num>
  <w:num w:numId="23" w16cid:durableId="1237128588">
    <w:abstractNumId w:val="19"/>
  </w:num>
  <w:num w:numId="24" w16cid:durableId="2116172903">
    <w:abstractNumId w:val="15"/>
  </w:num>
  <w:num w:numId="25" w16cid:durableId="1024328596">
    <w:abstractNumId w:val="17"/>
  </w:num>
  <w:num w:numId="26" w16cid:durableId="17695460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D09"/>
    <w:rsid w:val="000019BB"/>
    <w:rsid w:val="00001F9D"/>
    <w:rsid w:val="000037C5"/>
    <w:rsid w:val="00004477"/>
    <w:rsid w:val="0000465C"/>
    <w:rsid w:val="00005551"/>
    <w:rsid w:val="00005681"/>
    <w:rsid w:val="00005E7C"/>
    <w:rsid w:val="00005F45"/>
    <w:rsid w:val="0000649C"/>
    <w:rsid w:val="00010059"/>
    <w:rsid w:val="000106A8"/>
    <w:rsid w:val="0001200C"/>
    <w:rsid w:val="0001268F"/>
    <w:rsid w:val="00012F33"/>
    <w:rsid w:val="00013361"/>
    <w:rsid w:val="00014A00"/>
    <w:rsid w:val="00020437"/>
    <w:rsid w:val="0002063E"/>
    <w:rsid w:val="00021230"/>
    <w:rsid w:val="00025252"/>
    <w:rsid w:val="0002640E"/>
    <w:rsid w:val="00026694"/>
    <w:rsid w:val="00031405"/>
    <w:rsid w:val="00032995"/>
    <w:rsid w:val="0003328E"/>
    <w:rsid w:val="000332C5"/>
    <w:rsid w:val="000353FD"/>
    <w:rsid w:val="00036439"/>
    <w:rsid w:val="00041637"/>
    <w:rsid w:val="00042CC6"/>
    <w:rsid w:val="000434A3"/>
    <w:rsid w:val="0004534F"/>
    <w:rsid w:val="00047AD8"/>
    <w:rsid w:val="000509A3"/>
    <w:rsid w:val="000612BF"/>
    <w:rsid w:val="0006326E"/>
    <w:rsid w:val="000643FD"/>
    <w:rsid w:val="000646FE"/>
    <w:rsid w:val="00064BDD"/>
    <w:rsid w:val="00065BAB"/>
    <w:rsid w:val="00065CC5"/>
    <w:rsid w:val="00066878"/>
    <w:rsid w:val="00067C05"/>
    <w:rsid w:val="00067F96"/>
    <w:rsid w:val="00071159"/>
    <w:rsid w:val="00071A31"/>
    <w:rsid w:val="00071B2E"/>
    <w:rsid w:val="00071E4A"/>
    <w:rsid w:val="0007315C"/>
    <w:rsid w:val="00073888"/>
    <w:rsid w:val="00074032"/>
    <w:rsid w:val="00080B8C"/>
    <w:rsid w:val="00083A27"/>
    <w:rsid w:val="0008432F"/>
    <w:rsid w:val="000844A2"/>
    <w:rsid w:val="000845B0"/>
    <w:rsid w:val="0008618D"/>
    <w:rsid w:val="00087554"/>
    <w:rsid w:val="000909E6"/>
    <w:rsid w:val="0009411B"/>
    <w:rsid w:val="00094BD9"/>
    <w:rsid w:val="00095B8E"/>
    <w:rsid w:val="000970DA"/>
    <w:rsid w:val="000A0F81"/>
    <w:rsid w:val="000A2259"/>
    <w:rsid w:val="000A25D0"/>
    <w:rsid w:val="000A420C"/>
    <w:rsid w:val="000B1ED4"/>
    <w:rsid w:val="000B28EA"/>
    <w:rsid w:val="000B305C"/>
    <w:rsid w:val="000B44F2"/>
    <w:rsid w:val="000B4F64"/>
    <w:rsid w:val="000B4FE2"/>
    <w:rsid w:val="000B7036"/>
    <w:rsid w:val="000C2D34"/>
    <w:rsid w:val="000C38EE"/>
    <w:rsid w:val="000C3E91"/>
    <w:rsid w:val="000C4475"/>
    <w:rsid w:val="000C76CB"/>
    <w:rsid w:val="000C778B"/>
    <w:rsid w:val="000C7C5B"/>
    <w:rsid w:val="000C7EFD"/>
    <w:rsid w:val="000D0A83"/>
    <w:rsid w:val="000D260B"/>
    <w:rsid w:val="000D469F"/>
    <w:rsid w:val="000D50F5"/>
    <w:rsid w:val="000D562A"/>
    <w:rsid w:val="000D7185"/>
    <w:rsid w:val="000D747F"/>
    <w:rsid w:val="000E00D4"/>
    <w:rsid w:val="000E123C"/>
    <w:rsid w:val="000E178B"/>
    <w:rsid w:val="000E321B"/>
    <w:rsid w:val="000E3929"/>
    <w:rsid w:val="000E5479"/>
    <w:rsid w:val="000E5BA7"/>
    <w:rsid w:val="000E6208"/>
    <w:rsid w:val="000E6746"/>
    <w:rsid w:val="000E6977"/>
    <w:rsid w:val="000F103F"/>
    <w:rsid w:val="000F19A8"/>
    <w:rsid w:val="000F32C2"/>
    <w:rsid w:val="000F3FE9"/>
    <w:rsid w:val="000F456C"/>
    <w:rsid w:val="000F6B03"/>
    <w:rsid w:val="000F793E"/>
    <w:rsid w:val="001016D7"/>
    <w:rsid w:val="00101CFD"/>
    <w:rsid w:val="0010317D"/>
    <w:rsid w:val="0010481C"/>
    <w:rsid w:val="0010794A"/>
    <w:rsid w:val="001101D4"/>
    <w:rsid w:val="0011183A"/>
    <w:rsid w:val="00111A44"/>
    <w:rsid w:val="00113CA8"/>
    <w:rsid w:val="0011510F"/>
    <w:rsid w:val="00115B16"/>
    <w:rsid w:val="00117177"/>
    <w:rsid w:val="00117445"/>
    <w:rsid w:val="00120526"/>
    <w:rsid w:val="00120CE3"/>
    <w:rsid w:val="0012106D"/>
    <w:rsid w:val="00121860"/>
    <w:rsid w:val="00123457"/>
    <w:rsid w:val="0012357B"/>
    <w:rsid w:val="001250C8"/>
    <w:rsid w:val="00125B66"/>
    <w:rsid w:val="001263EC"/>
    <w:rsid w:val="00131E35"/>
    <w:rsid w:val="00131E8D"/>
    <w:rsid w:val="00132AF1"/>
    <w:rsid w:val="001337ED"/>
    <w:rsid w:val="00133A26"/>
    <w:rsid w:val="00133D12"/>
    <w:rsid w:val="00137152"/>
    <w:rsid w:val="001373E7"/>
    <w:rsid w:val="0014502D"/>
    <w:rsid w:val="0014549D"/>
    <w:rsid w:val="00145FDD"/>
    <w:rsid w:val="00146C9E"/>
    <w:rsid w:val="00150D56"/>
    <w:rsid w:val="00151BF4"/>
    <w:rsid w:val="00151F2F"/>
    <w:rsid w:val="0015356A"/>
    <w:rsid w:val="00153759"/>
    <w:rsid w:val="001543D5"/>
    <w:rsid w:val="00155B5F"/>
    <w:rsid w:val="00160482"/>
    <w:rsid w:val="00160CE7"/>
    <w:rsid w:val="00162221"/>
    <w:rsid w:val="00163B66"/>
    <w:rsid w:val="0016426A"/>
    <w:rsid w:val="001644AE"/>
    <w:rsid w:val="00164809"/>
    <w:rsid w:val="00164F18"/>
    <w:rsid w:val="0016509E"/>
    <w:rsid w:val="0016561F"/>
    <w:rsid w:val="001722C0"/>
    <w:rsid w:val="001730EC"/>
    <w:rsid w:val="001742F1"/>
    <w:rsid w:val="00174F60"/>
    <w:rsid w:val="001756C5"/>
    <w:rsid w:val="00175ECC"/>
    <w:rsid w:val="00176260"/>
    <w:rsid w:val="00176B64"/>
    <w:rsid w:val="00180928"/>
    <w:rsid w:val="001809B2"/>
    <w:rsid w:val="00180D04"/>
    <w:rsid w:val="00183D9C"/>
    <w:rsid w:val="001845F6"/>
    <w:rsid w:val="0018473F"/>
    <w:rsid w:val="00186414"/>
    <w:rsid w:val="001873AE"/>
    <w:rsid w:val="00190879"/>
    <w:rsid w:val="00190AFD"/>
    <w:rsid w:val="00192B63"/>
    <w:rsid w:val="00194B4A"/>
    <w:rsid w:val="001974A5"/>
    <w:rsid w:val="001A059E"/>
    <w:rsid w:val="001A2F98"/>
    <w:rsid w:val="001A3A0D"/>
    <w:rsid w:val="001A41C2"/>
    <w:rsid w:val="001A6A70"/>
    <w:rsid w:val="001A769D"/>
    <w:rsid w:val="001B1204"/>
    <w:rsid w:val="001B1306"/>
    <w:rsid w:val="001B1A0E"/>
    <w:rsid w:val="001B3F99"/>
    <w:rsid w:val="001C174A"/>
    <w:rsid w:val="001C33A3"/>
    <w:rsid w:val="001C6696"/>
    <w:rsid w:val="001C6E9A"/>
    <w:rsid w:val="001C7842"/>
    <w:rsid w:val="001D07CD"/>
    <w:rsid w:val="001D524C"/>
    <w:rsid w:val="001D5DC1"/>
    <w:rsid w:val="001E041D"/>
    <w:rsid w:val="001E0539"/>
    <w:rsid w:val="001E0AE8"/>
    <w:rsid w:val="001E235D"/>
    <w:rsid w:val="001E307F"/>
    <w:rsid w:val="001E3138"/>
    <w:rsid w:val="001E3F28"/>
    <w:rsid w:val="001E4F1F"/>
    <w:rsid w:val="001E52BA"/>
    <w:rsid w:val="001E754B"/>
    <w:rsid w:val="001F039E"/>
    <w:rsid w:val="001F086D"/>
    <w:rsid w:val="001F18EA"/>
    <w:rsid w:val="001F3BEE"/>
    <w:rsid w:val="001F3FAD"/>
    <w:rsid w:val="001F4DDA"/>
    <w:rsid w:val="001F52CB"/>
    <w:rsid w:val="001F616E"/>
    <w:rsid w:val="001F7578"/>
    <w:rsid w:val="001F773A"/>
    <w:rsid w:val="001F7A3B"/>
    <w:rsid w:val="001F7DF0"/>
    <w:rsid w:val="002005F0"/>
    <w:rsid w:val="002020C9"/>
    <w:rsid w:val="002029D7"/>
    <w:rsid w:val="00203326"/>
    <w:rsid w:val="0021050B"/>
    <w:rsid w:val="00210B38"/>
    <w:rsid w:val="00211725"/>
    <w:rsid w:val="002134EB"/>
    <w:rsid w:val="00213903"/>
    <w:rsid w:val="00214F72"/>
    <w:rsid w:val="00215AA6"/>
    <w:rsid w:val="0022112C"/>
    <w:rsid w:val="002218F2"/>
    <w:rsid w:val="002220E6"/>
    <w:rsid w:val="00224163"/>
    <w:rsid w:val="00225F36"/>
    <w:rsid w:val="00226E22"/>
    <w:rsid w:val="00227D1B"/>
    <w:rsid w:val="00231E5F"/>
    <w:rsid w:val="002320CA"/>
    <w:rsid w:val="00235594"/>
    <w:rsid w:val="00236848"/>
    <w:rsid w:val="00237961"/>
    <w:rsid w:val="00237A60"/>
    <w:rsid w:val="00240ABE"/>
    <w:rsid w:val="00247E8E"/>
    <w:rsid w:val="0025412B"/>
    <w:rsid w:val="00255082"/>
    <w:rsid w:val="002560B3"/>
    <w:rsid w:val="00257822"/>
    <w:rsid w:val="00263E81"/>
    <w:rsid w:val="00264D07"/>
    <w:rsid w:val="00266876"/>
    <w:rsid w:val="00266E08"/>
    <w:rsid w:val="00267CA8"/>
    <w:rsid w:val="00271DC7"/>
    <w:rsid w:val="00272389"/>
    <w:rsid w:val="00272D5A"/>
    <w:rsid w:val="002748D1"/>
    <w:rsid w:val="002758E7"/>
    <w:rsid w:val="00275959"/>
    <w:rsid w:val="002765AA"/>
    <w:rsid w:val="0027698A"/>
    <w:rsid w:val="0027745F"/>
    <w:rsid w:val="0027764B"/>
    <w:rsid w:val="00277E35"/>
    <w:rsid w:val="00280BD3"/>
    <w:rsid w:val="00280D9C"/>
    <w:rsid w:val="002819B1"/>
    <w:rsid w:val="002845B3"/>
    <w:rsid w:val="00284943"/>
    <w:rsid w:val="00284E47"/>
    <w:rsid w:val="00291179"/>
    <w:rsid w:val="00292A40"/>
    <w:rsid w:val="00292DC4"/>
    <w:rsid w:val="00292FD7"/>
    <w:rsid w:val="002949C3"/>
    <w:rsid w:val="00294BDE"/>
    <w:rsid w:val="00295EBA"/>
    <w:rsid w:val="00296CF7"/>
    <w:rsid w:val="002971DF"/>
    <w:rsid w:val="002A3E84"/>
    <w:rsid w:val="002A6F0C"/>
    <w:rsid w:val="002A71DF"/>
    <w:rsid w:val="002A753F"/>
    <w:rsid w:val="002A76DE"/>
    <w:rsid w:val="002B0791"/>
    <w:rsid w:val="002B0F6E"/>
    <w:rsid w:val="002B2239"/>
    <w:rsid w:val="002B22C3"/>
    <w:rsid w:val="002B25AD"/>
    <w:rsid w:val="002B2619"/>
    <w:rsid w:val="002B34F1"/>
    <w:rsid w:val="002B6166"/>
    <w:rsid w:val="002B75B0"/>
    <w:rsid w:val="002B7B4D"/>
    <w:rsid w:val="002C0AB7"/>
    <w:rsid w:val="002C0B46"/>
    <w:rsid w:val="002C0D8B"/>
    <w:rsid w:val="002C13E4"/>
    <w:rsid w:val="002C1DE5"/>
    <w:rsid w:val="002C37B7"/>
    <w:rsid w:val="002C4368"/>
    <w:rsid w:val="002C6B09"/>
    <w:rsid w:val="002C706C"/>
    <w:rsid w:val="002C78A4"/>
    <w:rsid w:val="002C7F99"/>
    <w:rsid w:val="002D16D7"/>
    <w:rsid w:val="002D1B88"/>
    <w:rsid w:val="002D235E"/>
    <w:rsid w:val="002E31EB"/>
    <w:rsid w:val="002E358E"/>
    <w:rsid w:val="002E5777"/>
    <w:rsid w:val="002E5828"/>
    <w:rsid w:val="002E61BC"/>
    <w:rsid w:val="002E624C"/>
    <w:rsid w:val="002E6F0B"/>
    <w:rsid w:val="002F023B"/>
    <w:rsid w:val="002F2364"/>
    <w:rsid w:val="002F298D"/>
    <w:rsid w:val="002F3548"/>
    <w:rsid w:val="002F373F"/>
    <w:rsid w:val="002F37A3"/>
    <w:rsid w:val="002F41E7"/>
    <w:rsid w:val="002F4D3F"/>
    <w:rsid w:val="002F7C4B"/>
    <w:rsid w:val="002F7FC0"/>
    <w:rsid w:val="003009BC"/>
    <w:rsid w:val="00300AA3"/>
    <w:rsid w:val="0030198A"/>
    <w:rsid w:val="00301D6B"/>
    <w:rsid w:val="0030370D"/>
    <w:rsid w:val="0030396C"/>
    <w:rsid w:val="00303DE8"/>
    <w:rsid w:val="00303FE5"/>
    <w:rsid w:val="003053AB"/>
    <w:rsid w:val="003053B3"/>
    <w:rsid w:val="00305AEA"/>
    <w:rsid w:val="00305DFA"/>
    <w:rsid w:val="00307704"/>
    <w:rsid w:val="003079BD"/>
    <w:rsid w:val="00307F4F"/>
    <w:rsid w:val="00310312"/>
    <w:rsid w:val="003114DF"/>
    <w:rsid w:val="003118D6"/>
    <w:rsid w:val="00311CF4"/>
    <w:rsid w:val="00312F5B"/>
    <w:rsid w:val="00313E04"/>
    <w:rsid w:val="00314D44"/>
    <w:rsid w:val="00317166"/>
    <w:rsid w:val="00317831"/>
    <w:rsid w:val="003209EF"/>
    <w:rsid w:val="003218E2"/>
    <w:rsid w:val="00321D08"/>
    <w:rsid w:val="00322578"/>
    <w:rsid w:val="003225FA"/>
    <w:rsid w:val="003251CD"/>
    <w:rsid w:val="003257B4"/>
    <w:rsid w:val="00327093"/>
    <w:rsid w:val="00335611"/>
    <w:rsid w:val="00336D9B"/>
    <w:rsid w:val="00336F27"/>
    <w:rsid w:val="00337885"/>
    <w:rsid w:val="003403B5"/>
    <w:rsid w:val="00341523"/>
    <w:rsid w:val="00343600"/>
    <w:rsid w:val="00345EC3"/>
    <w:rsid w:val="00351587"/>
    <w:rsid w:val="00351A69"/>
    <w:rsid w:val="003525EE"/>
    <w:rsid w:val="00353E63"/>
    <w:rsid w:val="00354B65"/>
    <w:rsid w:val="00356379"/>
    <w:rsid w:val="00356950"/>
    <w:rsid w:val="00356CE0"/>
    <w:rsid w:val="003579B6"/>
    <w:rsid w:val="00357B26"/>
    <w:rsid w:val="0036242F"/>
    <w:rsid w:val="00363108"/>
    <w:rsid w:val="0036348B"/>
    <w:rsid w:val="0036385D"/>
    <w:rsid w:val="00364770"/>
    <w:rsid w:val="003657C5"/>
    <w:rsid w:val="00371BCA"/>
    <w:rsid w:val="00374A21"/>
    <w:rsid w:val="0037538D"/>
    <w:rsid w:val="00375878"/>
    <w:rsid w:val="00382AC1"/>
    <w:rsid w:val="00383335"/>
    <w:rsid w:val="00383508"/>
    <w:rsid w:val="00383D5C"/>
    <w:rsid w:val="00384BFB"/>
    <w:rsid w:val="00384EA9"/>
    <w:rsid w:val="00385578"/>
    <w:rsid w:val="003855B4"/>
    <w:rsid w:val="00385814"/>
    <w:rsid w:val="00387F79"/>
    <w:rsid w:val="00391AA8"/>
    <w:rsid w:val="00392A76"/>
    <w:rsid w:val="00394098"/>
    <w:rsid w:val="003968F8"/>
    <w:rsid w:val="00397AB2"/>
    <w:rsid w:val="003A0A49"/>
    <w:rsid w:val="003A127A"/>
    <w:rsid w:val="003A13B0"/>
    <w:rsid w:val="003A1835"/>
    <w:rsid w:val="003A2186"/>
    <w:rsid w:val="003A2D54"/>
    <w:rsid w:val="003A2EB0"/>
    <w:rsid w:val="003A3249"/>
    <w:rsid w:val="003A33B8"/>
    <w:rsid w:val="003A42BE"/>
    <w:rsid w:val="003A51D4"/>
    <w:rsid w:val="003A785F"/>
    <w:rsid w:val="003A7F93"/>
    <w:rsid w:val="003B06F5"/>
    <w:rsid w:val="003B1F0D"/>
    <w:rsid w:val="003B28BA"/>
    <w:rsid w:val="003B28E3"/>
    <w:rsid w:val="003B2E0B"/>
    <w:rsid w:val="003B376A"/>
    <w:rsid w:val="003B5310"/>
    <w:rsid w:val="003B54E9"/>
    <w:rsid w:val="003B5EC4"/>
    <w:rsid w:val="003B7DD0"/>
    <w:rsid w:val="003C14E0"/>
    <w:rsid w:val="003C1AC4"/>
    <w:rsid w:val="003C1CB8"/>
    <w:rsid w:val="003C1D09"/>
    <w:rsid w:val="003C3ED3"/>
    <w:rsid w:val="003C45F1"/>
    <w:rsid w:val="003C55E0"/>
    <w:rsid w:val="003C6C91"/>
    <w:rsid w:val="003D1460"/>
    <w:rsid w:val="003D1C39"/>
    <w:rsid w:val="003D2FA3"/>
    <w:rsid w:val="003D6325"/>
    <w:rsid w:val="003D70E3"/>
    <w:rsid w:val="003D7F54"/>
    <w:rsid w:val="003E0C4E"/>
    <w:rsid w:val="003E0D4B"/>
    <w:rsid w:val="003E2459"/>
    <w:rsid w:val="003E2954"/>
    <w:rsid w:val="003E46D2"/>
    <w:rsid w:val="003E5154"/>
    <w:rsid w:val="003E6517"/>
    <w:rsid w:val="003E71CE"/>
    <w:rsid w:val="003E7B7A"/>
    <w:rsid w:val="003F4FC3"/>
    <w:rsid w:val="003F510D"/>
    <w:rsid w:val="003F530A"/>
    <w:rsid w:val="003F6829"/>
    <w:rsid w:val="003F7A85"/>
    <w:rsid w:val="00400F21"/>
    <w:rsid w:val="00403494"/>
    <w:rsid w:val="00403679"/>
    <w:rsid w:val="00404190"/>
    <w:rsid w:val="00404E2D"/>
    <w:rsid w:val="004051C0"/>
    <w:rsid w:val="004058E6"/>
    <w:rsid w:val="004069C3"/>
    <w:rsid w:val="00407FCE"/>
    <w:rsid w:val="0041493B"/>
    <w:rsid w:val="004150CF"/>
    <w:rsid w:val="00416A15"/>
    <w:rsid w:val="004210BC"/>
    <w:rsid w:val="0042274A"/>
    <w:rsid w:val="004233EE"/>
    <w:rsid w:val="004257A3"/>
    <w:rsid w:val="00427B1C"/>
    <w:rsid w:val="00427EA1"/>
    <w:rsid w:val="00431395"/>
    <w:rsid w:val="00431D45"/>
    <w:rsid w:val="004347E6"/>
    <w:rsid w:val="00435E52"/>
    <w:rsid w:val="00437B2B"/>
    <w:rsid w:val="004457B1"/>
    <w:rsid w:val="00446E9C"/>
    <w:rsid w:val="00452195"/>
    <w:rsid w:val="004539B6"/>
    <w:rsid w:val="00454490"/>
    <w:rsid w:val="00457796"/>
    <w:rsid w:val="00461602"/>
    <w:rsid w:val="00463332"/>
    <w:rsid w:val="00463CAF"/>
    <w:rsid w:val="00463E35"/>
    <w:rsid w:val="004641A6"/>
    <w:rsid w:val="0046510F"/>
    <w:rsid w:val="00465C06"/>
    <w:rsid w:val="00466542"/>
    <w:rsid w:val="00467EF3"/>
    <w:rsid w:val="00467F5A"/>
    <w:rsid w:val="004701A0"/>
    <w:rsid w:val="00470951"/>
    <w:rsid w:val="00470AD3"/>
    <w:rsid w:val="004717B6"/>
    <w:rsid w:val="00474677"/>
    <w:rsid w:val="004746B5"/>
    <w:rsid w:val="00474AEF"/>
    <w:rsid w:val="00475088"/>
    <w:rsid w:val="004801CF"/>
    <w:rsid w:val="004838F0"/>
    <w:rsid w:val="00485E6D"/>
    <w:rsid w:val="00491D39"/>
    <w:rsid w:val="00492719"/>
    <w:rsid w:val="004935DE"/>
    <w:rsid w:val="00493BFB"/>
    <w:rsid w:val="00495011"/>
    <w:rsid w:val="00496635"/>
    <w:rsid w:val="00496E1D"/>
    <w:rsid w:val="004A03D6"/>
    <w:rsid w:val="004A27C9"/>
    <w:rsid w:val="004A29C4"/>
    <w:rsid w:val="004A3824"/>
    <w:rsid w:val="004A3F87"/>
    <w:rsid w:val="004A43E8"/>
    <w:rsid w:val="004A49B3"/>
    <w:rsid w:val="004A5905"/>
    <w:rsid w:val="004A710F"/>
    <w:rsid w:val="004B2927"/>
    <w:rsid w:val="004B2E20"/>
    <w:rsid w:val="004B3010"/>
    <w:rsid w:val="004B3427"/>
    <w:rsid w:val="004B3A24"/>
    <w:rsid w:val="004B3EF6"/>
    <w:rsid w:val="004B42D7"/>
    <w:rsid w:val="004B609B"/>
    <w:rsid w:val="004B7090"/>
    <w:rsid w:val="004B71AA"/>
    <w:rsid w:val="004C04D0"/>
    <w:rsid w:val="004C07C9"/>
    <w:rsid w:val="004C1128"/>
    <w:rsid w:val="004C14C9"/>
    <w:rsid w:val="004C27CF"/>
    <w:rsid w:val="004C2DC8"/>
    <w:rsid w:val="004C6043"/>
    <w:rsid w:val="004C7713"/>
    <w:rsid w:val="004D5BE2"/>
    <w:rsid w:val="004D6A9C"/>
    <w:rsid w:val="004E00A8"/>
    <w:rsid w:val="004E0127"/>
    <w:rsid w:val="004E1908"/>
    <w:rsid w:val="004E1ABA"/>
    <w:rsid w:val="004E2B80"/>
    <w:rsid w:val="004E459A"/>
    <w:rsid w:val="004E5D62"/>
    <w:rsid w:val="004E5D95"/>
    <w:rsid w:val="004E6AD8"/>
    <w:rsid w:val="004E7E72"/>
    <w:rsid w:val="004F2918"/>
    <w:rsid w:val="004F4012"/>
    <w:rsid w:val="004F6D5D"/>
    <w:rsid w:val="0050034C"/>
    <w:rsid w:val="00501E0A"/>
    <w:rsid w:val="00502275"/>
    <w:rsid w:val="00502327"/>
    <w:rsid w:val="00502970"/>
    <w:rsid w:val="00505680"/>
    <w:rsid w:val="00510A9E"/>
    <w:rsid w:val="00510BD5"/>
    <w:rsid w:val="00511395"/>
    <w:rsid w:val="005131F5"/>
    <w:rsid w:val="00513C4B"/>
    <w:rsid w:val="00514A5B"/>
    <w:rsid w:val="00517191"/>
    <w:rsid w:val="005213F6"/>
    <w:rsid w:val="00523606"/>
    <w:rsid w:val="00525087"/>
    <w:rsid w:val="0052524D"/>
    <w:rsid w:val="0052696A"/>
    <w:rsid w:val="00531F1D"/>
    <w:rsid w:val="00535090"/>
    <w:rsid w:val="00535DDC"/>
    <w:rsid w:val="00535E13"/>
    <w:rsid w:val="00536D19"/>
    <w:rsid w:val="00537F14"/>
    <w:rsid w:val="00540606"/>
    <w:rsid w:val="00540875"/>
    <w:rsid w:val="00540DE1"/>
    <w:rsid w:val="0054184B"/>
    <w:rsid w:val="00543C06"/>
    <w:rsid w:val="00545E05"/>
    <w:rsid w:val="00546DAF"/>
    <w:rsid w:val="005504DF"/>
    <w:rsid w:val="00552383"/>
    <w:rsid w:val="00552609"/>
    <w:rsid w:val="00552D6A"/>
    <w:rsid w:val="00553170"/>
    <w:rsid w:val="00555852"/>
    <w:rsid w:val="00557315"/>
    <w:rsid w:val="005576C3"/>
    <w:rsid w:val="005604F3"/>
    <w:rsid w:val="0056136A"/>
    <w:rsid w:val="005631EB"/>
    <w:rsid w:val="005651A2"/>
    <w:rsid w:val="00567A43"/>
    <w:rsid w:val="005730E5"/>
    <w:rsid w:val="00573F77"/>
    <w:rsid w:val="0057582F"/>
    <w:rsid w:val="0057594F"/>
    <w:rsid w:val="00575A3E"/>
    <w:rsid w:val="00577679"/>
    <w:rsid w:val="00577B63"/>
    <w:rsid w:val="00580AAA"/>
    <w:rsid w:val="00580D42"/>
    <w:rsid w:val="00581EB7"/>
    <w:rsid w:val="005820AD"/>
    <w:rsid w:val="0058299A"/>
    <w:rsid w:val="00585794"/>
    <w:rsid w:val="005912D1"/>
    <w:rsid w:val="00593285"/>
    <w:rsid w:val="005946C0"/>
    <w:rsid w:val="0059701B"/>
    <w:rsid w:val="00597CCF"/>
    <w:rsid w:val="00597D2A"/>
    <w:rsid w:val="005A0612"/>
    <w:rsid w:val="005A063A"/>
    <w:rsid w:val="005A0B21"/>
    <w:rsid w:val="005A11E4"/>
    <w:rsid w:val="005A1386"/>
    <w:rsid w:val="005A1D8E"/>
    <w:rsid w:val="005A1FAB"/>
    <w:rsid w:val="005A2960"/>
    <w:rsid w:val="005A38D7"/>
    <w:rsid w:val="005A4865"/>
    <w:rsid w:val="005A5362"/>
    <w:rsid w:val="005B1715"/>
    <w:rsid w:val="005B2F31"/>
    <w:rsid w:val="005B483E"/>
    <w:rsid w:val="005B6666"/>
    <w:rsid w:val="005B671A"/>
    <w:rsid w:val="005B7E62"/>
    <w:rsid w:val="005C06BE"/>
    <w:rsid w:val="005C1605"/>
    <w:rsid w:val="005C2E73"/>
    <w:rsid w:val="005C462E"/>
    <w:rsid w:val="005C5AD6"/>
    <w:rsid w:val="005D0725"/>
    <w:rsid w:val="005D1548"/>
    <w:rsid w:val="005D1D81"/>
    <w:rsid w:val="005D2F64"/>
    <w:rsid w:val="005D40E5"/>
    <w:rsid w:val="005D5958"/>
    <w:rsid w:val="005D600B"/>
    <w:rsid w:val="005D65D1"/>
    <w:rsid w:val="005E0B96"/>
    <w:rsid w:val="005E12DC"/>
    <w:rsid w:val="005E1525"/>
    <w:rsid w:val="005E321D"/>
    <w:rsid w:val="005E4009"/>
    <w:rsid w:val="005E50D9"/>
    <w:rsid w:val="005E63C4"/>
    <w:rsid w:val="005E7962"/>
    <w:rsid w:val="005F0BE5"/>
    <w:rsid w:val="005F326C"/>
    <w:rsid w:val="005F4A90"/>
    <w:rsid w:val="005F65E8"/>
    <w:rsid w:val="005F7216"/>
    <w:rsid w:val="006006CF"/>
    <w:rsid w:val="00600FD2"/>
    <w:rsid w:val="00603163"/>
    <w:rsid w:val="00603BCF"/>
    <w:rsid w:val="00603E2F"/>
    <w:rsid w:val="00604358"/>
    <w:rsid w:val="00605852"/>
    <w:rsid w:val="0060691E"/>
    <w:rsid w:val="0060713E"/>
    <w:rsid w:val="00607F38"/>
    <w:rsid w:val="00611926"/>
    <w:rsid w:val="00613684"/>
    <w:rsid w:val="00615406"/>
    <w:rsid w:val="00615521"/>
    <w:rsid w:val="00615F68"/>
    <w:rsid w:val="00616E14"/>
    <w:rsid w:val="00617877"/>
    <w:rsid w:val="006201C9"/>
    <w:rsid w:val="006207A2"/>
    <w:rsid w:val="00620C95"/>
    <w:rsid w:val="00621414"/>
    <w:rsid w:val="00621D09"/>
    <w:rsid w:val="00622EDA"/>
    <w:rsid w:val="00624B46"/>
    <w:rsid w:val="00625785"/>
    <w:rsid w:val="00626895"/>
    <w:rsid w:val="00627374"/>
    <w:rsid w:val="00627F9F"/>
    <w:rsid w:val="00633B18"/>
    <w:rsid w:val="006347A0"/>
    <w:rsid w:val="006351D4"/>
    <w:rsid w:val="00635E1F"/>
    <w:rsid w:val="0063622E"/>
    <w:rsid w:val="00636562"/>
    <w:rsid w:val="00636EFA"/>
    <w:rsid w:val="006400DD"/>
    <w:rsid w:val="00640FCE"/>
    <w:rsid w:val="00641AE0"/>
    <w:rsid w:val="0064343F"/>
    <w:rsid w:val="0064372C"/>
    <w:rsid w:val="00644521"/>
    <w:rsid w:val="00644869"/>
    <w:rsid w:val="00644A0C"/>
    <w:rsid w:val="00645481"/>
    <w:rsid w:val="00645D66"/>
    <w:rsid w:val="00646444"/>
    <w:rsid w:val="006466DB"/>
    <w:rsid w:val="00647985"/>
    <w:rsid w:val="00651A4C"/>
    <w:rsid w:val="00652F6B"/>
    <w:rsid w:val="0065497E"/>
    <w:rsid w:val="00654EAB"/>
    <w:rsid w:val="00656612"/>
    <w:rsid w:val="00656613"/>
    <w:rsid w:val="00657A47"/>
    <w:rsid w:val="00660DB8"/>
    <w:rsid w:val="00661128"/>
    <w:rsid w:val="0066118B"/>
    <w:rsid w:val="00661861"/>
    <w:rsid w:val="00661AC7"/>
    <w:rsid w:val="00661AE4"/>
    <w:rsid w:val="006659C2"/>
    <w:rsid w:val="00667D5F"/>
    <w:rsid w:val="006700F9"/>
    <w:rsid w:val="00673667"/>
    <w:rsid w:val="006778B2"/>
    <w:rsid w:val="006804C5"/>
    <w:rsid w:val="006809C9"/>
    <w:rsid w:val="00680B20"/>
    <w:rsid w:val="00681777"/>
    <w:rsid w:val="006818F9"/>
    <w:rsid w:val="00685F04"/>
    <w:rsid w:val="0068624D"/>
    <w:rsid w:val="00690469"/>
    <w:rsid w:val="00692637"/>
    <w:rsid w:val="006949E4"/>
    <w:rsid w:val="00694FFB"/>
    <w:rsid w:val="0069539B"/>
    <w:rsid w:val="00695FD0"/>
    <w:rsid w:val="0069770B"/>
    <w:rsid w:val="006A15C9"/>
    <w:rsid w:val="006A1A1B"/>
    <w:rsid w:val="006A233B"/>
    <w:rsid w:val="006A517A"/>
    <w:rsid w:val="006A7A25"/>
    <w:rsid w:val="006A7E26"/>
    <w:rsid w:val="006B1527"/>
    <w:rsid w:val="006B322C"/>
    <w:rsid w:val="006B3D8A"/>
    <w:rsid w:val="006B6AB2"/>
    <w:rsid w:val="006C1E2D"/>
    <w:rsid w:val="006C2297"/>
    <w:rsid w:val="006C2E68"/>
    <w:rsid w:val="006C724C"/>
    <w:rsid w:val="006D2704"/>
    <w:rsid w:val="006D2C9C"/>
    <w:rsid w:val="006D47A9"/>
    <w:rsid w:val="006D531F"/>
    <w:rsid w:val="006D71B1"/>
    <w:rsid w:val="006D78EF"/>
    <w:rsid w:val="006E0B2B"/>
    <w:rsid w:val="006E1CE2"/>
    <w:rsid w:val="006E25DA"/>
    <w:rsid w:val="006E33A9"/>
    <w:rsid w:val="006E4F6E"/>
    <w:rsid w:val="006E62DA"/>
    <w:rsid w:val="006E64D2"/>
    <w:rsid w:val="006E763F"/>
    <w:rsid w:val="006F0160"/>
    <w:rsid w:val="006F4507"/>
    <w:rsid w:val="006F4852"/>
    <w:rsid w:val="006F5CDC"/>
    <w:rsid w:val="007000A7"/>
    <w:rsid w:val="007022F6"/>
    <w:rsid w:val="00703E85"/>
    <w:rsid w:val="00707841"/>
    <w:rsid w:val="00710159"/>
    <w:rsid w:val="00710FC8"/>
    <w:rsid w:val="007124CE"/>
    <w:rsid w:val="007127EF"/>
    <w:rsid w:val="00712DBB"/>
    <w:rsid w:val="00715747"/>
    <w:rsid w:val="007163D8"/>
    <w:rsid w:val="0071651D"/>
    <w:rsid w:val="00722C5F"/>
    <w:rsid w:val="0072369C"/>
    <w:rsid w:val="00725041"/>
    <w:rsid w:val="00726507"/>
    <w:rsid w:val="00726BD6"/>
    <w:rsid w:val="007311E5"/>
    <w:rsid w:val="007326E9"/>
    <w:rsid w:val="00734D0D"/>
    <w:rsid w:val="007354B5"/>
    <w:rsid w:val="007373EB"/>
    <w:rsid w:val="00740177"/>
    <w:rsid w:val="00741364"/>
    <w:rsid w:val="00741ABE"/>
    <w:rsid w:val="00741D0E"/>
    <w:rsid w:val="00742FC5"/>
    <w:rsid w:val="00743728"/>
    <w:rsid w:val="007444B7"/>
    <w:rsid w:val="007444FA"/>
    <w:rsid w:val="00745AAE"/>
    <w:rsid w:val="00751085"/>
    <w:rsid w:val="00751F38"/>
    <w:rsid w:val="00761F9B"/>
    <w:rsid w:val="00762E66"/>
    <w:rsid w:val="00763151"/>
    <w:rsid w:val="007632DC"/>
    <w:rsid w:val="007636D6"/>
    <w:rsid w:val="00763CB4"/>
    <w:rsid w:val="007659CE"/>
    <w:rsid w:val="00765C89"/>
    <w:rsid w:val="00765E03"/>
    <w:rsid w:val="00766A81"/>
    <w:rsid w:val="00766B33"/>
    <w:rsid w:val="00766C04"/>
    <w:rsid w:val="007675AC"/>
    <w:rsid w:val="007715CE"/>
    <w:rsid w:val="007734EA"/>
    <w:rsid w:val="00774309"/>
    <w:rsid w:val="00776CB7"/>
    <w:rsid w:val="00782C2F"/>
    <w:rsid w:val="007838B8"/>
    <w:rsid w:val="00790D1A"/>
    <w:rsid w:val="00791581"/>
    <w:rsid w:val="007916BA"/>
    <w:rsid w:val="00792AA2"/>
    <w:rsid w:val="00793DDD"/>
    <w:rsid w:val="00794886"/>
    <w:rsid w:val="007955F1"/>
    <w:rsid w:val="00797A31"/>
    <w:rsid w:val="007A1CE9"/>
    <w:rsid w:val="007A7606"/>
    <w:rsid w:val="007B406C"/>
    <w:rsid w:val="007B451E"/>
    <w:rsid w:val="007C1AB1"/>
    <w:rsid w:val="007C5890"/>
    <w:rsid w:val="007C6EFC"/>
    <w:rsid w:val="007D4893"/>
    <w:rsid w:val="007D664B"/>
    <w:rsid w:val="007D790A"/>
    <w:rsid w:val="007E1085"/>
    <w:rsid w:val="007E1312"/>
    <w:rsid w:val="007E29E9"/>
    <w:rsid w:val="007E4139"/>
    <w:rsid w:val="007E6285"/>
    <w:rsid w:val="007F017D"/>
    <w:rsid w:val="007F04BD"/>
    <w:rsid w:val="007F0F05"/>
    <w:rsid w:val="007F260A"/>
    <w:rsid w:val="007F3E22"/>
    <w:rsid w:val="007F4245"/>
    <w:rsid w:val="007F4421"/>
    <w:rsid w:val="007F54AA"/>
    <w:rsid w:val="008004A7"/>
    <w:rsid w:val="008008B3"/>
    <w:rsid w:val="00801570"/>
    <w:rsid w:val="00801F81"/>
    <w:rsid w:val="00802028"/>
    <w:rsid w:val="008028DE"/>
    <w:rsid w:val="008030C3"/>
    <w:rsid w:val="008032AC"/>
    <w:rsid w:val="00807311"/>
    <w:rsid w:val="00810BFA"/>
    <w:rsid w:val="00810FD1"/>
    <w:rsid w:val="008110D3"/>
    <w:rsid w:val="0081266F"/>
    <w:rsid w:val="00812791"/>
    <w:rsid w:val="0081420F"/>
    <w:rsid w:val="00815964"/>
    <w:rsid w:val="008162FC"/>
    <w:rsid w:val="008163DB"/>
    <w:rsid w:val="00817BA3"/>
    <w:rsid w:val="00817C5C"/>
    <w:rsid w:val="008216FB"/>
    <w:rsid w:val="00821735"/>
    <w:rsid w:val="008241B1"/>
    <w:rsid w:val="00824F22"/>
    <w:rsid w:val="0082748A"/>
    <w:rsid w:val="0083054F"/>
    <w:rsid w:val="00832A5E"/>
    <w:rsid w:val="00832D11"/>
    <w:rsid w:val="00832EFD"/>
    <w:rsid w:val="00832FE7"/>
    <w:rsid w:val="00833228"/>
    <w:rsid w:val="00833561"/>
    <w:rsid w:val="00833978"/>
    <w:rsid w:val="0083466D"/>
    <w:rsid w:val="0083550D"/>
    <w:rsid w:val="008448C6"/>
    <w:rsid w:val="008451F2"/>
    <w:rsid w:val="00845B7B"/>
    <w:rsid w:val="008470C5"/>
    <w:rsid w:val="008478DF"/>
    <w:rsid w:val="00847C22"/>
    <w:rsid w:val="0085079F"/>
    <w:rsid w:val="00850E8B"/>
    <w:rsid w:val="00853707"/>
    <w:rsid w:val="0085381A"/>
    <w:rsid w:val="00853E3D"/>
    <w:rsid w:val="00854CFE"/>
    <w:rsid w:val="00854FAF"/>
    <w:rsid w:val="00855DA3"/>
    <w:rsid w:val="00855F66"/>
    <w:rsid w:val="00855F9F"/>
    <w:rsid w:val="008560F2"/>
    <w:rsid w:val="00856399"/>
    <w:rsid w:val="00857196"/>
    <w:rsid w:val="00857323"/>
    <w:rsid w:val="00860050"/>
    <w:rsid w:val="00861255"/>
    <w:rsid w:val="00864C3F"/>
    <w:rsid w:val="00864CBB"/>
    <w:rsid w:val="0086567C"/>
    <w:rsid w:val="008667D7"/>
    <w:rsid w:val="008671B7"/>
    <w:rsid w:val="008706AD"/>
    <w:rsid w:val="008718DA"/>
    <w:rsid w:val="00872657"/>
    <w:rsid w:val="0087371F"/>
    <w:rsid w:val="0087492D"/>
    <w:rsid w:val="0088060C"/>
    <w:rsid w:val="00880724"/>
    <w:rsid w:val="008820C9"/>
    <w:rsid w:val="00882C6A"/>
    <w:rsid w:val="0088682C"/>
    <w:rsid w:val="008871C8"/>
    <w:rsid w:val="008910E8"/>
    <w:rsid w:val="00891C7C"/>
    <w:rsid w:val="008922B3"/>
    <w:rsid w:val="008929B9"/>
    <w:rsid w:val="00893B1D"/>
    <w:rsid w:val="0089604D"/>
    <w:rsid w:val="0089613B"/>
    <w:rsid w:val="008969D9"/>
    <w:rsid w:val="008977F7"/>
    <w:rsid w:val="008A362E"/>
    <w:rsid w:val="008A5028"/>
    <w:rsid w:val="008A55BB"/>
    <w:rsid w:val="008A640F"/>
    <w:rsid w:val="008B435F"/>
    <w:rsid w:val="008B5B29"/>
    <w:rsid w:val="008B6EE5"/>
    <w:rsid w:val="008C68BE"/>
    <w:rsid w:val="008C6E2B"/>
    <w:rsid w:val="008D0A67"/>
    <w:rsid w:val="008D2BCA"/>
    <w:rsid w:val="008D33FD"/>
    <w:rsid w:val="008D6FE9"/>
    <w:rsid w:val="008D7DEB"/>
    <w:rsid w:val="008E0577"/>
    <w:rsid w:val="008E1FC8"/>
    <w:rsid w:val="008E27E6"/>
    <w:rsid w:val="008E2F33"/>
    <w:rsid w:val="008E36D7"/>
    <w:rsid w:val="008E45EA"/>
    <w:rsid w:val="008E48DA"/>
    <w:rsid w:val="008E5D18"/>
    <w:rsid w:val="008E5D78"/>
    <w:rsid w:val="008E6511"/>
    <w:rsid w:val="008E6518"/>
    <w:rsid w:val="008E6643"/>
    <w:rsid w:val="008E708A"/>
    <w:rsid w:val="008E7B61"/>
    <w:rsid w:val="008F08BA"/>
    <w:rsid w:val="008F13A7"/>
    <w:rsid w:val="008F2675"/>
    <w:rsid w:val="008F4253"/>
    <w:rsid w:val="008F68C8"/>
    <w:rsid w:val="008F6D1C"/>
    <w:rsid w:val="00901743"/>
    <w:rsid w:val="00901CA1"/>
    <w:rsid w:val="00901F1C"/>
    <w:rsid w:val="0090313A"/>
    <w:rsid w:val="00905795"/>
    <w:rsid w:val="00905ED5"/>
    <w:rsid w:val="00906B35"/>
    <w:rsid w:val="00907FAC"/>
    <w:rsid w:val="00910094"/>
    <w:rsid w:val="00910EC5"/>
    <w:rsid w:val="009114B6"/>
    <w:rsid w:val="009121C6"/>
    <w:rsid w:val="00912845"/>
    <w:rsid w:val="009128D4"/>
    <w:rsid w:val="00913921"/>
    <w:rsid w:val="00914958"/>
    <w:rsid w:val="009149ED"/>
    <w:rsid w:val="00914F68"/>
    <w:rsid w:val="00915DD2"/>
    <w:rsid w:val="00916D99"/>
    <w:rsid w:val="00920610"/>
    <w:rsid w:val="00922098"/>
    <w:rsid w:val="00922809"/>
    <w:rsid w:val="009233BC"/>
    <w:rsid w:val="00923C6E"/>
    <w:rsid w:val="009243AE"/>
    <w:rsid w:val="0092472B"/>
    <w:rsid w:val="00925B21"/>
    <w:rsid w:val="00925FB1"/>
    <w:rsid w:val="00931070"/>
    <w:rsid w:val="009323EE"/>
    <w:rsid w:val="00932456"/>
    <w:rsid w:val="00932C3C"/>
    <w:rsid w:val="0093383E"/>
    <w:rsid w:val="00933B81"/>
    <w:rsid w:val="009351FA"/>
    <w:rsid w:val="0093785E"/>
    <w:rsid w:val="00937FF5"/>
    <w:rsid w:val="009401FE"/>
    <w:rsid w:val="00940A9B"/>
    <w:rsid w:val="00945100"/>
    <w:rsid w:val="00945982"/>
    <w:rsid w:val="009459A3"/>
    <w:rsid w:val="00946BF9"/>
    <w:rsid w:val="00946FB7"/>
    <w:rsid w:val="00947E65"/>
    <w:rsid w:val="00950EB2"/>
    <w:rsid w:val="0095105C"/>
    <w:rsid w:val="00951264"/>
    <w:rsid w:val="009553A4"/>
    <w:rsid w:val="00955A09"/>
    <w:rsid w:val="00955F26"/>
    <w:rsid w:val="00956F63"/>
    <w:rsid w:val="009600D4"/>
    <w:rsid w:val="0096124D"/>
    <w:rsid w:val="009618C6"/>
    <w:rsid w:val="009618E9"/>
    <w:rsid w:val="00962C49"/>
    <w:rsid w:val="00963389"/>
    <w:rsid w:val="0096358B"/>
    <w:rsid w:val="0096522A"/>
    <w:rsid w:val="0096600A"/>
    <w:rsid w:val="00966FC6"/>
    <w:rsid w:val="00966FD0"/>
    <w:rsid w:val="00967A3E"/>
    <w:rsid w:val="00970F49"/>
    <w:rsid w:val="00972517"/>
    <w:rsid w:val="00973208"/>
    <w:rsid w:val="009735C4"/>
    <w:rsid w:val="00975829"/>
    <w:rsid w:val="00976B58"/>
    <w:rsid w:val="00983590"/>
    <w:rsid w:val="0098465D"/>
    <w:rsid w:val="00990085"/>
    <w:rsid w:val="009954B7"/>
    <w:rsid w:val="0099631B"/>
    <w:rsid w:val="00996C84"/>
    <w:rsid w:val="00997F00"/>
    <w:rsid w:val="009A0ACB"/>
    <w:rsid w:val="009A0BB2"/>
    <w:rsid w:val="009A2036"/>
    <w:rsid w:val="009A2327"/>
    <w:rsid w:val="009A3913"/>
    <w:rsid w:val="009A5CB2"/>
    <w:rsid w:val="009A5F97"/>
    <w:rsid w:val="009A7053"/>
    <w:rsid w:val="009A7757"/>
    <w:rsid w:val="009A7A50"/>
    <w:rsid w:val="009B58E4"/>
    <w:rsid w:val="009B70CF"/>
    <w:rsid w:val="009B78F6"/>
    <w:rsid w:val="009B7F82"/>
    <w:rsid w:val="009C019F"/>
    <w:rsid w:val="009C09B7"/>
    <w:rsid w:val="009C0AFC"/>
    <w:rsid w:val="009C0FA1"/>
    <w:rsid w:val="009C0FCD"/>
    <w:rsid w:val="009C1875"/>
    <w:rsid w:val="009C5B8A"/>
    <w:rsid w:val="009C7251"/>
    <w:rsid w:val="009C7843"/>
    <w:rsid w:val="009D23F8"/>
    <w:rsid w:val="009D2DBA"/>
    <w:rsid w:val="009D4D1F"/>
    <w:rsid w:val="009D59F7"/>
    <w:rsid w:val="009D5C9F"/>
    <w:rsid w:val="009D697B"/>
    <w:rsid w:val="009D72CE"/>
    <w:rsid w:val="009E154F"/>
    <w:rsid w:val="009E1E32"/>
    <w:rsid w:val="009E4F44"/>
    <w:rsid w:val="009E4FFA"/>
    <w:rsid w:val="009E5ABB"/>
    <w:rsid w:val="009E5C01"/>
    <w:rsid w:val="009E69F0"/>
    <w:rsid w:val="009F04AF"/>
    <w:rsid w:val="009F1CF7"/>
    <w:rsid w:val="009F231E"/>
    <w:rsid w:val="009F249E"/>
    <w:rsid w:val="009F2969"/>
    <w:rsid w:val="009F2A81"/>
    <w:rsid w:val="009F6D0C"/>
    <w:rsid w:val="009F74DC"/>
    <w:rsid w:val="009F7CD1"/>
    <w:rsid w:val="00A03BE2"/>
    <w:rsid w:val="00A042AE"/>
    <w:rsid w:val="00A04B01"/>
    <w:rsid w:val="00A061C8"/>
    <w:rsid w:val="00A064A1"/>
    <w:rsid w:val="00A070CE"/>
    <w:rsid w:val="00A07227"/>
    <w:rsid w:val="00A07830"/>
    <w:rsid w:val="00A07C04"/>
    <w:rsid w:val="00A07EBA"/>
    <w:rsid w:val="00A104D4"/>
    <w:rsid w:val="00A10B52"/>
    <w:rsid w:val="00A11030"/>
    <w:rsid w:val="00A12F4C"/>
    <w:rsid w:val="00A14A0E"/>
    <w:rsid w:val="00A161FC"/>
    <w:rsid w:val="00A16EE8"/>
    <w:rsid w:val="00A200A7"/>
    <w:rsid w:val="00A2397A"/>
    <w:rsid w:val="00A23FFD"/>
    <w:rsid w:val="00A256B5"/>
    <w:rsid w:val="00A258EB"/>
    <w:rsid w:val="00A27234"/>
    <w:rsid w:val="00A316EA"/>
    <w:rsid w:val="00A31E4F"/>
    <w:rsid w:val="00A33924"/>
    <w:rsid w:val="00A34EF9"/>
    <w:rsid w:val="00A37625"/>
    <w:rsid w:val="00A37987"/>
    <w:rsid w:val="00A37B74"/>
    <w:rsid w:val="00A40C9F"/>
    <w:rsid w:val="00A42B4E"/>
    <w:rsid w:val="00A43D31"/>
    <w:rsid w:val="00A443B6"/>
    <w:rsid w:val="00A44FEE"/>
    <w:rsid w:val="00A46528"/>
    <w:rsid w:val="00A46B4E"/>
    <w:rsid w:val="00A46DD8"/>
    <w:rsid w:val="00A46FA5"/>
    <w:rsid w:val="00A47066"/>
    <w:rsid w:val="00A47392"/>
    <w:rsid w:val="00A47413"/>
    <w:rsid w:val="00A47E1F"/>
    <w:rsid w:val="00A53DCB"/>
    <w:rsid w:val="00A543D8"/>
    <w:rsid w:val="00A546A8"/>
    <w:rsid w:val="00A5628F"/>
    <w:rsid w:val="00A63FF9"/>
    <w:rsid w:val="00A642E0"/>
    <w:rsid w:val="00A66594"/>
    <w:rsid w:val="00A66DF8"/>
    <w:rsid w:val="00A6734C"/>
    <w:rsid w:val="00A702CE"/>
    <w:rsid w:val="00A70B48"/>
    <w:rsid w:val="00A7134C"/>
    <w:rsid w:val="00A72B4C"/>
    <w:rsid w:val="00A72D7A"/>
    <w:rsid w:val="00A73112"/>
    <w:rsid w:val="00A74C07"/>
    <w:rsid w:val="00A7569A"/>
    <w:rsid w:val="00A773EF"/>
    <w:rsid w:val="00A77C36"/>
    <w:rsid w:val="00A8114B"/>
    <w:rsid w:val="00A815F7"/>
    <w:rsid w:val="00A84829"/>
    <w:rsid w:val="00A859EF"/>
    <w:rsid w:val="00A9026B"/>
    <w:rsid w:val="00A90B3F"/>
    <w:rsid w:val="00A93B3A"/>
    <w:rsid w:val="00A952A4"/>
    <w:rsid w:val="00A95C28"/>
    <w:rsid w:val="00A96840"/>
    <w:rsid w:val="00AA0AB2"/>
    <w:rsid w:val="00AA12CA"/>
    <w:rsid w:val="00AA275B"/>
    <w:rsid w:val="00AA2ED3"/>
    <w:rsid w:val="00AA5EF9"/>
    <w:rsid w:val="00AA7256"/>
    <w:rsid w:val="00AA7575"/>
    <w:rsid w:val="00AA7C79"/>
    <w:rsid w:val="00AB0B39"/>
    <w:rsid w:val="00AB3B54"/>
    <w:rsid w:val="00AB434A"/>
    <w:rsid w:val="00AB6990"/>
    <w:rsid w:val="00AB6C02"/>
    <w:rsid w:val="00AC102D"/>
    <w:rsid w:val="00AC207A"/>
    <w:rsid w:val="00AC33C4"/>
    <w:rsid w:val="00AC4AF0"/>
    <w:rsid w:val="00AC501A"/>
    <w:rsid w:val="00AC5AA0"/>
    <w:rsid w:val="00AC7C00"/>
    <w:rsid w:val="00AD0697"/>
    <w:rsid w:val="00AD1E73"/>
    <w:rsid w:val="00AD2975"/>
    <w:rsid w:val="00AD31DB"/>
    <w:rsid w:val="00AD3616"/>
    <w:rsid w:val="00AD3CDF"/>
    <w:rsid w:val="00AD4C20"/>
    <w:rsid w:val="00AD7D20"/>
    <w:rsid w:val="00AE1AAA"/>
    <w:rsid w:val="00AE1D40"/>
    <w:rsid w:val="00AE2740"/>
    <w:rsid w:val="00AE2847"/>
    <w:rsid w:val="00AE2C15"/>
    <w:rsid w:val="00AE3193"/>
    <w:rsid w:val="00AE3420"/>
    <w:rsid w:val="00AE3C09"/>
    <w:rsid w:val="00AE6DA1"/>
    <w:rsid w:val="00AF0075"/>
    <w:rsid w:val="00AF009F"/>
    <w:rsid w:val="00AF4AC6"/>
    <w:rsid w:val="00B003AA"/>
    <w:rsid w:val="00B01761"/>
    <w:rsid w:val="00B02004"/>
    <w:rsid w:val="00B02262"/>
    <w:rsid w:val="00B046E4"/>
    <w:rsid w:val="00B07653"/>
    <w:rsid w:val="00B07BA9"/>
    <w:rsid w:val="00B07C4F"/>
    <w:rsid w:val="00B07E94"/>
    <w:rsid w:val="00B1080A"/>
    <w:rsid w:val="00B12A02"/>
    <w:rsid w:val="00B12DE1"/>
    <w:rsid w:val="00B142FA"/>
    <w:rsid w:val="00B144AE"/>
    <w:rsid w:val="00B151CF"/>
    <w:rsid w:val="00B16BC4"/>
    <w:rsid w:val="00B17822"/>
    <w:rsid w:val="00B17E98"/>
    <w:rsid w:val="00B2054C"/>
    <w:rsid w:val="00B213FA"/>
    <w:rsid w:val="00B2148D"/>
    <w:rsid w:val="00B2382F"/>
    <w:rsid w:val="00B23A13"/>
    <w:rsid w:val="00B242F6"/>
    <w:rsid w:val="00B260EB"/>
    <w:rsid w:val="00B262B9"/>
    <w:rsid w:val="00B3053B"/>
    <w:rsid w:val="00B30997"/>
    <w:rsid w:val="00B30D06"/>
    <w:rsid w:val="00B31995"/>
    <w:rsid w:val="00B323B0"/>
    <w:rsid w:val="00B33BC2"/>
    <w:rsid w:val="00B35654"/>
    <w:rsid w:val="00B40BD6"/>
    <w:rsid w:val="00B40D9E"/>
    <w:rsid w:val="00B41993"/>
    <w:rsid w:val="00B41D4F"/>
    <w:rsid w:val="00B5033D"/>
    <w:rsid w:val="00B53435"/>
    <w:rsid w:val="00B53EA8"/>
    <w:rsid w:val="00B55724"/>
    <w:rsid w:val="00B558B3"/>
    <w:rsid w:val="00B56F33"/>
    <w:rsid w:val="00B62B47"/>
    <w:rsid w:val="00B62D8B"/>
    <w:rsid w:val="00B63702"/>
    <w:rsid w:val="00B642D2"/>
    <w:rsid w:val="00B649B8"/>
    <w:rsid w:val="00B64DDA"/>
    <w:rsid w:val="00B6535C"/>
    <w:rsid w:val="00B65626"/>
    <w:rsid w:val="00B66F4A"/>
    <w:rsid w:val="00B67992"/>
    <w:rsid w:val="00B717A6"/>
    <w:rsid w:val="00B71A0D"/>
    <w:rsid w:val="00B73AC5"/>
    <w:rsid w:val="00B73BBE"/>
    <w:rsid w:val="00B74FB8"/>
    <w:rsid w:val="00B75150"/>
    <w:rsid w:val="00B80E01"/>
    <w:rsid w:val="00B80F2D"/>
    <w:rsid w:val="00B83E63"/>
    <w:rsid w:val="00B85144"/>
    <w:rsid w:val="00B85437"/>
    <w:rsid w:val="00B87581"/>
    <w:rsid w:val="00B90598"/>
    <w:rsid w:val="00B90E87"/>
    <w:rsid w:val="00B91CD9"/>
    <w:rsid w:val="00B91E97"/>
    <w:rsid w:val="00B9331A"/>
    <w:rsid w:val="00B95561"/>
    <w:rsid w:val="00BA1318"/>
    <w:rsid w:val="00BA3818"/>
    <w:rsid w:val="00BA48B0"/>
    <w:rsid w:val="00BA64F0"/>
    <w:rsid w:val="00BA661A"/>
    <w:rsid w:val="00BB073E"/>
    <w:rsid w:val="00BB30D1"/>
    <w:rsid w:val="00BB339B"/>
    <w:rsid w:val="00BB3A92"/>
    <w:rsid w:val="00BB4B2A"/>
    <w:rsid w:val="00BB4F2D"/>
    <w:rsid w:val="00BB5208"/>
    <w:rsid w:val="00BB566F"/>
    <w:rsid w:val="00BB657C"/>
    <w:rsid w:val="00BB689E"/>
    <w:rsid w:val="00BB6945"/>
    <w:rsid w:val="00BC1C58"/>
    <w:rsid w:val="00BC2175"/>
    <w:rsid w:val="00BC2E6F"/>
    <w:rsid w:val="00BC4655"/>
    <w:rsid w:val="00BC4676"/>
    <w:rsid w:val="00BC547D"/>
    <w:rsid w:val="00BC617B"/>
    <w:rsid w:val="00BC6C55"/>
    <w:rsid w:val="00BC7346"/>
    <w:rsid w:val="00BD2937"/>
    <w:rsid w:val="00BD50B4"/>
    <w:rsid w:val="00BD779B"/>
    <w:rsid w:val="00BE06A8"/>
    <w:rsid w:val="00BE1665"/>
    <w:rsid w:val="00BE1B65"/>
    <w:rsid w:val="00BE1FD3"/>
    <w:rsid w:val="00BE3567"/>
    <w:rsid w:val="00BE58D3"/>
    <w:rsid w:val="00BE61B8"/>
    <w:rsid w:val="00BE63F1"/>
    <w:rsid w:val="00BE65FD"/>
    <w:rsid w:val="00BF0E24"/>
    <w:rsid w:val="00BF1B11"/>
    <w:rsid w:val="00BF2ADB"/>
    <w:rsid w:val="00BF3566"/>
    <w:rsid w:val="00BF6CC0"/>
    <w:rsid w:val="00BF7DAA"/>
    <w:rsid w:val="00C00A3E"/>
    <w:rsid w:val="00C028AD"/>
    <w:rsid w:val="00C02A00"/>
    <w:rsid w:val="00C02E66"/>
    <w:rsid w:val="00C02F53"/>
    <w:rsid w:val="00C0338B"/>
    <w:rsid w:val="00C03DCE"/>
    <w:rsid w:val="00C058D2"/>
    <w:rsid w:val="00C06498"/>
    <w:rsid w:val="00C074B1"/>
    <w:rsid w:val="00C078AF"/>
    <w:rsid w:val="00C12F07"/>
    <w:rsid w:val="00C154DA"/>
    <w:rsid w:val="00C16900"/>
    <w:rsid w:val="00C17D15"/>
    <w:rsid w:val="00C2176D"/>
    <w:rsid w:val="00C21C63"/>
    <w:rsid w:val="00C2264B"/>
    <w:rsid w:val="00C2332B"/>
    <w:rsid w:val="00C23517"/>
    <w:rsid w:val="00C235D7"/>
    <w:rsid w:val="00C27ACD"/>
    <w:rsid w:val="00C32F3D"/>
    <w:rsid w:val="00C3396A"/>
    <w:rsid w:val="00C34553"/>
    <w:rsid w:val="00C34A37"/>
    <w:rsid w:val="00C353C3"/>
    <w:rsid w:val="00C3599D"/>
    <w:rsid w:val="00C35A6C"/>
    <w:rsid w:val="00C368B2"/>
    <w:rsid w:val="00C36B7C"/>
    <w:rsid w:val="00C36C62"/>
    <w:rsid w:val="00C36D8B"/>
    <w:rsid w:val="00C372A2"/>
    <w:rsid w:val="00C425A5"/>
    <w:rsid w:val="00C42873"/>
    <w:rsid w:val="00C452CA"/>
    <w:rsid w:val="00C50813"/>
    <w:rsid w:val="00C52925"/>
    <w:rsid w:val="00C53A99"/>
    <w:rsid w:val="00C55E90"/>
    <w:rsid w:val="00C56A4B"/>
    <w:rsid w:val="00C56D46"/>
    <w:rsid w:val="00C57FF3"/>
    <w:rsid w:val="00C6077B"/>
    <w:rsid w:val="00C614C4"/>
    <w:rsid w:val="00C61572"/>
    <w:rsid w:val="00C62F8E"/>
    <w:rsid w:val="00C63F4E"/>
    <w:rsid w:val="00C64172"/>
    <w:rsid w:val="00C643FE"/>
    <w:rsid w:val="00C66CC2"/>
    <w:rsid w:val="00C704A6"/>
    <w:rsid w:val="00C7172F"/>
    <w:rsid w:val="00C725C5"/>
    <w:rsid w:val="00C7266D"/>
    <w:rsid w:val="00C73438"/>
    <w:rsid w:val="00C73569"/>
    <w:rsid w:val="00C738CE"/>
    <w:rsid w:val="00C74B6E"/>
    <w:rsid w:val="00C7557C"/>
    <w:rsid w:val="00C77B6C"/>
    <w:rsid w:val="00C80E6F"/>
    <w:rsid w:val="00C81A45"/>
    <w:rsid w:val="00C8355A"/>
    <w:rsid w:val="00C847D5"/>
    <w:rsid w:val="00C84D74"/>
    <w:rsid w:val="00C84F69"/>
    <w:rsid w:val="00C865EF"/>
    <w:rsid w:val="00C866D1"/>
    <w:rsid w:val="00C903BC"/>
    <w:rsid w:val="00C903C0"/>
    <w:rsid w:val="00C92644"/>
    <w:rsid w:val="00C9337C"/>
    <w:rsid w:val="00C94FC3"/>
    <w:rsid w:val="00C96A4D"/>
    <w:rsid w:val="00CA15B3"/>
    <w:rsid w:val="00CA187B"/>
    <w:rsid w:val="00CA229D"/>
    <w:rsid w:val="00CA6239"/>
    <w:rsid w:val="00CA7544"/>
    <w:rsid w:val="00CA7CFE"/>
    <w:rsid w:val="00CB1E2D"/>
    <w:rsid w:val="00CB1ED9"/>
    <w:rsid w:val="00CB244D"/>
    <w:rsid w:val="00CB49C2"/>
    <w:rsid w:val="00CB57C0"/>
    <w:rsid w:val="00CB615B"/>
    <w:rsid w:val="00CB6EFE"/>
    <w:rsid w:val="00CB71EE"/>
    <w:rsid w:val="00CB756C"/>
    <w:rsid w:val="00CB7D23"/>
    <w:rsid w:val="00CC0EC4"/>
    <w:rsid w:val="00CC2650"/>
    <w:rsid w:val="00CC4131"/>
    <w:rsid w:val="00CC6C08"/>
    <w:rsid w:val="00CC6E8F"/>
    <w:rsid w:val="00CC7B44"/>
    <w:rsid w:val="00CD07BE"/>
    <w:rsid w:val="00CD26A4"/>
    <w:rsid w:val="00CD34DD"/>
    <w:rsid w:val="00CD3D24"/>
    <w:rsid w:val="00CD4174"/>
    <w:rsid w:val="00CD4E84"/>
    <w:rsid w:val="00CD5C44"/>
    <w:rsid w:val="00CD5FE8"/>
    <w:rsid w:val="00CD6190"/>
    <w:rsid w:val="00CE004A"/>
    <w:rsid w:val="00CE130B"/>
    <w:rsid w:val="00CE1D82"/>
    <w:rsid w:val="00CE2B38"/>
    <w:rsid w:val="00CE3C9A"/>
    <w:rsid w:val="00CE3D2E"/>
    <w:rsid w:val="00CE4799"/>
    <w:rsid w:val="00CE7E49"/>
    <w:rsid w:val="00CE7F59"/>
    <w:rsid w:val="00CF11A5"/>
    <w:rsid w:val="00CF2056"/>
    <w:rsid w:val="00CF409B"/>
    <w:rsid w:val="00CF53E8"/>
    <w:rsid w:val="00D0265A"/>
    <w:rsid w:val="00D02A76"/>
    <w:rsid w:val="00D0573D"/>
    <w:rsid w:val="00D057CF"/>
    <w:rsid w:val="00D05D51"/>
    <w:rsid w:val="00D0645B"/>
    <w:rsid w:val="00D11D27"/>
    <w:rsid w:val="00D13206"/>
    <w:rsid w:val="00D14BD3"/>
    <w:rsid w:val="00D159D6"/>
    <w:rsid w:val="00D15A3D"/>
    <w:rsid w:val="00D163B7"/>
    <w:rsid w:val="00D16693"/>
    <w:rsid w:val="00D174CB"/>
    <w:rsid w:val="00D17586"/>
    <w:rsid w:val="00D17C80"/>
    <w:rsid w:val="00D22896"/>
    <w:rsid w:val="00D230C7"/>
    <w:rsid w:val="00D23CAF"/>
    <w:rsid w:val="00D251D3"/>
    <w:rsid w:val="00D269BD"/>
    <w:rsid w:val="00D3024E"/>
    <w:rsid w:val="00D3140D"/>
    <w:rsid w:val="00D31ADC"/>
    <w:rsid w:val="00D321E2"/>
    <w:rsid w:val="00D32BC7"/>
    <w:rsid w:val="00D33AD6"/>
    <w:rsid w:val="00D33D97"/>
    <w:rsid w:val="00D36561"/>
    <w:rsid w:val="00D36C63"/>
    <w:rsid w:val="00D37893"/>
    <w:rsid w:val="00D40723"/>
    <w:rsid w:val="00D43317"/>
    <w:rsid w:val="00D43A1A"/>
    <w:rsid w:val="00D464B3"/>
    <w:rsid w:val="00D466F5"/>
    <w:rsid w:val="00D46938"/>
    <w:rsid w:val="00D502B6"/>
    <w:rsid w:val="00D51153"/>
    <w:rsid w:val="00D514C2"/>
    <w:rsid w:val="00D51748"/>
    <w:rsid w:val="00D51994"/>
    <w:rsid w:val="00D51B79"/>
    <w:rsid w:val="00D52C58"/>
    <w:rsid w:val="00D52F12"/>
    <w:rsid w:val="00D5327B"/>
    <w:rsid w:val="00D54C9C"/>
    <w:rsid w:val="00D54EB0"/>
    <w:rsid w:val="00D56B8A"/>
    <w:rsid w:val="00D56DC9"/>
    <w:rsid w:val="00D57166"/>
    <w:rsid w:val="00D61686"/>
    <w:rsid w:val="00D6330B"/>
    <w:rsid w:val="00D63CF2"/>
    <w:rsid w:val="00D6552A"/>
    <w:rsid w:val="00D65ADF"/>
    <w:rsid w:val="00D666DD"/>
    <w:rsid w:val="00D66A30"/>
    <w:rsid w:val="00D670C3"/>
    <w:rsid w:val="00D67C44"/>
    <w:rsid w:val="00D70186"/>
    <w:rsid w:val="00D7199F"/>
    <w:rsid w:val="00D747EB"/>
    <w:rsid w:val="00D751BE"/>
    <w:rsid w:val="00D77A29"/>
    <w:rsid w:val="00D825AD"/>
    <w:rsid w:val="00D826FF"/>
    <w:rsid w:val="00D85526"/>
    <w:rsid w:val="00D8556A"/>
    <w:rsid w:val="00D858D1"/>
    <w:rsid w:val="00D86DF9"/>
    <w:rsid w:val="00D9336D"/>
    <w:rsid w:val="00D96189"/>
    <w:rsid w:val="00D97795"/>
    <w:rsid w:val="00DA030A"/>
    <w:rsid w:val="00DA037A"/>
    <w:rsid w:val="00DA167D"/>
    <w:rsid w:val="00DA2E6D"/>
    <w:rsid w:val="00DA675A"/>
    <w:rsid w:val="00DA70DD"/>
    <w:rsid w:val="00DA79A2"/>
    <w:rsid w:val="00DB28FB"/>
    <w:rsid w:val="00DB36E2"/>
    <w:rsid w:val="00DB390A"/>
    <w:rsid w:val="00DB3E84"/>
    <w:rsid w:val="00DB46B9"/>
    <w:rsid w:val="00DB47AD"/>
    <w:rsid w:val="00DB53E7"/>
    <w:rsid w:val="00DB5AA9"/>
    <w:rsid w:val="00DB5B22"/>
    <w:rsid w:val="00DB5FB4"/>
    <w:rsid w:val="00DB5FB8"/>
    <w:rsid w:val="00DC0973"/>
    <w:rsid w:val="00DC15CB"/>
    <w:rsid w:val="00DC1632"/>
    <w:rsid w:val="00DC264C"/>
    <w:rsid w:val="00DC3397"/>
    <w:rsid w:val="00DC429A"/>
    <w:rsid w:val="00DC6C5F"/>
    <w:rsid w:val="00DD00B9"/>
    <w:rsid w:val="00DD429D"/>
    <w:rsid w:val="00DD4FA6"/>
    <w:rsid w:val="00DD66EC"/>
    <w:rsid w:val="00DE0857"/>
    <w:rsid w:val="00DE1BAD"/>
    <w:rsid w:val="00DE1F81"/>
    <w:rsid w:val="00DE268A"/>
    <w:rsid w:val="00DE50E7"/>
    <w:rsid w:val="00DE66C6"/>
    <w:rsid w:val="00DF0ABA"/>
    <w:rsid w:val="00DF29C3"/>
    <w:rsid w:val="00DF3AF0"/>
    <w:rsid w:val="00DF45C9"/>
    <w:rsid w:val="00DF64C7"/>
    <w:rsid w:val="00DF6855"/>
    <w:rsid w:val="00DF6ED2"/>
    <w:rsid w:val="00DF7B7F"/>
    <w:rsid w:val="00E006DE"/>
    <w:rsid w:val="00E02D3D"/>
    <w:rsid w:val="00E03B28"/>
    <w:rsid w:val="00E0423F"/>
    <w:rsid w:val="00E05ACC"/>
    <w:rsid w:val="00E06629"/>
    <w:rsid w:val="00E10AC3"/>
    <w:rsid w:val="00E11C36"/>
    <w:rsid w:val="00E12A5E"/>
    <w:rsid w:val="00E12B37"/>
    <w:rsid w:val="00E154CA"/>
    <w:rsid w:val="00E156AA"/>
    <w:rsid w:val="00E159F8"/>
    <w:rsid w:val="00E16A75"/>
    <w:rsid w:val="00E20270"/>
    <w:rsid w:val="00E2069C"/>
    <w:rsid w:val="00E20F9A"/>
    <w:rsid w:val="00E217DB"/>
    <w:rsid w:val="00E21D95"/>
    <w:rsid w:val="00E24A19"/>
    <w:rsid w:val="00E25863"/>
    <w:rsid w:val="00E307A4"/>
    <w:rsid w:val="00E30A83"/>
    <w:rsid w:val="00E33501"/>
    <w:rsid w:val="00E337A8"/>
    <w:rsid w:val="00E33E0E"/>
    <w:rsid w:val="00E34731"/>
    <w:rsid w:val="00E35DE1"/>
    <w:rsid w:val="00E368BB"/>
    <w:rsid w:val="00E40BD5"/>
    <w:rsid w:val="00E42D8B"/>
    <w:rsid w:val="00E44934"/>
    <w:rsid w:val="00E47BF3"/>
    <w:rsid w:val="00E51069"/>
    <w:rsid w:val="00E51B4A"/>
    <w:rsid w:val="00E5207F"/>
    <w:rsid w:val="00E5250F"/>
    <w:rsid w:val="00E52C11"/>
    <w:rsid w:val="00E61E23"/>
    <w:rsid w:val="00E66672"/>
    <w:rsid w:val="00E668CA"/>
    <w:rsid w:val="00E70757"/>
    <w:rsid w:val="00E72B49"/>
    <w:rsid w:val="00E75325"/>
    <w:rsid w:val="00E75768"/>
    <w:rsid w:val="00E7585C"/>
    <w:rsid w:val="00E81D26"/>
    <w:rsid w:val="00E850D6"/>
    <w:rsid w:val="00E85560"/>
    <w:rsid w:val="00E87098"/>
    <w:rsid w:val="00E87AAD"/>
    <w:rsid w:val="00E90C21"/>
    <w:rsid w:val="00E90CB6"/>
    <w:rsid w:val="00E911FB"/>
    <w:rsid w:val="00E91A08"/>
    <w:rsid w:val="00E922A7"/>
    <w:rsid w:val="00E92777"/>
    <w:rsid w:val="00E9358D"/>
    <w:rsid w:val="00E93D33"/>
    <w:rsid w:val="00E94020"/>
    <w:rsid w:val="00E94124"/>
    <w:rsid w:val="00E94337"/>
    <w:rsid w:val="00E95272"/>
    <w:rsid w:val="00EA07E2"/>
    <w:rsid w:val="00EA1CDE"/>
    <w:rsid w:val="00EA3205"/>
    <w:rsid w:val="00EA5600"/>
    <w:rsid w:val="00EA5D37"/>
    <w:rsid w:val="00EB007E"/>
    <w:rsid w:val="00EB2C63"/>
    <w:rsid w:val="00EB34E9"/>
    <w:rsid w:val="00EB3B41"/>
    <w:rsid w:val="00EB4CCA"/>
    <w:rsid w:val="00EB5103"/>
    <w:rsid w:val="00EB5825"/>
    <w:rsid w:val="00EB5EBE"/>
    <w:rsid w:val="00EB7001"/>
    <w:rsid w:val="00EB7569"/>
    <w:rsid w:val="00EC0DE3"/>
    <w:rsid w:val="00EC0E12"/>
    <w:rsid w:val="00EC13FE"/>
    <w:rsid w:val="00EC3955"/>
    <w:rsid w:val="00EC3ADE"/>
    <w:rsid w:val="00EC4263"/>
    <w:rsid w:val="00EC43A1"/>
    <w:rsid w:val="00EC643C"/>
    <w:rsid w:val="00ED02DC"/>
    <w:rsid w:val="00ED283F"/>
    <w:rsid w:val="00ED431D"/>
    <w:rsid w:val="00ED4811"/>
    <w:rsid w:val="00ED52CB"/>
    <w:rsid w:val="00ED57C6"/>
    <w:rsid w:val="00ED5DBB"/>
    <w:rsid w:val="00ED7528"/>
    <w:rsid w:val="00EE1D3D"/>
    <w:rsid w:val="00EE2C70"/>
    <w:rsid w:val="00EE38C8"/>
    <w:rsid w:val="00EE4CFC"/>
    <w:rsid w:val="00EE512F"/>
    <w:rsid w:val="00EE55B2"/>
    <w:rsid w:val="00EE7C9A"/>
    <w:rsid w:val="00EF1D51"/>
    <w:rsid w:val="00EF31A6"/>
    <w:rsid w:val="00EF3597"/>
    <w:rsid w:val="00EF4E6A"/>
    <w:rsid w:val="00EF5233"/>
    <w:rsid w:val="00EF54CC"/>
    <w:rsid w:val="00EF5C95"/>
    <w:rsid w:val="00EF5CC7"/>
    <w:rsid w:val="00EF5E19"/>
    <w:rsid w:val="00EF60F1"/>
    <w:rsid w:val="00EF6450"/>
    <w:rsid w:val="00EF7591"/>
    <w:rsid w:val="00F013CF"/>
    <w:rsid w:val="00F01AC4"/>
    <w:rsid w:val="00F01F7D"/>
    <w:rsid w:val="00F04246"/>
    <w:rsid w:val="00F066AC"/>
    <w:rsid w:val="00F10129"/>
    <w:rsid w:val="00F10C12"/>
    <w:rsid w:val="00F111F5"/>
    <w:rsid w:val="00F12EEB"/>
    <w:rsid w:val="00F130B1"/>
    <w:rsid w:val="00F14977"/>
    <w:rsid w:val="00F1498E"/>
    <w:rsid w:val="00F172BE"/>
    <w:rsid w:val="00F17A53"/>
    <w:rsid w:val="00F2449E"/>
    <w:rsid w:val="00F259EB"/>
    <w:rsid w:val="00F260B3"/>
    <w:rsid w:val="00F26E5F"/>
    <w:rsid w:val="00F30EB4"/>
    <w:rsid w:val="00F314C6"/>
    <w:rsid w:val="00F319BB"/>
    <w:rsid w:val="00F32CEA"/>
    <w:rsid w:val="00F32F7B"/>
    <w:rsid w:val="00F3489E"/>
    <w:rsid w:val="00F35B02"/>
    <w:rsid w:val="00F3629B"/>
    <w:rsid w:val="00F37DA1"/>
    <w:rsid w:val="00F403E9"/>
    <w:rsid w:val="00F40BBB"/>
    <w:rsid w:val="00F420E6"/>
    <w:rsid w:val="00F43241"/>
    <w:rsid w:val="00F45376"/>
    <w:rsid w:val="00F470E6"/>
    <w:rsid w:val="00F52115"/>
    <w:rsid w:val="00F53D52"/>
    <w:rsid w:val="00F54484"/>
    <w:rsid w:val="00F5471C"/>
    <w:rsid w:val="00F54BFD"/>
    <w:rsid w:val="00F552FF"/>
    <w:rsid w:val="00F560A5"/>
    <w:rsid w:val="00F56895"/>
    <w:rsid w:val="00F56928"/>
    <w:rsid w:val="00F56EE1"/>
    <w:rsid w:val="00F57BF0"/>
    <w:rsid w:val="00F61660"/>
    <w:rsid w:val="00F6168C"/>
    <w:rsid w:val="00F61D36"/>
    <w:rsid w:val="00F6366A"/>
    <w:rsid w:val="00F65E23"/>
    <w:rsid w:val="00F65ED9"/>
    <w:rsid w:val="00F71C0C"/>
    <w:rsid w:val="00F71C96"/>
    <w:rsid w:val="00F73D11"/>
    <w:rsid w:val="00F74755"/>
    <w:rsid w:val="00F764BD"/>
    <w:rsid w:val="00F77540"/>
    <w:rsid w:val="00F77929"/>
    <w:rsid w:val="00F819E6"/>
    <w:rsid w:val="00F82EBD"/>
    <w:rsid w:val="00F8500F"/>
    <w:rsid w:val="00F8595D"/>
    <w:rsid w:val="00F875E1"/>
    <w:rsid w:val="00F878D8"/>
    <w:rsid w:val="00F87D66"/>
    <w:rsid w:val="00F902CB"/>
    <w:rsid w:val="00F90790"/>
    <w:rsid w:val="00F916FA"/>
    <w:rsid w:val="00F930AF"/>
    <w:rsid w:val="00F93598"/>
    <w:rsid w:val="00F971DD"/>
    <w:rsid w:val="00F97A73"/>
    <w:rsid w:val="00F97C9B"/>
    <w:rsid w:val="00FA0909"/>
    <w:rsid w:val="00FA14B8"/>
    <w:rsid w:val="00FA378E"/>
    <w:rsid w:val="00FA5B57"/>
    <w:rsid w:val="00FA60CE"/>
    <w:rsid w:val="00FA61EE"/>
    <w:rsid w:val="00FA7813"/>
    <w:rsid w:val="00FB049D"/>
    <w:rsid w:val="00FB2297"/>
    <w:rsid w:val="00FB27D3"/>
    <w:rsid w:val="00FB281E"/>
    <w:rsid w:val="00FB330F"/>
    <w:rsid w:val="00FB3FC9"/>
    <w:rsid w:val="00FB40B6"/>
    <w:rsid w:val="00FB447D"/>
    <w:rsid w:val="00FB4F48"/>
    <w:rsid w:val="00FB785E"/>
    <w:rsid w:val="00FB7B64"/>
    <w:rsid w:val="00FC0508"/>
    <w:rsid w:val="00FC0A2F"/>
    <w:rsid w:val="00FC1778"/>
    <w:rsid w:val="00FC2DB2"/>
    <w:rsid w:val="00FC4EBB"/>
    <w:rsid w:val="00FC5645"/>
    <w:rsid w:val="00FD0817"/>
    <w:rsid w:val="00FD0DD5"/>
    <w:rsid w:val="00FD0EE6"/>
    <w:rsid w:val="00FD1597"/>
    <w:rsid w:val="00FD6FBA"/>
    <w:rsid w:val="00FE03EC"/>
    <w:rsid w:val="00FE11B0"/>
    <w:rsid w:val="00FE1214"/>
    <w:rsid w:val="00FE28ED"/>
    <w:rsid w:val="00FE2D1A"/>
    <w:rsid w:val="00FE399E"/>
    <w:rsid w:val="00FE3D0A"/>
    <w:rsid w:val="00FE4066"/>
    <w:rsid w:val="00FE42D1"/>
    <w:rsid w:val="00FE4580"/>
    <w:rsid w:val="00FE45A8"/>
    <w:rsid w:val="00FE53E3"/>
    <w:rsid w:val="00FE7EE6"/>
    <w:rsid w:val="00FF0391"/>
    <w:rsid w:val="00FF0DB2"/>
    <w:rsid w:val="00FF0E55"/>
    <w:rsid w:val="00FF4370"/>
    <w:rsid w:val="00FF4764"/>
    <w:rsid w:val="00FF47FA"/>
    <w:rsid w:val="00FF5C3E"/>
    <w:rsid w:val="00FF681B"/>
    <w:rsid w:val="00FF7C96"/>
    <w:rsid w:val="00FF7EB3"/>
    <w:rsid w:val="00FF7F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6EED8"/>
  <w15:chartTrackingRefBased/>
  <w15:docId w15:val="{581321C2-36E8-427B-8A75-03C2EC224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17191"/>
    <w:pPr>
      <w:spacing w:before="240" w:after="240" w:line="360" w:lineRule="auto"/>
    </w:pPr>
    <w:rPr>
      <w:rFonts w:ascii="Garamond" w:hAnsi="Garamond"/>
      <w:sz w:val="24"/>
    </w:rPr>
  </w:style>
  <w:style w:type="paragraph" w:styleId="Nadpis1">
    <w:name w:val="heading 1"/>
    <w:basedOn w:val="Normln"/>
    <w:next w:val="Normln"/>
    <w:link w:val="Nadpis1Char"/>
    <w:uiPriority w:val="9"/>
    <w:qFormat/>
    <w:rsid w:val="00C56A4B"/>
    <w:pPr>
      <w:keepNext/>
      <w:keepLines/>
      <w:numPr>
        <w:numId w:val="7"/>
      </w:numPr>
      <w:spacing w:after="0"/>
      <w:outlineLvl w:val="0"/>
    </w:pPr>
    <w:rPr>
      <w:rFonts w:eastAsiaTheme="majorEastAsia" w:cstheme="majorBidi"/>
      <w:b/>
      <w:color w:val="000000" w:themeColor="text1"/>
      <w:sz w:val="32"/>
      <w:szCs w:val="32"/>
    </w:rPr>
  </w:style>
  <w:style w:type="paragraph" w:styleId="Nadpis2">
    <w:name w:val="heading 2"/>
    <w:basedOn w:val="Normln"/>
    <w:next w:val="Normln"/>
    <w:link w:val="Nadpis2Char"/>
    <w:uiPriority w:val="9"/>
    <w:unhideWhenUsed/>
    <w:qFormat/>
    <w:rsid w:val="00C56A4B"/>
    <w:pPr>
      <w:keepNext/>
      <w:keepLines/>
      <w:numPr>
        <w:ilvl w:val="1"/>
        <w:numId w:val="7"/>
      </w:numPr>
      <w:spacing w:before="40" w:after="0"/>
      <w:outlineLvl w:val="1"/>
    </w:pPr>
    <w:rPr>
      <w:rFonts w:eastAsiaTheme="majorEastAsia" w:cstheme="majorBidi"/>
      <w:b/>
      <w:sz w:val="28"/>
      <w:szCs w:val="26"/>
    </w:rPr>
  </w:style>
  <w:style w:type="paragraph" w:styleId="Nadpis3">
    <w:name w:val="heading 3"/>
    <w:basedOn w:val="Normln"/>
    <w:next w:val="Normln"/>
    <w:link w:val="Nadpis3Char"/>
    <w:uiPriority w:val="9"/>
    <w:unhideWhenUsed/>
    <w:qFormat/>
    <w:rsid w:val="004B3010"/>
    <w:pPr>
      <w:keepNext/>
      <w:keepLines/>
      <w:numPr>
        <w:ilvl w:val="2"/>
        <w:numId w:val="7"/>
      </w:numPr>
      <w:spacing w:before="40" w:after="0"/>
      <w:outlineLvl w:val="2"/>
    </w:pPr>
    <w:rPr>
      <w:rFonts w:asciiTheme="majorHAnsi" w:eastAsiaTheme="majorEastAsia" w:hAnsiTheme="majorHAnsi" w:cstheme="majorBidi"/>
      <w:b/>
      <w:color w:val="000000" w:themeColor="text1"/>
      <w:szCs w:val="24"/>
    </w:rPr>
  </w:style>
  <w:style w:type="paragraph" w:styleId="Nadpis4">
    <w:name w:val="heading 4"/>
    <w:basedOn w:val="Normln"/>
    <w:next w:val="Normln"/>
    <w:link w:val="Nadpis4Char"/>
    <w:uiPriority w:val="9"/>
    <w:semiHidden/>
    <w:unhideWhenUsed/>
    <w:qFormat/>
    <w:rsid w:val="001250C8"/>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1250C8"/>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1250C8"/>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1250C8"/>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1250C8"/>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1250C8"/>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8060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060C"/>
  </w:style>
  <w:style w:type="paragraph" w:styleId="Zpat">
    <w:name w:val="footer"/>
    <w:basedOn w:val="Normln"/>
    <w:link w:val="ZpatChar"/>
    <w:uiPriority w:val="99"/>
    <w:unhideWhenUsed/>
    <w:rsid w:val="0088060C"/>
    <w:pPr>
      <w:tabs>
        <w:tab w:val="center" w:pos="4536"/>
        <w:tab w:val="right" w:pos="9072"/>
      </w:tabs>
      <w:spacing w:after="0" w:line="240" w:lineRule="auto"/>
    </w:pPr>
  </w:style>
  <w:style w:type="character" w:customStyle="1" w:styleId="ZpatChar">
    <w:name w:val="Zápatí Char"/>
    <w:basedOn w:val="Standardnpsmoodstavce"/>
    <w:link w:val="Zpat"/>
    <w:uiPriority w:val="99"/>
    <w:rsid w:val="0088060C"/>
  </w:style>
  <w:style w:type="paragraph" w:customStyle="1" w:styleId="Default">
    <w:name w:val="Default"/>
    <w:rsid w:val="00F3629B"/>
    <w:pPr>
      <w:autoSpaceDE w:val="0"/>
      <w:autoSpaceDN w:val="0"/>
      <w:adjustRightInd w:val="0"/>
      <w:spacing w:after="0" w:line="240" w:lineRule="auto"/>
    </w:pPr>
    <w:rPr>
      <w:rFonts w:ascii="Georgia" w:hAnsi="Georgia" w:cs="Georgia"/>
      <w:color w:val="000000"/>
      <w:sz w:val="24"/>
      <w:szCs w:val="24"/>
    </w:rPr>
  </w:style>
  <w:style w:type="character" w:customStyle="1" w:styleId="Nadpis1Char">
    <w:name w:val="Nadpis 1 Char"/>
    <w:basedOn w:val="Standardnpsmoodstavce"/>
    <w:link w:val="Nadpis1"/>
    <w:uiPriority w:val="9"/>
    <w:rsid w:val="00C56A4B"/>
    <w:rPr>
      <w:rFonts w:ascii="Garamond" w:eastAsiaTheme="majorEastAsia" w:hAnsi="Garamond" w:cstheme="majorBidi"/>
      <w:b/>
      <w:color w:val="000000" w:themeColor="text1"/>
      <w:sz w:val="32"/>
      <w:szCs w:val="32"/>
    </w:rPr>
  </w:style>
  <w:style w:type="paragraph" w:styleId="Nadpisobsahu">
    <w:name w:val="TOC Heading"/>
    <w:basedOn w:val="Nadpis1"/>
    <w:next w:val="Normln"/>
    <w:uiPriority w:val="39"/>
    <w:unhideWhenUsed/>
    <w:qFormat/>
    <w:rsid w:val="00C32F3D"/>
    <w:pPr>
      <w:spacing w:line="259" w:lineRule="auto"/>
      <w:outlineLvl w:val="9"/>
    </w:pPr>
    <w:rPr>
      <w:lang w:eastAsia="cs-CZ"/>
    </w:rPr>
  </w:style>
  <w:style w:type="character" w:customStyle="1" w:styleId="Nadpis2Char">
    <w:name w:val="Nadpis 2 Char"/>
    <w:basedOn w:val="Standardnpsmoodstavce"/>
    <w:link w:val="Nadpis2"/>
    <w:uiPriority w:val="9"/>
    <w:rsid w:val="00C56A4B"/>
    <w:rPr>
      <w:rFonts w:ascii="Garamond" w:eastAsiaTheme="majorEastAsia" w:hAnsi="Garamond" w:cstheme="majorBidi"/>
      <w:b/>
      <w:sz w:val="28"/>
      <w:szCs w:val="26"/>
    </w:rPr>
  </w:style>
  <w:style w:type="paragraph" w:styleId="Nzev">
    <w:name w:val="Title"/>
    <w:aliases w:val="Nadpis3"/>
    <w:basedOn w:val="Normln"/>
    <w:next w:val="Normln"/>
    <w:link w:val="NzevChar"/>
    <w:uiPriority w:val="10"/>
    <w:qFormat/>
    <w:rsid w:val="00C56A4B"/>
    <w:pPr>
      <w:spacing w:before="0" w:after="0" w:line="240" w:lineRule="auto"/>
      <w:contextualSpacing/>
    </w:pPr>
    <w:rPr>
      <w:rFonts w:eastAsiaTheme="majorEastAsia" w:cstheme="majorBidi"/>
      <w:b/>
      <w:spacing w:val="-10"/>
      <w:kern w:val="28"/>
      <w:szCs w:val="56"/>
    </w:rPr>
  </w:style>
  <w:style w:type="character" w:customStyle="1" w:styleId="NzevChar">
    <w:name w:val="Název Char"/>
    <w:aliases w:val="Nadpis3 Char"/>
    <w:basedOn w:val="Standardnpsmoodstavce"/>
    <w:link w:val="Nzev"/>
    <w:uiPriority w:val="10"/>
    <w:rsid w:val="00C56A4B"/>
    <w:rPr>
      <w:rFonts w:ascii="Garamond" w:eastAsiaTheme="majorEastAsia" w:hAnsi="Garamond" w:cstheme="majorBidi"/>
      <w:b/>
      <w:spacing w:val="-10"/>
      <w:kern w:val="28"/>
      <w:sz w:val="24"/>
      <w:szCs w:val="56"/>
    </w:rPr>
  </w:style>
  <w:style w:type="paragraph" w:styleId="Obsah1">
    <w:name w:val="toc 1"/>
    <w:basedOn w:val="Normln"/>
    <w:next w:val="Normln"/>
    <w:autoRedefine/>
    <w:uiPriority w:val="39"/>
    <w:unhideWhenUsed/>
    <w:rsid w:val="0057594F"/>
    <w:pPr>
      <w:tabs>
        <w:tab w:val="right" w:leader="dot" w:pos="9061"/>
      </w:tabs>
      <w:spacing w:after="100"/>
    </w:pPr>
  </w:style>
  <w:style w:type="paragraph" w:styleId="Obsah2">
    <w:name w:val="toc 2"/>
    <w:basedOn w:val="Normln"/>
    <w:next w:val="Normln"/>
    <w:autoRedefine/>
    <w:uiPriority w:val="39"/>
    <w:unhideWhenUsed/>
    <w:rsid w:val="001250C8"/>
    <w:pPr>
      <w:tabs>
        <w:tab w:val="right" w:leader="dot" w:pos="9061"/>
      </w:tabs>
      <w:spacing w:after="100"/>
      <w:ind w:left="240"/>
    </w:pPr>
  </w:style>
  <w:style w:type="character" w:styleId="Hypertextovodkaz">
    <w:name w:val="Hyperlink"/>
    <w:basedOn w:val="Standardnpsmoodstavce"/>
    <w:uiPriority w:val="99"/>
    <w:unhideWhenUsed/>
    <w:rsid w:val="00305DFA"/>
    <w:rPr>
      <w:color w:val="0563C1" w:themeColor="hyperlink"/>
      <w:u w:val="single"/>
    </w:rPr>
  </w:style>
  <w:style w:type="character" w:customStyle="1" w:styleId="Nadpis3Char">
    <w:name w:val="Nadpis 3 Char"/>
    <w:basedOn w:val="Standardnpsmoodstavce"/>
    <w:link w:val="Nadpis3"/>
    <w:uiPriority w:val="9"/>
    <w:rsid w:val="004B3010"/>
    <w:rPr>
      <w:rFonts w:asciiTheme="majorHAnsi" w:eastAsiaTheme="majorEastAsia" w:hAnsiTheme="majorHAnsi" w:cstheme="majorBidi"/>
      <w:b/>
      <w:color w:val="000000" w:themeColor="text1"/>
      <w:sz w:val="24"/>
      <w:szCs w:val="24"/>
    </w:rPr>
  </w:style>
  <w:style w:type="character" w:customStyle="1" w:styleId="Nadpis4Char">
    <w:name w:val="Nadpis 4 Char"/>
    <w:basedOn w:val="Standardnpsmoodstavce"/>
    <w:link w:val="Nadpis4"/>
    <w:uiPriority w:val="9"/>
    <w:semiHidden/>
    <w:rsid w:val="001250C8"/>
    <w:rPr>
      <w:rFonts w:asciiTheme="majorHAnsi" w:eastAsiaTheme="majorEastAsia" w:hAnsiTheme="majorHAnsi" w:cstheme="majorBidi"/>
      <w:i/>
      <w:iCs/>
      <w:color w:val="2F5496" w:themeColor="accent1" w:themeShade="BF"/>
      <w:sz w:val="24"/>
    </w:rPr>
  </w:style>
  <w:style w:type="character" w:customStyle="1" w:styleId="Nadpis5Char">
    <w:name w:val="Nadpis 5 Char"/>
    <w:basedOn w:val="Standardnpsmoodstavce"/>
    <w:link w:val="Nadpis5"/>
    <w:uiPriority w:val="9"/>
    <w:semiHidden/>
    <w:rsid w:val="001250C8"/>
    <w:rPr>
      <w:rFonts w:asciiTheme="majorHAnsi" w:eastAsiaTheme="majorEastAsia" w:hAnsiTheme="majorHAnsi" w:cstheme="majorBidi"/>
      <w:color w:val="2F5496" w:themeColor="accent1" w:themeShade="BF"/>
      <w:sz w:val="24"/>
    </w:rPr>
  </w:style>
  <w:style w:type="character" w:customStyle="1" w:styleId="Nadpis6Char">
    <w:name w:val="Nadpis 6 Char"/>
    <w:basedOn w:val="Standardnpsmoodstavce"/>
    <w:link w:val="Nadpis6"/>
    <w:uiPriority w:val="9"/>
    <w:semiHidden/>
    <w:rsid w:val="001250C8"/>
    <w:rPr>
      <w:rFonts w:asciiTheme="majorHAnsi" w:eastAsiaTheme="majorEastAsia" w:hAnsiTheme="majorHAnsi" w:cstheme="majorBidi"/>
      <w:color w:val="1F3763" w:themeColor="accent1" w:themeShade="7F"/>
      <w:sz w:val="24"/>
    </w:rPr>
  </w:style>
  <w:style w:type="character" w:customStyle="1" w:styleId="Nadpis7Char">
    <w:name w:val="Nadpis 7 Char"/>
    <w:basedOn w:val="Standardnpsmoodstavce"/>
    <w:link w:val="Nadpis7"/>
    <w:uiPriority w:val="9"/>
    <w:semiHidden/>
    <w:rsid w:val="001250C8"/>
    <w:rPr>
      <w:rFonts w:asciiTheme="majorHAnsi" w:eastAsiaTheme="majorEastAsia" w:hAnsiTheme="majorHAnsi" w:cstheme="majorBidi"/>
      <w:i/>
      <w:iCs/>
      <w:color w:val="1F3763" w:themeColor="accent1" w:themeShade="7F"/>
      <w:sz w:val="24"/>
    </w:rPr>
  </w:style>
  <w:style w:type="character" w:customStyle="1" w:styleId="Nadpis8Char">
    <w:name w:val="Nadpis 8 Char"/>
    <w:basedOn w:val="Standardnpsmoodstavce"/>
    <w:link w:val="Nadpis8"/>
    <w:uiPriority w:val="9"/>
    <w:semiHidden/>
    <w:rsid w:val="001250C8"/>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1250C8"/>
    <w:rPr>
      <w:rFonts w:asciiTheme="majorHAnsi" w:eastAsiaTheme="majorEastAsia" w:hAnsiTheme="majorHAnsi" w:cstheme="majorBidi"/>
      <w:i/>
      <w:iCs/>
      <w:color w:val="272727" w:themeColor="text1" w:themeTint="D8"/>
      <w:sz w:val="21"/>
      <w:szCs w:val="21"/>
    </w:rPr>
  </w:style>
  <w:style w:type="paragraph" w:styleId="Obsah3">
    <w:name w:val="toc 3"/>
    <w:basedOn w:val="Normln"/>
    <w:next w:val="Normln"/>
    <w:autoRedefine/>
    <w:uiPriority w:val="39"/>
    <w:unhideWhenUsed/>
    <w:rsid w:val="000C7EFD"/>
    <w:pPr>
      <w:spacing w:after="100"/>
      <w:ind w:left="480"/>
    </w:pPr>
  </w:style>
  <w:style w:type="paragraph" w:styleId="Textpoznpodarou">
    <w:name w:val="footnote text"/>
    <w:basedOn w:val="Normln"/>
    <w:link w:val="TextpoznpodarouChar"/>
    <w:uiPriority w:val="99"/>
    <w:unhideWhenUsed/>
    <w:rsid w:val="00742FC5"/>
    <w:pPr>
      <w:spacing w:before="0" w:after="0" w:line="240" w:lineRule="auto"/>
    </w:pPr>
    <w:rPr>
      <w:sz w:val="20"/>
      <w:szCs w:val="20"/>
    </w:rPr>
  </w:style>
  <w:style w:type="character" w:customStyle="1" w:styleId="TextpoznpodarouChar">
    <w:name w:val="Text pozn. pod čarou Char"/>
    <w:basedOn w:val="Standardnpsmoodstavce"/>
    <w:link w:val="Textpoznpodarou"/>
    <w:uiPriority w:val="99"/>
    <w:rsid w:val="00742FC5"/>
    <w:rPr>
      <w:rFonts w:ascii="Garamond" w:hAnsi="Garamond"/>
      <w:sz w:val="20"/>
      <w:szCs w:val="20"/>
    </w:rPr>
  </w:style>
  <w:style w:type="character" w:styleId="Znakapoznpodarou">
    <w:name w:val="footnote reference"/>
    <w:basedOn w:val="Standardnpsmoodstavce"/>
    <w:uiPriority w:val="99"/>
    <w:semiHidden/>
    <w:unhideWhenUsed/>
    <w:rsid w:val="00742FC5"/>
    <w:rPr>
      <w:vertAlign w:val="superscript"/>
    </w:rPr>
  </w:style>
  <w:style w:type="character" w:styleId="Nevyeenzmnka">
    <w:name w:val="Unresolved Mention"/>
    <w:basedOn w:val="Standardnpsmoodstavce"/>
    <w:uiPriority w:val="99"/>
    <w:semiHidden/>
    <w:unhideWhenUsed/>
    <w:rsid w:val="00B142FA"/>
    <w:rPr>
      <w:color w:val="605E5C"/>
      <w:shd w:val="clear" w:color="auto" w:fill="E1DFDD"/>
    </w:rPr>
  </w:style>
  <w:style w:type="paragraph" w:customStyle="1" w:styleId="Pa8">
    <w:name w:val="Pa8"/>
    <w:basedOn w:val="Default"/>
    <w:next w:val="Default"/>
    <w:uiPriority w:val="99"/>
    <w:rsid w:val="008929B9"/>
    <w:pPr>
      <w:spacing w:line="221" w:lineRule="atLeast"/>
    </w:pPr>
    <w:rPr>
      <w:rFonts w:ascii="Myriad Pro Light" w:hAnsi="Myriad Pro Light" w:cstheme="minorBidi"/>
      <w:color w:val="auto"/>
    </w:rPr>
  </w:style>
  <w:style w:type="character" w:customStyle="1" w:styleId="A7">
    <w:name w:val="A7"/>
    <w:uiPriority w:val="99"/>
    <w:rsid w:val="008929B9"/>
    <w:rPr>
      <w:rFonts w:ascii="Minion Pro" w:hAnsi="Minion Pro" w:cs="Minion Pro"/>
      <w:color w:val="000000"/>
      <w:sz w:val="12"/>
      <w:szCs w:val="12"/>
    </w:rPr>
  </w:style>
  <w:style w:type="character" w:styleId="Sledovanodkaz">
    <w:name w:val="FollowedHyperlink"/>
    <w:basedOn w:val="Standardnpsmoodstavce"/>
    <w:uiPriority w:val="99"/>
    <w:semiHidden/>
    <w:unhideWhenUsed/>
    <w:rsid w:val="00317831"/>
    <w:rPr>
      <w:color w:val="954F72" w:themeColor="followedHyperlink"/>
      <w:u w:val="single"/>
    </w:rPr>
  </w:style>
  <w:style w:type="character" w:styleId="Zdraznn">
    <w:name w:val="Emphasis"/>
    <w:basedOn w:val="Standardnpsmoodstavce"/>
    <w:uiPriority w:val="20"/>
    <w:qFormat/>
    <w:rsid w:val="005A2960"/>
    <w:rPr>
      <w:i/>
      <w:iCs/>
    </w:rPr>
  </w:style>
  <w:style w:type="paragraph" w:styleId="Odstavecseseznamem">
    <w:name w:val="List Paragraph"/>
    <w:basedOn w:val="Normln"/>
    <w:uiPriority w:val="34"/>
    <w:qFormat/>
    <w:rsid w:val="008D7DEB"/>
    <w:pPr>
      <w:ind w:left="720"/>
      <w:contextualSpacing/>
    </w:pPr>
  </w:style>
  <w:style w:type="character" w:styleId="CittHTML">
    <w:name w:val="HTML Cite"/>
    <w:basedOn w:val="Standardnpsmoodstavce"/>
    <w:uiPriority w:val="99"/>
    <w:semiHidden/>
    <w:unhideWhenUsed/>
    <w:rsid w:val="003A13B0"/>
    <w:rPr>
      <w:i/>
      <w:iCs/>
    </w:rPr>
  </w:style>
  <w:style w:type="character" w:customStyle="1" w:styleId="value">
    <w:name w:val="value"/>
    <w:basedOn w:val="Standardnpsmoodstavce"/>
    <w:rsid w:val="00CA6239"/>
  </w:style>
  <w:style w:type="character" w:styleId="Odkaznakoment">
    <w:name w:val="annotation reference"/>
    <w:basedOn w:val="Standardnpsmoodstavce"/>
    <w:uiPriority w:val="99"/>
    <w:semiHidden/>
    <w:unhideWhenUsed/>
    <w:rsid w:val="009A0AC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42059">
      <w:bodyDiv w:val="1"/>
      <w:marLeft w:val="0"/>
      <w:marRight w:val="0"/>
      <w:marTop w:val="0"/>
      <w:marBottom w:val="0"/>
      <w:divBdr>
        <w:top w:val="none" w:sz="0" w:space="0" w:color="auto"/>
        <w:left w:val="none" w:sz="0" w:space="0" w:color="auto"/>
        <w:bottom w:val="none" w:sz="0" w:space="0" w:color="auto"/>
        <w:right w:val="none" w:sz="0" w:space="0" w:color="auto"/>
      </w:divBdr>
    </w:div>
    <w:div w:id="406609037">
      <w:bodyDiv w:val="1"/>
      <w:marLeft w:val="0"/>
      <w:marRight w:val="0"/>
      <w:marTop w:val="0"/>
      <w:marBottom w:val="0"/>
      <w:divBdr>
        <w:top w:val="none" w:sz="0" w:space="0" w:color="auto"/>
        <w:left w:val="none" w:sz="0" w:space="0" w:color="auto"/>
        <w:bottom w:val="none" w:sz="0" w:space="0" w:color="auto"/>
        <w:right w:val="none" w:sz="0" w:space="0" w:color="auto"/>
      </w:divBdr>
      <w:divsChild>
        <w:div w:id="1282030769">
          <w:marLeft w:val="0"/>
          <w:marRight w:val="0"/>
          <w:marTop w:val="0"/>
          <w:marBottom w:val="0"/>
          <w:divBdr>
            <w:top w:val="none" w:sz="0" w:space="0" w:color="auto"/>
            <w:left w:val="none" w:sz="0" w:space="0" w:color="auto"/>
            <w:bottom w:val="none" w:sz="0" w:space="0" w:color="auto"/>
            <w:right w:val="none" w:sz="0" w:space="0" w:color="auto"/>
          </w:divBdr>
        </w:div>
        <w:div w:id="1710832856">
          <w:marLeft w:val="0"/>
          <w:marRight w:val="0"/>
          <w:marTop w:val="0"/>
          <w:marBottom w:val="0"/>
          <w:divBdr>
            <w:top w:val="none" w:sz="0" w:space="0" w:color="auto"/>
            <w:left w:val="none" w:sz="0" w:space="0" w:color="auto"/>
            <w:bottom w:val="none" w:sz="0" w:space="0" w:color="auto"/>
            <w:right w:val="none" w:sz="0" w:space="0" w:color="auto"/>
          </w:divBdr>
        </w:div>
        <w:div w:id="965694839">
          <w:marLeft w:val="0"/>
          <w:marRight w:val="0"/>
          <w:marTop w:val="0"/>
          <w:marBottom w:val="0"/>
          <w:divBdr>
            <w:top w:val="none" w:sz="0" w:space="0" w:color="auto"/>
            <w:left w:val="none" w:sz="0" w:space="0" w:color="auto"/>
            <w:bottom w:val="none" w:sz="0" w:space="0" w:color="auto"/>
            <w:right w:val="none" w:sz="0" w:space="0" w:color="auto"/>
          </w:divBdr>
        </w:div>
        <w:div w:id="1640257179">
          <w:marLeft w:val="0"/>
          <w:marRight w:val="0"/>
          <w:marTop w:val="0"/>
          <w:marBottom w:val="0"/>
          <w:divBdr>
            <w:top w:val="none" w:sz="0" w:space="0" w:color="auto"/>
            <w:left w:val="none" w:sz="0" w:space="0" w:color="auto"/>
            <w:bottom w:val="none" w:sz="0" w:space="0" w:color="auto"/>
            <w:right w:val="none" w:sz="0" w:space="0" w:color="auto"/>
          </w:divBdr>
        </w:div>
      </w:divsChild>
    </w:div>
    <w:div w:id="447283560">
      <w:bodyDiv w:val="1"/>
      <w:marLeft w:val="0"/>
      <w:marRight w:val="0"/>
      <w:marTop w:val="0"/>
      <w:marBottom w:val="0"/>
      <w:divBdr>
        <w:top w:val="none" w:sz="0" w:space="0" w:color="auto"/>
        <w:left w:val="none" w:sz="0" w:space="0" w:color="auto"/>
        <w:bottom w:val="none" w:sz="0" w:space="0" w:color="auto"/>
        <w:right w:val="none" w:sz="0" w:space="0" w:color="auto"/>
      </w:divBdr>
    </w:div>
    <w:div w:id="496073296">
      <w:bodyDiv w:val="1"/>
      <w:marLeft w:val="0"/>
      <w:marRight w:val="0"/>
      <w:marTop w:val="0"/>
      <w:marBottom w:val="0"/>
      <w:divBdr>
        <w:top w:val="none" w:sz="0" w:space="0" w:color="auto"/>
        <w:left w:val="none" w:sz="0" w:space="0" w:color="auto"/>
        <w:bottom w:val="none" w:sz="0" w:space="0" w:color="auto"/>
        <w:right w:val="none" w:sz="0" w:space="0" w:color="auto"/>
      </w:divBdr>
      <w:divsChild>
        <w:div w:id="1859267624">
          <w:marLeft w:val="0"/>
          <w:marRight w:val="0"/>
          <w:marTop w:val="0"/>
          <w:marBottom w:val="0"/>
          <w:divBdr>
            <w:top w:val="none" w:sz="0" w:space="0" w:color="auto"/>
            <w:left w:val="none" w:sz="0" w:space="0" w:color="auto"/>
            <w:bottom w:val="none" w:sz="0" w:space="0" w:color="auto"/>
            <w:right w:val="none" w:sz="0" w:space="0" w:color="auto"/>
          </w:divBdr>
        </w:div>
        <w:div w:id="69500117">
          <w:marLeft w:val="0"/>
          <w:marRight w:val="0"/>
          <w:marTop w:val="0"/>
          <w:marBottom w:val="0"/>
          <w:divBdr>
            <w:top w:val="none" w:sz="0" w:space="0" w:color="auto"/>
            <w:left w:val="none" w:sz="0" w:space="0" w:color="auto"/>
            <w:bottom w:val="none" w:sz="0" w:space="0" w:color="auto"/>
            <w:right w:val="none" w:sz="0" w:space="0" w:color="auto"/>
          </w:divBdr>
        </w:div>
      </w:divsChild>
    </w:div>
    <w:div w:id="786702292">
      <w:bodyDiv w:val="1"/>
      <w:marLeft w:val="0"/>
      <w:marRight w:val="0"/>
      <w:marTop w:val="0"/>
      <w:marBottom w:val="0"/>
      <w:divBdr>
        <w:top w:val="none" w:sz="0" w:space="0" w:color="auto"/>
        <w:left w:val="none" w:sz="0" w:space="0" w:color="auto"/>
        <w:bottom w:val="none" w:sz="0" w:space="0" w:color="auto"/>
        <w:right w:val="none" w:sz="0" w:space="0" w:color="auto"/>
      </w:divBdr>
    </w:div>
    <w:div w:id="941453565">
      <w:bodyDiv w:val="1"/>
      <w:marLeft w:val="0"/>
      <w:marRight w:val="0"/>
      <w:marTop w:val="0"/>
      <w:marBottom w:val="0"/>
      <w:divBdr>
        <w:top w:val="none" w:sz="0" w:space="0" w:color="auto"/>
        <w:left w:val="none" w:sz="0" w:space="0" w:color="auto"/>
        <w:bottom w:val="none" w:sz="0" w:space="0" w:color="auto"/>
        <w:right w:val="none" w:sz="0" w:space="0" w:color="auto"/>
      </w:divBdr>
    </w:div>
    <w:div w:id="974719194">
      <w:bodyDiv w:val="1"/>
      <w:marLeft w:val="0"/>
      <w:marRight w:val="0"/>
      <w:marTop w:val="0"/>
      <w:marBottom w:val="0"/>
      <w:divBdr>
        <w:top w:val="none" w:sz="0" w:space="0" w:color="auto"/>
        <w:left w:val="none" w:sz="0" w:space="0" w:color="auto"/>
        <w:bottom w:val="none" w:sz="0" w:space="0" w:color="auto"/>
        <w:right w:val="none" w:sz="0" w:space="0" w:color="auto"/>
      </w:divBdr>
    </w:div>
    <w:div w:id="1250964397">
      <w:bodyDiv w:val="1"/>
      <w:marLeft w:val="0"/>
      <w:marRight w:val="0"/>
      <w:marTop w:val="0"/>
      <w:marBottom w:val="0"/>
      <w:divBdr>
        <w:top w:val="none" w:sz="0" w:space="0" w:color="auto"/>
        <w:left w:val="none" w:sz="0" w:space="0" w:color="auto"/>
        <w:bottom w:val="none" w:sz="0" w:space="0" w:color="auto"/>
        <w:right w:val="none" w:sz="0" w:space="0" w:color="auto"/>
      </w:divBdr>
      <w:divsChild>
        <w:div w:id="837157443">
          <w:marLeft w:val="0"/>
          <w:marRight w:val="0"/>
          <w:marTop w:val="0"/>
          <w:marBottom w:val="0"/>
          <w:divBdr>
            <w:top w:val="none" w:sz="0" w:space="0" w:color="auto"/>
            <w:left w:val="none" w:sz="0" w:space="0" w:color="auto"/>
            <w:bottom w:val="none" w:sz="0" w:space="0" w:color="auto"/>
            <w:right w:val="none" w:sz="0" w:space="0" w:color="auto"/>
          </w:divBdr>
        </w:div>
      </w:divsChild>
    </w:div>
    <w:div w:id="1449010360">
      <w:bodyDiv w:val="1"/>
      <w:marLeft w:val="0"/>
      <w:marRight w:val="0"/>
      <w:marTop w:val="0"/>
      <w:marBottom w:val="0"/>
      <w:divBdr>
        <w:top w:val="none" w:sz="0" w:space="0" w:color="auto"/>
        <w:left w:val="none" w:sz="0" w:space="0" w:color="auto"/>
        <w:bottom w:val="none" w:sz="0" w:space="0" w:color="auto"/>
        <w:right w:val="none" w:sz="0" w:space="0" w:color="auto"/>
      </w:divBdr>
    </w:div>
    <w:div w:id="1759251146">
      <w:bodyDiv w:val="1"/>
      <w:marLeft w:val="0"/>
      <w:marRight w:val="0"/>
      <w:marTop w:val="0"/>
      <w:marBottom w:val="0"/>
      <w:divBdr>
        <w:top w:val="none" w:sz="0" w:space="0" w:color="auto"/>
        <w:left w:val="none" w:sz="0" w:space="0" w:color="auto"/>
        <w:bottom w:val="none" w:sz="0" w:space="0" w:color="auto"/>
        <w:right w:val="none" w:sz="0" w:space="0" w:color="auto"/>
      </w:divBdr>
    </w:div>
    <w:div w:id="1869682370">
      <w:bodyDiv w:val="1"/>
      <w:marLeft w:val="0"/>
      <w:marRight w:val="0"/>
      <w:marTop w:val="0"/>
      <w:marBottom w:val="0"/>
      <w:divBdr>
        <w:top w:val="none" w:sz="0" w:space="0" w:color="auto"/>
        <w:left w:val="none" w:sz="0" w:space="0" w:color="auto"/>
        <w:bottom w:val="none" w:sz="0" w:space="0" w:color="auto"/>
        <w:right w:val="none" w:sz="0" w:space="0" w:color="auto"/>
      </w:divBdr>
    </w:div>
    <w:div w:id="1944143828">
      <w:bodyDiv w:val="1"/>
      <w:marLeft w:val="0"/>
      <w:marRight w:val="0"/>
      <w:marTop w:val="0"/>
      <w:marBottom w:val="0"/>
      <w:divBdr>
        <w:top w:val="none" w:sz="0" w:space="0" w:color="auto"/>
        <w:left w:val="none" w:sz="0" w:space="0" w:color="auto"/>
        <w:bottom w:val="none" w:sz="0" w:space="0" w:color="auto"/>
        <w:right w:val="none" w:sz="0" w:space="0" w:color="auto"/>
      </w:divBdr>
      <w:divsChild>
        <w:div w:id="2139951558">
          <w:marLeft w:val="0"/>
          <w:marRight w:val="0"/>
          <w:marTop w:val="0"/>
          <w:marBottom w:val="0"/>
          <w:divBdr>
            <w:top w:val="none" w:sz="0" w:space="0" w:color="auto"/>
            <w:left w:val="none" w:sz="0" w:space="0" w:color="auto"/>
            <w:bottom w:val="none" w:sz="0" w:space="0" w:color="auto"/>
            <w:right w:val="none" w:sz="0" w:space="0" w:color="auto"/>
          </w:divBdr>
        </w:div>
      </w:divsChild>
    </w:div>
    <w:div w:id="1962418194">
      <w:bodyDiv w:val="1"/>
      <w:marLeft w:val="0"/>
      <w:marRight w:val="0"/>
      <w:marTop w:val="0"/>
      <w:marBottom w:val="0"/>
      <w:divBdr>
        <w:top w:val="none" w:sz="0" w:space="0" w:color="auto"/>
        <w:left w:val="none" w:sz="0" w:space="0" w:color="auto"/>
        <w:bottom w:val="none" w:sz="0" w:space="0" w:color="auto"/>
        <w:right w:val="none" w:sz="0" w:space="0" w:color="auto"/>
      </w:divBdr>
      <w:divsChild>
        <w:div w:id="1557013440">
          <w:marLeft w:val="0"/>
          <w:marRight w:val="0"/>
          <w:marTop w:val="0"/>
          <w:marBottom w:val="0"/>
          <w:divBdr>
            <w:top w:val="none" w:sz="0" w:space="0" w:color="auto"/>
            <w:left w:val="none" w:sz="0" w:space="0" w:color="auto"/>
            <w:bottom w:val="none" w:sz="0" w:space="0" w:color="auto"/>
            <w:right w:val="none" w:sz="0" w:space="0" w:color="auto"/>
          </w:divBdr>
        </w:div>
        <w:div w:id="86387668">
          <w:marLeft w:val="0"/>
          <w:marRight w:val="0"/>
          <w:marTop w:val="0"/>
          <w:marBottom w:val="0"/>
          <w:divBdr>
            <w:top w:val="none" w:sz="0" w:space="0" w:color="auto"/>
            <w:left w:val="none" w:sz="0" w:space="0" w:color="auto"/>
            <w:bottom w:val="none" w:sz="0" w:space="0" w:color="auto"/>
            <w:right w:val="none" w:sz="0" w:space="0" w:color="auto"/>
          </w:divBdr>
        </w:div>
      </w:divsChild>
    </w:div>
    <w:div w:id="2110390287">
      <w:bodyDiv w:val="1"/>
      <w:marLeft w:val="0"/>
      <w:marRight w:val="0"/>
      <w:marTop w:val="0"/>
      <w:marBottom w:val="0"/>
      <w:divBdr>
        <w:top w:val="none" w:sz="0" w:space="0" w:color="auto"/>
        <w:left w:val="none" w:sz="0" w:space="0" w:color="auto"/>
        <w:bottom w:val="none" w:sz="0" w:space="0" w:color="auto"/>
        <w:right w:val="none" w:sz="0" w:space="0" w:color="auto"/>
      </w:divBdr>
    </w:div>
    <w:div w:id="212542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resrep11227?seq=1" TargetMode="External"/><Relationship Id="rId13" Type="http://schemas.openxmlformats.org/officeDocument/2006/relationships/hyperlink" Target="https://link.springer.com/book/10.1007/978-3-319-46667-5" TargetMode="External"/><Relationship Id="rId18" Type="http://schemas.openxmlformats.org/officeDocument/2006/relationships/hyperlink" Target="https://www.cervenykriz.eu/zasady-humanitarniho-prava" TargetMode="External"/><Relationship Id="rId26" Type="http://schemas.openxmlformats.org/officeDocument/2006/relationships/hyperlink" Target="https://oos.army.cz/standardizace/terminologie/terminologicky-slovnik-aap-06" TargetMode="External"/><Relationship Id="rId39" Type="http://schemas.openxmlformats.org/officeDocument/2006/relationships/hyperlink" Target="https://www.icj-cij.org/case/70" TargetMode="External"/><Relationship Id="rId3" Type="http://schemas.openxmlformats.org/officeDocument/2006/relationships/styles" Target="styles.xml"/><Relationship Id="rId21" Type="http://schemas.openxmlformats.org/officeDocument/2006/relationships/hyperlink" Target="https://www.aspi.cz/products/lawText/1/4878/1/2/mezinarodni-umluva-c-126-1929-sb-kelloguv-pakt/mezinarodni-umluva-c-126-1929-sb-kelloguv-pakt" TargetMode="External"/><Relationship Id="rId34" Type="http://schemas.openxmlformats.org/officeDocument/2006/relationships/hyperlink" Target="https://documents.un.org/symbol-explorer?s=A/RES/ES-11/1&amp;i=A/RES/ES-11/1_0582221"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dvisorycouncilinternationalaffairs.nl/documents/publications/2015/10/02/autonomous-weapon-systems" TargetMode="External"/><Relationship Id="rId17" Type="http://schemas.openxmlformats.org/officeDocument/2006/relationships/hyperlink" Target="https://irp.fas.org/doddir/usaf/afpam14%20210/part20.htm" TargetMode="External"/><Relationship Id="rId25" Type="http://schemas.openxmlformats.org/officeDocument/2006/relationships/hyperlink" Target="https://www.loc.gov/item/2021692613/" TargetMode="External"/><Relationship Id="rId33" Type="http://schemas.openxmlformats.org/officeDocument/2006/relationships/hyperlink" Target="http://hrlibrary.umn.edu/instree/GAres3314.html" TargetMode="External"/><Relationship Id="rId38" Type="http://schemas.openxmlformats.org/officeDocument/2006/relationships/hyperlink" Target="https://digitallibrary.un.org/record/202170?ln=en&amp;v=pdf" TargetMode="External"/><Relationship Id="rId2" Type="http://schemas.openxmlformats.org/officeDocument/2006/relationships/numbering" Target="numbering.xml"/><Relationship Id="rId16" Type="http://schemas.openxmlformats.org/officeDocument/2006/relationships/hyperlink" Target="http://history.emory.edu/home/undergraduate/endeavors-journal/volume-5.html" TargetMode="External"/><Relationship Id="rId20" Type="http://schemas.openxmlformats.org/officeDocument/2006/relationships/hyperlink" Target="https://www.cambridge.org/core/books/autonomous-weapon-systems-and-the-law-of-armed-conflict/09BFF6BB5B88E34935678B5A0606A8A7" TargetMode="External"/><Relationship Id="rId29" Type="http://schemas.openxmlformats.org/officeDocument/2006/relationships/hyperlink" Target="https://www.loc.gov/item/2011525357/"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rc.org/en/publication/4283-autonomous-weapons-systems" TargetMode="External"/><Relationship Id="rId24" Type="http://schemas.openxmlformats.org/officeDocument/2006/relationships/hyperlink" Target="https://papers.ssrn.com/sol3/papers.cfm?abstract_id=3662526" TargetMode="External"/><Relationship Id="rId32" Type="http://schemas.openxmlformats.org/officeDocument/2006/relationships/hyperlink" Target="https://digitalcommons.du.edu/djilp/vol45/iss1/3/" TargetMode="External"/><Relationship Id="rId37" Type="http://schemas.openxmlformats.org/officeDocument/2006/relationships/hyperlink" Target="https://digitallibrary.un.org/record/412414?v=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ihl-databases.icrc.org/applic/ihl/ihl.nsf/Article.xsp?action=openDocument&amp;documentId=568842C2B90F4A29C12563CD0051547C" TargetMode="External"/><Relationship Id="rId23" Type="http://schemas.openxmlformats.org/officeDocument/2006/relationships/hyperlink" Target="https://digitallibrary.un.org/record/203463?ln=en" TargetMode="External"/><Relationship Id="rId28" Type="http://schemas.openxmlformats.org/officeDocument/2006/relationships/hyperlink" Target="https://treaties.un.org/Pages/ViewDetails.aspx?src=TREATY&amp;mtdsg_no=XXVI-9&amp;chapter=26&amp;clang=_en" TargetMode="External"/><Relationship Id="rId36" Type="http://schemas.openxmlformats.org/officeDocument/2006/relationships/hyperlink" Target="https://digitallibrary.un.org/record/418823?v=pdf" TargetMode="External"/><Relationship Id="rId10" Type="http://schemas.openxmlformats.org/officeDocument/2006/relationships/hyperlink" Target="https://www.lockheedmartin.com/en-us/products/autogcas.html" TargetMode="External"/><Relationship Id="rId19" Type="http://schemas.openxmlformats.org/officeDocument/2006/relationships/hyperlink" Target="https://www.proquest.com/docview/1540957074/DA54FCA08594ECDPQ/1?accountid=16730" TargetMode="External"/><Relationship Id="rId31" Type="http://schemas.openxmlformats.org/officeDocument/2006/relationships/hyperlink" Target="https://digitallibrary.un.org/record/3856236?ln=en&amp;v=pdf" TargetMode="External"/><Relationship Id="rId4" Type="http://schemas.openxmlformats.org/officeDocument/2006/relationships/settings" Target="settings.xml"/><Relationship Id="rId9" Type="http://schemas.openxmlformats.org/officeDocument/2006/relationships/hyperlink" Target="https://www.cnas.org/publications/reports/an-introduction-to-autonomy-in-weapon-systems" TargetMode="External"/><Relationship Id="rId14" Type="http://schemas.openxmlformats.org/officeDocument/2006/relationships/hyperlink" Target="https://www.cambridge.org/core/books/conduct-of-hostilities-under-the-law-of-international-armed-conflict/6F968AB75832E7A46CD4FEE7CA86BB8F" TargetMode="External"/><Relationship Id="rId22" Type="http://schemas.openxmlformats.org/officeDocument/2006/relationships/hyperlink" Target="https://www.asylumlawdatabase.eu/en/content/icty-prosecutor-v-tadic-it-94-1-ar72-icty" TargetMode="External"/><Relationship Id="rId27" Type="http://schemas.openxmlformats.org/officeDocument/2006/relationships/hyperlink" Target="https://www.icj-cij.org/case/95" TargetMode="External"/><Relationship Id="rId30" Type="http://schemas.openxmlformats.org/officeDocument/2006/relationships/hyperlink" Target="https://www.loc.gov/item/2011525500/" TargetMode="External"/><Relationship Id="rId35" Type="http://schemas.openxmlformats.org/officeDocument/2006/relationships/hyperlink" Target="https://digitallibrary.un.org/record/627953?v=pdf" TargetMode="External"/><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icrc.org/en/publication/4283-autonomous-weapons-systems" TargetMode="External"/><Relationship Id="rId18" Type="http://schemas.openxmlformats.org/officeDocument/2006/relationships/hyperlink" Target="https://www.advisorycouncilinternationalaffairs.nl/documents/publications/2015/10/02/autonomous-weapon-systems" TargetMode="External"/><Relationship Id="rId26" Type="http://schemas.openxmlformats.org/officeDocument/2006/relationships/hyperlink" Target="https://irp.fas.org/doddir/usaf/afpam14%20210/part20.htm" TargetMode="External"/><Relationship Id="rId39" Type="http://schemas.openxmlformats.org/officeDocument/2006/relationships/hyperlink" Target="http://history.emory.edu/home/undergraduate/endeavors-journal/volume-5.html" TargetMode="External"/><Relationship Id="rId21" Type="http://schemas.openxmlformats.org/officeDocument/2006/relationships/hyperlink" Target="https://ihl-databases.icrc.org/applic/ihl/ihl.nsf/Article.xsp?action=openDocument&amp;documentId=568842C2B90F4A29C12563CD0051547C" TargetMode="External"/><Relationship Id="rId34" Type="http://schemas.openxmlformats.org/officeDocument/2006/relationships/hyperlink" Target="https://digitallibrary.un.org/record/627953?v=pdf" TargetMode="External"/><Relationship Id="rId42" Type="http://schemas.openxmlformats.org/officeDocument/2006/relationships/hyperlink" Target="https://www.cambridge.org/core/books/autonomous-weapon-systems-and-the-law-of-armed-conflict/09BFF6BB5B88E34935678B5A0606A8A7" TargetMode="External"/><Relationship Id="rId47" Type="http://schemas.openxmlformats.org/officeDocument/2006/relationships/hyperlink" Target="https://www.icj-cij.org/case/95" TargetMode="External"/><Relationship Id="rId50" Type="http://schemas.openxmlformats.org/officeDocument/2006/relationships/hyperlink" Target="https://ihl-databases.icrc.org/applic/ihl/ihl.nsf/Article.xsp?action=openDocument&amp;documentId=568842C2B90F4A29C12563CD0051547C" TargetMode="External"/><Relationship Id="rId55" Type="http://schemas.openxmlformats.org/officeDocument/2006/relationships/hyperlink" Target="https://www.cambridge.org/core/books/conduct-of-hostilities-under-the-law-of-international-armed-conflict/6F968AB75832E7A46CD4FEE7CA86BB8F" TargetMode="External"/><Relationship Id="rId63" Type="http://schemas.openxmlformats.org/officeDocument/2006/relationships/hyperlink" Target="https://treaties.un.org/Pages/ViewDetails.aspx?src=TREATY&amp;mtdsg_no=XXVI-9&amp;chapter=26&amp;clang=_en" TargetMode="External"/><Relationship Id="rId68" Type="http://schemas.openxmlformats.org/officeDocument/2006/relationships/hyperlink" Target="https://digitalcommons.du.edu/djilp/vol45/iss1/3/" TargetMode="External"/><Relationship Id="rId7" Type="http://schemas.openxmlformats.org/officeDocument/2006/relationships/hyperlink" Target="https://www.advisorycouncilinternationalaffairs.nl/documents/publications/2015/10/02/autonomous-weapon-systems" TargetMode="External"/><Relationship Id="rId2" Type="http://schemas.openxmlformats.org/officeDocument/2006/relationships/hyperlink" Target="https://www.cnas.org/publications/reports/an-introduction-to-autonomy-in-weapon-systems" TargetMode="External"/><Relationship Id="rId16" Type="http://schemas.openxmlformats.org/officeDocument/2006/relationships/hyperlink" Target="https://www.advisorycouncilinternationalaffairs.nl/documents/publications/2015/10/02/autonomous-weapon-systems" TargetMode="External"/><Relationship Id="rId29" Type="http://schemas.openxmlformats.org/officeDocument/2006/relationships/hyperlink" Target="https://digitallibrary.un.org/record/203463?ln=en" TargetMode="External"/><Relationship Id="rId1" Type="http://schemas.openxmlformats.org/officeDocument/2006/relationships/hyperlink" Target="https://www.jstor.org/stable/resrep11227?seq=1" TargetMode="External"/><Relationship Id="rId6" Type="http://schemas.openxmlformats.org/officeDocument/2006/relationships/hyperlink" Target="https://www.advisorycouncilinternationalaffairs.nl/documents/publications/2015/10/02/autonomous-weapon-systems" TargetMode="External"/><Relationship Id="rId11" Type="http://schemas.openxmlformats.org/officeDocument/2006/relationships/hyperlink" Target="https://papers.ssrn.com/sol3/papers.cfm?abstract_id=3662526" TargetMode="External"/><Relationship Id="rId24" Type="http://schemas.openxmlformats.org/officeDocument/2006/relationships/hyperlink" Target="https://www.cambridge.org/core/books/conduct-of-hostilities-under-the-law-of-international-armed-conflict/6F968AB75832E7A46CD4FEE7CA86BB8F" TargetMode="External"/><Relationship Id="rId32" Type="http://schemas.openxmlformats.org/officeDocument/2006/relationships/hyperlink" Target="https://digitallibrary.un.org/record/412414?v=pdf" TargetMode="External"/><Relationship Id="rId37" Type="http://schemas.openxmlformats.org/officeDocument/2006/relationships/hyperlink" Target="http://hrlibrary.umn.edu/instree/GAres3314.html" TargetMode="External"/><Relationship Id="rId40" Type="http://schemas.openxmlformats.org/officeDocument/2006/relationships/hyperlink" Target="https://www.proquest.com/docview/1540957074/DA54FCA08594ECDPQ/1?accountid=16730" TargetMode="External"/><Relationship Id="rId45" Type="http://schemas.openxmlformats.org/officeDocument/2006/relationships/hyperlink" Target="https://www.cambridge.org/core/books/conduct-of-hostilities-under-the-law-of-international-armed-conflict/6F968AB75832E7A46CD4FEE7CA86BB8F" TargetMode="External"/><Relationship Id="rId53" Type="http://schemas.openxmlformats.org/officeDocument/2006/relationships/hyperlink" Target="https://www.cambridge.org/core/books/conduct-of-hostilities-under-the-law-of-international-armed-conflict/6F968AB75832E7A46CD4FEE7CA86BB8F" TargetMode="External"/><Relationship Id="rId58" Type="http://schemas.openxmlformats.org/officeDocument/2006/relationships/hyperlink" Target="https://www.loc.gov/item/2011525500/" TargetMode="External"/><Relationship Id="rId66" Type="http://schemas.openxmlformats.org/officeDocument/2006/relationships/hyperlink" Target="https://oos.army.cz/standardizace/terminologie/terminologicky-slovnik-aap-06" TargetMode="External"/><Relationship Id="rId5" Type="http://schemas.openxmlformats.org/officeDocument/2006/relationships/hyperlink" Target="https://www.cnas.org/publications/reports/an-introduction-to-autonomy-in-weapon-systems" TargetMode="External"/><Relationship Id="rId15" Type="http://schemas.openxmlformats.org/officeDocument/2006/relationships/hyperlink" Target="https://link.springer.com/book/10.1007/978-3-319-46667-5" TargetMode="External"/><Relationship Id="rId23" Type="http://schemas.openxmlformats.org/officeDocument/2006/relationships/hyperlink" Target="https://www.cervenykriz.eu/zasady-humanitarniho-prava" TargetMode="External"/><Relationship Id="rId28" Type="http://schemas.openxmlformats.org/officeDocument/2006/relationships/hyperlink" Target="https://www.aspi.cz/products/lawText/1/4878/1/2/mezinarodni-umluva-c-126-1929-sb-kelloguv-pakt/mezinarodni-umluva-c-126-1929-sb-kelloguv-pakt" TargetMode="External"/><Relationship Id="rId36" Type="http://schemas.openxmlformats.org/officeDocument/2006/relationships/hyperlink" Target="https://documents.un.org/symbol-explorer?s=A/RES/ES-11/1&amp;i=A/RES/ES-11/1_0582221" TargetMode="External"/><Relationship Id="rId49" Type="http://schemas.openxmlformats.org/officeDocument/2006/relationships/hyperlink" Target="https://www.loc.gov/item/2011525357/" TargetMode="External"/><Relationship Id="rId57" Type="http://schemas.openxmlformats.org/officeDocument/2006/relationships/hyperlink" Target="https://www.loc.gov/item/2011525357/" TargetMode="External"/><Relationship Id="rId61" Type="http://schemas.openxmlformats.org/officeDocument/2006/relationships/hyperlink" Target="https://www.icj-cij.org/case/95" TargetMode="External"/><Relationship Id="rId10" Type="http://schemas.openxmlformats.org/officeDocument/2006/relationships/hyperlink" Target="https://papers.ssrn.com/sol3/papers.cfm?abstract_id=3662526" TargetMode="External"/><Relationship Id="rId19" Type="http://schemas.openxmlformats.org/officeDocument/2006/relationships/hyperlink" Target="https://link.springer.com/book/10.1007/978-3-319-46667-5" TargetMode="External"/><Relationship Id="rId31" Type="http://schemas.openxmlformats.org/officeDocument/2006/relationships/hyperlink" Target="https://digitallibrary.un.org/record/202170?ln=en&amp;v=pdf" TargetMode="External"/><Relationship Id="rId44" Type="http://schemas.openxmlformats.org/officeDocument/2006/relationships/hyperlink" Target="https://www.icj-cij.org/case/95" TargetMode="External"/><Relationship Id="rId52" Type="http://schemas.openxmlformats.org/officeDocument/2006/relationships/hyperlink" Target="https://www.loc.gov/item/2011525357/" TargetMode="External"/><Relationship Id="rId60" Type="http://schemas.openxmlformats.org/officeDocument/2006/relationships/hyperlink" Target="https://oos.army.cz/standardizace/terminologie/terminologicky-slovnik-aap-06" TargetMode="External"/><Relationship Id="rId65" Type="http://schemas.openxmlformats.org/officeDocument/2006/relationships/hyperlink" Target="https://www.cambridge.org/core/books/conduct-of-hostilities-under-the-law-of-international-armed-conflict/6F968AB75832E7A46CD4FEE7CA86BB8F" TargetMode="External"/><Relationship Id="rId4" Type="http://schemas.openxmlformats.org/officeDocument/2006/relationships/hyperlink" Target="https://www.cnas.org/publications/reports/an-introduction-to-autonomy-in-weapon-systems" TargetMode="External"/><Relationship Id="rId9" Type="http://schemas.openxmlformats.org/officeDocument/2006/relationships/hyperlink" Target="https://www.cnas.org/publications/reports/an-introduction-to-autonomy-in-weapon-systems" TargetMode="External"/><Relationship Id="rId14" Type="http://schemas.openxmlformats.org/officeDocument/2006/relationships/hyperlink" Target="https://www.advisorycouncilinternationalaffairs.nl/documents/publications/2015/10/02/autonomous-weapon-systems" TargetMode="External"/><Relationship Id="rId22" Type="http://schemas.openxmlformats.org/officeDocument/2006/relationships/hyperlink" Target="https://ihl-databases.icrc.org/applic/ihl/ihl.nsf/Article.xsp?action=openDocument&amp;documentId=568842C2B90F4A29C12563CD0051547C" TargetMode="External"/><Relationship Id="rId27" Type="http://schemas.openxmlformats.org/officeDocument/2006/relationships/hyperlink" Target="https://www.cervenykriz.eu/zasady-humanitarniho-prava" TargetMode="External"/><Relationship Id="rId30" Type="http://schemas.openxmlformats.org/officeDocument/2006/relationships/hyperlink" Target="https://www.icj-cij.org/case/70" TargetMode="External"/><Relationship Id="rId35" Type="http://schemas.openxmlformats.org/officeDocument/2006/relationships/hyperlink" Target="http://hrlibrary.umn.edu/instree/GAres3314.html" TargetMode="External"/><Relationship Id="rId43" Type="http://schemas.openxmlformats.org/officeDocument/2006/relationships/hyperlink" Target="https://www.loc.gov/item/2021692613/" TargetMode="External"/><Relationship Id="rId48" Type="http://schemas.openxmlformats.org/officeDocument/2006/relationships/hyperlink" Target="https://www.loc.gov/item/2011525357/" TargetMode="External"/><Relationship Id="rId56" Type="http://schemas.openxmlformats.org/officeDocument/2006/relationships/hyperlink" Target="https://www.loc.gov/item/2011525357/" TargetMode="External"/><Relationship Id="rId64" Type="http://schemas.openxmlformats.org/officeDocument/2006/relationships/hyperlink" Target="https://www.cambridge.org/core/books/conduct-of-hostilities-under-the-law-of-international-armed-conflict/6F968AB75832E7A46CD4FEE7CA86BB8F" TargetMode="External"/><Relationship Id="rId69" Type="http://schemas.openxmlformats.org/officeDocument/2006/relationships/hyperlink" Target="https://www.asylumlawdatabase.eu/en/content/icty-prosecutor-v-tadic-it-94-1-ar72-icty" TargetMode="External"/><Relationship Id="rId8" Type="http://schemas.openxmlformats.org/officeDocument/2006/relationships/hyperlink" Target="https://www.cnas.org/publications/reports/an-introduction-to-autonomy-in-weapon-systems" TargetMode="External"/><Relationship Id="rId51" Type="http://schemas.openxmlformats.org/officeDocument/2006/relationships/hyperlink" Target="https://www.loc.gov/item/2011525357/" TargetMode="External"/><Relationship Id="rId3" Type="http://schemas.openxmlformats.org/officeDocument/2006/relationships/hyperlink" Target="https://www.lockheedmartin.com/en-us/products/autogcas.html" TargetMode="External"/><Relationship Id="rId12" Type="http://schemas.openxmlformats.org/officeDocument/2006/relationships/hyperlink" Target="https://www.cnas.org/publications/reports/an-introduction-to-autonomy-in-weapon-systems" TargetMode="External"/><Relationship Id="rId17" Type="http://schemas.openxmlformats.org/officeDocument/2006/relationships/hyperlink" Target="https://www.icrc.org/en/publication/4283-autonomous-weapons-systems" TargetMode="External"/><Relationship Id="rId25" Type="http://schemas.openxmlformats.org/officeDocument/2006/relationships/hyperlink" Target="https://www.cervenykriz.eu/zasady-humanitarniho-prava" TargetMode="External"/><Relationship Id="rId33" Type="http://schemas.openxmlformats.org/officeDocument/2006/relationships/hyperlink" Target="https://digitallibrary.un.org/record/418823?v=pdf" TargetMode="External"/><Relationship Id="rId38" Type="http://schemas.openxmlformats.org/officeDocument/2006/relationships/hyperlink" Target="https://www.cambridge.org/core/books/conduct-of-hostilities-under-the-law-of-international-armed-conflict/6F968AB75832E7A46CD4FEE7CA86BB8F" TargetMode="External"/><Relationship Id="rId46" Type="http://schemas.openxmlformats.org/officeDocument/2006/relationships/hyperlink" Target="https://www.icj-cij.org/case/95" TargetMode="External"/><Relationship Id="rId59" Type="http://schemas.openxmlformats.org/officeDocument/2006/relationships/hyperlink" Target="https://www.loc.gov/item/2011525357/" TargetMode="External"/><Relationship Id="rId67" Type="http://schemas.openxmlformats.org/officeDocument/2006/relationships/hyperlink" Target="https://digitallibrary.un.org/record/3856236?ln=en&amp;v=pdf" TargetMode="External"/><Relationship Id="rId20" Type="http://schemas.openxmlformats.org/officeDocument/2006/relationships/hyperlink" Target="https://www.cambridge.org/core/books/autonomous-weapon-systems-and-the-law-of-armed-conflict/09BFF6BB5B88E34935678B5A0606A8A7" TargetMode="External"/><Relationship Id="rId41" Type="http://schemas.openxmlformats.org/officeDocument/2006/relationships/hyperlink" Target="https://www.cambridge.org/core/books/autonomous-weapon-systems-and-the-law-of-armed-conflict/09BFF6BB5B88E34935678B5A0606A8A7" TargetMode="External"/><Relationship Id="rId54" Type="http://schemas.openxmlformats.org/officeDocument/2006/relationships/hyperlink" Target="https://www.icj-cij.org/case/95" TargetMode="External"/><Relationship Id="rId62" Type="http://schemas.openxmlformats.org/officeDocument/2006/relationships/hyperlink" Target="https://www.icj-cij.org/case/95"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FE391-5565-4EA6-8C09-75BA18589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7851</TotalTime>
  <Pages>53</Pages>
  <Words>15716</Words>
  <Characters>93673</Characters>
  <Application>Microsoft Office Word</Application>
  <DocSecurity>0</DocSecurity>
  <Lines>1419</Lines>
  <Paragraphs>188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Vojtěch Šácha</dc:creator>
  <cp:keywords/>
  <dc:description/>
  <cp:lastModifiedBy>Vojtěch Šácha</cp:lastModifiedBy>
  <cp:revision>1435</cp:revision>
  <dcterms:created xsi:type="dcterms:W3CDTF">2021-04-18T14:35:00Z</dcterms:created>
  <dcterms:modified xsi:type="dcterms:W3CDTF">2024-04-24T17:23:00Z</dcterms:modified>
</cp:coreProperties>
</file>