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93D94" w14:textId="77777777" w:rsidR="00152E43" w:rsidRPr="00622DBD" w:rsidRDefault="00152E43" w:rsidP="003F3660">
      <w:pPr>
        <w:spacing w:line="360" w:lineRule="auto"/>
        <w:jc w:val="center"/>
        <w:rPr>
          <w:rFonts w:ascii="Garamond" w:hAnsi="Garamond" w:cs="Times New Roman"/>
          <w:b/>
          <w:bCs/>
          <w:sz w:val="28"/>
          <w:lang w:val="cs-CZ"/>
        </w:rPr>
      </w:pPr>
      <w:r w:rsidRPr="00622DBD">
        <w:rPr>
          <w:rFonts w:ascii="Garamond" w:hAnsi="Garamond" w:cs="Times New Roman"/>
          <w:b/>
          <w:bCs/>
          <w:sz w:val="28"/>
          <w:lang w:val="cs-CZ"/>
        </w:rPr>
        <w:t>Univerzita Palackého v Olomouci</w:t>
      </w:r>
    </w:p>
    <w:p w14:paraId="6D5C0153" w14:textId="77777777" w:rsidR="00152E43" w:rsidRPr="00622DBD" w:rsidRDefault="00152E43" w:rsidP="003F3660">
      <w:pPr>
        <w:spacing w:line="360" w:lineRule="auto"/>
        <w:jc w:val="center"/>
        <w:rPr>
          <w:rFonts w:ascii="Garamond" w:hAnsi="Garamond" w:cs="Times New Roman"/>
          <w:b/>
          <w:bCs/>
          <w:sz w:val="28"/>
          <w:lang w:val="cs-CZ"/>
        </w:rPr>
      </w:pPr>
      <w:r w:rsidRPr="00622DBD">
        <w:rPr>
          <w:rFonts w:ascii="Garamond" w:hAnsi="Garamond" w:cs="Times New Roman"/>
          <w:b/>
          <w:bCs/>
          <w:sz w:val="28"/>
          <w:lang w:val="cs-CZ"/>
        </w:rPr>
        <w:t>Právnická fakulta</w:t>
      </w:r>
    </w:p>
    <w:p w14:paraId="7DABAD95" w14:textId="77777777" w:rsidR="00152E43" w:rsidRPr="007759EE" w:rsidRDefault="00152E43" w:rsidP="003F3660">
      <w:pPr>
        <w:spacing w:line="360" w:lineRule="auto"/>
        <w:jc w:val="center"/>
        <w:rPr>
          <w:rFonts w:ascii="Garamond" w:hAnsi="Garamond" w:cs="Times New Roman"/>
          <w:lang w:val="cs-CZ"/>
        </w:rPr>
      </w:pPr>
    </w:p>
    <w:p w14:paraId="3E2F24A4" w14:textId="77777777" w:rsidR="00152E43" w:rsidRPr="007759EE" w:rsidRDefault="00152E43" w:rsidP="003F3660">
      <w:pPr>
        <w:spacing w:line="360" w:lineRule="auto"/>
        <w:jc w:val="center"/>
        <w:rPr>
          <w:rFonts w:ascii="Garamond" w:hAnsi="Garamond" w:cs="Times New Roman"/>
          <w:lang w:val="cs-CZ"/>
        </w:rPr>
      </w:pPr>
    </w:p>
    <w:p w14:paraId="319D76A1" w14:textId="77777777" w:rsidR="00152E43" w:rsidRPr="007759EE" w:rsidRDefault="00152E43" w:rsidP="003F3660">
      <w:pPr>
        <w:spacing w:line="360" w:lineRule="auto"/>
        <w:jc w:val="center"/>
        <w:rPr>
          <w:rFonts w:ascii="Garamond" w:hAnsi="Garamond" w:cs="Times New Roman"/>
          <w:lang w:val="cs-CZ"/>
        </w:rPr>
      </w:pPr>
    </w:p>
    <w:p w14:paraId="00DCCA2C" w14:textId="77777777" w:rsidR="00152E43" w:rsidRPr="007759EE" w:rsidRDefault="00152E43" w:rsidP="003F3660">
      <w:pPr>
        <w:spacing w:line="360" w:lineRule="auto"/>
        <w:jc w:val="center"/>
        <w:rPr>
          <w:rFonts w:ascii="Garamond" w:hAnsi="Garamond" w:cs="Times New Roman"/>
          <w:lang w:val="cs-CZ"/>
        </w:rPr>
      </w:pPr>
    </w:p>
    <w:p w14:paraId="314498A2" w14:textId="77777777" w:rsidR="00152E43" w:rsidRPr="007759EE" w:rsidRDefault="00152E43" w:rsidP="003F3660">
      <w:pPr>
        <w:spacing w:line="360" w:lineRule="auto"/>
        <w:jc w:val="center"/>
        <w:rPr>
          <w:rFonts w:ascii="Garamond" w:hAnsi="Garamond" w:cs="Times New Roman"/>
          <w:lang w:val="cs-CZ"/>
        </w:rPr>
      </w:pPr>
    </w:p>
    <w:p w14:paraId="2FA03D7E" w14:textId="77777777" w:rsidR="00152E43" w:rsidRPr="007759EE" w:rsidRDefault="00152E43" w:rsidP="003F3660">
      <w:pPr>
        <w:spacing w:line="360" w:lineRule="auto"/>
        <w:jc w:val="center"/>
        <w:rPr>
          <w:rFonts w:ascii="Garamond" w:hAnsi="Garamond" w:cs="Times New Roman"/>
          <w:b/>
          <w:sz w:val="32"/>
          <w:szCs w:val="32"/>
          <w:lang w:val="cs-CZ"/>
        </w:rPr>
      </w:pPr>
    </w:p>
    <w:p w14:paraId="3163EA6C" w14:textId="77777777" w:rsidR="00152E43" w:rsidRPr="007759EE" w:rsidRDefault="00152E43" w:rsidP="003F3660">
      <w:pPr>
        <w:spacing w:line="360" w:lineRule="auto"/>
        <w:jc w:val="center"/>
        <w:rPr>
          <w:rFonts w:ascii="Garamond" w:hAnsi="Garamond" w:cs="Times New Roman"/>
          <w:b/>
          <w:sz w:val="36"/>
          <w:szCs w:val="32"/>
          <w:lang w:val="cs-CZ"/>
        </w:rPr>
      </w:pPr>
    </w:p>
    <w:p w14:paraId="6124F2AF" w14:textId="77777777" w:rsidR="00E92493" w:rsidRPr="007759EE" w:rsidRDefault="00E92493" w:rsidP="003F3660">
      <w:pPr>
        <w:spacing w:line="360" w:lineRule="auto"/>
        <w:jc w:val="center"/>
        <w:rPr>
          <w:rFonts w:ascii="Garamond" w:hAnsi="Garamond" w:cs="Times New Roman"/>
          <w:b/>
          <w:sz w:val="36"/>
          <w:szCs w:val="32"/>
          <w:lang w:val="cs-CZ"/>
        </w:rPr>
      </w:pPr>
    </w:p>
    <w:p w14:paraId="617F03AB" w14:textId="77777777" w:rsidR="00152E43" w:rsidRPr="00622DBD" w:rsidRDefault="00152E43" w:rsidP="003F3660">
      <w:pPr>
        <w:spacing w:line="360" w:lineRule="auto"/>
        <w:jc w:val="center"/>
        <w:rPr>
          <w:rFonts w:ascii="Garamond" w:hAnsi="Garamond" w:cs="Times New Roman"/>
          <w:b/>
          <w:bCs/>
          <w:sz w:val="36"/>
          <w:szCs w:val="32"/>
          <w:lang w:val="cs-CZ"/>
        </w:rPr>
      </w:pPr>
      <w:r w:rsidRPr="00622DBD">
        <w:rPr>
          <w:rFonts w:ascii="Garamond" w:hAnsi="Garamond" w:cs="Times New Roman"/>
          <w:b/>
          <w:bCs/>
          <w:sz w:val="32"/>
          <w:szCs w:val="32"/>
          <w:lang w:val="cs-CZ"/>
        </w:rPr>
        <w:t>Václav</w:t>
      </w:r>
      <w:r w:rsidRPr="00622DBD">
        <w:rPr>
          <w:rFonts w:ascii="Garamond" w:hAnsi="Garamond" w:cs="Times New Roman"/>
          <w:b/>
          <w:bCs/>
          <w:sz w:val="36"/>
          <w:szCs w:val="32"/>
          <w:lang w:val="cs-CZ"/>
        </w:rPr>
        <w:t xml:space="preserve"> </w:t>
      </w:r>
      <w:r w:rsidRPr="00622DBD">
        <w:rPr>
          <w:rFonts w:ascii="Garamond" w:hAnsi="Garamond" w:cs="Times New Roman"/>
          <w:b/>
          <w:bCs/>
          <w:sz w:val="32"/>
          <w:szCs w:val="32"/>
          <w:lang w:val="cs-CZ"/>
        </w:rPr>
        <w:t>Stískala</w:t>
      </w:r>
    </w:p>
    <w:p w14:paraId="60BCA26B" w14:textId="77777777" w:rsidR="00152E43" w:rsidRPr="007759EE" w:rsidRDefault="00152E43" w:rsidP="003F3660">
      <w:pPr>
        <w:spacing w:line="360" w:lineRule="auto"/>
        <w:jc w:val="center"/>
        <w:rPr>
          <w:rFonts w:ascii="Garamond" w:hAnsi="Garamond" w:cs="Times New Roman"/>
          <w:sz w:val="28"/>
          <w:lang w:val="cs-CZ"/>
        </w:rPr>
      </w:pPr>
    </w:p>
    <w:p w14:paraId="3FAFC0E8" w14:textId="77777777" w:rsidR="00152E43" w:rsidRPr="007759EE" w:rsidRDefault="00152E43" w:rsidP="003F3660">
      <w:pPr>
        <w:spacing w:line="360" w:lineRule="auto"/>
        <w:jc w:val="center"/>
        <w:rPr>
          <w:rFonts w:ascii="Garamond" w:hAnsi="Garamond" w:cs="Times New Roman"/>
          <w:b/>
          <w:sz w:val="32"/>
          <w:szCs w:val="28"/>
          <w:lang w:val="cs-CZ"/>
        </w:rPr>
      </w:pPr>
      <w:r w:rsidRPr="007759EE">
        <w:rPr>
          <w:rFonts w:ascii="Garamond" w:hAnsi="Garamond" w:cs="Times New Roman"/>
          <w:b/>
          <w:sz w:val="32"/>
          <w:szCs w:val="28"/>
          <w:lang w:val="cs-CZ"/>
        </w:rPr>
        <w:t>Eutanazie dětí</w:t>
      </w:r>
    </w:p>
    <w:p w14:paraId="54885C8C" w14:textId="77777777" w:rsidR="00152E43" w:rsidRPr="007759EE" w:rsidRDefault="00152E43" w:rsidP="003F3660">
      <w:pPr>
        <w:spacing w:line="360" w:lineRule="auto"/>
        <w:jc w:val="center"/>
        <w:rPr>
          <w:rFonts w:ascii="Garamond" w:hAnsi="Garamond" w:cs="Times New Roman"/>
          <w:sz w:val="28"/>
          <w:lang w:val="cs-CZ"/>
        </w:rPr>
      </w:pPr>
    </w:p>
    <w:p w14:paraId="0E533FA7" w14:textId="77777777" w:rsidR="00152E43" w:rsidRPr="00622DBD" w:rsidRDefault="00152E43" w:rsidP="003F3660">
      <w:pPr>
        <w:spacing w:line="360" w:lineRule="auto"/>
        <w:jc w:val="center"/>
        <w:rPr>
          <w:rFonts w:ascii="Garamond" w:hAnsi="Garamond" w:cs="Times New Roman"/>
          <w:b/>
          <w:bCs/>
          <w:sz w:val="28"/>
          <w:lang w:val="cs-CZ"/>
        </w:rPr>
      </w:pPr>
      <w:r w:rsidRPr="00622DBD">
        <w:rPr>
          <w:rFonts w:ascii="Garamond" w:hAnsi="Garamond" w:cs="Times New Roman"/>
          <w:b/>
          <w:bCs/>
          <w:sz w:val="28"/>
          <w:lang w:val="cs-CZ"/>
        </w:rPr>
        <w:t>Diplomová práce</w:t>
      </w:r>
    </w:p>
    <w:p w14:paraId="2ABDA683" w14:textId="77777777" w:rsidR="00152E43" w:rsidRPr="007759EE" w:rsidRDefault="00152E43" w:rsidP="003F3660">
      <w:pPr>
        <w:spacing w:line="360" w:lineRule="auto"/>
        <w:jc w:val="center"/>
        <w:rPr>
          <w:rFonts w:ascii="Garamond" w:hAnsi="Garamond" w:cs="Times New Roman"/>
          <w:lang w:val="cs-CZ"/>
        </w:rPr>
      </w:pPr>
    </w:p>
    <w:p w14:paraId="48A9B5F3" w14:textId="77777777" w:rsidR="00152E43" w:rsidRPr="007759EE" w:rsidRDefault="00152E43" w:rsidP="003F3660">
      <w:pPr>
        <w:spacing w:line="360" w:lineRule="auto"/>
        <w:jc w:val="center"/>
        <w:rPr>
          <w:rFonts w:ascii="Garamond" w:hAnsi="Garamond" w:cs="Times New Roman"/>
          <w:lang w:val="cs-CZ"/>
        </w:rPr>
      </w:pPr>
    </w:p>
    <w:p w14:paraId="31B5F442" w14:textId="77777777" w:rsidR="00152E43" w:rsidRPr="007759EE" w:rsidRDefault="00152E43" w:rsidP="003F3660">
      <w:pPr>
        <w:spacing w:line="360" w:lineRule="auto"/>
        <w:jc w:val="center"/>
        <w:rPr>
          <w:rFonts w:ascii="Garamond" w:hAnsi="Garamond" w:cs="Times New Roman"/>
          <w:lang w:val="cs-CZ"/>
        </w:rPr>
      </w:pPr>
    </w:p>
    <w:p w14:paraId="2C685EAC" w14:textId="77777777" w:rsidR="00152E43" w:rsidRPr="007759EE" w:rsidRDefault="00152E43" w:rsidP="003F3660">
      <w:pPr>
        <w:spacing w:line="360" w:lineRule="auto"/>
        <w:jc w:val="center"/>
        <w:rPr>
          <w:rFonts w:ascii="Garamond" w:hAnsi="Garamond" w:cs="Times New Roman"/>
          <w:lang w:val="cs-CZ"/>
        </w:rPr>
      </w:pPr>
    </w:p>
    <w:p w14:paraId="3B04A608" w14:textId="77777777" w:rsidR="00152E43" w:rsidRPr="007759EE" w:rsidRDefault="00152E43" w:rsidP="003F3660">
      <w:pPr>
        <w:spacing w:line="360" w:lineRule="auto"/>
        <w:jc w:val="center"/>
        <w:rPr>
          <w:rFonts w:ascii="Garamond" w:hAnsi="Garamond" w:cs="Times New Roman"/>
          <w:lang w:val="cs-CZ"/>
        </w:rPr>
      </w:pPr>
    </w:p>
    <w:p w14:paraId="3C624790" w14:textId="77777777" w:rsidR="00152E43" w:rsidRPr="007759EE" w:rsidRDefault="00152E43" w:rsidP="003F3660">
      <w:pPr>
        <w:spacing w:line="360" w:lineRule="auto"/>
        <w:jc w:val="center"/>
        <w:rPr>
          <w:rFonts w:ascii="Garamond" w:hAnsi="Garamond" w:cs="Times New Roman"/>
          <w:lang w:val="cs-CZ"/>
        </w:rPr>
      </w:pPr>
    </w:p>
    <w:p w14:paraId="2160442B" w14:textId="77777777" w:rsidR="00152E43" w:rsidRPr="007759EE" w:rsidRDefault="00152E43" w:rsidP="003F3660">
      <w:pPr>
        <w:spacing w:line="360" w:lineRule="auto"/>
        <w:jc w:val="center"/>
        <w:rPr>
          <w:rFonts w:ascii="Garamond" w:hAnsi="Garamond" w:cs="Times New Roman"/>
          <w:lang w:val="cs-CZ"/>
        </w:rPr>
      </w:pPr>
    </w:p>
    <w:p w14:paraId="0523EBD5" w14:textId="77777777" w:rsidR="00152E43" w:rsidRPr="007759EE" w:rsidRDefault="00152E43" w:rsidP="003F3660">
      <w:pPr>
        <w:spacing w:line="360" w:lineRule="auto"/>
        <w:jc w:val="center"/>
        <w:rPr>
          <w:rFonts w:ascii="Garamond" w:hAnsi="Garamond" w:cs="Times New Roman"/>
          <w:lang w:val="cs-CZ"/>
        </w:rPr>
      </w:pPr>
    </w:p>
    <w:p w14:paraId="4E1B056C" w14:textId="77777777" w:rsidR="00152E43" w:rsidRPr="007759EE" w:rsidRDefault="00152E43" w:rsidP="003F3660">
      <w:pPr>
        <w:spacing w:line="360" w:lineRule="auto"/>
        <w:jc w:val="center"/>
        <w:rPr>
          <w:rFonts w:ascii="Garamond" w:hAnsi="Garamond" w:cs="Times New Roman"/>
          <w:lang w:val="cs-CZ"/>
        </w:rPr>
      </w:pPr>
    </w:p>
    <w:p w14:paraId="7DABDF2A" w14:textId="77777777" w:rsidR="00152E43" w:rsidRPr="007759EE" w:rsidRDefault="00152E43" w:rsidP="003F3660">
      <w:pPr>
        <w:spacing w:line="360" w:lineRule="auto"/>
        <w:jc w:val="center"/>
        <w:rPr>
          <w:rFonts w:ascii="Garamond" w:hAnsi="Garamond" w:cs="Times New Roman"/>
          <w:lang w:val="cs-CZ"/>
        </w:rPr>
      </w:pPr>
    </w:p>
    <w:p w14:paraId="459D53C8" w14:textId="77777777" w:rsidR="00152E43" w:rsidRPr="007759EE" w:rsidRDefault="00152E43" w:rsidP="003F3660">
      <w:pPr>
        <w:spacing w:line="360" w:lineRule="auto"/>
        <w:jc w:val="center"/>
        <w:rPr>
          <w:rFonts w:ascii="Garamond" w:hAnsi="Garamond" w:cs="Times New Roman"/>
          <w:lang w:val="cs-CZ"/>
        </w:rPr>
      </w:pPr>
    </w:p>
    <w:p w14:paraId="3FA3ED82" w14:textId="77777777" w:rsidR="00152E43" w:rsidRPr="007759EE" w:rsidRDefault="00152E43" w:rsidP="003F3660">
      <w:pPr>
        <w:spacing w:line="360" w:lineRule="auto"/>
        <w:jc w:val="center"/>
        <w:rPr>
          <w:rFonts w:ascii="Garamond" w:hAnsi="Garamond" w:cs="Times New Roman"/>
          <w:lang w:val="cs-CZ"/>
        </w:rPr>
      </w:pPr>
    </w:p>
    <w:p w14:paraId="0EDB6381" w14:textId="77777777" w:rsidR="00152E43" w:rsidRPr="007759EE" w:rsidRDefault="00152E43" w:rsidP="003F3660">
      <w:pPr>
        <w:spacing w:line="360" w:lineRule="auto"/>
        <w:rPr>
          <w:rFonts w:ascii="Garamond" w:hAnsi="Garamond" w:cs="Times New Roman"/>
          <w:lang w:val="cs-CZ"/>
        </w:rPr>
      </w:pPr>
    </w:p>
    <w:p w14:paraId="11850616" w14:textId="77777777" w:rsidR="00152E43" w:rsidRPr="007759EE" w:rsidRDefault="00152E43" w:rsidP="003F3660">
      <w:pPr>
        <w:spacing w:line="360" w:lineRule="auto"/>
        <w:jc w:val="center"/>
        <w:rPr>
          <w:rFonts w:ascii="Garamond" w:hAnsi="Garamond" w:cs="Times New Roman"/>
          <w:lang w:val="cs-CZ"/>
        </w:rPr>
      </w:pPr>
    </w:p>
    <w:p w14:paraId="374732A4" w14:textId="77777777" w:rsidR="00152E43" w:rsidRPr="007759EE" w:rsidRDefault="00152E43" w:rsidP="003F3660">
      <w:pPr>
        <w:spacing w:line="360" w:lineRule="auto"/>
        <w:rPr>
          <w:rFonts w:ascii="Garamond" w:hAnsi="Garamond" w:cs="Times New Roman"/>
          <w:lang w:val="cs-CZ"/>
        </w:rPr>
      </w:pPr>
    </w:p>
    <w:p w14:paraId="08C97196" w14:textId="0DAF55A3" w:rsidR="006659A2" w:rsidRPr="00622DBD" w:rsidRDefault="00152E43" w:rsidP="005A5DDB">
      <w:pPr>
        <w:spacing w:line="360" w:lineRule="auto"/>
        <w:jc w:val="center"/>
        <w:rPr>
          <w:rFonts w:ascii="Garamond" w:hAnsi="Garamond" w:cs="Times New Roman"/>
          <w:b/>
          <w:bCs/>
          <w:sz w:val="28"/>
          <w:lang w:val="cs-CZ"/>
        </w:rPr>
      </w:pPr>
      <w:r w:rsidRPr="00622DBD">
        <w:rPr>
          <w:rFonts w:ascii="Garamond" w:hAnsi="Garamond" w:cs="Times New Roman"/>
          <w:b/>
          <w:bCs/>
          <w:sz w:val="28"/>
          <w:lang w:val="cs-CZ"/>
        </w:rPr>
        <w:t>Olomouc 2019</w:t>
      </w:r>
    </w:p>
    <w:p w14:paraId="1860F75C" w14:textId="77777777" w:rsidR="005A5DDB" w:rsidRPr="007759EE" w:rsidRDefault="005A5DDB" w:rsidP="003F3660">
      <w:pPr>
        <w:spacing w:line="360" w:lineRule="auto"/>
        <w:jc w:val="both"/>
        <w:rPr>
          <w:rFonts w:ascii="Garamond" w:eastAsia="Times New Roman" w:hAnsi="Garamond" w:cs="Times New Roman"/>
          <w:lang w:val="cs-CZ"/>
        </w:rPr>
      </w:pPr>
    </w:p>
    <w:p w14:paraId="67EF4A7D" w14:textId="77777777" w:rsidR="005A5DDB" w:rsidRPr="007759EE" w:rsidRDefault="005A5DDB" w:rsidP="003F3660">
      <w:pPr>
        <w:spacing w:line="360" w:lineRule="auto"/>
        <w:jc w:val="both"/>
        <w:rPr>
          <w:rFonts w:ascii="Garamond" w:eastAsia="Times New Roman" w:hAnsi="Garamond" w:cs="Times New Roman"/>
          <w:lang w:val="cs-CZ"/>
        </w:rPr>
      </w:pPr>
    </w:p>
    <w:p w14:paraId="23B45B72" w14:textId="77777777" w:rsidR="005A5DDB" w:rsidRPr="007759EE" w:rsidRDefault="005A5DDB" w:rsidP="003F3660">
      <w:pPr>
        <w:spacing w:line="360" w:lineRule="auto"/>
        <w:jc w:val="both"/>
        <w:rPr>
          <w:rFonts w:ascii="Garamond" w:eastAsia="Times New Roman" w:hAnsi="Garamond" w:cs="Times New Roman"/>
          <w:lang w:val="cs-CZ"/>
        </w:rPr>
      </w:pPr>
    </w:p>
    <w:p w14:paraId="77949F50" w14:textId="77777777" w:rsidR="005A5DDB" w:rsidRPr="007759EE" w:rsidRDefault="005A5DDB" w:rsidP="003F3660">
      <w:pPr>
        <w:spacing w:line="360" w:lineRule="auto"/>
        <w:jc w:val="both"/>
        <w:rPr>
          <w:rFonts w:ascii="Garamond" w:eastAsia="Times New Roman" w:hAnsi="Garamond" w:cs="Times New Roman"/>
          <w:lang w:val="cs-CZ"/>
        </w:rPr>
      </w:pPr>
    </w:p>
    <w:p w14:paraId="663A28F8" w14:textId="77777777" w:rsidR="005A5DDB" w:rsidRPr="007759EE" w:rsidRDefault="005A5DDB" w:rsidP="003F3660">
      <w:pPr>
        <w:spacing w:line="360" w:lineRule="auto"/>
        <w:jc w:val="both"/>
        <w:rPr>
          <w:rFonts w:ascii="Garamond" w:eastAsia="Times New Roman" w:hAnsi="Garamond" w:cs="Times New Roman"/>
          <w:lang w:val="cs-CZ"/>
        </w:rPr>
      </w:pPr>
    </w:p>
    <w:p w14:paraId="76AE2296" w14:textId="77777777" w:rsidR="005A5DDB" w:rsidRPr="007759EE" w:rsidRDefault="005A5DDB" w:rsidP="003F3660">
      <w:pPr>
        <w:spacing w:line="360" w:lineRule="auto"/>
        <w:jc w:val="both"/>
        <w:rPr>
          <w:rFonts w:ascii="Garamond" w:eastAsia="Times New Roman" w:hAnsi="Garamond" w:cs="Times New Roman"/>
          <w:lang w:val="cs-CZ"/>
        </w:rPr>
      </w:pPr>
    </w:p>
    <w:p w14:paraId="53088FBA" w14:textId="77777777" w:rsidR="005A5DDB" w:rsidRPr="007759EE" w:rsidRDefault="005A5DDB" w:rsidP="003F3660">
      <w:pPr>
        <w:spacing w:line="360" w:lineRule="auto"/>
        <w:jc w:val="both"/>
        <w:rPr>
          <w:rFonts w:ascii="Garamond" w:eastAsia="Times New Roman" w:hAnsi="Garamond" w:cs="Times New Roman"/>
          <w:lang w:val="cs-CZ"/>
        </w:rPr>
      </w:pPr>
    </w:p>
    <w:p w14:paraId="3CA57BE8" w14:textId="77777777" w:rsidR="005A5DDB" w:rsidRPr="007759EE" w:rsidRDefault="005A5DDB" w:rsidP="003F3660">
      <w:pPr>
        <w:spacing w:line="360" w:lineRule="auto"/>
        <w:jc w:val="both"/>
        <w:rPr>
          <w:rFonts w:ascii="Garamond" w:eastAsia="Times New Roman" w:hAnsi="Garamond" w:cs="Times New Roman"/>
          <w:lang w:val="cs-CZ"/>
        </w:rPr>
      </w:pPr>
    </w:p>
    <w:p w14:paraId="1AB6D9A3" w14:textId="77777777" w:rsidR="005A5DDB" w:rsidRPr="007759EE" w:rsidRDefault="005A5DDB" w:rsidP="003F3660">
      <w:pPr>
        <w:spacing w:line="360" w:lineRule="auto"/>
        <w:jc w:val="both"/>
        <w:rPr>
          <w:rFonts w:ascii="Garamond" w:eastAsia="Times New Roman" w:hAnsi="Garamond" w:cs="Times New Roman"/>
          <w:lang w:val="cs-CZ"/>
        </w:rPr>
      </w:pPr>
    </w:p>
    <w:p w14:paraId="596B75FF" w14:textId="77777777" w:rsidR="005A5DDB" w:rsidRPr="007759EE" w:rsidRDefault="005A5DDB" w:rsidP="003F3660">
      <w:pPr>
        <w:spacing w:line="360" w:lineRule="auto"/>
        <w:jc w:val="both"/>
        <w:rPr>
          <w:rFonts w:ascii="Garamond" w:eastAsia="Times New Roman" w:hAnsi="Garamond" w:cs="Times New Roman"/>
          <w:lang w:val="cs-CZ"/>
        </w:rPr>
      </w:pPr>
    </w:p>
    <w:p w14:paraId="69C86497" w14:textId="77777777" w:rsidR="005A5DDB" w:rsidRPr="007759EE" w:rsidRDefault="005A5DDB" w:rsidP="003F3660">
      <w:pPr>
        <w:spacing w:line="360" w:lineRule="auto"/>
        <w:jc w:val="both"/>
        <w:rPr>
          <w:rFonts w:ascii="Garamond" w:eastAsia="Times New Roman" w:hAnsi="Garamond" w:cs="Times New Roman"/>
          <w:lang w:val="cs-CZ"/>
        </w:rPr>
      </w:pPr>
    </w:p>
    <w:p w14:paraId="59B2B8EB" w14:textId="77777777" w:rsidR="005A5DDB" w:rsidRPr="007759EE" w:rsidRDefault="005A5DDB" w:rsidP="003F3660">
      <w:pPr>
        <w:spacing w:line="360" w:lineRule="auto"/>
        <w:jc w:val="both"/>
        <w:rPr>
          <w:rFonts w:ascii="Garamond" w:eastAsia="Times New Roman" w:hAnsi="Garamond" w:cs="Times New Roman"/>
          <w:lang w:val="cs-CZ"/>
        </w:rPr>
      </w:pPr>
    </w:p>
    <w:p w14:paraId="4677C010" w14:textId="77777777" w:rsidR="005A5DDB" w:rsidRPr="007759EE" w:rsidRDefault="005A5DDB" w:rsidP="003F3660">
      <w:pPr>
        <w:spacing w:line="360" w:lineRule="auto"/>
        <w:jc w:val="both"/>
        <w:rPr>
          <w:rFonts w:ascii="Garamond" w:eastAsia="Times New Roman" w:hAnsi="Garamond" w:cs="Times New Roman"/>
          <w:lang w:val="cs-CZ"/>
        </w:rPr>
      </w:pPr>
    </w:p>
    <w:p w14:paraId="30CC6FF6" w14:textId="77777777" w:rsidR="005A5DDB" w:rsidRPr="007759EE" w:rsidRDefault="005A5DDB" w:rsidP="003F3660">
      <w:pPr>
        <w:spacing w:line="360" w:lineRule="auto"/>
        <w:jc w:val="both"/>
        <w:rPr>
          <w:rFonts w:ascii="Garamond" w:eastAsia="Times New Roman" w:hAnsi="Garamond" w:cs="Times New Roman"/>
          <w:lang w:val="cs-CZ"/>
        </w:rPr>
      </w:pPr>
    </w:p>
    <w:p w14:paraId="6A1E0372" w14:textId="77777777" w:rsidR="005A5DDB" w:rsidRPr="007759EE" w:rsidRDefault="005A5DDB" w:rsidP="003F3660">
      <w:pPr>
        <w:spacing w:line="360" w:lineRule="auto"/>
        <w:jc w:val="both"/>
        <w:rPr>
          <w:rFonts w:ascii="Garamond" w:eastAsia="Times New Roman" w:hAnsi="Garamond" w:cs="Times New Roman"/>
          <w:lang w:val="cs-CZ"/>
        </w:rPr>
      </w:pPr>
    </w:p>
    <w:p w14:paraId="1F2BE6C9" w14:textId="77777777" w:rsidR="005A5DDB" w:rsidRPr="007759EE" w:rsidRDefault="005A5DDB" w:rsidP="003F3660">
      <w:pPr>
        <w:spacing w:line="360" w:lineRule="auto"/>
        <w:jc w:val="both"/>
        <w:rPr>
          <w:rFonts w:ascii="Garamond" w:eastAsia="Times New Roman" w:hAnsi="Garamond" w:cs="Times New Roman"/>
          <w:lang w:val="cs-CZ"/>
        </w:rPr>
      </w:pPr>
    </w:p>
    <w:p w14:paraId="52D4A626" w14:textId="77777777" w:rsidR="005A5DDB" w:rsidRPr="007759EE" w:rsidRDefault="005A5DDB" w:rsidP="003F3660">
      <w:pPr>
        <w:spacing w:line="360" w:lineRule="auto"/>
        <w:jc w:val="both"/>
        <w:rPr>
          <w:rFonts w:ascii="Garamond" w:eastAsia="Times New Roman" w:hAnsi="Garamond" w:cs="Times New Roman"/>
          <w:lang w:val="cs-CZ"/>
        </w:rPr>
      </w:pPr>
    </w:p>
    <w:p w14:paraId="16D9B4A5" w14:textId="77777777" w:rsidR="005A5DDB" w:rsidRPr="007759EE" w:rsidRDefault="005A5DDB" w:rsidP="003F3660">
      <w:pPr>
        <w:spacing w:line="360" w:lineRule="auto"/>
        <w:jc w:val="both"/>
        <w:rPr>
          <w:rFonts w:ascii="Garamond" w:eastAsia="Times New Roman" w:hAnsi="Garamond" w:cs="Times New Roman"/>
          <w:lang w:val="cs-CZ"/>
        </w:rPr>
      </w:pPr>
    </w:p>
    <w:p w14:paraId="7F61E8C3" w14:textId="77777777" w:rsidR="005A5DDB" w:rsidRPr="007759EE" w:rsidRDefault="005A5DDB" w:rsidP="003F3660">
      <w:pPr>
        <w:spacing w:line="360" w:lineRule="auto"/>
        <w:jc w:val="both"/>
        <w:rPr>
          <w:rFonts w:ascii="Garamond" w:eastAsia="Times New Roman" w:hAnsi="Garamond" w:cs="Times New Roman"/>
          <w:lang w:val="cs-CZ"/>
        </w:rPr>
      </w:pPr>
    </w:p>
    <w:p w14:paraId="1EAF7B07" w14:textId="77777777" w:rsidR="005A5DDB" w:rsidRPr="007759EE" w:rsidRDefault="005A5DDB" w:rsidP="003F3660">
      <w:pPr>
        <w:spacing w:line="360" w:lineRule="auto"/>
        <w:jc w:val="both"/>
        <w:rPr>
          <w:rFonts w:ascii="Garamond" w:eastAsia="Times New Roman" w:hAnsi="Garamond" w:cs="Times New Roman"/>
          <w:lang w:val="cs-CZ"/>
        </w:rPr>
      </w:pPr>
    </w:p>
    <w:p w14:paraId="63F206AF" w14:textId="77777777" w:rsidR="005A5DDB" w:rsidRPr="007759EE" w:rsidRDefault="005A5DDB" w:rsidP="003F3660">
      <w:pPr>
        <w:spacing w:line="360" w:lineRule="auto"/>
        <w:jc w:val="both"/>
        <w:rPr>
          <w:rFonts w:ascii="Garamond" w:eastAsia="Times New Roman" w:hAnsi="Garamond" w:cs="Times New Roman"/>
          <w:lang w:val="cs-CZ"/>
        </w:rPr>
      </w:pPr>
    </w:p>
    <w:p w14:paraId="6B43FB40" w14:textId="77777777" w:rsidR="005A5DDB" w:rsidRPr="007759EE" w:rsidRDefault="005A5DDB" w:rsidP="003F3660">
      <w:pPr>
        <w:spacing w:line="360" w:lineRule="auto"/>
        <w:jc w:val="both"/>
        <w:rPr>
          <w:rFonts w:ascii="Garamond" w:eastAsia="Times New Roman" w:hAnsi="Garamond" w:cs="Times New Roman"/>
          <w:lang w:val="cs-CZ"/>
        </w:rPr>
      </w:pPr>
    </w:p>
    <w:p w14:paraId="75C8F75F" w14:textId="77777777" w:rsidR="005A5DDB" w:rsidRPr="007759EE" w:rsidRDefault="005A5DDB" w:rsidP="003F3660">
      <w:pPr>
        <w:spacing w:line="360" w:lineRule="auto"/>
        <w:jc w:val="both"/>
        <w:rPr>
          <w:rFonts w:ascii="Garamond" w:eastAsia="Times New Roman" w:hAnsi="Garamond" w:cs="Times New Roman"/>
          <w:lang w:val="cs-CZ"/>
        </w:rPr>
      </w:pPr>
    </w:p>
    <w:p w14:paraId="1F792C0F" w14:textId="77777777" w:rsidR="005A5DDB" w:rsidRPr="007759EE" w:rsidRDefault="005A5DDB" w:rsidP="003F3660">
      <w:pPr>
        <w:spacing w:line="360" w:lineRule="auto"/>
        <w:jc w:val="both"/>
        <w:rPr>
          <w:rFonts w:ascii="Garamond" w:eastAsia="Times New Roman" w:hAnsi="Garamond" w:cs="Times New Roman"/>
          <w:lang w:val="cs-CZ"/>
        </w:rPr>
      </w:pPr>
    </w:p>
    <w:p w14:paraId="26BF708E" w14:textId="77777777" w:rsidR="005A5DDB" w:rsidRPr="007759EE" w:rsidRDefault="005A5DDB" w:rsidP="003F3660">
      <w:pPr>
        <w:spacing w:line="360" w:lineRule="auto"/>
        <w:jc w:val="both"/>
        <w:rPr>
          <w:rFonts w:ascii="Garamond" w:eastAsia="Times New Roman" w:hAnsi="Garamond" w:cs="Times New Roman"/>
          <w:lang w:val="cs-CZ"/>
        </w:rPr>
      </w:pPr>
    </w:p>
    <w:p w14:paraId="593176BA" w14:textId="77777777" w:rsidR="005A5DDB" w:rsidRPr="007759EE" w:rsidRDefault="005A5DDB" w:rsidP="003F3660">
      <w:pPr>
        <w:spacing w:line="360" w:lineRule="auto"/>
        <w:jc w:val="both"/>
        <w:rPr>
          <w:rFonts w:ascii="Garamond" w:eastAsia="Times New Roman" w:hAnsi="Garamond" w:cs="Times New Roman"/>
          <w:lang w:val="cs-CZ"/>
        </w:rPr>
      </w:pPr>
    </w:p>
    <w:p w14:paraId="15B1EBB2" w14:textId="51C6D9C6" w:rsidR="005A5DDB" w:rsidRPr="007759EE" w:rsidRDefault="005A5DDB" w:rsidP="003F3660">
      <w:pPr>
        <w:spacing w:line="360" w:lineRule="auto"/>
        <w:jc w:val="both"/>
        <w:rPr>
          <w:rFonts w:ascii="Garamond" w:eastAsia="Times New Roman" w:hAnsi="Garamond" w:cs="Times New Roman"/>
          <w:b/>
          <w:sz w:val="28"/>
          <w:lang w:val="cs-CZ"/>
        </w:rPr>
      </w:pPr>
      <w:r w:rsidRPr="007759EE">
        <w:rPr>
          <w:rFonts w:ascii="Garamond" w:eastAsia="Times New Roman" w:hAnsi="Garamond" w:cs="Times New Roman"/>
          <w:b/>
          <w:sz w:val="28"/>
          <w:lang w:val="cs-CZ"/>
        </w:rPr>
        <w:t>Prohlášení:</w:t>
      </w:r>
    </w:p>
    <w:p w14:paraId="38869614" w14:textId="77777777" w:rsidR="005A5DDB" w:rsidRPr="007759EE" w:rsidRDefault="005A5DDB" w:rsidP="003F3660">
      <w:pPr>
        <w:spacing w:line="360" w:lineRule="auto"/>
        <w:jc w:val="both"/>
        <w:rPr>
          <w:rFonts w:ascii="Garamond" w:eastAsia="Times New Roman" w:hAnsi="Garamond" w:cs="Times New Roman"/>
          <w:lang w:val="cs-CZ"/>
        </w:rPr>
      </w:pPr>
    </w:p>
    <w:p w14:paraId="6ED8AC96" w14:textId="76410C6D" w:rsidR="006659A2" w:rsidRPr="007759EE" w:rsidRDefault="006659A2" w:rsidP="003F3660">
      <w:pPr>
        <w:spacing w:line="360" w:lineRule="auto"/>
        <w:jc w:val="both"/>
        <w:rPr>
          <w:rFonts w:ascii="Garamond" w:eastAsia="Times New Roman" w:hAnsi="Garamond" w:cs="Times New Roman"/>
          <w:lang w:val="cs-CZ"/>
        </w:rPr>
      </w:pPr>
      <w:r w:rsidRPr="007759EE">
        <w:rPr>
          <w:rFonts w:ascii="Garamond" w:eastAsia="Times New Roman" w:hAnsi="Garamond" w:cs="Times New Roman"/>
          <w:lang w:val="cs-CZ"/>
        </w:rPr>
        <w:t xml:space="preserve">Prohlašuji, že jsem diplomovou práci na téma „Eutanazie dětí“ vypracoval samostatně a citoval jsem všechny použité zdroje. </w:t>
      </w:r>
    </w:p>
    <w:p w14:paraId="0B78FC7D" w14:textId="01B0BCC4" w:rsidR="006659A2" w:rsidRDefault="006659A2" w:rsidP="003F3660">
      <w:pPr>
        <w:spacing w:line="360" w:lineRule="auto"/>
        <w:rPr>
          <w:rFonts w:ascii="Garamond" w:eastAsia="Times New Roman" w:hAnsi="Garamond" w:cs="Times New Roman"/>
          <w:lang w:val="cs-CZ"/>
        </w:rPr>
      </w:pPr>
    </w:p>
    <w:p w14:paraId="744652B0" w14:textId="77777777" w:rsidR="004054A5" w:rsidRPr="007759EE" w:rsidRDefault="004054A5" w:rsidP="003F3660">
      <w:pPr>
        <w:spacing w:line="360" w:lineRule="auto"/>
        <w:rPr>
          <w:rFonts w:ascii="Garamond" w:eastAsia="Times New Roman" w:hAnsi="Garamond" w:cs="Times New Roman"/>
          <w:lang w:val="cs-CZ"/>
        </w:rPr>
      </w:pPr>
    </w:p>
    <w:p w14:paraId="76E0D4AE" w14:textId="060D6C0E" w:rsidR="00E92493" w:rsidRDefault="006659A2" w:rsidP="003F3660">
      <w:pPr>
        <w:spacing w:line="360" w:lineRule="auto"/>
        <w:rPr>
          <w:rFonts w:ascii="Garamond" w:eastAsia="Times New Roman" w:hAnsi="Garamond" w:cs="Times New Roman"/>
          <w:lang w:val="cs-CZ"/>
        </w:rPr>
      </w:pPr>
      <w:r w:rsidRPr="007759EE">
        <w:rPr>
          <w:rFonts w:ascii="Garamond" w:eastAsia="Times New Roman" w:hAnsi="Garamond" w:cs="Times New Roman"/>
          <w:lang w:val="cs-CZ"/>
        </w:rPr>
        <w:t xml:space="preserve">V Olomouci dne </w:t>
      </w:r>
      <w:r w:rsidR="00622DBD">
        <w:rPr>
          <w:rFonts w:ascii="Garamond" w:eastAsia="Times New Roman" w:hAnsi="Garamond" w:cs="Times New Roman"/>
          <w:lang w:val="cs-CZ"/>
        </w:rPr>
        <w:t>20.6.2019</w:t>
      </w:r>
      <w:r w:rsidRPr="007759EE">
        <w:rPr>
          <w:rFonts w:ascii="Garamond" w:eastAsia="Times New Roman" w:hAnsi="Garamond" w:cs="Times New Roman"/>
          <w:lang w:val="cs-CZ"/>
        </w:rPr>
        <w:tab/>
      </w:r>
      <w:r w:rsidRPr="007759EE">
        <w:rPr>
          <w:rFonts w:ascii="Garamond" w:eastAsia="Times New Roman" w:hAnsi="Garamond" w:cs="Times New Roman"/>
          <w:lang w:val="cs-CZ"/>
        </w:rPr>
        <w:tab/>
      </w:r>
      <w:r w:rsidRPr="007759EE">
        <w:rPr>
          <w:rFonts w:ascii="Garamond" w:eastAsia="Times New Roman" w:hAnsi="Garamond" w:cs="Times New Roman"/>
          <w:lang w:val="cs-CZ"/>
        </w:rPr>
        <w:tab/>
      </w:r>
      <w:r w:rsidRPr="007759EE">
        <w:rPr>
          <w:rFonts w:ascii="Garamond" w:eastAsia="Times New Roman" w:hAnsi="Garamond" w:cs="Times New Roman"/>
          <w:lang w:val="cs-CZ"/>
        </w:rPr>
        <w:tab/>
      </w:r>
      <w:r w:rsidRPr="007759EE">
        <w:rPr>
          <w:rFonts w:ascii="Garamond" w:eastAsia="Times New Roman" w:hAnsi="Garamond" w:cs="Times New Roman"/>
          <w:lang w:val="cs-CZ"/>
        </w:rPr>
        <w:tab/>
      </w:r>
      <w:r w:rsidR="004054A5">
        <w:rPr>
          <w:rFonts w:ascii="Garamond" w:eastAsia="Times New Roman" w:hAnsi="Garamond" w:cs="Times New Roman"/>
          <w:lang w:val="cs-CZ"/>
        </w:rPr>
        <w:t xml:space="preserve">     </w:t>
      </w:r>
      <w:r w:rsidRPr="007759EE">
        <w:rPr>
          <w:rFonts w:ascii="Garamond" w:eastAsia="Times New Roman" w:hAnsi="Garamond" w:cs="Times New Roman"/>
          <w:lang w:val="cs-CZ"/>
        </w:rPr>
        <w:t>_______________________</w:t>
      </w:r>
      <w:r w:rsidR="004054A5">
        <w:rPr>
          <w:rFonts w:ascii="Garamond" w:eastAsia="Times New Roman" w:hAnsi="Garamond" w:cs="Times New Roman"/>
          <w:lang w:val="cs-CZ"/>
        </w:rPr>
        <w:t>__</w:t>
      </w:r>
    </w:p>
    <w:p w14:paraId="29CEE841" w14:textId="0AC41D3F" w:rsidR="004054A5" w:rsidRPr="007759EE" w:rsidRDefault="004054A5" w:rsidP="003F3660">
      <w:pPr>
        <w:spacing w:line="360" w:lineRule="auto"/>
        <w:rPr>
          <w:rFonts w:ascii="Garamond" w:eastAsia="Times New Roman" w:hAnsi="Garamond" w:cs="Times New Roman"/>
          <w:lang w:val="cs-CZ"/>
        </w:rPr>
      </w:pP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r>
      <w:r>
        <w:rPr>
          <w:rFonts w:ascii="Garamond" w:eastAsia="Times New Roman" w:hAnsi="Garamond" w:cs="Times New Roman"/>
          <w:lang w:val="cs-CZ"/>
        </w:rPr>
        <w:tab/>
        <w:t xml:space="preserve">        Václav Stískala</w:t>
      </w:r>
    </w:p>
    <w:p w14:paraId="2A4C00B6" w14:textId="77777777" w:rsidR="00E92493" w:rsidRPr="007759EE" w:rsidRDefault="00E92493" w:rsidP="003F3660">
      <w:pPr>
        <w:spacing w:line="360" w:lineRule="auto"/>
        <w:rPr>
          <w:rFonts w:ascii="Garamond" w:eastAsia="Times New Roman" w:hAnsi="Garamond" w:cs="Times New Roman"/>
          <w:lang w:val="cs-CZ"/>
        </w:rPr>
      </w:pPr>
    </w:p>
    <w:p w14:paraId="40C4165E" w14:textId="77777777" w:rsidR="00E92493" w:rsidRPr="007759EE" w:rsidRDefault="00E92493" w:rsidP="003F3660">
      <w:pPr>
        <w:spacing w:line="360" w:lineRule="auto"/>
        <w:rPr>
          <w:rFonts w:ascii="Garamond" w:eastAsia="Times New Roman" w:hAnsi="Garamond" w:cs="Times New Roman"/>
          <w:lang w:val="cs-CZ"/>
        </w:rPr>
      </w:pPr>
    </w:p>
    <w:p w14:paraId="3D9ADC3B" w14:textId="77777777" w:rsidR="00E92493" w:rsidRPr="007759EE" w:rsidRDefault="00E92493" w:rsidP="003F3660">
      <w:pPr>
        <w:spacing w:line="360" w:lineRule="auto"/>
        <w:rPr>
          <w:rFonts w:ascii="Garamond" w:eastAsia="Times New Roman" w:hAnsi="Garamond" w:cs="Times New Roman"/>
          <w:lang w:val="cs-CZ"/>
        </w:rPr>
      </w:pPr>
    </w:p>
    <w:p w14:paraId="78FF933B" w14:textId="77777777" w:rsidR="00E92493" w:rsidRPr="007759EE" w:rsidRDefault="00E92493" w:rsidP="003F3660">
      <w:pPr>
        <w:spacing w:line="360" w:lineRule="auto"/>
        <w:rPr>
          <w:rFonts w:ascii="Garamond" w:eastAsia="Times New Roman" w:hAnsi="Garamond" w:cs="Times New Roman"/>
          <w:lang w:val="cs-CZ"/>
        </w:rPr>
      </w:pPr>
    </w:p>
    <w:p w14:paraId="7FC0296D" w14:textId="77777777" w:rsidR="00E92493" w:rsidRPr="007759EE" w:rsidRDefault="00E92493" w:rsidP="003F3660">
      <w:pPr>
        <w:spacing w:line="360" w:lineRule="auto"/>
        <w:rPr>
          <w:rFonts w:ascii="Garamond" w:eastAsia="Times New Roman" w:hAnsi="Garamond" w:cs="Times New Roman"/>
          <w:lang w:val="cs-CZ"/>
        </w:rPr>
      </w:pPr>
    </w:p>
    <w:p w14:paraId="0A02497D" w14:textId="77777777" w:rsidR="00E92493" w:rsidRPr="007759EE" w:rsidRDefault="00E92493" w:rsidP="003F3660">
      <w:pPr>
        <w:spacing w:line="360" w:lineRule="auto"/>
        <w:rPr>
          <w:rFonts w:ascii="Garamond" w:eastAsia="Times New Roman" w:hAnsi="Garamond" w:cs="Times New Roman"/>
          <w:lang w:val="cs-CZ"/>
        </w:rPr>
      </w:pPr>
    </w:p>
    <w:p w14:paraId="14CA02E0" w14:textId="77777777" w:rsidR="00E92493" w:rsidRPr="007759EE" w:rsidRDefault="00E92493" w:rsidP="003F3660">
      <w:pPr>
        <w:spacing w:line="360" w:lineRule="auto"/>
        <w:rPr>
          <w:rFonts w:ascii="Garamond" w:eastAsia="Times New Roman" w:hAnsi="Garamond" w:cs="Times New Roman"/>
          <w:lang w:val="cs-CZ"/>
        </w:rPr>
      </w:pPr>
    </w:p>
    <w:p w14:paraId="24DD0346" w14:textId="77777777" w:rsidR="00E92493" w:rsidRPr="007759EE" w:rsidRDefault="00E92493" w:rsidP="003F3660">
      <w:pPr>
        <w:spacing w:line="360" w:lineRule="auto"/>
        <w:rPr>
          <w:rFonts w:ascii="Garamond" w:eastAsia="Times New Roman" w:hAnsi="Garamond" w:cs="Times New Roman"/>
          <w:lang w:val="cs-CZ"/>
        </w:rPr>
      </w:pPr>
    </w:p>
    <w:p w14:paraId="4DD35B3D" w14:textId="77777777" w:rsidR="00E92493" w:rsidRPr="007759EE" w:rsidRDefault="00E92493" w:rsidP="003F3660">
      <w:pPr>
        <w:spacing w:line="360" w:lineRule="auto"/>
        <w:rPr>
          <w:rFonts w:ascii="Garamond" w:eastAsia="Times New Roman" w:hAnsi="Garamond" w:cs="Times New Roman"/>
          <w:lang w:val="cs-CZ"/>
        </w:rPr>
      </w:pPr>
    </w:p>
    <w:p w14:paraId="405FFF96" w14:textId="77777777" w:rsidR="00E92493" w:rsidRPr="007759EE" w:rsidRDefault="00E92493" w:rsidP="003F3660">
      <w:pPr>
        <w:spacing w:line="360" w:lineRule="auto"/>
        <w:rPr>
          <w:rFonts w:ascii="Garamond" w:eastAsia="Times New Roman" w:hAnsi="Garamond" w:cs="Times New Roman"/>
          <w:lang w:val="cs-CZ"/>
        </w:rPr>
      </w:pPr>
    </w:p>
    <w:p w14:paraId="3DDD01D2" w14:textId="77777777" w:rsidR="00E92493" w:rsidRPr="007759EE" w:rsidRDefault="00E92493" w:rsidP="003F3660">
      <w:pPr>
        <w:spacing w:line="360" w:lineRule="auto"/>
        <w:rPr>
          <w:rFonts w:ascii="Garamond" w:eastAsia="Times New Roman" w:hAnsi="Garamond" w:cs="Times New Roman"/>
          <w:lang w:val="cs-CZ"/>
        </w:rPr>
      </w:pPr>
    </w:p>
    <w:p w14:paraId="629BB771" w14:textId="77777777" w:rsidR="00E92493" w:rsidRPr="007759EE" w:rsidRDefault="00E92493" w:rsidP="003F3660">
      <w:pPr>
        <w:spacing w:line="360" w:lineRule="auto"/>
        <w:rPr>
          <w:rFonts w:ascii="Garamond" w:eastAsia="Times New Roman" w:hAnsi="Garamond" w:cs="Times New Roman"/>
          <w:lang w:val="cs-CZ"/>
        </w:rPr>
      </w:pPr>
    </w:p>
    <w:p w14:paraId="0AD9684F" w14:textId="77777777" w:rsidR="00E92493" w:rsidRPr="007759EE" w:rsidRDefault="00E92493" w:rsidP="003F3660">
      <w:pPr>
        <w:spacing w:line="360" w:lineRule="auto"/>
        <w:rPr>
          <w:rFonts w:ascii="Garamond" w:eastAsia="Times New Roman" w:hAnsi="Garamond" w:cs="Times New Roman"/>
          <w:lang w:val="cs-CZ"/>
        </w:rPr>
      </w:pPr>
    </w:p>
    <w:p w14:paraId="518354A6" w14:textId="77777777" w:rsidR="00E92493" w:rsidRPr="007759EE" w:rsidRDefault="00E92493" w:rsidP="003F3660">
      <w:pPr>
        <w:spacing w:line="360" w:lineRule="auto"/>
        <w:rPr>
          <w:rFonts w:ascii="Garamond" w:eastAsia="Times New Roman" w:hAnsi="Garamond" w:cs="Times New Roman"/>
          <w:lang w:val="cs-CZ"/>
        </w:rPr>
      </w:pPr>
    </w:p>
    <w:p w14:paraId="365335C1" w14:textId="77777777" w:rsidR="00E92493" w:rsidRPr="007759EE" w:rsidRDefault="00E92493" w:rsidP="003F3660">
      <w:pPr>
        <w:spacing w:line="360" w:lineRule="auto"/>
        <w:rPr>
          <w:rFonts w:ascii="Garamond" w:eastAsia="Times New Roman" w:hAnsi="Garamond" w:cs="Times New Roman"/>
          <w:lang w:val="cs-CZ"/>
        </w:rPr>
      </w:pPr>
    </w:p>
    <w:p w14:paraId="3141F199" w14:textId="77777777" w:rsidR="00E92493" w:rsidRPr="007759EE" w:rsidRDefault="00E92493" w:rsidP="003F3660">
      <w:pPr>
        <w:spacing w:line="360" w:lineRule="auto"/>
        <w:rPr>
          <w:rFonts w:ascii="Garamond" w:eastAsia="Times New Roman" w:hAnsi="Garamond" w:cs="Times New Roman"/>
          <w:lang w:val="cs-CZ"/>
        </w:rPr>
      </w:pPr>
    </w:p>
    <w:p w14:paraId="49DE552C" w14:textId="77777777" w:rsidR="00E92493" w:rsidRPr="007759EE" w:rsidRDefault="00E92493" w:rsidP="003F3660">
      <w:pPr>
        <w:spacing w:line="360" w:lineRule="auto"/>
        <w:rPr>
          <w:rFonts w:ascii="Garamond" w:eastAsia="Times New Roman" w:hAnsi="Garamond" w:cs="Times New Roman"/>
          <w:lang w:val="cs-CZ"/>
        </w:rPr>
      </w:pPr>
    </w:p>
    <w:p w14:paraId="7176439C" w14:textId="77777777" w:rsidR="00E92493" w:rsidRPr="007759EE" w:rsidRDefault="00E92493" w:rsidP="003F3660">
      <w:pPr>
        <w:spacing w:line="360" w:lineRule="auto"/>
        <w:rPr>
          <w:rFonts w:ascii="Garamond" w:eastAsia="Times New Roman" w:hAnsi="Garamond" w:cs="Times New Roman"/>
          <w:lang w:val="cs-CZ"/>
        </w:rPr>
      </w:pPr>
    </w:p>
    <w:p w14:paraId="610CB493" w14:textId="77777777" w:rsidR="00E92493" w:rsidRPr="007759EE" w:rsidRDefault="00E92493" w:rsidP="003F3660">
      <w:pPr>
        <w:spacing w:line="360" w:lineRule="auto"/>
        <w:rPr>
          <w:rFonts w:ascii="Garamond" w:eastAsia="Times New Roman" w:hAnsi="Garamond" w:cs="Times New Roman"/>
          <w:lang w:val="cs-CZ"/>
        </w:rPr>
      </w:pPr>
    </w:p>
    <w:p w14:paraId="3F7863D0" w14:textId="77777777" w:rsidR="00E92493" w:rsidRPr="007759EE" w:rsidRDefault="00E92493" w:rsidP="003F3660">
      <w:pPr>
        <w:spacing w:line="360" w:lineRule="auto"/>
        <w:rPr>
          <w:rFonts w:ascii="Garamond" w:eastAsia="Times New Roman" w:hAnsi="Garamond" w:cs="Times New Roman"/>
          <w:lang w:val="cs-CZ"/>
        </w:rPr>
      </w:pPr>
    </w:p>
    <w:p w14:paraId="0899F86F" w14:textId="77777777" w:rsidR="00E92493" w:rsidRPr="007759EE" w:rsidRDefault="00E92493" w:rsidP="003F3660">
      <w:pPr>
        <w:spacing w:line="360" w:lineRule="auto"/>
        <w:rPr>
          <w:rFonts w:ascii="Garamond" w:eastAsia="Times New Roman" w:hAnsi="Garamond" w:cs="Times New Roman"/>
          <w:lang w:val="cs-CZ"/>
        </w:rPr>
      </w:pPr>
    </w:p>
    <w:p w14:paraId="15DC73F2" w14:textId="77777777" w:rsidR="00E92493" w:rsidRPr="007759EE" w:rsidRDefault="00E92493" w:rsidP="003F3660">
      <w:pPr>
        <w:spacing w:line="360" w:lineRule="auto"/>
        <w:rPr>
          <w:rFonts w:ascii="Garamond" w:eastAsia="Times New Roman" w:hAnsi="Garamond" w:cs="Times New Roman"/>
          <w:lang w:val="cs-CZ"/>
        </w:rPr>
      </w:pPr>
    </w:p>
    <w:p w14:paraId="4558D88A" w14:textId="77777777" w:rsidR="00E92493" w:rsidRPr="007759EE" w:rsidRDefault="00E92493" w:rsidP="003F3660">
      <w:pPr>
        <w:spacing w:line="360" w:lineRule="auto"/>
        <w:rPr>
          <w:rFonts w:ascii="Garamond" w:eastAsia="Times New Roman" w:hAnsi="Garamond" w:cs="Times New Roman"/>
          <w:lang w:val="cs-CZ"/>
        </w:rPr>
      </w:pPr>
    </w:p>
    <w:p w14:paraId="7C7806DD" w14:textId="77777777" w:rsidR="00E92493" w:rsidRPr="007759EE" w:rsidRDefault="00E92493" w:rsidP="003F3660">
      <w:pPr>
        <w:spacing w:line="360" w:lineRule="auto"/>
        <w:rPr>
          <w:rFonts w:ascii="Garamond" w:eastAsia="Times New Roman" w:hAnsi="Garamond" w:cs="Times New Roman"/>
          <w:lang w:val="cs-CZ"/>
        </w:rPr>
      </w:pPr>
    </w:p>
    <w:p w14:paraId="23AC393C" w14:textId="77777777" w:rsidR="00E92493" w:rsidRPr="007759EE" w:rsidRDefault="00E92493" w:rsidP="003F3660">
      <w:pPr>
        <w:spacing w:line="360" w:lineRule="auto"/>
        <w:rPr>
          <w:rFonts w:ascii="Garamond" w:eastAsia="Times New Roman" w:hAnsi="Garamond" w:cs="Times New Roman"/>
          <w:lang w:val="cs-CZ"/>
        </w:rPr>
      </w:pPr>
    </w:p>
    <w:p w14:paraId="211C6A79" w14:textId="77777777" w:rsidR="00E92493" w:rsidRPr="007759EE" w:rsidRDefault="00E92493" w:rsidP="003F3660">
      <w:pPr>
        <w:spacing w:line="360" w:lineRule="auto"/>
        <w:rPr>
          <w:rFonts w:ascii="Garamond" w:eastAsia="Times New Roman" w:hAnsi="Garamond" w:cs="Times New Roman"/>
          <w:lang w:val="cs-CZ"/>
        </w:rPr>
      </w:pPr>
    </w:p>
    <w:p w14:paraId="5A2D55DC" w14:textId="77777777" w:rsidR="00E92493" w:rsidRPr="007759EE" w:rsidRDefault="00E92493" w:rsidP="003F3660">
      <w:pPr>
        <w:spacing w:line="360" w:lineRule="auto"/>
        <w:rPr>
          <w:rFonts w:ascii="Garamond" w:eastAsia="Times New Roman" w:hAnsi="Garamond" w:cs="Times New Roman"/>
          <w:lang w:val="cs-CZ"/>
        </w:rPr>
      </w:pPr>
    </w:p>
    <w:p w14:paraId="76307418" w14:textId="77777777" w:rsidR="00E92493" w:rsidRPr="007759EE" w:rsidRDefault="00E92493" w:rsidP="003F3660">
      <w:pPr>
        <w:spacing w:line="360" w:lineRule="auto"/>
        <w:rPr>
          <w:rFonts w:ascii="Garamond" w:eastAsia="Times New Roman" w:hAnsi="Garamond" w:cs="Times New Roman"/>
          <w:lang w:val="cs-CZ"/>
        </w:rPr>
      </w:pPr>
    </w:p>
    <w:p w14:paraId="6A9521DD" w14:textId="77777777" w:rsidR="005A5DDB" w:rsidRPr="007759EE" w:rsidRDefault="005A5DDB" w:rsidP="003F3660">
      <w:pPr>
        <w:spacing w:line="360" w:lineRule="auto"/>
        <w:jc w:val="both"/>
        <w:rPr>
          <w:rFonts w:ascii="Garamond" w:eastAsia="Times New Roman" w:hAnsi="Garamond" w:cs="Times New Roman"/>
          <w:b/>
          <w:sz w:val="28"/>
          <w:lang w:val="cs-CZ"/>
        </w:rPr>
      </w:pPr>
    </w:p>
    <w:p w14:paraId="3BE2BF05" w14:textId="33AF63D1" w:rsidR="00E92493" w:rsidRPr="007759EE" w:rsidRDefault="00E92493" w:rsidP="003F3660">
      <w:pPr>
        <w:spacing w:line="360" w:lineRule="auto"/>
        <w:jc w:val="both"/>
        <w:rPr>
          <w:rFonts w:ascii="Garamond" w:eastAsia="Times New Roman" w:hAnsi="Garamond" w:cs="Times New Roman"/>
          <w:b/>
          <w:sz w:val="28"/>
          <w:lang w:val="cs-CZ"/>
        </w:rPr>
      </w:pPr>
      <w:r w:rsidRPr="007759EE">
        <w:rPr>
          <w:rFonts w:ascii="Garamond" w:eastAsia="Times New Roman" w:hAnsi="Garamond" w:cs="Times New Roman"/>
          <w:b/>
          <w:sz w:val="28"/>
          <w:lang w:val="cs-CZ"/>
        </w:rPr>
        <w:t>Poděkování:</w:t>
      </w:r>
    </w:p>
    <w:p w14:paraId="601F92FA" w14:textId="77777777" w:rsidR="00E92493" w:rsidRPr="007759EE" w:rsidRDefault="00E92493" w:rsidP="003F3660">
      <w:pPr>
        <w:spacing w:line="360" w:lineRule="auto"/>
        <w:rPr>
          <w:rFonts w:ascii="Garamond" w:eastAsia="Times New Roman" w:hAnsi="Garamond" w:cs="Times New Roman"/>
          <w:lang w:val="cs-CZ"/>
        </w:rPr>
      </w:pPr>
    </w:p>
    <w:p w14:paraId="36567BC7" w14:textId="6CF61791" w:rsidR="006659A2" w:rsidRPr="007759EE" w:rsidRDefault="00E92493" w:rsidP="003F3660">
      <w:pPr>
        <w:spacing w:line="360" w:lineRule="auto"/>
        <w:jc w:val="both"/>
        <w:rPr>
          <w:rFonts w:ascii="Garamond" w:eastAsia="Times New Roman" w:hAnsi="Garamond" w:cs="Times New Roman"/>
          <w:lang w:val="cs-CZ"/>
        </w:rPr>
      </w:pPr>
      <w:r w:rsidRPr="007759EE">
        <w:rPr>
          <w:rFonts w:ascii="Garamond" w:eastAsia="Times New Roman" w:hAnsi="Garamond" w:cs="Times New Roman"/>
          <w:lang w:val="cs-CZ"/>
        </w:rPr>
        <w:t>Za konzultace při zpracování této práce a odborné vedení srdečně děkuji Mgr.</w:t>
      </w:r>
      <w:r w:rsidR="00DA57A2" w:rsidRPr="007759EE">
        <w:rPr>
          <w:rFonts w:ascii="Garamond" w:eastAsia="Times New Roman" w:hAnsi="Garamond" w:cs="Times New Roman"/>
          <w:lang w:val="cs-CZ"/>
        </w:rPr>
        <w:t xml:space="preserve"> </w:t>
      </w:r>
      <w:r w:rsidRPr="007759EE">
        <w:rPr>
          <w:rFonts w:ascii="Garamond" w:eastAsia="Times New Roman" w:hAnsi="Garamond" w:cs="Times New Roman"/>
          <w:lang w:val="cs-CZ"/>
        </w:rPr>
        <w:t>Janu</w:t>
      </w:r>
      <w:r w:rsidR="00DA57A2" w:rsidRPr="007759EE">
        <w:rPr>
          <w:rFonts w:ascii="Garamond" w:eastAsia="Times New Roman" w:hAnsi="Garamond" w:cs="Times New Roman"/>
          <w:lang w:val="cs-CZ"/>
        </w:rPr>
        <w:t xml:space="preserve"> </w:t>
      </w:r>
      <w:r w:rsidR="00DA57A2" w:rsidRPr="007759EE">
        <w:rPr>
          <w:rFonts w:ascii="Garamond" w:eastAsia="Times New Roman" w:hAnsi="Garamond" w:cs="Times New Roman"/>
          <w:lang w:val="cs-CZ"/>
        </w:rPr>
        <w:br/>
      </w:r>
      <w:r w:rsidRPr="007759EE">
        <w:rPr>
          <w:rFonts w:ascii="Garamond" w:eastAsia="Times New Roman" w:hAnsi="Garamond" w:cs="Times New Roman"/>
          <w:lang w:val="cs-CZ"/>
        </w:rPr>
        <w:t>Kratochvílovi, Ph.D.</w:t>
      </w:r>
      <w:r w:rsidRPr="007759EE">
        <w:rPr>
          <w:rFonts w:ascii="Garamond" w:eastAsia="Times New Roman" w:hAnsi="Garamond" w:cs="Times New Roman"/>
          <w:lang w:val="cs-CZ"/>
        </w:rPr>
        <w:br w:type="page"/>
      </w:r>
    </w:p>
    <w:sdt>
      <w:sdtPr>
        <w:rPr>
          <w:rFonts w:asciiTheme="minorHAnsi" w:eastAsiaTheme="minorHAnsi" w:hAnsiTheme="minorHAnsi" w:cstheme="minorBidi"/>
          <w:b/>
          <w:bCs w:val="0"/>
          <w:sz w:val="24"/>
          <w:szCs w:val="24"/>
          <w:lang w:val="en-GB"/>
        </w:rPr>
        <w:id w:val="-26330904"/>
        <w:docPartObj>
          <w:docPartGallery w:val="Table of Contents"/>
          <w:docPartUnique/>
        </w:docPartObj>
      </w:sdtPr>
      <w:sdtEndPr>
        <w:rPr>
          <w:bCs/>
          <w:noProof/>
        </w:rPr>
      </w:sdtEndPr>
      <w:sdtContent>
        <w:p w14:paraId="226190A8" w14:textId="569048FF" w:rsidR="00B64FAB" w:rsidRPr="00B64FAB" w:rsidRDefault="00B64FAB">
          <w:pPr>
            <w:pStyle w:val="TOCHeading"/>
            <w:rPr>
              <w:b/>
              <w:bCs w:val="0"/>
              <w:sz w:val="32"/>
              <w:szCs w:val="32"/>
              <w:lang w:val="cs-CZ"/>
            </w:rPr>
          </w:pPr>
          <w:r w:rsidRPr="00B64FAB">
            <w:rPr>
              <w:b/>
              <w:bCs w:val="0"/>
              <w:sz w:val="32"/>
              <w:szCs w:val="32"/>
              <w:lang w:val="cs-CZ"/>
            </w:rPr>
            <w:t>Obsah práce</w:t>
          </w:r>
        </w:p>
        <w:p w14:paraId="784D485C" w14:textId="77777777" w:rsidR="00B64FAB" w:rsidRPr="00B64FAB" w:rsidRDefault="00B64FAB" w:rsidP="00B64FAB">
          <w:pPr>
            <w:rPr>
              <w:lang w:val="cs-CZ"/>
            </w:rPr>
          </w:pPr>
        </w:p>
        <w:p w14:paraId="0BB7F730" w14:textId="7FE6AE9C" w:rsidR="00B64FAB" w:rsidRPr="002D3C4A" w:rsidRDefault="00B64FAB"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r w:rsidRPr="002D3C4A">
            <w:rPr>
              <w:rFonts w:ascii="Garamond" w:hAnsi="Garamond"/>
              <w:b w:val="0"/>
              <w:bCs w:val="0"/>
              <w:i w:val="0"/>
              <w:iCs w:val="0"/>
            </w:rPr>
            <w:fldChar w:fldCharType="begin"/>
          </w:r>
          <w:r w:rsidRPr="002D3C4A">
            <w:rPr>
              <w:rFonts w:ascii="Garamond" w:hAnsi="Garamond"/>
              <w:i w:val="0"/>
              <w:iCs w:val="0"/>
            </w:rPr>
            <w:instrText xml:space="preserve"> TOC \o "1-3" \h \z \u </w:instrText>
          </w:r>
          <w:r w:rsidRPr="002D3C4A">
            <w:rPr>
              <w:rFonts w:ascii="Garamond" w:hAnsi="Garamond"/>
              <w:b w:val="0"/>
              <w:bCs w:val="0"/>
              <w:i w:val="0"/>
              <w:iCs w:val="0"/>
            </w:rPr>
            <w:fldChar w:fldCharType="separate"/>
          </w:r>
          <w:hyperlink w:anchor="_Toc11919766" w:history="1">
            <w:r w:rsidRPr="002D3C4A">
              <w:rPr>
                <w:rStyle w:val="Hyperlink"/>
                <w:rFonts w:ascii="Garamond" w:hAnsi="Garamond" w:cs="Times New Roman"/>
                <w:i w:val="0"/>
                <w:iCs w:val="0"/>
                <w:noProof/>
                <w:lang w:val="cs-CZ"/>
              </w:rPr>
              <w:t>1.</w:t>
            </w:r>
            <w:r w:rsidRPr="002D3C4A">
              <w:rPr>
                <w:rFonts w:ascii="Garamond" w:eastAsiaTheme="minorEastAsia" w:hAnsi="Garamond" w:cstheme="minorBidi"/>
                <w:b w:val="0"/>
                <w:bCs w:val="0"/>
                <w:i w:val="0"/>
                <w:iCs w:val="0"/>
                <w:noProof/>
                <w:lang w:val="cs-CZ"/>
              </w:rPr>
              <w:tab/>
            </w:r>
            <w:r w:rsidRPr="002D3C4A">
              <w:rPr>
                <w:rStyle w:val="Hyperlink"/>
                <w:rFonts w:ascii="Garamond" w:hAnsi="Garamond"/>
                <w:i w:val="0"/>
                <w:iCs w:val="0"/>
                <w:noProof/>
                <w:lang w:val="cs-CZ"/>
              </w:rPr>
              <w:t>Úvod</w:t>
            </w:r>
            <w:r w:rsidRPr="002D3C4A">
              <w:rPr>
                <w:rFonts w:ascii="Garamond" w:hAnsi="Garamond"/>
                <w:i w:val="0"/>
                <w:iCs w:val="0"/>
                <w:noProof/>
                <w:webHidden/>
              </w:rPr>
              <w:tab/>
            </w:r>
            <w:r w:rsidRPr="002D3C4A">
              <w:rPr>
                <w:rFonts w:ascii="Garamond" w:hAnsi="Garamond"/>
                <w:i w:val="0"/>
                <w:iCs w:val="0"/>
                <w:noProof/>
                <w:webHidden/>
              </w:rPr>
              <w:fldChar w:fldCharType="begin"/>
            </w:r>
            <w:r w:rsidRPr="002D3C4A">
              <w:rPr>
                <w:rFonts w:ascii="Garamond" w:hAnsi="Garamond"/>
                <w:i w:val="0"/>
                <w:iCs w:val="0"/>
                <w:noProof/>
                <w:webHidden/>
              </w:rPr>
              <w:instrText xml:space="preserve"> PAGEREF _Toc11919766 \h </w:instrText>
            </w:r>
            <w:r w:rsidRPr="002D3C4A">
              <w:rPr>
                <w:rFonts w:ascii="Garamond" w:hAnsi="Garamond"/>
                <w:i w:val="0"/>
                <w:iCs w:val="0"/>
                <w:noProof/>
                <w:webHidden/>
              </w:rPr>
            </w:r>
            <w:r w:rsidRPr="002D3C4A">
              <w:rPr>
                <w:rFonts w:ascii="Garamond" w:hAnsi="Garamond"/>
                <w:i w:val="0"/>
                <w:iCs w:val="0"/>
                <w:noProof/>
                <w:webHidden/>
              </w:rPr>
              <w:fldChar w:fldCharType="separate"/>
            </w:r>
            <w:r w:rsidRPr="002D3C4A">
              <w:rPr>
                <w:rFonts w:ascii="Garamond" w:hAnsi="Garamond"/>
                <w:i w:val="0"/>
                <w:iCs w:val="0"/>
                <w:noProof/>
                <w:webHidden/>
              </w:rPr>
              <w:t>7</w:t>
            </w:r>
            <w:r w:rsidRPr="002D3C4A">
              <w:rPr>
                <w:rFonts w:ascii="Garamond" w:hAnsi="Garamond"/>
                <w:i w:val="0"/>
                <w:iCs w:val="0"/>
                <w:noProof/>
                <w:webHidden/>
              </w:rPr>
              <w:fldChar w:fldCharType="end"/>
            </w:r>
          </w:hyperlink>
        </w:p>
        <w:p w14:paraId="2B92B08D" w14:textId="06834505"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67" w:history="1">
            <w:r w:rsidR="00B64FAB" w:rsidRPr="002D3C4A">
              <w:rPr>
                <w:rStyle w:val="Hyperlink"/>
                <w:rFonts w:ascii="Garamond" w:hAnsi="Garamond"/>
                <w:i w:val="0"/>
                <w:iCs w:val="0"/>
                <w:noProof/>
                <w:lang w:val="cs-CZ"/>
              </w:rPr>
              <w:t>2.</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i w:val="0"/>
                <w:iCs w:val="0"/>
                <w:noProof/>
                <w:lang w:val="cs-CZ"/>
              </w:rPr>
              <w:t>Pojem eutanazie</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_Toc11919767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9</w:t>
            </w:r>
            <w:r w:rsidR="00B64FAB" w:rsidRPr="002D3C4A">
              <w:rPr>
                <w:rFonts w:ascii="Garamond" w:hAnsi="Garamond"/>
                <w:i w:val="0"/>
                <w:iCs w:val="0"/>
                <w:noProof/>
                <w:webHidden/>
              </w:rPr>
              <w:fldChar w:fldCharType="end"/>
            </w:r>
          </w:hyperlink>
        </w:p>
        <w:p w14:paraId="358BC8F8" w14:textId="5162A68F"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68" w:history="1">
            <w:r w:rsidR="00B64FAB" w:rsidRPr="002D3C4A">
              <w:rPr>
                <w:rStyle w:val="Hyperlink"/>
                <w:rFonts w:ascii="Garamond" w:hAnsi="Garamond"/>
                <w:i w:val="0"/>
                <w:iCs w:val="0"/>
                <w:noProof/>
                <w:lang w:val="cs-CZ"/>
              </w:rPr>
              <w:t>3.</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i w:val="0"/>
                <w:iCs w:val="0"/>
                <w:noProof/>
                <w:lang w:val="cs-CZ"/>
              </w:rPr>
              <w:t>Právní úprava v zahraničí</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_Toc11919768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12</w:t>
            </w:r>
            <w:r w:rsidR="00B64FAB" w:rsidRPr="002D3C4A">
              <w:rPr>
                <w:rFonts w:ascii="Garamond" w:hAnsi="Garamond"/>
                <w:i w:val="0"/>
                <w:iCs w:val="0"/>
                <w:noProof/>
                <w:webHidden/>
              </w:rPr>
              <w:fldChar w:fldCharType="end"/>
            </w:r>
          </w:hyperlink>
        </w:p>
        <w:p w14:paraId="4EA9B154" w14:textId="554A99CF"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69" w:history="1">
            <w:r w:rsidR="00B64FAB" w:rsidRPr="002D3C4A">
              <w:rPr>
                <w:rStyle w:val="Hyperlink"/>
                <w:rFonts w:ascii="Garamond" w:hAnsi="Garamond"/>
                <w:b w:val="0"/>
                <w:bCs w:val="0"/>
                <w:noProof/>
                <w:lang w:val="cs-CZ"/>
              </w:rPr>
              <w:t>3.1</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Právní úprava v Belgii</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_Toc11919769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12</w:t>
            </w:r>
            <w:r w:rsidR="00B64FAB" w:rsidRPr="002D3C4A">
              <w:rPr>
                <w:rFonts w:ascii="Garamond" w:hAnsi="Garamond"/>
                <w:b w:val="0"/>
                <w:bCs w:val="0"/>
                <w:noProof/>
                <w:webHidden/>
              </w:rPr>
              <w:fldChar w:fldCharType="end"/>
            </w:r>
          </w:hyperlink>
        </w:p>
        <w:p w14:paraId="5F04B82F" w14:textId="36A71E10"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0" w:history="1">
            <w:r w:rsidR="00B64FAB" w:rsidRPr="002D3C4A">
              <w:rPr>
                <w:rStyle w:val="Hyperlink"/>
                <w:rFonts w:ascii="Garamond" w:hAnsi="Garamond"/>
                <w:b w:val="0"/>
                <w:bCs w:val="0"/>
                <w:noProof/>
                <w:lang w:val="cs-CZ"/>
              </w:rPr>
              <w:t>3.2</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Právní úprava v Nizozemsku</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_Toc11919770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16</w:t>
            </w:r>
            <w:r w:rsidR="00B64FAB" w:rsidRPr="002D3C4A">
              <w:rPr>
                <w:rFonts w:ascii="Garamond" w:hAnsi="Garamond"/>
                <w:b w:val="0"/>
                <w:bCs w:val="0"/>
                <w:noProof/>
                <w:webHidden/>
              </w:rPr>
              <w:fldChar w:fldCharType="end"/>
            </w:r>
          </w:hyperlink>
        </w:p>
        <w:p w14:paraId="531AC6A7" w14:textId="5C3E0037"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1" w:history="1">
            <w:r w:rsidR="00B64FAB" w:rsidRPr="002D3C4A">
              <w:rPr>
                <w:rStyle w:val="Hyperlink"/>
                <w:rFonts w:ascii="Garamond" w:hAnsi="Garamond"/>
                <w:b w:val="0"/>
                <w:bCs w:val="0"/>
                <w:noProof/>
                <w:lang w:val="cs-CZ"/>
              </w:rPr>
              <w:t>3.3</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Shrnutí</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_Toc11919771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19</w:t>
            </w:r>
            <w:r w:rsidR="00B64FAB" w:rsidRPr="002D3C4A">
              <w:rPr>
                <w:rFonts w:ascii="Garamond" w:hAnsi="Garamond"/>
                <w:b w:val="0"/>
                <w:bCs w:val="0"/>
                <w:noProof/>
                <w:webHidden/>
              </w:rPr>
              <w:fldChar w:fldCharType="end"/>
            </w:r>
          </w:hyperlink>
        </w:p>
        <w:p w14:paraId="4543DDDE" w14:textId="16233AE9"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72" w:history="1">
            <w:r w:rsidR="00B64FAB" w:rsidRPr="002D3C4A">
              <w:rPr>
                <w:rStyle w:val="Hyperlink"/>
                <w:rFonts w:ascii="Garamond" w:hAnsi="Garamond" w:cs="Times New Roman"/>
                <w:i w:val="0"/>
                <w:iCs w:val="0"/>
                <w:noProof/>
                <w:lang w:val="cs-CZ"/>
              </w:rPr>
              <w:t>4.</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cs="Times New Roman"/>
                <w:i w:val="0"/>
                <w:iCs w:val="0"/>
                <w:noProof/>
                <w:lang w:val="cs-CZ"/>
              </w:rPr>
              <w:t>Judikatura ESLP</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_Toc11919772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21</w:t>
            </w:r>
            <w:r w:rsidR="00B64FAB" w:rsidRPr="002D3C4A">
              <w:rPr>
                <w:rFonts w:ascii="Garamond" w:hAnsi="Garamond"/>
                <w:i w:val="0"/>
                <w:iCs w:val="0"/>
                <w:noProof/>
                <w:webHidden/>
              </w:rPr>
              <w:fldChar w:fldCharType="end"/>
            </w:r>
          </w:hyperlink>
        </w:p>
        <w:p w14:paraId="57A36863" w14:textId="0D40AF8D"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3" w:history="1">
            <w:r w:rsidR="00B64FAB" w:rsidRPr="002D3C4A">
              <w:rPr>
                <w:rStyle w:val="Hyperlink"/>
                <w:rFonts w:ascii="Garamond" w:hAnsi="Garamond" w:cs="Times New Roman"/>
                <w:b w:val="0"/>
                <w:bCs w:val="0"/>
                <w:noProof/>
                <w:lang w:val="cs-CZ"/>
              </w:rPr>
              <w:t>4.1</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cs="Times New Roman"/>
                <w:b w:val="0"/>
                <w:bCs w:val="0"/>
                <w:noProof/>
                <w:lang w:val="cs-CZ"/>
              </w:rPr>
              <w:t>Aktivní eutanazie</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_Toc11919773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22</w:t>
            </w:r>
            <w:r w:rsidR="00B64FAB" w:rsidRPr="002D3C4A">
              <w:rPr>
                <w:rFonts w:ascii="Garamond" w:hAnsi="Garamond"/>
                <w:b w:val="0"/>
                <w:bCs w:val="0"/>
                <w:noProof/>
                <w:webHidden/>
              </w:rPr>
              <w:fldChar w:fldCharType="end"/>
            </w:r>
          </w:hyperlink>
        </w:p>
        <w:p w14:paraId="32E87688" w14:textId="281655E8"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4" w:history="1">
            <w:r w:rsidR="00B64FAB" w:rsidRPr="002D3C4A">
              <w:rPr>
                <w:rStyle w:val="Hyperlink"/>
                <w:rFonts w:ascii="Garamond" w:hAnsi="Garamond" w:cs="Times New Roman"/>
                <w:b w:val="0"/>
                <w:bCs w:val="0"/>
                <w:noProof/>
                <w:lang w:val="cs-CZ"/>
              </w:rPr>
              <w:t>4.2</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cs="Times New Roman"/>
                <w:b w:val="0"/>
                <w:bCs w:val="0"/>
                <w:noProof/>
                <w:lang w:val="cs-CZ"/>
              </w:rPr>
              <w:t>Pasivní eutanazie</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_Toc11919774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29</w:t>
            </w:r>
            <w:r w:rsidR="00B64FAB" w:rsidRPr="002D3C4A">
              <w:rPr>
                <w:rFonts w:ascii="Garamond" w:hAnsi="Garamond"/>
                <w:b w:val="0"/>
                <w:bCs w:val="0"/>
                <w:noProof/>
                <w:webHidden/>
              </w:rPr>
              <w:fldChar w:fldCharType="end"/>
            </w:r>
          </w:hyperlink>
        </w:p>
        <w:p w14:paraId="1B180DB5" w14:textId="0FC0A6E9"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5" w:history="1">
            <w:r w:rsidR="00B64FAB" w:rsidRPr="002D3C4A">
              <w:rPr>
                <w:rStyle w:val="Hyperlink"/>
                <w:rFonts w:ascii="Garamond" w:eastAsia="Times New Roman" w:hAnsi="Garamond" w:cs="Times New Roman"/>
                <w:b w:val="0"/>
                <w:bCs w:val="0"/>
                <w:noProof/>
                <w:lang w:val="cs-CZ"/>
              </w:rPr>
              <w:t>4.3</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cs="Times New Roman"/>
                <w:b w:val="0"/>
                <w:bCs w:val="0"/>
                <w:noProof/>
                <w:lang w:val="cs-CZ"/>
              </w:rPr>
              <w:t>Shrnutí</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_Toc11919775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36</w:t>
            </w:r>
            <w:r w:rsidR="00B64FAB" w:rsidRPr="002D3C4A">
              <w:rPr>
                <w:rFonts w:ascii="Garamond" w:hAnsi="Garamond"/>
                <w:b w:val="0"/>
                <w:bCs w:val="0"/>
                <w:noProof/>
                <w:webHidden/>
              </w:rPr>
              <w:fldChar w:fldCharType="end"/>
            </w:r>
          </w:hyperlink>
        </w:p>
        <w:p w14:paraId="04D2AB7B" w14:textId="5B1857FF"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76" w:history="1">
            <w:r w:rsidR="00B64FAB" w:rsidRPr="002D3C4A">
              <w:rPr>
                <w:rStyle w:val="Hyperlink"/>
                <w:rFonts w:ascii="Garamond" w:hAnsi="Garamond"/>
                <w:i w:val="0"/>
                <w:iCs w:val="0"/>
                <w:noProof/>
                <w:lang w:val="cs-CZ"/>
              </w:rPr>
              <w:t>5.</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i w:val="0"/>
                <w:iCs w:val="0"/>
                <w:noProof/>
                <w:lang w:val="cs-CZ"/>
              </w:rPr>
              <w:t>Diskuse</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_Toc11919776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38</w:t>
            </w:r>
            <w:r w:rsidR="00B64FAB" w:rsidRPr="002D3C4A">
              <w:rPr>
                <w:rFonts w:ascii="Garamond" w:hAnsi="Garamond"/>
                <w:i w:val="0"/>
                <w:iCs w:val="0"/>
                <w:noProof/>
                <w:webHidden/>
              </w:rPr>
              <w:fldChar w:fldCharType="end"/>
            </w:r>
          </w:hyperlink>
        </w:p>
        <w:p w14:paraId="21092F2E" w14:textId="51B8AAA1"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7" w:history="1">
            <w:r w:rsidR="00B64FAB" w:rsidRPr="002D3C4A">
              <w:rPr>
                <w:rStyle w:val="Hyperlink"/>
                <w:rFonts w:ascii="Garamond" w:hAnsi="Garamond"/>
                <w:b w:val="0"/>
                <w:bCs w:val="0"/>
                <w:noProof/>
                <w:lang w:val="cs-CZ"/>
              </w:rPr>
              <w:t>5.1</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Argument slippery slope</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_Toc11919777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38</w:t>
            </w:r>
            <w:r w:rsidR="00B64FAB" w:rsidRPr="002D3C4A">
              <w:rPr>
                <w:rFonts w:ascii="Garamond" w:hAnsi="Garamond"/>
                <w:b w:val="0"/>
                <w:bCs w:val="0"/>
                <w:noProof/>
                <w:webHidden/>
              </w:rPr>
              <w:fldChar w:fldCharType="end"/>
            </w:r>
          </w:hyperlink>
        </w:p>
        <w:p w14:paraId="7863B29A" w14:textId="6AF17F02"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8" w:history="1">
            <w:r w:rsidR="00B64FAB" w:rsidRPr="002D3C4A">
              <w:rPr>
                <w:rStyle w:val="Hyperlink"/>
                <w:rFonts w:ascii="Garamond" w:hAnsi="Garamond"/>
                <w:b w:val="0"/>
                <w:bCs w:val="0"/>
                <w:noProof/>
                <w:lang w:val="cs-CZ"/>
              </w:rPr>
              <w:t>5.2</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Argument diskriminace</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_Toc11919778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39</w:t>
            </w:r>
            <w:r w:rsidR="00B64FAB" w:rsidRPr="002D3C4A">
              <w:rPr>
                <w:rFonts w:ascii="Garamond" w:hAnsi="Garamond"/>
                <w:b w:val="0"/>
                <w:bCs w:val="0"/>
                <w:noProof/>
                <w:webHidden/>
              </w:rPr>
              <w:fldChar w:fldCharType="end"/>
            </w:r>
          </w:hyperlink>
        </w:p>
        <w:p w14:paraId="23C7B54F" w14:textId="6DE2243C"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79" w:history="1">
            <w:r w:rsidR="00B64FAB" w:rsidRPr="002D3C4A">
              <w:rPr>
                <w:rStyle w:val="Hyperlink"/>
                <w:rFonts w:ascii="Garamond" w:hAnsi="Garamond"/>
                <w:b w:val="0"/>
                <w:bCs w:val="0"/>
                <w:noProof/>
                <w:lang w:val="cs-CZ"/>
              </w:rPr>
              <w:t>5.3</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Ostatní sporné body</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_Toc11919779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42</w:t>
            </w:r>
            <w:r w:rsidR="00B64FAB" w:rsidRPr="002D3C4A">
              <w:rPr>
                <w:rFonts w:ascii="Garamond" w:hAnsi="Garamond"/>
                <w:b w:val="0"/>
                <w:bCs w:val="0"/>
                <w:noProof/>
                <w:webHidden/>
              </w:rPr>
              <w:fldChar w:fldCharType="end"/>
            </w:r>
          </w:hyperlink>
        </w:p>
        <w:p w14:paraId="3F8358D0" w14:textId="4423641B"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80" w:history="1">
            <w:r w:rsidR="00B64FAB" w:rsidRPr="002D3C4A">
              <w:rPr>
                <w:rStyle w:val="Hyperlink"/>
                <w:rFonts w:ascii="Garamond" w:hAnsi="Garamond"/>
                <w:i w:val="0"/>
                <w:iCs w:val="0"/>
                <w:noProof/>
                <w:lang w:val="cs-CZ"/>
              </w:rPr>
              <w:t>6.</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i w:val="0"/>
                <w:iCs w:val="0"/>
                <w:noProof/>
                <w:lang w:val="cs-CZ"/>
              </w:rPr>
              <w:t>Právní úprava v České republice</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_Toc11919780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44</w:t>
            </w:r>
            <w:r w:rsidR="00B64FAB" w:rsidRPr="002D3C4A">
              <w:rPr>
                <w:rFonts w:ascii="Garamond" w:hAnsi="Garamond"/>
                <w:i w:val="0"/>
                <w:iCs w:val="0"/>
                <w:noProof/>
                <w:webHidden/>
              </w:rPr>
              <w:fldChar w:fldCharType="end"/>
            </w:r>
          </w:hyperlink>
        </w:p>
        <w:p w14:paraId="2CF2F77C" w14:textId="01774A9E"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81" w:history="1">
            <w:r w:rsidR="00B64FAB" w:rsidRPr="002D3C4A">
              <w:rPr>
                <w:rStyle w:val="Hyperlink"/>
                <w:rFonts w:ascii="Garamond" w:hAnsi="Garamond"/>
                <w:b w:val="0"/>
                <w:bCs w:val="0"/>
                <w:noProof/>
                <w:lang w:val="cs-CZ"/>
              </w:rPr>
              <w:t>6.1</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Ústavněprávní limity</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_Toc11919781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44</w:t>
            </w:r>
            <w:r w:rsidR="00B64FAB" w:rsidRPr="002D3C4A">
              <w:rPr>
                <w:rFonts w:ascii="Garamond" w:hAnsi="Garamond"/>
                <w:b w:val="0"/>
                <w:bCs w:val="0"/>
                <w:noProof/>
                <w:webHidden/>
              </w:rPr>
              <w:fldChar w:fldCharType="end"/>
            </w:r>
          </w:hyperlink>
        </w:p>
        <w:p w14:paraId="000D1450" w14:textId="78EAD797"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82" w:history="1">
            <w:r w:rsidR="00B64FAB" w:rsidRPr="002D3C4A">
              <w:rPr>
                <w:rStyle w:val="Hyperlink"/>
                <w:rFonts w:ascii="Garamond" w:hAnsi="Garamond"/>
                <w:b w:val="0"/>
                <w:bCs w:val="0"/>
                <w:noProof/>
                <w:lang w:val="cs-CZ"/>
              </w:rPr>
              <w:t>6.2</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Zákon o důstojné smrti</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_Toc11919782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45</w:t>
            </w:r>
            <w:r w:rsidR="00B64FAB" w:rsidRPr="002D3C4A">
              <w:rPr>
                <w:rFonts w:ascii="Garamond" w:hAnsi="Garamond"/>
                <w:b w:val="0"/>
                <w:bCs w:val="0"/>
                <w:noProof/>
                <w:webHidden/>
              </w:rPr>
              <w:fldChar w:fldCharType="end"/>
            </w:r>
          </w:hyperlink>
        </w:p>
        <w:p w14:paraId="10D0E063" w14:textId="04BD4494"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83" w:history="1">
            <w:r w:rsidR="00B64FAB" w:rsidRPr="002D3C4A">
              <w:rPr>
                <w:rStyle w:val="Hyperlink"/>
                <w:rFonts w:ascii="Garamond" w:hAnsi="Garamond"/>
                <w:i w:val="0"/>
                <w:iCs w:val="0"/>
                <w:noProof/>
                <w:lang w:val="cs-CZ"/>
              </w:rPr>
              <w:t>7.</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i w:val="0"/>
                <w:iCs w:val="0"/>
                <w:noProof/>
                <w:lang w:val="cs-CZ"/>
              </w:rPr>
              <w:t>Závěr</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_Toc11919783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49</w:t>
            </w:r>
            <w:r w:rsidR="00B64FAB" w:rsidRPr="002D3C4A">
              <w:rPr>
                <w:rFonts w:ascii="Garamond" w:hAnsi="Garamond"/>
                <w:i w:val="0"/>
                <w:iCs w:val="0"/>
                <w:noProof/>
                <w:webHidden/>
              </w:rPr>
              <w:fldChar w:fldCharType="end"/>
            </w:r>
          </w:hyperlink>
        </w:p>
        <w:p w14:paraId="383CE698" w14:textId="5C01554B" w:rsidR="00B64FAB" w:rsidRPr="002D3C4A" w:rsidRDefault="0058798C" w:rsidP="002D3C4A">
          <w:pPr>
            <w:pStyle w:val="TOC1"/>
            <w:tabs>
              <w:tab w:val="left" w:pos="480"/>
              <w:tab w:val="right" w:leader="dot" w:pos="9055"/>
            </w:tabs>
            <w:jc w:val="both"/>
            <w:rPr>
              <w:rFonts w:ascii="Garamond" w:eastAsiaTheme="minorEastAsia" w:hAnsi="Garamond" w:cstheme="minorBidi"/>
              <w:b w:val="0"/>
              <w:bCs w:val="0"/>
              <w:i w:val="0"/>
              <w:iCs w:val="0"/>
              <w:noProof/>
              <w:lang w:val="cs-CZ"/>
            </w:rPr>
          </w:pPr>
          <w:hyperlink w:anchor="_Toc11919784" w:history="1">
            <w:r w:rsidR="00B64FAB" w:rsidRPr="002D3C4A">
              <w:rPr>
                <w:rStyle w:val="Hyperlink"/>
                <w:rFonts w:ascii="Garamond" w:hAnsi="Garamond"/>
                <w:i w:val="0"/>
                <w:iCs w:val="0"/>
                <w:noProof/>
                <w:lang w:val="cs-CZ"/>
              </w:rPr>
              <w:t>8.</w:t>
            </w:r>
            <w:r w:rsidR="00B64FAB" w:rsidRPr="002D3C4A">
              <w:rPr>
                <w:rFonts w:ascii="Garamond" w:eastAsiaTheme="minorEastAsia" w:hAnsi="Garamond" w:cstheme="minorBidi"/>
                <w:b w:val="0"/>
                <w:bCs w:val="0"/>
                <w:i w:val="0"/>
                <w:iCs w:val="0"/>
                <w:noProof/>
                <w:lang w:val="cs-CZ"/>
              </w:rPr>
              <w:tab/>
            </w:r>
            <w:r w:rsidR="00B64FAB" w:rsidRPr="002D3C4A">
              <w:rPr>
                <w:rStyle w:val="Hyperlink"/>
                <w:rFonts w:ascii="Garamond" w:hAnsi="Garamond"/>
                <w:i w:val="0"/>
                <w:iCs w:val="0"/>
                <w:noProof/>
                <w:lang w:val="cs-CZ"/>
              </w:rPr>
              <w:t>Seznam použitých zdrojů</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_Toc11919784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50</w:t>
            </w:r>
            <w:r w:rsidR="00B64FAB" w:rsidRPr="002D3C4A">
              <w:rPr>
                <w:rFonts w:ascii="Garamond" w:hAnsi="Garamond"/>
                <w:i w:val="0"/>
                <w:iCs w:val="0"/>
                <w:noProof/>
                <w:webHidden/>
              </w:rPr>
              <w:fldChar w:fldCharType="end"/>
            </w:r>
          </w:hyperlink>
        </w:p>
        <w:p w14:paraId="1367384C" w14:textId="5DC0B6A5"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85" w:history="1">
            <w:r w:rsidR="00B64FAB" w:rsidRPr="002D3C4A">
              <w:rPr>
                <w:rStyle w:val="Hyperlink"/>
                <w:rFonts w:ascii="Garamond" w:hAnsi="Garamond"/>
                <w:b w:val="0"/>
                <w:bCs w:val="0"/>
                <w:noProof/>
                <w:lang w:val="cs-CZ"/>
              </w:rPr>
              <w:t>8.1</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Články, monografie, učebnice, komentáře</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_Toc11919785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50</w:t>
            </w:r>
            <w:r w:rsidR="00B64FAB" w:rsidRPr="002D3C4A">
              <w:rPr>
                <w:rFonts w:ascii="Garamond" w:hAnsi="Garamond"/>
                <w:b w:val="0"/>
                <w:bCs w:val="0"/>
                <w:noProof/>
                <w:webHidden/>
              </w:rPr>
              <w:fldChar w:fldCharType="end"/>
            </w:r>
          </w:hyperlink>
        </w:p>
        <w:p w14:paraId="79E76C29" w14:textId="39F35A63"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86" w:history="1">
            <w:r w:rsidR="00B64FAB" w:rsidRPr="002D3C4A">
              <w:rPr>
                <w:rStyle w:val="Hyperlink"/>
                <w:rFonts w:ascii="Garamond" w:hAnsi="Garamond"/>
                <w:b w:val="0"/>
                <w:bCs w:val="0"/>
                <w:noProof/>
                <w:lang w:val="cs-CZ"/>
              </w:rPr>
              <w:t>8.2</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Internetové zdroje</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_Toc11919786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53</w:t>
            </w:r>
            <w:r w:rsidR="00B64FAB" w:rsidRPr="002D3C4A">
              <w:rPr>
                <w:rFonts w:ascii="Garamond" w:hAnsi="Garamond"/>
                <w:b w:val="0"/>
                <w:bCs w:val="0"/>
                <w:noProof/>
                <w:webHidden/>
              </w:rPr>
              <w:fldChar w:fldCharType="end"/>
            </w:r>
          </w:hyperlink>
        </w:p>
        <w:p w14:paraId="3E2D55B5" w14:textId="6A83F0B5" w:rsidR="00B64FAB" w:rsidRPr="002D3C4A" w:rsidRDefault="0058798C" w:rsidP="002D3C4A">
          <w:pPr>
            <w:pStyle w:val="TOC2"/>
            <w:tabs>
              <w:tab w:val="left" w:pos="960"/>
              <w:tab w:val="right" w:leader="dot" w:pos="9055"/>
            </w:tabs>
            <w:jc w:val="both"/>
            <w:rPr>
              <w:rFonts w:ascii="Garamond" w:eastAsiaTheme="minorEastAsia" w:hAnsi="Garamond" w:cstheme="minorBidi"/>
              <w:b w:val="0"/>
              <w:bCs w:val="0"/>
              <w:noProof/>
              <w:sz w:val="24"/>
              <w:szCs w:val="24"/>
              <w:lang w:val="cs-CZ"/>
            </w:rPr>
          </w:pPr>
          <w:hyperlink w:anchor="_Toc11919787" w:history="1">
            <w:r w:rsidR="00B64FAB" w:rsidRPr="002D3C4A">
              <w:rPr>
                <w:rStyle w:val="Hyperlink"/>
                <w:rFonts w:ascii="Garamond" w:hAnsi="Garamond"/>
                <w:b w:val="0"/>
                <w:bCs w:val="0"/>
                <w:noProof/>
                <w:lang w:val="cs-CZ"/>
              </w:rPr>
              <w:t>8.3</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Právní předpisy</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_Toc11919787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55</w:t>
            </w:r>
            <w:r w:rsidR="00B64FAB" w:rsidRPr="002D3C4A">
              <w:rPr>
                <w:rFonts w:ascii="Garamond" w:hAnsi="Garamond"/>
                <w:b w:val="0"/>
                <w:bCs w:val="0"/>
                <w:noProof/>
                <w:webHidden/>
              </w:rPr>
              <w:fldChar w:fldCharType="end"/>
            </w:r>
          </w:hyperlink>
        </w:p>
        <w:p w14:paraId="49C40699" w14:textId="5A555B32" w:rsidR="00B64FAB" w:rsidRPr="002D3C4A" w:rsidRDefault="0058798C" w:rsidP="002D3C4A">
          <w:pPr>
            <w:pStyle w:val="TOC2"/>
            <w:tabs>
              <w:tab w:val="left" w:pos="960"/>
              <w:tab w:val="right" w:leader="dot" w:pos="9055"/>
            </w:tabs>
            <w:jc w:val="both"/>
            <w:rPr>
              <w:rFonts w:ascii="Garamond" w:hAnsi="Garamond"/>
              <w:b w:val="0"/>
              <w:bCs w:val="0"/>
              <w:noProof/>
              <w:color w:val="0563C1" w:themeColor="hyperlink"/>
              <w:u w:val="single"/>
            </w:rPr>
          </w:pPr>
          <w:hyperlink w:anchor="_Toc11919788" w:history="1">
            <w:r w:rsidR="00B64FAB" w:rsidRPr="002D3C4A">
              <w:rPr>
                <w:rStyle w:val="Hyperlink"/>
                <w:rFonts w:ascii="Garamond" w:hAnsi="Garamond"/>
                <w:b w:val="0"/>
                <w:bCs w:val="0"/>
                <w:noProof/>
                <w:lang w:val="cs-CZ"/>
              </w:rPr>
              <w:t>8.4</w:t>
            </w:r>
            <w:r w:rsidR="00B64FAB" w:rsidRPr="002D3C4A">
              <w:rPr>
                <w:rFonts w:ascii="Garamond" w:eastAsiaTheme="minorEastAsia" w:hAnsi="Garamond" w:cstheme="minorBidi"/>
                <w:b w:val="0"/>
                <w:bCs w:val="0"/>
                <w:noProof/>
                <w:sz w:val="24"/>
                <w:szCs w:val="24"/>
                <w:lang w:val="cs-CZ"/>
              </w:rPr>
              <w:tab/>
            </w:r>
            <w:r w:rsidR="00B64FAB" w:rsidRPr="002D3C4A">
              <w:rPr>
                <w:rStyle w:val="Hyperlink"/>
                <w:rFonts w:ascii="Garamond" w:hAnsi="Garamond"/>
                <w:b w:val="0"/>
                <w:bCs w:val="0"/>
                <w:noProof/>
                <w:lang w:val="cs-CZ"/>
              </w:rPr>
              <w:t>Judikatura</w:t>
            </w:r>
            <w:r w:rsidR="00B64FAB" w:rsidRPr="002D3C4A">
              <w:rPr>
                <w:rFonts w:ascii="Garamond" w:hAnsi="Garamond"/>
                <w:b w:val="0"/>
                <w:bCs w:val="0"/>
                <w:noProof/>
                <w:webHidden/>
              </w:rPr>
              <w:tab/>
            </w:r>
            <w:r w:rsidR="00B64FAB" w:rsidRPr="002D3C4A">
              <w:rPr>
                <w:rFonts w:ascii="Garamond" w:hAnsi="Garamond"/>
                <w:b w:val="0"/>
                <w:bCs w:val="0"/>
                <w:noProof/>
                <w:webHidden/>
              </w:rPr>
              <w:fldChar w:fldCharType="begin"/>
            </w:r>
            <w:r w:rsidR="00B64FAB" w:rsidRPr="002D3C4A">
              <w:rPr>
                <w:rFonts w:ascii="Garamond" w:hAnsi="Garamond"/>
                <w:b w:val="0"/>
                <w:bCs w:val="0"/>
                <w:noProof/>
                <w:webHidden/>
              </w:rPr>
              <w:instrText xml:space="preserve"> PAGEREF _Toc11919788 \h </w:instrText>
            </w:r>
            <w:r w:rsidR="00B64FAB" w:rsidRPr="002D3C4A">
              <w:rPr>
                <w:rFonts w:ascii="Garamond" w:hAnsi="Garamond"/>
                <w:b w:val="0"/>
                <w:bCs w:val="0"/>
                <w:noProof/>
                <w:webHidden/>
              </w:rPr>
            </w:r>
            <w:r w:rsidR="00B64FAB" w:rsidRPr="002D3C4A">
              <w:rPr>
                <w:rFonts w:ascii="Garamond" w:hAnsi="Garamond"/>
                <w:b w:val="0"/>
                <w:bCs w:val="0"/>
                <w:noProof/>
                <w:webHidden/>
              </w:rPr>
              <w:fldChar w:fldCharType="separate"/>
            </w:r>
            <w:r w:rsidR="00B64FAB" w:rsidRPr="002D3C4A">
              <w:rPr>
                <w:rFonts w:ascii="Garamond" w:hAnsi="Garamond"/>
                <w:b w:val="0"/>
                <w:bCs w:val="0"/>
                <w:noProof/>
                <w:webHidden/>
              </w:rPr>
              <w:t>56</w:t>
            </w:r>
            <w:r w:rsidR="00B64FAB" w:rsidRPr="002D3C4A">
              <w:rPr>
                <w:rFonts w:ascii="Garamond" w:hAnsi="Garamond"/>
                <w:b w:val="0"/>
                <w:bCs w:val="0"/>
                <w:noProof/>
                <w:webHidden/>
              </w:rPr>
              <w:fldChar w:fldCharType="end"/>
            </w:r>
          </w:hyperlink>
        </w:p>
        <w:p w14:paraId="669AC3C5" w14:textId="77777777" w:rsidR="00B64FAB" w:rsidRPr="002D3C4A" w:rsidRDefault="00B64FAB" w:rsidP="002D3C4A">
          <w:pPr>
            <w:jc w:val="both"/>
            <w:rPr>
              <w:rFonts w:ascii="Garamond" w:hAnsi="Garamond"/>
            </w:rPr>
          </w:pPr>
        </w:p>
        <w:p w14:paraId="1D003EFF" w14:textId="051F4C85" w:rsidR="00B64FAB" w:rsidRPr="002D3C4A" w:rsidRDefault="0058798C" w:rsidP="002D3C4A">
          <w:pPr>
            <w:pStyle w:val="TOC1"/>
            <w:tabs>
              <w:tab w:val="right" w:leader="dot" w:pos="9055"/>
            </w:tabs>
            <w:jc w:val="both"/>
            <w:rPr>
              <w:rFonts w:ascii="Garamond" w:eastAsiaTheme="minorEastAsia" w:hAnsi="Garamond" w:cstheme="minorBidi"/>
              <w:b w:val="0"/>
              <w:bCs w:val="0"/>
              <w:i w:val="0"/>
              <w:iCs w:val="0"/>
              <w:noProof/>
              <w:lang w:val="cs-CZ"/>
            </w:rPr>
          </w:pPr>
          <w:hyperlink w:anchor="_Toc11919789" w:history="1">
            <w:r w:rsidR="00B64FAB" w:rsidRPr="002D3C4A">
              <w:rPr>
                <w:rStyle w:val="Hyperlink"/>
                <w:rFonts w:ascii="Garamond" w:hAnsi="Garamond"/>
                <w:i w:val="0"/>
                <w:iCs w:val="0"/>
                <w:noProof/>
                <w:lang w:val="cs-CZ"/>
              </w:rPr>
              <w:t>Abstrakt a klíčová slova</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_Toc11919789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58</w:t>
            </w:r>
            <w:r w:rsidR="00B64FAB" w:rsidRPr="002D3C4A">
              <w:rPr>
                <w:rFonts w:ascii="Garamond" w:hAnsi="Garamond"/>
                <w:i w:val="0"/>
                <w:iCs w:val="0"/>
                <w:noProof/>
                <w:webHidden/>
              </w:rPr>
              <w:fldChar w:fldCharType="end"/>
            </w:r>
          </w:hyperlink>
        </w:p>
        <w:p w14:paraId="2D7D744F" w14:textId="52B64190" w:rsidR="00B64FAB" w:rsidRPr="002D3C4A" w:rsidRDefault="0058798C" w:rsidP="002D3C4A">
          <w:pPr>
            <w:pStyle w:val="TOC1"/>
            <w:tabs>
              <w:tab w:val="right" w:leader="dot" w:pos="9055"/>
            </w:tabs>
            <w:jc w:val="both"/>
            <w:rPr>
              <w:rFonts w:ascii="Garamond" w:eastAsiaTheme="minorEastAsia" w:hAnsi="Garamond" w:cstheme="minorBidi"/>
              <w:b w:val="0"/>
              <w:bCs w:val="0"/>
              <w:i w:val="0"/>
              <w:iCs w:val="0"/>
              <w:noProof/>
              <w:lang w:val="cs-CZ"/>
            </w:rPr>
          </w:pPr>
          <w:hyperlink w:anchor="_Toc11919790" w:history="1">
            <w:r w:rsidR="00B64FAB" w:rsidRPr="002D3C4A">
              <w:rPr>
                <w:rStyle w:val="Hyperlink"/>
                <w:rFonts w:ascii="Garamond" w:hAnsi="Garamond"/>
                <w:i w:val="0"/>
                <w:iCs w:val="0"/>
                <w:noProof/>
              </w:rPr>
              <w:t>Abstract and key words</w:t>
            </w:r>
            <w:r w:rsidR="00B64FAB" w:rsidRPr="002D3C4A">
              <w:rPr>
                <w:rFonts w:ascii="Garamond" w:hAnsi="Garamond"/>
                <w:i w:val="0"/>
                <w:iCs w:val="0"/>
                <w:noProof/>
                <w:webHidden/>
              </w:rPr>
              <w:tab/>
            </w:r>
            <w:r w:rsidR="00B64FAB" w:rsidRPr="002D3C4A">
              <w:rPr>
                <w:rFonts w:ascii="Garamond" w:hAnsi="Garamond"/>
                <w:i w:val="0"/>
                <w:iCs w:val="0"/>
                <w:noProof/>
                <w:webHidden/>
              </w:rPr>
              <w:fldChar w:fldCharType="begin"/>
            </w:r>
            <w:r w:rsidR="00B64FAB" w:rsidRPr="002D3C4A">
              <w:rPr>
                <w:rFonts w:ascii="Garamond" w:hAnsi="Garamond"/>
                <w:i w:val="0"/>
                <w:iCs w:val="0"/>
                <w:noProof/>
                <w:webHidden/>
              </w:rPr>
              <w:instrText xml:space="preserve"> PAGEREF _Toc11919790 \h </w:instrText>
            </w:r>
            <w:r w:rsidR="00B64FAB" w:rsidRPr="002D3C4A">
              <w:rPr>
                <w:rFonts w:ascii="Garamond" w:hAnsi="Garamond"/>
                <w:i w:val="0"/>
                <w:iCs w:val="0"/>
                <w:noProof/>
                <w:webHidden/>
              </w:rPr>
            </w:r>
            <w:r w:rsidR="00B64FAB" w:rsidRPr="002D3C4A">
              <w:rPr>
                <w:rFonts w:ascii="Garamond" w:hAnsi="Garamond"/>
                <w:i w:val="0"/>
                <w:iCs w:val="0"/>
                <w:noProof/>
                <w:webHidden/>
              </w:rPr>
              <w:fldChar w:fldCharType="separate"/>
            </w:r>
            <w:r w:rsidR="00B64FAB" w:rsidRPr="002D3C4A">
              <w:rPr>
                <w:rFonts w:ascii="Garamond" w:hAnsi="Garamond"/>
                <w:i w:val="0"/>
                <w:iCs w:val="0"/>
                <w:noProof/>
                <w:webHidden/>
              </w:rPr>
              <w:t>59</w:t>
            </w:r>
            <w:r w:rsidR="00B64FAB" w:rsidRPr="002D3C4A">
              <w:rPr>
                <w:rFonts w:ascii="Garamond" w:hAnsi="Garamond"/>
                <w:i w:val="0"/>
                <w:iCs w:val="0"/>
                <w:noProof/>
                <w:webHidden/>
              </w:rPr>
              <w:fldChar w:fldCharType="end"/>
            </w:r>
          </w:hyperlink>
        </w:p>
        <w:p w14:paraId="13F7396D" w14:textId="34FE00F6" w:rsidR="00B64FAB" w:rsidRDefault="00B64FAB" w:rsidP="002D3C4A">
          <w:pPr>
            <w:jc w:val="both"/>
          </w:pPr>
          <w:r w:rsidRPr="002D3C4A">
            <w:rPr>
              <w:rFonts w:ascii="Garamond" w:hAnsi="Garamond"/>
              <w:b/>
              <w:bCs/>
              <w:noProof/>
            </w:rPr>
            <w:fldChar w:fldCharType="end"/>
          </w:r>
        </w:p>
      </w:sdtContent>
    </w:sdt>
    <w:p w14:paraId="1E4F841C" w14:textId="77777777" w:rsidR="00E92493" w:rsidRPr="007759EE" w:rsidRDefault="00E92493" w:rsidP="003F3660">
      <w:pPr>
        <w:spacing w:line="360" w:lineRule="auto"/>
        <w:rPr>
          <w:rFonts w:ascii="Garamond" w:hAnsi="Garamond" w:cs="Times New Roman"/>
          <w:lang w:val="cs-CZ"/>
        </w:rPr>
      </w:pPr>
      <w:r w:rsidRPr="007759EE">
        <w:rPr>
          <w:rFonts w:ascii="Garamond" w:hAnsi="Garamond" w:cs="Times New Roman"/>
          <w:lang w:val="cs-CZ"/>
        </w:rPr>
        <w:br w:type="page"/>
      </w:r>
    </w:p>
    <w:p w14:paraId="6B8BF704" w14:textId="77777777" w:rsidR="00E92493" w:rsidRPr="007759EE" w:rsidRDefault="00E92493" w:rsidP="003F3660">
      <w:pPr>
        <w:spacing w:line="360" w:lineRule="auto"/>
        <w:rPr>
          <w:rFonts w:ascii="Garamond" w:hAnsi="Garamond" w:cs="Times New Roman"/>
          <w:b/>
          <w:sz w:val="32"/>
          <w:lang w:val="cs-CZ"/>
        </w:rPr>
      </w:pPr>
      <w:r w:rsidRPr="007759EE">
        <w:rPr>
          <w:rFonts w:ascii="Garamond" w:hAnsi="Garamond" w:cs="Times New Roman"/>
          <w:b/>
          <w:sz w:val="32"/>
          <w:lang w:val="cs-CZ"/>
        </w:rPr>
        <w:lastRenderedPageBreak/>
        <w:t>Seznam použitých zkratek</w:t>
      </w:r>
    </w:p>
    <w:p w14:paraId="4F036FBA" w14:textId="04829825" w:rsidR="003E6A15" w:rsidRPr="007759EE" w:rsidRDefault="003E6A15" w:rsidP="003F3660">
      <w:pPr>
        <w:spacing w:line="360" w:lineRule="auto"/>
        <w:rPr>
          <w:rFonts w:ascii="Garamond" w:hAnsi="Garamond" w:cs="Times New Roman"/>
          <w:b/>
          <w:sz w:val="28"/>
          <w:lang w:val="cs-CZ"/>
        </w:rPr>
        <w:sectPr w:rsidR="003E6A15" w:rsidRPr="007759EE" w:rsidSect="00622DBD">
          <w:footerReference w:type="even" r:id="rId8"/>
          <w:footerReference w:type="default" r:id="rId9"/>
          <w:pgSz w:w="11900" w:h="16840"/>
          <w:pgMar w:top="1418" w:right="1134" w:bottom="1418" w:left="1701" w:header="709" w:footer="709" w:gutter="0"/>
          <w:cols w:space="708"/>
          <w:titlePg/>
          <w:docGrid w:linePitch="360"/>
        </w:sectPr>
      </w:pPr>
    </w:p>
    <w:p w14:paraId="5CFF7890" w14:textId="1631D64B" w:rsidR="003E6A15" w:rsidRPr="007759EE" w:rsidRDefault="003E6A15" w:rsidP="003F3660">
      <w:pPr>
        <w:spacing w:line="360" w:lineRule="auto"/>
        <w:jc w:val="both"/>
        <w:rPr>
          <w:rFonts w:ascii="Garamond" w:hAnsi="Garamond" w:cs="Times New Roman"/>
          <w:b/>
          <w:sz w:val="28"/>
          <w:lang w:val="cs-CZ"/>
        </w:rPr>
      </w:pPr>
    </w:p>
    <w:p w14:paraId="10F6C0A2" w14:textId="75CE73EC" w:rsidR="003E6A15" w:rsidRPr="007759EE" w:rsidRDefault="003E6A15" w:rsidP="003F3660">
      <w:pPr>
        <w:spacing w:line="360" w:lineRule="auto"/>
        <w:jc w:val="both"/>
        <w:rPr>
          <w:rFonts w:ascii="Garamond" w:hAnsi="Garamond" w:cs="Times New Roman"/>
          <w:b/>
          <w:sz w:val="28"/>
          <w:lang w:val="cs-CZ"/>
        </w:rPr>
      </w:pPr>
      <w:r w:rsidRPr="007759EE">
        <w:rPr>
          <w:rFonts w:ascii="Garamond" w:hAnsi="Garamond" w:cs="Times New Roman"/>
          <w:b/>
          <w:sz w:val="28"/>
          <w:lang w:val="cs-CZ"/>
        </w:rPr>
        <w:t>ESLP</w:t>
      </w:r>
    </w:p>
    <w:p w14:paraId="3F6B65EC" w14:textId="77777777" w:rsidR="003E6A15" w:rsidRPr="007759EE" w:rsidRDefault="003E6A15" w:rsidP="003F3660">
      <w:pPr>
        <w:spacing w:line="360" w:lineRule="auto"/>
        <w:jc w:val="both"/>
        <w:rPr>
          <w:rFonts w:ascii="Garamond" w:hAnsi="Garamond" w:cs="Times New Roman"/>
          <w:b/>
          <w:sz w:val="28"/>
          <w:lang w:val="cs-CZ"/>
        </w:rPr>
      </w:pPr>
    </w:p>
    <w:p w14:paraId="71BE3655" w14:textId="5C5CCD4D" w:rsidR="003E6A15" w:rsidRPr="007759EE" w:rsidRDefault="00D45989" w:rsidP="003F3660">
      <w:pPr>
        <w:spacing w:line="360" w:lineRule="auto"/>
        <w:jc w:val="both"/>
        <w:rPr>
          <w:rFonts w:ascii="Garamond" w:hAnsi="Garamond" w:cs="Times New Roman"/>
          <w:b/>
          <w:sz w:val="28"/>
          <w:lang w:val="cs-CZ"/>
        </w:rPr>
      </w:pPr>
      <w:r w:rsidRPr="007759EE">
        <w:rPr>
          <w:rFonts w:ascii="Garamond" w:hAnsi="Garamond" w:cs="Times New Roman"/>
          <w:b/>
          <w:sz w:val="28"/>
          <w:lang w:val="cs-CZ"/>
        </w:rPr>
        <w:t>LZPS</w:t>
      </w:r>
    </w:p>
    <w:p w14:paraId="4BAB2694" w14:textId="7FF3E736" w:rsidR="003E6A15" w:rsidRPr="007759EE" w:rsidRDefault="003E6A15" w:rsidP="003F3660">
      <w:pPr>
        <w:spacing w:line="360" w:lineRule="auto"/>
        <w:jc w:val="both"/>
        <w:rPr>
          <w:rFonts w:ascii="Garamond" w:hAnsi="Garamond" w:cs="Times New Roman"/>
          <w:b/>
          <w:sz w:val="28"/>
          <w:lang w:val="cs-CZ"/>
        </w:rPr>
      </w:pPr>
    </w:p>
    <w:p w14:paraId="0F9FB909" w14:textId="77777777" w:rsidR="003E6A15" w:rsidRPr="007759EE" w:rsidRDefault="003E6A15" w:rsidP="003F3660">
      <w:pPr>
        <w:spacing w:line="360" w:lineRule="auto"/>
        <w:jc w:val="both"/>
        <w:rPr>
          <w:rFonts w:ascii="Garamond" w:hAnsi="Garamond" w:cs="Times New Roman"/>
          <w:b/>
          <w:sz w:val="28"/>
          <w:lang w:val="cs-CZ"/>
        </w:rPr>
      </w:pPr>
    </w:p>
    <w:p w14:paraId="3AC15CCD" w14:textId="77777777" w:rsidR="003E6A15" w:rsidRPr="007759EE" w:rsidRDefault="003E6A15" w:rsidP="003F3660">
      <w:pPr>
        <w:spacing w:line="360" w:lineRule="auto"/>
        <w:jc w:val="both"/>
        <w:rPr>
          <w:rFonts w:ascii="Garamond" w:hAnsi="Garamond" w:cs="Times New Roman"/>
          <w:b/>
          <w:sz w:val="28"/>
          <w:lang w:val="cs-CZ"/>
        </w:rPr>
      </w:pPr>
    </w:p>
    <w:p w14:paraId="79AF0536" w14:textId="77777777" w:rsidR="003E6A15" w:rsidRPr="007759EE" w:rsidRDefault="003E6A15" w:rsidP="003F3660">
      <w:pPr>
        <w:spacing w:line="360" w:lineRule="auto"/>
        <w:jc w:val="both"/>
        <w:rPr>
          <w:rFonts w:ascii="Garamond" w:hAnsi="Garamond" w:cs="Times New Roman"/>
          <w:b/>
          <w:sz w:val="28"/>
          <w:lang w:val="cs-CZ"/>
        </w:rPr>
      </w:pPr>
    </w:p>
    <w:p w14:paraId="4AF9EE97" w14:textId="2712074E" w:rsidR="003E6A15" w:rsidRPr="007759EE" w:rsidRDefault="003E6A15" w:rsidP="003F3660">
      <w:pPr>
        <w:spacing w:line="360" w:lineRule="auto"/>
        <w:jc w:val="both"/>
        <w:rPr>
          <w:rFonts w:ascii="Garamond" w:hAnsi="Garamond" w:cs="Times New Roman"/>
          <w:b/>
          <w:sz w:val="28"/>
          <w:lang w:val="cs-CZ"/>
        </w:rPr>
      </w:pPr>
      <w:r w:rsidRPr="007759EE">
        <w:rPr>
          <w:rFonts w:ascii="Garamond" w:hAnsi="Garamond" w:cs="Times New Roman"/>
          <w:b/>
          <w:sz w:val="28"/>
          <w:lang w:val="cs-CZ"/>
        </w:rPr>
        <w:t>Úmluva</w:t>
      </w:r>
    </w:p>
    <w:p w14:paraId="31274BC1" w14:textId="4B91FE5C" w:rsidR="00D45989" w:rsidRPr="007759EE" w:rsidRDefault="00D45989" w:rsidP="003F3660">
      <w:pPr>
        <w:spacing w:line="360" w:lineRule="auto"/>
        <w:jc w:val="both"/>
        <w:rPr>
          <w:rFonts w:ascii="Garamond" w:hAnsi="Garamond" w:cs="Times New Roman"/>
          <w:b/>
          <w:sz w:val="28"/>
          <w:lang w:val="cs-CZ"/>
        </w:rPr>
      </w:pPr>
    </w:p>
    <w:p w14:paraId="50BEF229" w14:textId="77777777" w:rsidR="003E6A15" w:rsidRPr="007759EE" w:rsidRDefault="003E6A15" w:rsidP="003F3660">
      <w:pPr>
        <w:spacing w:line="360" w:lineRule="auto"/>
        <w:jc w:val="both"/>
        <w:rPr>
          <w:rFonts w:ascii="Garamond" w:hAnsi="Garamond" w:cs="Times New Roman"/>
          <w:b/>
          <w:sz w:val="28"/>
          <w:lang w:val="cs-CZ"/>
        </w:rPr>
      </w:pPr>
    </w:p>
    <w:p w14:paraId="3AD7E1B2" w14:textId="485CEBBB" w:rsidR="00D45989" w:rsidRPr="007759EE" w:rsidRDefault="003E6A15" w:rsidP="003F3660">
      <w:pPr>
        <w:spacing w:line="360" w:lineRule="auto"/>
        <w:jc w:val="both"/>
        <w:rPr>
          <w:rFonts w:ascii="Garamond" w:hAnsi="Garamond" w:cs="Times New Roman"/>
          <w:b/>
          <w:sz w:val="28"/>
          <w:lang w:val="cs-CZ"/>
        </w:rPr>
      </w:pPr>
      <w:r w:rsidRPr="007759EE">
        <w:rPr>
          <w:rFonts w:ascii="Garamond" w:hAnsi="Garamond" w:cs="Times New Roman"/>
          <w:b/>
          <w:sz w:val="28"/>
          <w:lang w:val="cs-CZ"/>
        </w:rPr>
        <w:t>Úmluva o lidských právech a biomedicíně</w:t>
      </w:r>
    </w:p>
    <w:p w14:paraId="0EECB259" w14:textId="2982B2E9" w:rsidR="003E6A15" w:rsidRPr="007759EE" w:rsidRDefault="003E6A15" w:rsidP="003F3660">
      <w:pPr>
        <w:spacing w:line="360" w:lineRule="auto"/>
        <w:jc w:val="both"/>
        <w:rPr>
          <w:rFonts w:ascii="Garamond" w:hAnsi="Garamond" w:cs="Times New Roman"/>
          <w:b/>
          <w:sz w:val="28"/>
          <w:lang w:val="cs-CZ"/>
        </w:rPr>
      </w:pPr>
    </w:p>
    <w:p w14:paraId="16165F6D" w14:textId="735796B6" w:rsidR="003E6A15" w:rsidRPr="007759EE" w:rsidRDefault="003E6A15" w:rsidP="003F3660">
      <w:pPr>
        <w:spacing w:line="360" w:lineRule="auto"/>
        <w:jc w:val="both"/>
        <w:rPr>
          <w:rFonts w:ascii="Garamond" w:hAnsi="Garamond" w:cs="Times New Roman"/>
          <w:b/>
          <w:sz w:val="28"/>
          <w:lang w:val="cs-CZ"/>
        </w:rPr>
      </w:pPr>
    </w:p>
    <w:p w14:paraId="023DB437" w14:textId="14374B45" w:rsidR="003E6A15" w:rsidRPr="007759EE" w:rsidRDefault="003E6A15" w:rsidP="003F3660">
      <w:pPr>
        <w:spacing w:line="360" w:lineRule="auto"/>
        <w:jc w:val="both"/>
        <w:rPr>
          <w:rFonts w:ascii="Garamond" w:hAnsi="Garamond" w:cs="Times New Roman"/>
          <w:b/>
          <w:sz w:val="28"/>
          <w:lang w:val="cs-CZ"/>
        </w:rPr>
      </w:pPr>
    </w:p>
    <w:p w14:paraId="284F4CC5" w14:textId="0540DC9D" w:rsidR="003E6A15" w:rsidRPr="007759EE" w:rsidRDefault="003E6A15" w:rsidP="003F3660">
      <w:pPr>
        <w:spacing w:line="360" w:lineRule="auto"/>
        <w:jc w:val="both"/>
        <w:rPr>
          <w:rFonts w:ascii="Garamond" w:hAnsi="Garamond" w:cs="Times New Roman"/>
          <w:b/>
          <w:sz w:val="28"/>
          <w:lang w:val="cs-CZ"/>
        </w:rPr>
      </w:pPr>
    </w:p>
    <w:p w14:paraId="245C2B9C" w14:textId="7F01B877" w:rsidR="003E6A15" w:rsidRPr="007759EE" w:rsidRDefault="003E6A15" w:rsidP="003F3660">
      <w:pPr>
        <w:spacing w:line="360" w:lineRule="auto"/>
        <w:jc w:val="both"/>
        <w:rPr>
          <w:rFonts w:ascii="Garamond" w:hAnsi="Garamond" w:cs="Times New Roman"/>
          <w:b/>
          <w:sz w:val="28"/>
          <w:lang w:val="cs-CZ"/>
        </w:rPr>
      </w:pPr>
    </w:p>
    <w:p w14:paraId="000EA14C" w14:textId="07672AAE" w:rsidR="003E6A15" w:rsidRPr="007759EE" w:rsidRDefault="00831FDA" w:rsidP="003F3660">
      <w:pPr>
        <w:spacing w:line="360" w:lineRule="auto"/>
        <w:jc w:val="both"/>
        <w:rPr>
          <w:rFonts w:ascii="Garamond" w:hAnsi="Garamond" w:cs="Times New Roman"/>
          <w:b/>
          <w:sz w:val="28"/>
          <w:lang w:val="cs-CZ"/>
        </w:rPr>
      </w:pPr>
      <w:r>
        <w:rPr>
          <w:rFonts w:ascii="Garamond" w:hAnsi="Garamond" w:cs="Times New Roman"/>
          <w:b/>
          <w:sz w:val="28"/>
          <w:lang w:val="cs-CZ"/>
        </w:rPr>
        <w:t>Úmluva o právech dítěte</w:t>
      </w:r>
    </w:p>
    <w:p w14:paraId="7FAA899B" w14:textId="4C6E0D72" w:rsidR="003E6A15" w:rsidRPr="007759EE" w:rsidRDefault="003E6A15" w:rsidP="003F3660">
      <w:pPr>
        <w:spacing w:line="360" w:lineRule="auto"/>
        <w:jc w:val="both"/>
        <w:rPr>
          <w:rFonts w:ascii="Garamond" w:hAnsi="Garamond" w:cs="Times New Roman"/>
          <w:b/>
          <w:sz w:val="28"/>
          <w:lang w:val="cs-CZ"/>
        </w:rPr>
      </w:pPr>
    </w:p>
    <w:p w14:paraId="3506BE48" w14:textId="5EBEB143" w:rsidR="003E6A15" w:rsidRPr="007759EE" w:rsidRDefault="003E6A15" w:rsidP="003F3660">
      <w:pPr>
        <w:spacing w:line="360" w:lineRule="auto"/>
        <w:jc w:val="both"/>
        <w:rPr>
          <w:rFonts w:ascii="Garamond" w:hAnsi="Garamond" w:cs="Times New Roman"/>
          <w:b/>
          <w:sz w:val="28"/>
          <w:lang w:val="cs-CZ"/>
        </w:rPr>
      </w:pPr>
    </w:p>
    <w:p w14:paraId="54A340C3" w14:textId="15F8687C" w:rsidR="003E6A15" w:rsidRPr="007759EE" w:rsidRDefault="003E6A15" w:rsidP="003F3660">
      <w:pPr>
        <w:spacing w:line="360" w:lineRule="auto"/>
        <w:jc w:val="both"/>
        <w:rPr>
          <w:rFonts w:ascii="Garamond" w:hAnsi="Garamond" w:cs="Times New Roman"/>
          <w:b/>
          <w:sz w:val="28"/>
          <w:lang w:val="cs-CZ"/>
        </w:rPr>
      </w:pPr>
    </w:p>
    <w:p w14:paraId="75CD293F" w14:textId="5AB44BAC" w:rsidR="003E6A15" w:rsidRPr="007759EE" w:rsidRDefault="003E6A15" w:rsidP="003F3660">
      <w:pPr>
        <w:spacing w:line="360" w:lineRule="auto"/>
        <w:jc w:val="both"/>
        <w:rPr>
          <w:rFonts w:ascii="Garamond" w:hAnsi="Garamond" w:cs="Times New Roman"/>
          <w:b/>
          <w:sz w:val="28"/>
          <w:lang w:val="cs-CZ"/>
        </w:rPr>
      </w:pPr>
    </w:p>
    <w:p w14:paraId="51C7F401" w14:textId="2E48405E" w:rsidR="003E6A15" w:rsidRPr="00B6156C" w:rsidRDefault="00B6156C" w:rsidP="003F3660">
      <w:pPr>
        <w:spacing w:line="360" w:lineRule="auto"/>
        <w:jc w:val="both"/>
        <w:rPr>
          <w:rFonts w:ascii="Garamond" w:hAnsi="Garamond" w:cs="Times New Roman"/>
          <w:b/>
          <w:sz w:val="28"/>
          <w:lang w:val="cs-CZ"/>
        </w:rPr>
      </w:pPr>
      <w:r>
        <w:rPr>
          <w:rFonts w:ascii="Garamond" w:hAnsi="Garamond" w:cs="Times New Roman"/>
          <w:b/>
          <w:sz w:val="28"/>
          <w:lang w:val="cs-CZ"/>
        </w:rPr>
        <w:t xml:space="preserve">Zákon o zdravotních </w:t>
      </w:r>
      <w:r>
        <w:rPr>
          <w:rFonts w:ascii="Garamond" w:hAnsi="Garamond" w:cs="Times New Roman"/>
          <w:b/>
          <w:sz w:val="28"/>
          <w:lang w:val="cs-CZ"/>
        </w:rPr>
        <w:br/>
        <w:t>službách</w:t>
      </w:r>
    </w:p>
    <w:p w14:paraId="3D7A55DE" w14:textId="193CE843" w:rsidR="003E6A15" w:rsidRPr="007759EE" w:rsidRDefault="003E6A15" w:rsidP="003F3660">
      <w:pPr>
        <w:spacing w:line="360" w:lineRule="auto"/>
        <w:jc w:val="both"/>
        <w:rPr>
          <w:rFonts w:ascii="Garamond" w:hAnsi="Garamond" w:cs="Times New Roman"/>
          <w:b/>
          <w:sz w:val="28"/>
          <w:lang w:val="cs-CZ"/>
        </w:rPr>
      </w:pPr>
    </w:p>
    <w:p w14:paraId="50A7182C" w14:textId="355734EA" w:rsidR="003E6A15" w:rsidRPr="007759EE" w:rsidRDefault="003E6A15" w:rsidP="003F3660">
      <w:pPr>
        <w:spacing w:line="360" w:lineRule="auto"/>
        <w:jc w:val="both"/>
        <w:rPr>
          <w:rFonts w:ascii="Garamond" w:hAnsi="Garamond" w:cs="Times New Roman"/>
          <w:b/>
          <w:sz w:val="28"/>
          <w:lang w:val="cs-CZ"/>
        </w:rPr>
      </w:pPr>
    </w:p>
    <w:p w14:paraId="0B93B964" w14:textId="3406E4F3" w:rsidR="003E6A15" w:rsidRDefault="003E6A15" w:rsidP="003F3660">
      <w:pPr>
        <w:spacing w:line="360" w:lineRule="auto"/>
        <w:jc w:val="both"/>
        <w:rPr>
          <w:rFonts w:ascii="Garamond" w:hAnsi="Garamond" w:cs="Times New Roman"/>
          <w:b/>
          <w:sz w:val="28"/>
          <w:lang w:val="cs-CZ"/>
        </w:rPr>
      </w:pPr>
    </w:p>
    <w:p w14:paraId="078A10C7" w14:textId="77777777" w:rsidR="00D17CD4" w:rsidRPr="007759EE" w:rsidRDefault="00D17CD4" w:rsidP="003F3660">
      <w:pPr>
        <w:spacing w:line="360" w:lineRule="auto"/>
        <w:jc w:val="both"/>
        <w:rPr>
          <w:rFonts w:ascii="Garamond" w:hAnsi="Garamond" w:cs="Times New Roman"/>
          <w:b/>
          <w:sz w:val="28"/>
          <w:lang w:val="cs-CZ"/>
        </w:rPr>
      </w:pPr>
    </w:p>
    <w:p w14:paraId="73305E60" w14:textId="49DEA01C" w:rsidR="003E6A15" w:rsidRPr="007759EE" w:rsidRDefault="003E6A15" w:rsidP="003F3660">
      <w:pPr>
        <w:spacing w:line="360" w:lineRule="auto"/>
        <w:jc w:val="both"/>
        <w:rPr>
          <w:rFonts w:ascii="Garamond" w:hAnsi="Garamond" w:cs="Times New Roman"/>
          <w:sz w:val="28"/>
          <w:lang w:val="cs-CZ"/>
        </w:rPr>
      </w:pPr>
      <w:r w:rsidRPr="007759EE">
        <w:rPr>
          <w:rFonts w:ascii="Garamond" w:hAnsi="Garamond" w:cs="Times New Roman"/>
          <w:sz w:val="28"/>
          <w:lang w:val="cs-CZ"/>
        </w:rPr>
        <w:t>Evropský soud pro lidská práva.</w:t>
      </w:r>
    </w:p>
    <w:p w14:paraId="42C92835" w14:textId="3A185BB6" w:rsidR="003E6A15" w:rsidRPr="007759EE" w:rsidRDefault="003E6A15" w:rsidP="003F3660">
      <w:pPr>
        <w:spacing w:line="360" w:lineRule="auto"/>
        <w:jc w:val="both"/>
        <w:rPr>
          <w:rFonts w:ascii="Garamond" w:hAnsi="Garamond" w:cs="Times New Roman"/>
          <w:sz w:val="28"/>
          <w:lang w:val="cs-CZ"/>
        </w:rPr>
      </w:pPr>
    </w:p>
    <w:p w14:paraId="16434804" w14:textId="19BE66D8" w:rsidR="003E6A15" w:rsidRPr="007759EE" w:rsidRDefault="003E6A15" w:rsidP="003F3660">
      <w:pPr>
        <w:spacing w:line="360" w:lineRule="auto"/>
        <w:jc w:val="both"/>
        <w:rPr>
          <w:rFonts w:ascii="Garamond" w:hAnsi="Garamond" w:cs="Times New Roman"/>
          <w:sz w:val="28"/>
          <w:lang w:val="cs-CZ"/>
        </w:rPr>
      </w:pPr>
      <w:r w:rsidRPr="007759EE">
        <w:rPr>
          <w:rFonts w:ascii="Garamond" w:hAnsi="Garamond" w:cs="Times New Roman"/>
          <w:sz w:val="28"/>
          <w:lang w:val="cs-CZ"/>
        </w:rPr>
        <w:t>Usnesení předsednictva České národní rady č. 2/1993 Sb., Listina základních práv a svobod jako součásti ústavního pořádku České republiky.</w:t>
      </w:r>
    </w:p>
    <w:p w14:paraId="7452803E" w14:textId="77777777" w:rsidR="003E6A15" w:rsidRPr="007759EE" w:rsidRDefault="003E6A15" w:rsidP="003F3660">
      <w:pPr>
        <w:spacing w:line="360" w:lineRule="auto"/>
        <w:jc w:val="both"/>
        <w:rPr>
          <w:rFonts w:ascii="Garamond" w:hAnsi="Garamond" w:cs="Times New Roman"/>
          <w:sz w:val="28"/>
          <w:lang w:val="cs-CZ"/>
        </w:rPr>
      </w:pPr>
    </w:p>
    <w:p w14:paraId="1C0ECA94" w14:textId="77777777" w:rsidR="003E6A15" w:rsidRPr="007759EE" w:rsidRDefault="003E6A15" w:rsidP="003F3660">
      <w:pPr>
        <w:spacing w:line="360" w:lineRule="auto"/>
        <w:jc w:val="both"/>
        <w:rPr>
          <w:rFonts w:ascii="Garamond" w:hAnsi="Garamond" w:cs="Times New Roman"/>
          <w:sz w:val="28"/>
          <w:lang w:val="cs-CZ"/>
        </w:rPr>
      </w:pPr>
      <w:r w:rsidRPr="007759EE">
        <w:rPr>
          <w:rFonts w:ascii="Garamond" w:hAnsi="Garamond" w:cs="Times New Roman"/>
          <w:sz w:val="28"/>
          <w:lang w:val="cs-CZ"/>
        </w:rPr>
        <w:t>Evropská úmluva o ochraně lidských práv a základních svobod.</w:t>
      </w:r>
    </w:p>
    <w:p w14:paraId="7E7E5392" w14:textId="77777777" w:rsidR="003E6A15" w:rsidRPr="007759EE" w:rsidRDefault="003E6A15" w:rsidP="003F3660">
      <w:pPr>
        <w:spacing w:line="360" w:lineRule="auto"/>
        <w:jc w:val="both"/>
        <w:rPr>
          <w:rFonts w:ascii="Garamond" w:hAnsi="Garamond" w:cs="Times New Roman"/>
          <w:b/>
          <w:sz w:val="28"/>
          <w:lang w:val="cs-CZ"/>
        </w:rPr>
      </w:pPr>
    </w:p>
    <w:p w14:paraId="4F591700" w14:textId="77777777" w:rsidR="003E6A15" w:rsidRPr="007759EE" w:rsidRDefault="003E6A15" w:rsidP="003F3660">
      <w:pPr>
        <w:spacing w:line="360" w:lineRule="auto"/>
        <w:jc w:val="both"/>
        <w:rPr>
          <w:rFonts w:ascii="Garamond" w:hAnsi="Garamond" w:cs="Times New Roman"/>
          <w:sz w:val="28"/>
          <w:lang w:val="cs-CZ"/>
        </w:rPr>
      </w:pPr>
      <w:r w:rsidRPr="007759EE">
        <w:rPr>
          <w:rFonts w:ascii="Garamond" w:hAnsi="Garamond" w:cs="Times New Roman"/>
          <w:sz w:val="28"/>
          <w:lang w:val="cs-CZ"/>
        </w:rPr>
        <w:t>96/2001 Sb. m. s. Sdělení Ministerstva zahraničních věcí o přijetí Úmluvy na ochranu lidských práv a důstojnosti lidské bytosti v souvislosti s aplikací biologie a medicíny: Úmluva o lidských právech a medicíně.</w:t>
      </w:r>
    </w:p>
    <w:p w14:paraId="53832284" w14:textId="68D01424" w:rsidR="003E6A15" w:rsidRPr="007759EE" w:rsidRDefault="003E6A15" w:rsidP="003F3660">
      <w:pPr>
        <w:spacing w:line="360" w:lineRule="auto"/>
        <w:jc w:val="both"/>
        <w:rPr>
          <w:rFonts w:ascii="Garamond" w:hAnsi="Garamond" w:cs="Times New Roman"/>
          <w:sz w:val="28"/>
          <w:lang w:val="cs-CZ"/>
        </w:rPr>
      </w:pPr>
    </w:p>
    <w:p w14:paraId="221B8AE5" w14:textId="77777777" w:rsidR="003C6F8F" w:rsidRPr="003C6F8F" w:rsidRDefault="003C6F8F" w:rsidP="003C6F8F">
      <w:pPr>
        <w:spacing w:line="360" w:lineRule="auto"/>
        <w:jc w:val="both"/>
        <w:rPr>
          <w:rFonts w:ascii="Garamond" w:hAnsi="Garamond" w:cs="Times New Roman"/>
          <w:sz w:val="28"/>
          <w:lang w:val="cs-CZ"/>
        </w:rPr>
      </w:pPr>
      <w:r w:rsidRPr="003C6F8F">
        <w:rPr>
          <w:rFonts w:ascii="Garamond" w:hAnsi="Garamond" w:cs="Times New Roman"/>
          <w:sz w:val="28"/>
          <w:lang w:val="cs-CZ"/>
        </w:rPr>
        <w:t>Úmluva o právech dítěte publikována ve Sbírce zákonu jako Sdělení</w:t>
      </w:r>
    </w:p>
    <w:p w14:paraId="11A1A264" w14:textId="15AC45B1" w:rsidR="003E6A15" w:rsidRPr="007759EE" w:rsidRDefault="003C6F8F" w:rsidP="003C6F8F">
      <w:pPr>
        <w:spacing w:line="360" w:lineRule="auto"/>
        <w:jc w:val="both"/>
        <w:rPr>
          <w:rFonts w:ascii="Garamond" w:hAnsi="Garamond" w:cs="Times New Roman"/>
          <w:sz w:val="28"/>
          <w:lang w:val="cs-CZ"/>
        </w:rPr>
      </w:pPr>
      <w:r w:rsidRPr="003C6F8F">
        <w:rPr>
          <w:rFonts w:ascii="Garamond" w:hAnsi="Garamond" w:cs="Times New Roman"/>
          <w:sz w:val="28"/>
          <w:lang w:val="cs-CZ"/>
        </w:rPr>
        <w:t>Federálního ministerstva zahraničních věcí pod číslem 104/1991 Sb.</w:t>
      </w:r>
    </w:p>
    <w:p w14:paraId="46C66286" w14:textId="43BE7D6E" w:rsidR="00D45989" w:rsidRPr="007759EE" w:rsidRDefault="00D45989" w:rsidP="003F3660">
      <w:pPr>
        <w:spacing w:line="360" w:lineRule="auto"/>
        <w:jc w:val="both"/>
        <w:rPr>
          <w:rFonts w:ascii="Garamond" w:hAnsi="Garamond" w:cs="Times New Roman"/>
          <w:b/>
          <w:sz w:val="28"/>
          <w:lang w:val="cs-CZ"/>
        </w:rPr>
      </w:pPr>
    </w:p>
    <w:p w14:paraId="4E3451E6" w14:textId="77777777" w:rsidR="00D17CD4" w:rsidRDefault="00B6156C" w:rsidP="00D17CD4">
      <w:pPr>
        <w:spacing w:line="360" w:lineRule="auto"/>
        <w:jc w:val="both"/>
        <w:rPr>
          <w:rFonts w:ascii="Garamond" w:hAnsi="Garamond"/>
          <w:sz w:val="28"/>
          <w:lang w:val="cs-CZ"/>
        </w:rPr>
      </w:pPr>
      <w:r w:rsidRPr="00B6156C">
        <w:rPr>
          <w:rFonts w:ascii="Garamond" w:hAnsi="Garamond"/>
          <w:sz w:val="28"/>
          <w:lang w:val="cs-CZ"/>
        </w:rPr>
        <w:t>Zákon č. 372/2011 Sb., o zdravotních službách a podmínkách jejich poskytování (zákon o zdravotních službách)</w:t>
      </w:r>
      <w:r w:rsidR="00C8393A">
        <w:rPr>
          <w:rFonts w:ascii="Garamond" w:hAnsi="Garamond"/>
          <w:sz w:val="28"/>
          <w:lang w:val="cs-CZ"/>
        </w:rPr>
        <w:t>, ve znění pozdějších předpisů</w:t>
      </w:r>
    </w:p>
    <w:p w14:paraId="792723DB" w14:textId="77777777" w:rsidR="00D17CD4" w:rsidRDefault="00D17CD4" w:rsidP="00D17CD4">
      <w:pPr>
        <w:spacing w:line="360" w:lineRule="auto"/>
        <w:jc w:val="both"/>
        <w:rPr>
          <w:rFonts w:ascii="Garamond" w:hAnsi="Garamond"/>
          <w:sz w:val="28"/>
          <w:lang w:val="cs-CZ"/>
        </w:rPr>
      </w:pPr>
    </w:p>
    <w:p w14:paraId="7A9A94CA" w14:textId="1D4D2811" w:rsidR="00D17CD4" w:rsidRPr="00D17CD4" w:rsidRDefault="00D17CD4" w:rsidP="00D17CD4">
      <w:pPr>
        <w:spacing w:line="360" w:lineRule="auto"/>
        <w:jc w:val="both"/>
        <w:rPr>
          <w:rFonts w:ascii="Garamond" w:hAnsi="Garamond"/>
          <w:sz w:val="28"/>
          <w:lang w:val="cs-CZ"/>
        </w:rPr>
        <w:sectPr w:rsidR="00D17CD4" w:rsidRPr="00D17CD4" w:rsidSect="00622DBD">
          <w:type w:val="continuous"/>
          <w:pgSz w:w="11900" w:h="16840"/>
          <w:pgMar w:top="1418" w:right="1134" w:bottom="1418" w:left="1701" w:header="709" w:footer="709" w:gutter="0"/>
          <w:cols w:num="2" w:space="720" w:equalWidth="0">
            <w:col w:w="3402" w:space="720"/>
            <w:col w:w="4943"/>
          </w:cols>
          <w:titlePg/>
          <w:docGrid w:linePitch="360"/>
        </w:sectPr>
      </w:pPr>
    </w:p>
    <w:p w14:paraId="229DD826" w14:textId="77777777" w:rsidR="00D17CD4" w:rsidRPr="00D17CD4" w:rsidRDefault="00D17CD4" w:rsidP="00D17CD4">
      <w:pPr>
        <w:spacing w:line="360" w:lineRule="auto"/>
        <w:rPr>
          <w:rFonts w:ascii="Garamond" w:hAnsi="Garamond" w:cs="Times New Roman"/>
          <w:b/>
          <w:sz w:val="32"/>
          <w:lang w:val="cs-CZ"/>
        </w:rPr>
      </w:pPr>
      <w:r w:rsidRPr="00D17CD4">
        <w:rPr>
          <w:rFonts w:ascii="Garamond" w:hAnsi="Garamond" w:cs="Times New Roman"/>
          <w:b/>
          <w:sz w:val="28"/>
          <w:lang w:val="cs-CZ"/>
        </w:rPr>
        <w:lastRenderedPageBreak/>
        <w:t>Občanský</w:t>
      </w:r>
      <w:r w:rsidRPr="00D17CD4">
        <w:rPr>
          <w:rFonts w:ascii="Garamond" w:hAnsi="Garamond" w:cs="Times New Roman"/>
          <w:b/>
          <w:sz w:val="32"/>
          <w:lang w:val="cs-CZ"/>
        </w:rPr>
        <w:t xml:space="preserve"> </w:t>
      </w:r>
      <w:r w:rsidRPr="00D17CD4">
        <w:rPr>
          <w:rFonts w:ascii="Garamond" w:hAnsi="Garamond" w:cs="Times New Roman"/>
          <w:b/>
          <w:sz w:val="28"/>
          <w:lang w:val="cs-CZ"/>
        </w:rPr>
        <w:t>zákoník</w:t>
      </w:r>
    </w:p>
    <w:p w14:paraId="0D07E3DA" w14:textId="77777777" w:rsidR="00D17CD4" w:rsidRDefault="00D17CD4" w:rsidP="00D17CD4">
      <w:pPr>
        <w:jc w:val="both"/>
        <w:rPr>
          <w:rFonts w:ascii="Garamond" w:hAnsi="Garamond"/>
          <w:b/>
          <w:sz w:val="28"/>
          <w:lang w:val="cs-CZ"/>
        </w:rPr>
      </w:pPr>
    </w:p>
    <w:p w14:paraId="09CB9023" w14:textId="77777777" w:rsidR="00D17CD4" w:rsidRPr="00D17CD4" w:rsidRDefault="00D17CD4" w:rsidP="00D17CD4">
      <w:pPr>
        <w:spacing w:line="360" w:lineRule="auto"/>
        <w:jc w:val="both"/>
        <w:rPr>
          <w:rFonts w:ascii="Garamond" w:hAnsi="Garamond"/>
          <w:sz w:val="28"/>
          <w:lang w:val="cs-CZ"/>
        </w:rPr>
      </w:pPr>
      <w:r w:rsidRPr="00D17CD4">
        <w:rPr>
          <w:rFonts w:ascii="Garamond" w:hAnsi="Garamond"/>
          <w:sz w:val="28"/>
          <w:lang w:val="cs-CZ"/>
        </w:rPr>
        <w:t>Zákon č. 89/2012 Sb., občanský zákoník, ve znění pozdějších předpisů</w:t>
      </w:r>
    </w:p>
    <w:p w14:paraId="127D1926" w14:textId="27ADCC18" w:rsidR="00D17CD4" w:rsidRPr="00D17CD4" w:rsidRDefault="00D17CD4" w:rsidP="00D17CD4">
      <w:pPr>
        <w:jc w:val="both"/>
        <w:rPr>
          <w:rFonts w:ascii="Garamond" w:hAnsi="Garamond"/>
          <w:b/>
          <w:sz w:val="28"/>
          <w:lang w:val="cs-CZ"/>
        </w:rPr>
      </w:pPr>
      <w:r>
        <w:rPr>
          <w:lang w:val="cs-CZ"/>
        </w:rPr>
        <w:br w:type="page"/>
      </w:r>
    </w:p>
    <w:p w14:paraId="432E84E1" w14:textId="77777777" w:rsidR="00D17CD4" w:rsidRDefault="00D17CD4" w:rsidP="003F3660">
      <w:pPr>
        <w:pStyle w:val="Heading1"/>
        <w:numPr>
          <w:ilvl w:val="0"/>
          <w:numId w:val="2"/>
        </w:numPr>
        <w:spacing w:line="360" w:lineRule="auto"/>
        <w:ind w:left="720" w:hanging="720"/>
        <w:rPr>
          <w:lang w:val="cs-CZ"/>
        </w:rPr>
        <w:sectPr w:rsidR="00D17CD4" w:rsidSect="00622DBD">
          <w:type w:val="continuous"/>
          <w:pgSz w:w="11900" w:h="16840"/>
          <w:pgMar w:top="1418" w:right="1134" w:bottom="1418" w:left="1701" w:header="709" w:footer="709" w:gutter="0"/>
          <w:cols w:num="2" w:space="720" w:equalWidth="0">
            <w:col w:w="3402" w:space="720"/>
            <w:col w:w="4943"/>
          </w:cols>
          <w:titlePg/>
          <w:docGrid w:linePitch="360"/>
        </w:sectPr>
      </w:pPr>
    </w:p>
    <w:p w14:paraId="58793428" w14:textId="2189EBF9" w:rsidR="009C6C84" w:rsidRPr="009C6C84" w:rsidRDefault="00E92493" w:rsidP="003F3660">
      <w:pPr>
        <w:pStyle w:val="Heading1"/>
        <w:numPr>
          <w:ilvl w:val="0"/>
          <w:numId w:val="2"/>
        </w:numPr>
        <w:spacing w:line="360" w:lineRule="auto"/>
        <w:ind w:left="720" w:hanging="720"/>
        <w:rPr>
          <w:rFonts w:eastAsiaTheme="minorHAnsi" w:cs="Times New Roman"/>
          <w:b w:val="0"/>
          <w:sz w:val="24"/>
          <w:szCs w:val="24"/>
          <w:lang w:val="cs-CZ"/>
        </w:rPr>
      </w:pPr>
      <w:bookmarkStart w:id="0" w:name="_Toc11919766"/>
      <w:r w:rsidRPr="007759EE">
        <w:rPr>
          <w:lang w:val="cs-CZ"/>
        </w:rPr>
        <w:lastRenderedPageBreak/>
        <w:t>Úvod</w:t>
      </w:r>
      <w:bookmarkEnd w:id="0"/>
    </w:p>
    <w:p w14:paraId="06970831" w14:textId="18C01197" w:rsidR="0018668B" w:rsidRPr="002D4220" w:rsidRDefault="009C6C84" w:rsidP="00AC12AE">
      <w:pPr>
        <w:spacing w:line="360" w:lineRule="auto"/>
        <w:ind w:firstLine="720"/>
        <w:jc w:val="both"/>
        <w:rPr>
          <w:rFonts w:ascii="Garamond" w:hAnsi="Garamond"/>
          <w:lang w:val="cs-CZ"/>
        </w:rPr>
      </w:pPr>
      <w:r w:rsidRPr="002D4220">
        <w:rPr>
          <w:rFonts w:ascii="Garamond" w:hAnsi="Garamond"/>
          <w:lang w:val="cs-CZ"/>
        </w:rPr>
        <w:t>Předkládaná</w:t>
      </w:r>
      <w:r w:rsidR="00E37FF1" w:rsidRPr="002D4220">
        <w:rPr>
          <w:rFonts w:ascii="Garamond" w:hAnsi="Garamond"/>
          <w:lang w:val="cs-CZ"/>
        </w:rPr>
        <w:t xml:space="preserve"> diplomová práce si v obecné rovině klade za primární cíl prostřednictvím analýzy zahraničních právních úprav a judikatury zdůvodnit, proč by mělo být využití v některých zemích legálního institutu eutanazie</w:t>
      </w:r>
      <w:r w:rsidR="00EE3199">
        <w:rPr>
          <w:rFonts w:ascii="Garamond" w:hAnsi="Garamond"/>
          <w:lang w:val="cs-CZ"/>
        </w:rPr>
        <w:t xml:space="preserve"> umožněno</w:t>
      </w:r>
      <w:r w:rsidR="00E37FF1" w:rsidRPr="002D4220">
        <w:rPr>
          <w:rFonts w:ascii="Garamond" w:hAnsi="Garamond"/>
          <w:lang w:val="cs-CZ"/>
        </w:rPr>
        <w:t xml:space="preserve"> i dětským pacientům. Samotná eutanazie, respektive otázka autonomie člověka a s ní související tzv. právo na smrt, je velice kontroverzním a rozporuplným tématem. Ještě více kontroverzním problémem se jeví u osob, u nichž se zatím jejich rozumová</w:t>
      </w:r>
      <w:r w:rsidR="00583E11">
        <w:rPr>
          <w:rFonts w:ascii="Garamond" w:hAnsi="Garamond"/>
          <w:lang w:val="cs-CZ"/>
        </w:rPr>
        <w:t xml:space="preserve"> a volní</w:t>
      </w:r>
      <w:r w:rsidR="00E37FF1" w:rsidRPr="002D4220">
        <w:rPr>
          <w:rFonts w:ascii="Garamond" w:hAnsi="Garamond"/>
          <w:lang w:val="cs-CZ"/>
        </w:rPr>
        <w:t xml:space="preserve"> vyspělost nerozvinula natolik, aby mohly o svém osudu fundovaně rozhodnout. Eutanazie jako taková je tématem odbornou veřejností již zpracovaným, nicméně jen malá část výzkumu se věnuje právě dětem.</w:t>
      </w:r>
      <w:r w:rsidR="0018668B" w:rsidRPr="002D4220">
        <w:rPr>
          <w:rFonts w:ascii="Garamond" w:hAnsi="Garamond"/>
          <w:lang w:val="cs-CZ"/>
        </w:rPr>
        <w:t xml:space="preserve"> Vzhledem k nedávnému rozšíření eutanazie na dětské pacienty v Belgii, jakož i zvýšenému zájmu po uzákonění eutanazie v zemích, kde to dosud nepřipadalo v úvahu, jde o problematiku zcela aktuální.</w:t>
      </w:r>
    </w:p>
    <w:p w14:paraId="577D7B8A" w14:textId="145A2809" w:rsidR="00064E0C" w:rsidRPr="002D4220" w:rsidRDefault="0018668B" w:rsidP="002D4220">
      <w:pPr>
        <w:spacing w:line="360" w:lineRule="auto"/>
        <w:jc w:val="both"/>
        <w:rPr>
          <w:rFonts w:ascii="Garamond" w:hAnsi="Garamond"/>
          <w:lang w:val="cs-CZ"/>
        </w:rPr>
      </w:pPr>
      <w:r w:rsidRPr="002D4220">
        <w:rPr>
          <w:rFonts w:ascii="Garamond" w:hAnsi="Garamond"/>
          <w:lang w:val="cs-CZ"/>
        </w:rPr>
        <w:tab/>
        <w:t>Práce se nejprve zabývá samotnou koncepcí eutanazie a jejími jednotlivými druhy, jakož i s ní spojenými klasifikačními spory. Cílem této kapitoly je vytvořit úvod do problematiky, zejména v kontextu lidských práv. Porovnání jednotlivých výkladů pojmu eutanazie a jejích jednotlivých druhů je pak důležité zejména v tom smyslu</w:t>
      </w:r>
      <w:r w:rsidR="00253D96" w:rsidRPr="002D4220">
        <w:rPr>
          <w:rFonts w:ascii="Garamond" w:hAnsi="Garamond"/>
          <w:lang w:val="cs-CZ"/>
        </w:rPr>
        <w:t>, že nám umožňuje rozlišovat mezi jednotlivými postupy</w:t>
      </w:r>
      <w:r w:rsidR="00064E0C" w:rsidRPr="002D4220">
        <w:rPr>
          <w:rFonts w:ascii="Garamond" w:hAnsi="Garamond"/>
          <w:lang w:val="cs-CZ"/>
        </w:rPr>
        <w:t xml:space="preserve"> a jejich odlišnostmi</w:t>
      </w:r>
      <w:r w:rsidR="00253D96" w:rsidRPr="002D4220">
        <w:rPr>
          <w:rFonts w:ascii="Garamond" w:hAnsi="Garamond"/>
          <w:lang w:val="cs-CZ"/>
        </w:rPr>
        <w:t>. Dospělým pacientům, případně i nezletilým pacientům chráníme jejich autonomii a dobrovolné ukončení jejich života nazýváme eutanazií, kdežto u novorozenců autonomii ve smyslu rozhodování o konci života nerozeznáváme a dochází zde ke konfliktu jiných principů. I proto</w:t>
      </w:r>
      <w:r w:rsidR="0059654B" w:rsidRPr="002D4220">
        <w:rPr>
          <w:rFonts w:ascii="Garamond" w:hAnsi="Garamond"/>
          <w:lang w:val="cs-CZ"/>
        </w:rPr>
        <w:t xml:space="preserve"> někteří</w:t>
      </w:r>
      <w:r w:rsidR="00253D96" w:rsidRPr="002D4220">
        <w:rPr>
          <w:rFonts w:ascii="Garamond" w:hAnsi="Garamond"/>
          <w:lang w:val="cs-CZ"/>
        </w:rPr>
        <w:t xml:space="preserve"> </w:t>
      </w:r>
      <w:r w:rsidR="00064E0C" w:rsidRPr="002D4220">
        <w:rPr>
          <w:rFonts w:ascii="Garamond" w:hAnsi="Garamond"/>
          <w:lang w:val="cs-CZ"/>
        </w:rPr>
        <w:t>autoři případy u novorozenců označují jako úmyslné ukončení života novorozence</w:t>
      </w:r>
      <w:r w:rsidR="00105B7C">
        <w:rPr>
          <w:rFonts w:ascii="Garamond" w:hAnsi="Garamond"/>
          <w:lang w:val="cs-CZ"/>
        </w:rPr>
        <w:t>,</w:t>
      </w:r>
      <w:r w:rsidR="00064E0C" w:rsidRPr="002D4220">
        <w:rPr>
          <w:rFonts w:ascii="Garamond" w:hAnsi="Garamond"/>
          <w:lang w:val="cs-CZ"/>
        </w:rPr>
        <w:t xml:space="preserve"> a ne </w:t>
      </w:r>
      <w:r w:rsidR="00C52D59">
        <w:rPr>
          <w:rFonts w:ascii="Garamond" w:hAnsi="Garamond"/>
          <w:lang w:val="cs-CZ"/>
        </w:rPr>
        <w:t xml:space="preserve">jako </w:t>
      </w:r>
      <w:r w:rsidR="00064E0C" w:rsidRPr="002D4220">
        <w:rPr>
          <w:rFonts w:ascii="Garamond" w:hAnsi="Garamond"/>
          <w:lang w:val="cs-CZ"/>
        </w:rPr>
        <w:t>eutanazi</w:t>
      </w:r>
      <w:r w:rsidR="00C52D59">
        <w:rPr>
          <w:rFonts w:ascii="Garamond" w:hAnsi="Garamond"/>
          <w:lang w:val="cs-CZ"/>
        </w:rPr>
        <w:t>i</w:t>
      </w:r>
      <w:r w:rsidR="00064E0C" w:rsidRPr="002D4220">
        <w:rPr>
          <w:rFonts w:ascii="Garamond" w:hAnsi="Garamond"/>
          <w:lang w:val="cs-CZ"/>
        </w:rPr>
        <w:t>.</w:t>
      </w:r>
      <w:r w:rsidR="00064E0C" w:rsidRPr="002D4220">
        <w:rPr>
          <w:rStyle w:val="FootnoteReference"/>
          <w:rFonts w:ascii="Garamond" w:hAnsi="Garamond"/>
          <w:lang w:val="cs-CZ"/>
        </w:rPr>
        <w:footnoteReference w:id="1"/>
      </w:r>
    </w:p>
    <w:p w14:paraId="1634CAF3" w14:textId="77777777" w:rsidR="00AE3FEA" w:rsidRPr="002D4220" w:rsidRDefault="00064E0C" w:rsidP="002D4220">
      <w:pPr>
        <w:spacing w:line="360" w:lineRule="auto"/>
        <w:jc w:val="both"/>
        <w:rPr>
          <w:rFonts w:ascii="Garamond" w:hAnsi="Garamond"/>
          <w:lang w:val="cs-CZ"/>
        </w:rPr>
      </w:pPr>
      <w:r w:rsidRPr="002D4220">
        <w:rPr>
          <w:rFonts w:ascii="Garamond" w:hAnsi="Garamond"/>
          <w:lang w:val="cs-CZ"/>
        </w:rPr>
        <w:tab/>
        <w:t xml:space="preserve">Další kapitola se věnuje </w:t>
      </w:r>
      <w:r w:rsidR="00F51355" w:rsidRPr="002D4220">
        <w:rPr>
          <w:rFonts w:ascii="Garamond" w:hAnsi="Garamond"/>
          <w:lang w:val="cs-CZ"/>
        </w:rPr>
        <w:t xml:space="preserve">mezinárodní úpravě a její komparaci. Vzhledem k tomu, že je dětská eutanazie možná pouze ve dvou jurisdikcích na světě, analýza jejich právní úpravy, jakož i historických úvah, které vedly k přijetí takové legislativy, je nezbytným prvkem k plnému porozumění problematiky. Výsledky uplatňované praxe v těchto státech je pak třeba promítnout vůči uplatňované kritice dětské eutanazie a </w:t>
      </w:r>
      <w:r w:rsidR="00AE3FEA" w:rsidRPr="002D4220">
        <w:rPr>
          <w:rFonts w:ascii="Garamond" w:hAnsi="Garamond"/>
          <w:lang w:val="cs-CZ"/>
        </w:rPr>
        <w:t xml:space="preserve">lze je uplatnit jako případnou legislativní inspiraci pro další státy, které by se rozhodly k uzákonění eutanazie dětí. </w:t>
      </w:r>
    </w:p>
    <w:p w14:paraId="44D28FBA" w14:textId="77777777" w:rsidR="007C38C4" w:rsidRDefault="00AE3FEA" w:rsidP="00D369EE">
      <w:pPr>
        <w:spacing w:line="360" w:lineRule="auto"/>
        <w:ind w:firstLine="720"/>
        <w:jc w:val="both"/>
        <w:rPr>
          <w:rFonts w:ascii="Garamond" w:hAnsi="Garamond"/>
          <w:lang w:val="cs-CZ"/>
        </w:rPr>
      </w:pPr>
      <w:r w:rsidRPr="002D4220">
        <w:rPr>
          <w:rFonts w:ascii="Garamond" w:hAnsi="Garamond"/>
          <w:lang w:val="cs-CZ"/>
        </w:rPr>
        <w:t>Následující kapitola se zabývá judikatorním vývojem Evropského soudu pro lidská práva a ačkoli doposud nedošlo k posouzení, zda má být právo na smrt Úmluvou garantováno či nikoli, judikatorní závěry mohou posloužit přinejmenším jako nezbytné předpoklady pro legislativu umožňující výkon eutanazie, ať už u dospělých či dětských pacientů.</w:t>
      </w:r>
    </w:p>
    <w:p w14:paraId="77FD956D" w14:textId="7316F552" w:rsidR="00AE3FEA" w:rsidRPr="002D4220" w:rsidRDefault="007C38C4" w:rsidP="00D369EE">
      <w:pPr>
        <w:spacing w:line="360" w:lineRule="auto"/>
        <w:ind w:firstLine="720"/>
        <w:jc w:val="both"/>
        <w:rPr>
          <w:rFonts w:ascii="Garamond" w:hAnsi="Garamond"/>
          <w:lang w:val="cs-CZ"/>
        </w:rPr>
      </w:pPr>
      <w:r>
        <w:rPr>
          <w:rFonts w:ascii="Garamond" w:hAnsi="Garamond"/>
          <w:lang w:val="cs-CZ"/>
        </w:rPr>
        <w:lastRenderedPageBreak/>
        <w:t>Poznatky z cizích úprav a judikatury pak analyzuje následující kapitola, která má za cíl obhájit rozšíření eutanazie i na dětské pacienty, přičemž bere v potaz zahraniční zkušenosti a na nich se snaží vyvrátit nejčastější argumenty kritiků takového rozšíření. Velmi silný argument představují statistické údaje ze zemí, kde je eutanazie dětí do jisté míry povolena</w:t>
      </w:r>
      <w:r w:rsidR="00105B7C">
        <w:rPr>
          <w:rFonts w:ascii="Garamond" w:hAnsi="Garamond"/>
          <w:lang w:val="cs-CZ"/>
        </w:rPr>
        <w:t>.</w:t>
      </w:r>
      <w:r>
        <w:rPr>
          <w:rFonts w:ascii="Garamond" w:hAnsi="Garamond"/>
          <w:lang w:val="cs-CZ"/>
        </w:rPr>
        <w:t xml:space="preserve"> </w:t>
      </w:r>
      <w:r w:rsidR="00105B7C">
        <w:rPr>
          <w:rFonts w:ascii="Garamond" w:hAnsi="Garamond"/>
          <w:lang w:val="cs-CZ"/>
        </w:rPr>
        <w:t>Na</w:t>
      </w:r>
      <w:r>
        <w:rPr>
          <w:rFonts w:ascii="Garamond" w:hAnsi="Garamond"/>
          <w:lang w:val="cs-CZ"/>
        </w:rPr>
        <w:t xml:space="preserve"> rozdíl od právních úvah </w:t>
      </w:r>
      <w:r w:rsidR="0079518F">
        <w:rPr>
          <w:rFonts w:ascii="Garamond" w:hAnsi="Garamond"/>
          <w:lang w:val="cs-CZ"/>
        </w:rPr>
        <w:t>zobrazují</w:t>
      </w:r>
      <w:r>
        <w:rPr>
          <w:rFonts w:ascii="Garamond" w:hAnsi="Garamond"/>
          <w:lang w:val="cs-CZ"/>
        </w:rPr>
        <w:t xml:space="preserve"> skutečný stav, který se nejeví tak závažně, jak jej líčí odborná kritika. Součástí této kapitoly je taktéž nástin diskriminačního testu, který alespoň v krátkosti naznačuje, že by se nerozšíření přijaté legislativy eutanazie na nezletilé pacienty dalo vnímat jako diskriminační právní úprava.</w:t>
      </w:r>
      <w:r w:rsidR="007E0120">
        <w:rPr>
          <w:rFonts w:ascii="Garamond" w:hAnsi="Garamond"/>
          <w:lang w:val="cs-CZ"/>
        </w:rPr>
        <w:t xml:space="preserve"> Argumentace ve prospěch rozšíření eutanazie se však zaměřuje zejména na děti, které už mají schopnost vyjádřit svůj názor a zvážit takové rozhodnutí, neboť u takových pacientů lze patrně dovozovat nejintenzivnější případ diskriminace.</w:t>
      </w:r>
    </w:p>
    <w:p w14:paraId="19A32256" w14:textId="77777777" w:rsidR="007E0120" w:rsidRDefault="00AE3FEA" w:rsidP="002D4220">
      <w:pPr>
        <w:spacing w:line="360" w:lineRule="auto"/>
        <w:jc w:val="both"/>
        <w:rPr>
          <w:rFonts w:ascii="Garamond" w:hAnsi="Garamond"/>
          <w:lang w:val="cs-CZ"/>
        </w:rPr>
      </w:pPr>
      <w:r w:rsidRPr="002D4220">
        <w:rPr>
          <w:rFonts w:ascii="Garamond" w:hAnsi="Garamond"/>
          <w:lang w:val="cs-CZ"/>
        </w:rPr>
        <w:tab/>
        <w:t xml:space="preserve">Poslední kapitola analyzuje právní stav a legislativní snahy v rámci rozhodování o konci života v České republice. Součástí jsou pak i úvahy de lege </w:t>
      </w:r>
      <w:proofErr w:type="spellStart"/>
      <w:r w:rsidRPr="002D4220">
        <w:rPr>
          <w:rFonts w:ascii="Garamond" w:hAnsi="Garamond"/>
          <w:lang w:val="cs-CZ"/>
        </w:rPr>
        <w:t>ferenda</w:t>
      </w:r>
      <w:proofErr w:type="spellEnd"/>
      <w:r w:rsidR="00827FC9">
        <w:rPr>
          <w:rFonts w:ascii="Garamond" w:hAnsi="Garamond"/>
          <w:lang w:val="cs-CZ"/>
        </w:rPr>
        <w:t>, jejichž cílem je</w:t>
      </w:r>
      <w:r w:rsidRPr="002D4220">
        <w:rPr>
          <w:rFonts w:ascii="Garamond" w:hAnsi="Garamond"/>
          <w:lang w:val="cs-CZ"/>
        </w:rPr>
        <w:t xml:space="preserve"> </w:t>
      </w:r>
      <w:r w:rsidR="00827FC9">
        <w:rPr>
          <w:rFonts w:ascii="Garamond" w:hAnsi="Garamond"/>
          <w:lang w:val="cs-CZ"/>
        </w:rPr>
        <w:t>nastínit</w:t>
      </w:r>
      <w:r w:rsidRPr="002D4220">
        <w:rPr>
          <w:rFonts w:ascii="Garamond" w:hAnsi="Garamond"/>
          <w:lang w:val="cs-CZ"/>
        </w:rPr>
        <w:t xml:space="preserve"> </w:t>
      </w:r>
      <w:r w:rsidR="00304185" w:rsidRPr="002D4220">
        <w:rPr>
          <w:rFonts w:ascii="Garamond" w:hAnsi="Garamond"/>
          <w:lang w:val="cs-CZ"/>
        </w:rPr>
        <w:t>podmín</w:t>
      </w:r>
      <w:r w:rsidR="004B3893">
        <w:rPr>
          <w:rFonts w:ascii="Garamond" w:hAnsi="Garamond"/>
          <w:lang w:val="cs-CZ"/>
        </w:rPr>
        <w:t>k</w:t>
      </w:r>
      <w:r w:rsidR="00827FC9">
        <w:rPr>
          <w:rFonts w:ascii="Garamond" w:hAnsi="Garamond"/>
          <w:lang w:val="cs-CZ"/>
        </w:rPr>
        <w:t>y</w:t>
      </w:r>
      <w:r w:rsidR="00304185" w:rsidRPr="002D4220">
        <w:rPr>
          <w:rFonts w:ascii="Garamond" w:hAnsi="Garamond"/>
          <w:lang w:val="cs-CZ"/>
        </w:rPr>
        <w:t>, postup</w:t>
      </w:r>
      <w:r w:rsidR="00827FC9">
        <w:rPr>
          <w:rFonts w:ascii="Garamond" w:hAnsi="Garamond"/>
          <w:lang w:val="cs-CZ"/>
        </w:rPr>
        <w:t>y, jakož</w:t>
      </w:r>
      <w:r w:rsidR="00304185" w:rsidRPr="002D4220">
        <w:rPr>
          <w:rFonts w:ascii="Garamond" w:hAnsi="Garamond"/>
          <w:lang w:val="cs-CZ"/>
        </w:rPr>
        <w:t xml:space="preserve"> </w:t>
      </w:r>
      <w:r w:rsidR="00D369EE">
        <w:rPr>
          <w:rFonts w:ascii="Garamond" w:hAnsi="Garamond"/>
          <w:lang w:val="cs-CZ"/>
        </w:rPr>
        <w:t>i</w:t>
      </w:r>
      <w:r w:rsidR="00304185" w:rsidRPr="002D4220">
        <w:rPr>
          <w:rFonts w:ascii="Garamond" w:hAnsi="Garamond"/>
          <w:lang w:val="cs-CZ"/>
        </w:rPr>
        <w:t xml:space="preserve"> nezbytn</w:t>
      </w:r>
      <w:r w:rsidR="00D369EE">
        <w:rPr>
          <w:rFonts w:ascii="Garamond" w:hAnsi="Garamond"/>
          <w:lang w:val="cs-CZ"/>
        </w:rPr>
        <w:t>é</w:t>
      </w:r>
      <w:r w:rsidR="00304185" w:rsidRPr="002D4220">
        <w:rPr>
          <w:rFonts w:ascii="Garamond" w:hAnsi="Garamond"/>
          <w:lang w:val="cs-CZ"/>
        </w:rPr>
        <w:t xml:space="preserve"> zákonn</w:t>
      </w:r>
      <w:r w:rsidR="00D369EE">
        <w:rPr>
          <w:rFonts w:ascii="Garamond" w:hAnsi="Garamond"/>
          <w:lang w:val="cs-CZ"/>
        </w:rPr>
        <w:t>é</w:t>
      </w:r>
      <w:r w:rsidR="00304185" w:rsidRPr="002D4220">
        <w:rPr>
          <w:rFonts w:ascii="Garamond" w:hAnsi="Garamond"/>
          <w:lang w:val="cs-CZ"/>
        </w:rPr>
        <w:t xml:space="preserve"> záruk</w:t>
      </w:r>
      <w:r w:rsidR="004B3893">
        <w:rPr>
          <w:rFonts w:ascii="Garamond" w:hAnsi="Garamond"/>
          <w:lang w:val="cs-CZ"/>
        </w:rPr>
        <w:t>y</w:t>
      </w:r>
      <w:r w:rsidR="00304185" w:rsidRPr="002D4220">
        <w:rPr>
          <w:rFonts w:ascii="Garamond" w:hAnsi="Garamond"/>
          <w:lang w:val="cs-CZ"/>
        </w:rPr>
        <w:t xml:space="preserve"> k přijetí takové úpravy v České republice. Práce vychází z právního stavu k</w:t>
      </w:r>
      <w:r w:rsidR="007C38C4">
        <w:rPr>
          <w:rFonts w:ascii="Garamond" w:hAnsi="Garamond"/>
          <w:lang w:val="cs-CZ"/>
        </w:rPr>
        <w:t> půlce roku 2019</w:t>
      </w:r>
      <w:r w:rsidR="00304185" w:rsidRPr="002D4220">
        <w:rPr>
          <w:rFonts w:ascii="Garamond" w:hAnsi="Garamond"/>
          <w:lang w:val="cs-CZ"/>
        </w:rPr>
        <w:t>, s vědomím, že legislativní snahy o uzákonění eutanazie probíhají v dalších státech, avšak jejich proces není ještě dokončen.</w:t>
      </w:r>
    </w:p>
    <w:p w14:paraId="03726580" w14:textId="6A044465" w:rsidR="00C850FB" w:rsidRPr="007759EE" w:rsidRDefault="007E0120" w:rsidP="002D4220">
      <w:pPr>
        <w:spacing w:line="360" w:lineRule="auto"/>
        <w:jc w:val="both"/>
        <w:rPr>
          <w:rFonts w:cs="Times New Roman"/>
          <w:b/>
          <w:lang w:val="cs-CZ"/>
        </w:rPr>
      </w:pPr>
      <w:r>
        <w:rPr>
          <w:rFonts w:ascii="Garamond" w:hAnsi="Garamond"/>
          <w:lang w:val="cs-CZ"/>
        </w:rPr>
        <w:tab/>
        <w:t xml:space="preserve">Celkovým cílem práce je </w:t>
      </w:r>
      <w:r w:rsidR="0038004A">
        <w:rPr>
          <w:rFonts w:ascii="Garamond" w:hAnsi="Garamond"/>
          <w:lang w:val="cs-CZ"/>
        </w:rPr>
        <w:t xml:space="preserve">zformování odpovědi na to, proč má být dětem eutanazie umožněna a proč jsou některé kritické názory v tomto ohledu mylné nebo je lze již považovat za překonané. Dalším, dílčím cílem je pak úvaha nad případnou českou právní úpravou. </w:t>
      </w:r>
      <w:r w:rsidR="00C850FB" w:rsidRPr="007759EE">
        <w:rPr>
          <w:rFonts w:cs="Times New Roman"/>
          <w:b/>
          <w:lang w:val="cs-CZ"/>
        </w:rPr>
        <w:br w:type="page"/>
      </w:r>
    </w:p>
    <w:p w14:paraId="1BB67781" w14:textId="77777777" w:rsidR="00D45989" w:rsidRPr="007759EE" w:rsidRDefault="00D45989" w:rsidP="003F3660">
      <w:pPr>
        <w:pStyle w:val="Heading1"/>
        <w:numPr>
          <w:ilvl w:val="0"/>
          <w:numId w:val="2"/>
        </w:numPr>
        <w:spacing w:line="360" w:lineRule="auto"/>
        <w:ind w:left="720" w:hanging="720"/>
        <w:rPr>
          <w:rFonts w:cs="Times New Roman"/>
          <w:lang w:val="cs-CZ"/>
        </w:rPr>
        <w:sectPr w:rsidR="00D45989" w:rsidRPr="007759EE" w:rsidSect="00622DBD">
          <w:type w:val="continuous"/>
          <w:pgSz w:w="11900" w:h="16840"/>
          <w:pgMar w:top="1418" w:right="1134" w:bottom="1418" w:left="1701" w:header="709" w:footer="709" w:gutter="0"/>
          <w:cols w:space="720"/>
          <w:titlePg/>
          <w:docGrid w:linePitch="360"/>
        </w:sectPr>
      </w:pPr>
    </w:p>
    <w:p w14:paraId="47FE96CE" w14:textId="52EA629C" w:rsidR="001D5548" w:rsidRPr="007759EE" w:rsidRDefault="001D5548" w:rsidP="001D5548">
      <w:pPr>
        <w:pStyle w:val="Heading1"/>
        <w:numPr>
          <w:ilvl w:val="0"/>
          <w:numId w:val="2"/>
        </w:numPr>
        <w:spacing w:line="360" w:lineRule="auto"/>
        <w:ind w:left="720" w:hanging="720"/>
        <w:rPr>
          <w:lang w:val="cs-CZ"/>
        </w:rPr>
      </w:pPr>
      <w:bookmarkStart w:id="1" w:name="_Toc11919767"/>
      <w:r w:rsidRPr="007759EE">
        <w:rPr>
          <w:lang w:val="cs-CZ"/>
        </w:rPr>
        <w:lastRenderedPageBreak/>
        <w:t>Pojem eutanazie</w:t>
      </w:r>
      <w:bookmarkEnd w:id="1"/>
    </w:p>
    <w:p w14:paraId="195B270A" w14:textId="0BBC78E5" w:rsidR="00BF1236" w:rsidRDefault="0089246D" w:rsidP="00B253F6">
      <w:pPr>
        <w:spacing w:line="360" w:lineRule="auto"/>
        <w:ind w:firstLine="720"/>
        <w:jc w:val="both"/>
        <w:rPr>
          <w:rFonts w:ascii="Garamond" w:hAnsi="Garamond"/>
          <w:lang w:val="cs-CZ"/>
        </w:rPr>
      </w:pPr>
      <w:r>
        <w:rPr>
          <w:rFonts w:ascii="Garamond" w:hAnsi="Garamond"/>
          <w:lang w:val="cs-CZ"/>
        </w:rPr>
        <w:t xml:space="preserve">Přestože jde o všeobecně známý pojem, eutanazie nebyla doposud jednotně definována a všeobecně akceptovatelná definice nebyla dosud přijata. </w:t>
      </w:r>
      <w:r w:rsidR="00750179">
        <w:rPr>
          <w:rFonts w:ascii="Garamond" w:hAnsi="Garamond"/>
          <w:lang w:val="cs-CZ"/>
        </w:rPr>
        <w:t xml:space="preserve">V původním smyslu znamenala eutanazie </w:t>
      </w:r>
      <w:r w:rsidR="00750179" w:rsidRPr="00913DF7">
        <w:rPr>
          <w:rFonts w:ascii="Garamond" w:hAnsi="Garamond"/>
          <w:i/>
          <w:lang w:val="cs-CZ"/>
        </w:rPr>
        <w:t xml:space="preserve">dobrou, </w:t>
      </w:r>
      <w:r w:rsidR="002625F3" w:rsidRPr="00913DF7">
        <w:rPr>
          <w:rFonts w:ascii="Garamond" w:hAnsi="Garamond"/>
          <w:i/>
          <w:lang w:val="cs-CZ"/>
        </w:rPr>
        <w:t>něžnou</w:t>
      </w:r>
      <w:r w:rsidR="00750179" w:rsidRPr="00913DF7">
        <w:rPr>
          <w:rFonts w:ascii="Garamond" w:hAnsi="Garamond"/>
          <w:i/>
          <w:lang w:val="cs-CZ"/>
        </w:rPr>
        <w:t>, případně lehkou smrt</w:t>
      </w:r>
      <w:r w:rsidR="00750179">
        <w:rPr>
          <w:rFonts w:ascii="Garamond" w:hAnsi="Garamond"/>
          <w:lang w:val="cs-CZ"/>
        </w:rPr>
        <w:t>.</w:t>
      </w:r>
      <w:r w:rsidR="00750179">
        <w:rPr>
          <w:rStyle w:val="FootnoteReference"/>
          <w:rFonts w:ascii="Garamond" w:hAnsi="Garamond"/>
          <w:lang w:val="cs-CZ"/>
        </w:rPr>
        <w:footnoteReference w:id="2"/>
      </w:r>
      <w:r w:rsidR="00750179">
        <w:rPr>
          <w:rFonts w:ascii="Garamond" w:hAnsi="Garamond"/>
          <w:lang w:val="cs-CZ"/>
        </w:rPr>
        <w:t xml:space="preserve"> </w:t>
      </w:r>
      <w:r w:rsidR="00F24066">
        <w:rPr>
          <w:rFonts w:ascii="Garamond" w:hAnsi="Garamond"/>
          <w:lang w:val="cs-CZ"/>
        </w:rPr>
        <w:t xml:space="preserve">S postupným vývojem terminologie dnes chápeme eutanazii spíše jako </w:t>
      </w:r>
      <w:r w:rsidR="00F24066" w:rsidRPr="00913DF7">
        <w:rPr>
          <w:rFonts w:ascii="Garamond" w:hAnsi="Garamond"/>
          <w:i/>
          <w:lang w:val="cs-CZ"/>
        </w:rPr>
        <w:t>úmyslný úkon způsobující smrt, provedený jednou osobou se záměrem ukončit život osoby druhé v úmyslu ulevit této osobě od jejího utrpení</w:t>
      </w:r>
      <w:r w:rsidR="00F24066">
        <w:rPr>
          <w:rFonts w:ascii="Garamond" w:hAnsi="Garamond"/>
          <w:lang w:val="cs-CZ"/>
        </w:rPr>
        <w:t>.</w:t>
      </w:r>
      <w:r w:rsidR="00F24066">
        <w:rPr>
          <w:rStyle w:val="FootnoteReference"/>
          <w:rFonts w:ascii="Garamond" w:hAnsi="Garamond"/>
          <w:lang w:val="cs-CZ"/>
        </w:rPr>
        <w:footnoteReference w:id="3"/>
      </w:r>
      <w:r w:rsidR="00BF1236">
        <w:rPr>
          <w:rFonts w:ascii="Garamond" w:hAnsi="Garamond"/>
          <w:lang w:val="cs-CZ"/>
        </w:rPr>
        <w:t xml:space="preserve"> Část autorů pak eutanazii dělí podle povahy jednání. Malíř s Tomášem Doležalem</w:t>
      </w:r>
      <w:r w:rsidR="003104CB">
        <w:rPr>
          <w:rStyle w:val="FootnoteReference"/>
          <w:rFonts w:ascii="Garamond" w:hAnsi="Garamond"/>
          <w:lang w:val="cs-CZ"/>
        </w:rPr>
        <w:footnoteReference w:id="4"/>
      </w:r>
      <w:r w:rsidR="00BF1236">
        <w:rPr>
          <w:rFonts w:ascii="Garamond" w:hAnsi="Garamond"/>
          <w:lang w:val="cs-CZ"/>
        </w:rPr>
        <w:t xml:space="preserve"> dovozují, že je nutné odlišovat od sebe situace, kdy k ukončení života osoby dochází v důsledku aktivního jednání, a to prostřednictvím podání prostředku ukončující život nebo umožnění přístupu k takovému prostředku, a kdy k smrti dojde v důsledku toho, že se osoba zdrží jednání. </w:t>
      </w:r>
    </w:p>
    <w:p w14:paraId="57EE5D47" w14:textId="4632E816" w:rsidR="00F8537E" w:rsidRDefault="00BF1236" w:rsidP="00BF1236">
      <w:pPr>
        <w:spacing w:line="360" w:lineRule="auto"/>
        <w:jc w:val="both"/>
        <w:rPr>
          <w:rFonts w:ascii="Garamond" w:hAnsi="Garamond"/>
          <w:lang w:val="cs-CZ"/>
        </w:rPr>
      </w:pPr>
      <w:r>
        <w:rPr>
          <w:rFonts w:ascii="Garamond" w:hAnsi="Garamond"/>
          <w:lang w:val="cs-CZ"/>
        </w:rPr>
        <w:tab/>
        <w:t xml:space="preserve">Dělení na aktivní a pasivní eutanazii však někteří autoři odmítají, neboť úkon ukončující život </w:t>
      </w:r>
      <w:r w:rsidR="001D648B">
        <w:rPr>
          <w:rFonts w:ascii="Garamond" w:hAnsi="Garamond"/>
          <w:lang w:val="cs-CZ"/>
        </w:rPr>
        <w:t xml:space="preserve">buď </w:t>
      </w:r>
      <w:r>
        <w:rPr>
          <w:rFonts w:ascii="Garamond" w:hAnsi="Garamond"/>
          <w:lang w:val="cs-CZ"/>
        </w:rPr>
        <w:t>naplňuje znaky eutanazie či nikoli</w:t>
      </w:r>
      <w:r w:rsidR="00105B7C">
        <w:rPr>
          <w:rFonts w:ascii="Garamond" w:hAnsi="Garamond"/>
          <w:lang w:val="cs-CZ"/>
        </w:rPr>
        <w:t>,</w:t>
      </w:r>
      <w:r>
        <w:rPr>
          <w:rFonts w:ascii="Garamond" w:hAnsi="Garamond"/>
          <w:lang w:val="cs-CZ"/>
        </w:rPr>
        <w:t xml:space="preserve"> a takovéto rozlišování vede </w:t>
      </w:r>
      <w:r w:rsidR="001D648B">
        <w:rPr>
          <w:rFonts w:ascii="Garamond" w:hAnsi="Garamond"/>
          <w:lang w:val="cs-CZ"/>
        </w:rPr>
        <w:t xml:space="preserve">pak </w:t>
      </w:r>
      <w:r>
        <w:rPr>
          <w:rFonts w:ascii="Garamond" w:hAnsi="Garamond"/>
          <w:lang w:val="cs-CZ"/>
        </w:rPr>
        <w:t>pouze ke zmatku.</w:t>
      </w:r>
      <w:r>
        <w:rPr>
          <w:rStyle w:val="FootnoteReference"/>
          <w:rFonts w:ascii="Garamond" w:hAnsi="Garamond"/>
          <w:lang w:val="cs-CZ"/>
        </w:rPr>
        <w:footnoteReference w:id="5"/>
      </w:r>
      <w:r>
        <w:rPr>
          <w:rFonts w:ascii="Garamond" w:hAnsi="Garamond"/>
          <w:lang w:val="cs-CZ"/>
        </w:rPr>
        <w:t xml:space="preserve"> </w:t>
      </w:r>
      <w:r w:rsidR="006A4EAC">
        <w:rPr>
          <w:rFonts w:ascii="Garamond" w:hAnsi="Garamond"/>
          <w:lang w:val="cs-CZ"/>
        </w:rPr>
        <w:t xml:space="preserve">Jak </w:t>
      </w:r>
      <w:r w:rsidR="00024729">
        <w:rPr>
          <w:rFonts w:ascii="Garamond" w:hAnsi="Garamond"/>
          <w:lang w:val="cs-CZ"/>
        </w:rPr>
        <w:t xml:space="preserve">uvádí </w:t>
      </w:r>
      <w:proofErr w:type="spellStart"/>
      <w:r w:rsidR="00024729">
        <w:rPr>
          <w:rFonts w:ascii="Garamond" w:hAnsi="Garamond"/>
          <w:lang w:val="cs-CZ"/>
        </w:rPr>
        <w:t>Rachels</w:t>
      </w:r>
      <w:proofErr w:type="spellEnd"/>
      <w:r w:rsidR="00105B7C">
        <w:rPr>
          <w:rStyle w:val="FootnoteReference"/>
          <w:rFonts w:ascii="Garamond" w:hAnsi="Garamond"/>
          <w:lang w:val="cs-CZ"/>
        </w:rPr>
        <w:footnoteReference w:id="6"/>
      </w:r>
      <w:r w:rsidR="00024729">
        <w:rPr>
          <w:rFonts w:ascii="Garamond" w:hAnsi="Garamond"/>
          <w:lang w:val="cs-CZ"/>
        </w:rPr>
        <w:t xml:space="preserve">, z morálního hlediska mezi usmrcením a ponecháním zemřít není žádný rozdíl. Uvádí tak na příkladu </w:t>
      </w:r>
      <w:proofErr w:type="spellStart"/>
      <w:r w:rsidR="00024729">
        <w:rPr>
          <w:rFonts w:ascii="Garamond" w:hAnsi="Garamond"/>
          <w:lang w:val="cs-CZ"/>
        </w:rPr>
        <w:t>Smitha</w:t>
      </w:r>
      <w:proofErr w:type="spellEnd"/>
      <w:r w:rsidR="00024729">
        <w:rPr>
          <w:rFonts w:ascii="Garamond" w:hAnsi="Garamond"/>
          <w:lang w:val="cs-CZ"/>
        </w:rPr>
        <w:t xml:space="preserve"> a Jonese, kteří v případě smrti jejich šestiletého bratrance mají získat značné dědictví. V prvním případě Smith svého bratrance utopí a místo činu upraví tak, aby to vypadalo jako nehoda. V druhém případě Jones spatří svého bratrance, jak se uhodí do hlavy a začne se topit ve vaně. Jones nad smrtí pouze dohlíží a nechá bratrance utopit. Obdobně pak lékař, který z humánních důvodů nechá trpícího pacienta zemřít, se podle </w:t>
      </w:r>
      <w:proofErr w:type="spellStart"/>
      <w:r w:rsidR="00024729">
        <w:rPr>
          <w:rFonts w:ascii="Garamond" w:hAnsi="Garamond"/>
          <w:lang w:val="cs-CZ"/>
        </w:rPr>
        <w:t>Rachelse</w:t>
      </w:r>
      <w:proofErr w:type="spellEnd"/>
      <w:r w:rsidR="00024729">
        <w:rPr>
          <w:rFonts w:ascii="Garamond" w:hAnsi="Garamond"/>
          <w:lang w:val="cs-CZ"/>
        </w:rPr>
        <w:t xml:space="preserve"> nachází ve stejné morální pozici jako lékař, který trpícímu pacientovi podá smrtící injekci.</w:t>
      </w:r>
      <w:r w:rsidR="00024729">
        <w:rPr>
          <w:rStyle w:val="FootnoteReference"/>
          <w:rFonts w:ascii="Garamond" w:hAnsi="Garamond"/>
          <w:lang w:val="cs-CZ"/>
        </w:rPr>
        <w:footnoteReference w:id="7"/>
      </w:r>
      <w:r w:rsidR="00F8537E">
        <w:rPr>
          <w:rFonts w:ascii="Garamond" w:hAnsi="Garamond"/>
          <w:lang w:val="cs-CZ"/>
        </w:rPr>
        <w:t xml:space="preserve"> Navzdory této kritice je dle většiny autorů rozlišování na aktivní a pasivní eutanazii pro potřeby právní analýzy neopominutelné.</w:t>
      </w:r>
      <w:r w:rsidR="00F8537E">
        <w:rPr>
          <w:rStyle w:val="FootnoteReference"/>
          <w:rFonts w:ascii="Garamond" w:hAnsi="Garamond"/>
          <w:lang w:val="cs-CZ"/>
        </w:rPr>
        <w:footnoteReference w:id="8"/>
      </w:r>
    </w:p>
    <w:p w14:paraId="62E7D758" w14:textId="3BA52318" w:rsidR="00165F14" w:rsidRDefault="00F8537E" w:rsidP="00BF1236">
      <w:pPr>
        <w:spacing w:line="360" w:lineRule="auto"/>
        <w:jc w:val="both"/>
        <w:rPr>
          <w:rFonts w:ascii="Garamond" w:hAnsi="Garamond"/>
          <w:lang w:val="cs-CZ"/>
        </w:rPr>
      </w:pPr>
      <w:r>
        <w:rPr>
          <w:rFonts w:ascii="Garamond" w:hAnsi="Garamond"/>
          <w:lang w:val="cs-CZ"/>
        </w:rPr>
        <w:tab/>
      </w:r>
      <w:r w:rsidR="00CD1D1C">
        <w:rPr>
          <w:rFonts w:ascii="Garamond" w:hAnsi="Garamond"/>
          <w:lang w:val="cs-CZ"/>
        </w:rPr>
        <w:t>Dalším neméně sporným dělením je</w:t>
      </w:r>
      <w:r w:rsidR="00653D50">
        <w:rPr>
          <w:rFonts w:ascii="Garamond" w:hAnsi="Garamond"/>
          <w:lang w:val="cs-CZ"/>
        </w:rPr>
        <w:t xml:space="preserve"> tzv. dobrovolná a nedobrovolná eutanazie.</w:t>
      </w:r>
      <w:r w:rsidR="001D648B">
        <w:rPr>
          <w:rStyle w:val="FootnoteReference"/>
          <w:rFonts w:ascii="Garamond" w:hAnsi="Garamond"/>
          <w:lang w:val="cs-CZ"/>
        </w:rPr>
        <w:footnoteReference w:id="9"/>
      </w:r>
      <w:r w:rsidR="00653D50">
        <w:rPr>
          <w:rFonts w:ascii="Garamond" w:hAnsi="Garamond"/>
          <w:lang w:val="cs-CZ"/>
        </w:rPr>
        <w:t xml:space="preserve"> V případě dobrovolné eutanazie jedna osoba usmrtí druhou na základě její žádosti a vůle. V případě nedobrovolné půjde o případy, kdy osoba není schopna svou vůli momentálně vyjádřit a ani dříve nedala </w:t>
      </w:r>
      <w:r w:rsidR="00653D50">
        <w:rPr>
          <w:rFonts w:ascii="Garamond" w:hAnsi="Garamond"/>
          <w:lang w:val="cs-CZ"/>
        </w:rPr>
        <w:lastRenderedPageBreak/>
        <w:t>najevo svou vůli, zda by měla být ponechána při životě či nikoli.</w:t>
      </w:r>
      <w:r w:rsidR="00653D50">
        <w:rPr>
          <w:rStyle w:val="FootnoteReference"/>
          <w:rFonts w:ascii="Garamond" w:hAnsi="Garamond"/>
          <w:lang w:val="cs-CZ"/>
        </w:rPr>
        <w:footnoteReference w:id="10"/>
      </w:r>
      <w:r w:rsidR="00653D50">
        <w:rPr>
          <w:rFonts w:ascii="Garamond" w:hAnsi="Garamond"/>
          <w:lang w:val="cs-CZ"/>
        </w:rPr>
        <w:t xml:space="preserve"> </w:t>
      </w:r>
      <w:r w:rsidR="0011704B">
        <w:rPr>
          <w:rFonts w:ascii="Garamond" w:hAnsi="Garamond"/>
          <w:lang w:val="cs-CZ"/>
        </w:rPr>
        <w:t>V rámci nedobrovolné eutanazie se můžeme setkat s dvěma typy případů</w:t>
      </w:r>
      <w:r w:rsidR="00DA115D">
        <w:rPr>
          <w:rFonts w:ascii="Garamond" w:hAnsi="Garamond"/>
          <w:lang w:val="cs-CZ"/>
        </w:rPr>
        <w:t>. Půjde buď o osobu, která měla dříve možnost uvážit, zda by eutanazii podstoupila či nikoli, přičemž tato osoba takovou vůli nevyjádřila (typicky pacienti ve vegetativním stavu), anebo o osobu, která ve svém životě neměla možnost nebo schopnost svou vůli vyjádřit z důvodu nedostatku schopností (děti, případně osoby hluboce omezené ve svéprávnosti).</w:t>
      </w:r>
      <w:r w:rsidR="00DA115D">
        <w:rPr>
          <w:rStyle w:val="FootnoteReference"/>
          <w:rFonts w:ascii="Garamond" w:hAnsi="Garamond"/>
          <w:lang w:val="cs-CZ"/>
        </w:rPr>
        <w:footnoteReference w:id="11"/>
      </w:r>
      <w:r w:rsidR="00293303">
        <w:rPr>
          <w:rFonts w:ascii="Garamond" w:hAnsi="Garamond"/>
          <w:lang w:val="cs-CZ"/>
        </w:rPr>
        <w:t xml:space="preserve"> </w:t>
      </w:r>
      <w:r w:rsidR="002625F3">
        <w:rPr>
          <w:rFonts w:ascii="Garamond" w:hAnsi="Garamond"/>
          <w:lang w:val="cs-CZ"/>
        </w:rPr>
        <w:t>Konečně pak teorie ještě zvlášť dělí</w:t>
      </w:r>
      <w:r w:rsidR="000D5DA8">
        <w:rPr>
          <w:rFonts w:ascii="Garamond" w:hAnsi="Garamond"/>
          <w:lang w:val="cs-CZ"/>
        </w:rPr>
        <w:t xml:space="preserve"> (lékařsky) asistovanou sebevraždu. Asistovaná sebevražda má stejný záměr jako eutanazie, tedy ukončení života. Rozdíl je však ve způsobu, jak je toho dosaženo. U asistované sebevraždy osoba, zpravidla lékař, předepíše</w:t>
      </w:r>
      <w:r w:rsidR="005029B0">
        <w:rPr>
          <w:rFonts w:ascii="Garamond" w:hAnsi="Garamond"/>
          <w:lang w:val="cs-CZ"/>
        </w:rPr>
        <w:t xml:space="preserve"> nebo poskytne</w:t>
      </w:r>
      <w:r w:rsidR="000D5DA8">
        <w:rPr>
          <w:rFonts w:ascii="Garamond" w:hAnsi="Garamond"/>
          <w:lang w:val="cs-CZ"/>
        </w:rPr>
        <w:t xml:space="preserve"> na žádost jiné osoby smrtelnou dávku určité látky, s tím, že žadatel si tuto látku následně sám aplikuje.</w:t>
      </w:r>
      <w:r w:rsidR="000D5DA8">
        <w:rPr>
          <w:rStyle w:val="FootnoteReference"/>
          <w:rFonts w:ascii="Garamond" w:hAnsi="Garamond"/>
          <w:lang w:val="cs-CZ"/>
        </w:rPr>
        <w:footnoteReference w:id="12"/>
      </w:r>
    </w:p>
    <w:p w14:paraId="3E438D45" w14:textId="22E9BE59" w:rsidR="002115E7" w:rsidRDefault="00E53EBA" w:rsidP="00BF1236">
      <w:pPr>
        <w:spacing w:line="360" w:lineRule="auto"/>
        <w:jc w:val="both"/>
        <w:rPr>
          <w:rFonts w:ascii="Garamond" w:hAnsi="Garamond"/>
          <w:lang w:val="cs-CZ"/>
        </w:rPr>
      </w:pPr>
      <w:r>
        <w:rPr>
          <w:rFonts w:ascii="Garamond" w:hAnsi="Garamond"/>
          <w:lang w:val="cs-CZ"/>
        </w:rPr>
        <w:tab/>
        <w:t xml:space="preserve">Žádná z teoretických klasifikací však explicitně </w:t>
      </w:r>
      <w:r w:rsidR="0046091B">
        <w:rPr>
          <w:rFonts w:ascii="Garamond" w:hAnsi="Garamond"/>
          <w:lang w:val="cs-CZ"/>
        </w:rPr>
        <w:t>nevyčleňuje</w:t>
      </w:r>
      <w:r>
        <w:rPr>
          <w:rFonts w:ascii="Garamond" w:hAnsi="Garamond"/>
          <w:lang w:val="cs-CZ"/>
        </w:rPr>
        <w:t xml:space="preserve"> dětskou eutanazii</w:t>
      </w:r>
      <w:r w:rsidR="0059654B">
        <w:rPr>
          <w:rStyle w:val="FootnoteReference"/>
          <w:rFonts w:ascii="Garamond" w:hAnsi="Garamond"/>
          <w:lang w:val="cs-CZ"/>
        </w:rPr>
        <w:footnoteReference w:id="13"/>
      </w:r>
      <w:r w:rsidR="00913DF7">
        <w:rPr>
          <w:rFonts w:ascii="Garamond" w:hAnsi="Garamond"/>
          <w:lang w:val="cs-CZ"/>
        </w:rPr>
        <w:t>,</w:t>
      </w:r>
      <w:r>
        <w:rPr>
          <w:rFonts w:ascii="Garamond" w:hAnsi="Garamond"/>
          <w:lang w:val="cs-CZ"/>
        </w:rPr>
        <w:t xml:space="preserve"> případně asistovanou sebevraždu dětí jako skupinu, pro kterou by platily jiné zásady a poměřovaly se jiné hodnoty. Otázkou tak zůstává, proč by dětem neměla být garantována stejná práva, pokud ani teorie v eutanazii nerozeznává rozdíly podle věku pacienta. </w:t>
      </w:r>
      <w:r w:rsidR="003150FE">
        <w:rPr>
          <w:rFonts w:ascii="Garamond" w:hAnsi="Garamond"/>
          <w:lang w:val="cs-CZ"/>
        </w:rPr>
        <w:t>Toto</w:t>
      </w:r>
      <w:r w:rsidR="007B7453">
        <w:rPr>
          <w:rFonts w:ascii="Garamond" w:hAnsi="Garamond"/>
          <w:lang w:val="cs-CZ"/>
        </w:rPr>
        <w:t xml:space="preserve"> podtrhuje i legislativní vývoj ve vybraných zemích. Významnou roli zde hraje rozsudek </w:t>
      </w:r>
      <w:proofErr w:type="spellStart"/>
      <w:r w:rsidR="007B7453">
        <w:rPr>
          <w:rFonts w:ascii="Garamond" w:hAnsi="Garamond"/>
          <w:i/>
          <w:lang w:val="cs-CZ"/>
        </w:rPr>
        <w:t>Carter</w:t>
      </w:r>
      <w:proofErr w:type="spellEnd"/>
      <w:r w:rsidR="007B7453">
        <w:rPr>
          <w:rFonts w:ascii="Garamond" w:hAnsi="Garamond"/>
          <w:i/>
          <w:lang w:val="cs-CZ"/>
        </w:rPr>
        <w:t xml:space="preserve"> proti Kanadě</w:t>
      </w:r>
      <w:r w:rsidR="007B7453">
        <w:rPr>
          <w:rFonts w:ascii="Garamond" w:hAnsi="Garamond"/>
          <w:lang w:val="cs-CZ"/>
        </w:rPr>
        <w:t>,</w:t>
      </w:r>
      <w:r w:rsidR="007B7453">
        <w:rPr>
          <w:rStyle w:val="FootnoteReference"/>
          <w:rFonts w:ascii="Garamond" w:hAnsi="Garamond"/>
          <w:lang w:val="cs-CZ"/>
        </w:rPr>
        <w:footnoteReference w:id="14"/>
      </w:r>
      <w:r w:rsidR="007B7453">
        <w:rPr>
          <w:rFonts w:ascii="Garamond" w:hAnsi="Garamond"/>
          <w:lang w:val="cs-CZ"/>
        </w:rPr>
        <w:t xml:space="preserve"> který eutanazii a asistovanou sebevraždu transformoval z trestných činů na poskytování lékařských služeb.</w:t>
      </w:r>
      <w:r w:rsidR="009667D1">
        <w:rPr>
          <w:rStyle w:val="FootnoteReference"/>
          <w:rFonts w:ascii="Garamond" w:hAnsi="Garamond"/>
          <w:lang w:val="cs-CZ"/>
        </w:rPr>
        <w:footnoteReference w:id="15"/>
      </w:r>
      <w:r w:rsidR="003150FE">
        <w:rPr>
          <w:rFonts w:ascii="Garamond" w:hAnsi="Garamond"/>
          <w:lang w:val="cs-CZ"/>
        </w:rPr>
        <w:t xml:space="preserve"> Přestože tento rozsudek, ani navazující legislativa zatím </w:t>
      </w:r>
      <w:r w:rsidR="002115E7">
        <w:rPr>
          <w:rFonts w:ascii="Garamond" w:hAnsi="Garamond"/>
          <w:lang w:val="cs-CZ"/>
        </w:rPr>
        <w:t xml:space="preserve">přímo </w:t>
      </w:r>
      <w:r w:rsidR="003150FE">
        <w:rPr>
          <w:rFonts w:ascii="Garamond" w:hAnsi="Garamond"/>
          <w:lang w:val="cs-CZ"/>
        </w:rPr>
        <w:t xml:space="preserve">neumožnila dostatečně </w:t>
      </w:r>
      <w:r w:rsidR="00B30884">
        <w:rPr>
          <w:rFonts w:ascii="Garamond" w:hAnsi="Garamond"/>
          <w:lang w:val="cs-CZ"/>
        </w:rPr>
        <w:t>způsobilým</w:t>
      </w:r>
      <w:r w:rsidR="003150FE">
        <w:rPr>
          <w:rFonts w:ascii="Garamond" w:hAnsi="Garamond"/>
          <w:lang w:val="cs-CZ"/>
        </w:rPr>
        <w:t xml:space="preserve"> nezletilým žádat o eutanazii, </w:t>
      </w:r>
      <w:r w:rsidR="00913DF7">
        <w:rPr>
          <w:rFonts w:ascii="Garamond" w:hAnsi="Garamond"/>
          <w:lang w:val="cs-CZ"/>
        </w:rPr>
        <w:t xml:space="preserve">s tímto související kanadský </w:t>
      </w:r>
      <w:r w:rsidR="002115E7">
        <w:rPr>
          <w:rFonts w:ascii="Garamond" w:hAnsi="Garamond"/>
          <w:lang w:val="cs-CZ"/>
        </w:rPr>
        <w:t>zákon C-14</w:t>
      </w:r>
      <w:r w:rsidR="002115E7">
        <w:rPr>
          <w:rStyle w:val="FootnoteReference"/>
          <w:rFonts w:ascii="Garamond" w:hAnsi="Garamond"/>
          <w:lang w:val="cs-CZ"/>
        </w:rPr>
        <w:footnoteReference w:id="16"/>
      </w:r>
      <w:r w:rsidR="002115E7">
        <w:rPr>
          <w:rFonts w:ascii="Garamond" w:hAnsi="Garamond"/>
          <w:lang w:val="cs-CZ"/>
        </w:rPr>
        <w:t xml:space="preserve"> v budoucnu s takovou možností teoreticky počítá.</w:t>
      </w:r>
      <w:r w:rsidR="002115E7">
        <w:rPr>
          <w:rStyle w:val="FootnoteReference"/>
          <w:rFonts w:ascii="Garamond" w:hAnsi="Garamond"/>
          <w:lang w:val="cs-CZ"/>
        </w:rPr>
        <w:footnoteReference w:id="17"/>
      </w:r>
    </w:p>
    <w:p w14:paraId="5FC8FC30" w14:textId="0EA3B00E" w:rsidR="001D5548" w:rsidRPr="00165F14" w:rsidRDefault="002115E7" w:rsidP="00BF1236">
      <w:pPr>
        <w:spacing w:line="360" w:lineRule="auto"/>
        <w:jc w:val="both"/>
        <w:rPr>
          <w:rFonts w:ascii="Garamond" w:hAnsi="Garamond"/>
          <w:lang w:val="cs-CZ"/>
        </w:rPr>
      </w:pPr>
      <w:r>
        <w:rPr>
          <w:rFonts w:ascii="Garamond" w:hAnsi="Garamond"/>
          <w:lang w:val="cs-CZ"/>
        </w:rPr>
        <w:tab/>
        <w:t xml:space="preserve">Rozsudek </w:t>
      </w:r>
      <w:proofErr w:type="spellStart"/>
      <w:r>
        <w:rPr>
          <w:rFonts w:ascii="Garamond" w:hAnsi="Garamond"/>
          <w:i/>
          <w:lang w:val="cs-CZ"/>
        </w:rPr>
        <w:t>Carter</w:t>
      </w:r>
      <w:proofErr w:type="spellEnd"/>
      <w:r>
        <w:rPr>
          <w:rFonts w:ascii="Garamond" w:hAnsi="Garamond"/>
          <w:i/>
          <w:lang w:val="cs-CZ"/>
        </w:rPr>
        <w:t xml:space="preserve"> proti Kanadě</w:t>
      </w:r>
      <w:r>
        <w:rPr>
          <w:rFonts w:ascii="Garamond" w:hAnsi="Garamond"/>
          <w:lang w:val="cs-CZ"/>
        </w:rPr>
        <w:t xml:space="preserve"> vedl k přijetí zákonu C-14, který za splnění podmínek asistovanou sebevraždu zpřístupňuje dospělým pacientům, přičemž samotný zákon počítal s vytvořením nezávislé studie, </w:t>
      </w:r>
      <w:r w:rsidR="00B20F48">
        <w:rPr>
          <w:rFonts w:ascii="Garamond" w:hAnsi="Garamond"/>
          <w:lang w:val="cs-CZ"/>
        </w:rPr>
        <w:t xml:space="preserve">která měla odůvodnit, zda by bylo vhodné rozšíření této úpravy i na </w:t>
      </w:r>
      <w:r w:rsidR="00B30884">
        <w:rPr>
          <w:rFonts w:ascii="Garamond" w:hAnsi="Garamond"/>
          <w:lang w:val="cs-CZ"/>
        </w:rPr>
        <w:t>způsobilé</w:t>
      </w:r>
      <w:r w:rsidR="00B20F48">
        <w:rPr>
          <w:rFonts w:ascii="Garamond" w:hAnsi="Garamond"/>
          <w:lang w:val="cs-CZ"/>
        </w:rPr>
        <w:t xml:space="preserve"> nezletilé pacienty.</w:t>
      </w:r>
      <w:r w:rsidR="00B20F48">
        <w:rPr>
          <w:rStyle w:val="FootnoteReference"/>
          <w:rFonts w:ascii="Garamond" w:hAnsi="Garamond"/>
          <w:lang w:val="cs-CZ"/>
        </w:rPr>
        <w:footnoteReference w:id="18"/>
      </w:r>
      <w:r w:rsidR="00B20F48">
        <w:rPr>
          <w:rFonts w:ascii="Garamond" w:hAnsi="Garamond"/>
          <w:lang w:val="cs-CZ"/>
        </w:rPr>
        <w:t xml:space="preserve"> </w:t>
      </w:r>
      <w:r w:rsidR="00B30884">
        <w:rPr>
          <w:rFonts w:ascii="Garamond" w:hAnsi="Garamond"/>
          <w:lang w:val="cs-CZ"/>
        </w:rPr>
        <w:t xml:space="preserve">Tato rozsáhlá studie byla publikována na konci roku 2018 a ačkoli se přímo nevyjádřila pro rozšíření působnosti zákona na způsobilé nezletilé jedince, došla mimo jiné </w:t>
      </w:r>
      <w:r w:rsidR="00B30884">
        <w:rPr>
          <w:rFonts w:ascii="Garamond" w:hAnsi="Garamond"/>
          <w:lang w:val="cs-CZ"/>
        </w:rPr>
        <w:lastRenderedPageBreak/>
        <w:t xml:space="preserve">k závěru, že </w:t>
      </w:r>
      <w:r w:rsidR="00B30884" w:rsidRPr="00913DF7">
        <w:rPr>
          <w:rFonts w:ascii="Garamond" w:hAnsi="Garamond"/>
          <w:i/>
          <w:lang w:val="cs-CZ"/>
        </w:rPr>
        <w:t>způsobilost nezletilého o rozhodování o konci života nemůže být založeno pouze na chronologickém věku</w:t>
      </w:r>
      <w:r w:rsidR="00B30884">
        <w:rPr>
          <w:rFonts w:ascii="Garamond" w:hAnsi="Garamond"/>
          <w:lang w:val="cs-CZ"/>
        </w:rPr>
        <w:t>.</w:t>
      </w:r>
      <w:r w:rsidR="00B30884">
        <w:rPr>
          <w:rStyle w:val="FootnoteReference"/>
          <w:rFonts w:ascii="Garamond" w:hAnsi="Garamond"/>
          <w:lang w:val="cs-CZ"/>
        </w:rPr>
        <w:footnoteReference w:id="19"/>
      </w:r>
      <w:r w:rsidR="00B30884">
        <w:rPr>
          <w:rFonts w:ascii="Garamond" w:hAnsi="Garamond"/>
          <w:lang w:val="cs-CZ"/>
        </w:rPr>
        <w:t xml:space="preserve"> Výzkum studie ukázal, že někteří nezletilí jsou způsobilí rozhodovat o kritických lékařských otázkách, včetně těch o ukončení života. U odmítnutí rozšířit působnost zákona na způsobilé děti pak autoři spatřují problém zejména v tom, že je zde potenciální riziko soudních sporů, kde by se nezletilí mohli domáhat svých ústavních práv.</w:t>
      </w:r>
      <w:r w:rsidR="00B30884">
        <w:rPr>
          <w:rStyle w:val="FootnoteReference"/>
          <w:rFonts w:ascii="Garamond" w:hAnsi="Garamond"/>
          <w:lang w:val="cs-CZ"/>
        </w:rPr>
        <w:footnoteReference w:id="20"/>
      </w:r>
      <w:r w:rsidR="001D5548" w:rsidRPr="007759EE">
        <w:rPr>
          <w:rFonts w:ascii="Garamond" w:hAnsi="Garamond"/>
          <w:lang w:val="cs-CZ"/>
        </w:rPr>
        <w:br w:type="page"/>
      </w:r>
    </w:p>
    <w:p w14:paraId="665443A8" w14:textId="5FD13CAE" w:rsidR="00CB100A" w:rsidRPr="007759EE" w:rsidRDefault="001D5548" w:rsidP="00613549">
      <w:pPr>
        <w:pStyle w:val="Heading1"/>
        <w:numPr>
          <w:ilvl w:val="0"/>
          <w:numId w:val="2"/>
        </w:numPr>
        <w:spacing w:line="360" w:lineRule="auto"/>
        <w:ind w:left="720" w:hanging="720"/>
        <w:rPr>
          <w:lang w:val="cs-CZ"/>
        </w:rPr>
      </w:pPr>
      <w:bookmarkStart w:id="2" w:name="_Toc11919768"/>
      <w:r w:rsidRPr="007759EE">
        <w:rPr>
          <w:lang w:val="cs-CZ"/>
        </w:rPr>
        <w:lastRenderedPageBreak/>
        <w:t>Právní úprava v</w:t>
      </w:r>
      <w:r w:rsidR="007759EE" w:rsidRPr="007759EE">
        <w:rPr>
          <w:lang w:val="cs-CZ"/>
        </w:rPr>
        <w:t> </w:t>
      </w:r>
      <w:r w:rsidRPr="007759EE">
        <w:rPr>
          <w:lang w:val="cs-CZ"/>
        </w:rPr>
        <w:t>zahraničí</w:t>
      </w:r>
      <w:bookmarkEnd w:id="2"/>
    </w:p>
    <w:p w14:paraId="02E4582D" w14:textId="3D1ADD05" w:rsidR="00C04DC2" w:rsidRDefault="00E54C20" w:rsidP="00B81EB3">
      <w:pPr>
        <w:spacing w:line="360" w:lineRule="auto"/>
        <w:ind w:firstLine="720"/>
        <w:jc w:val="both"/>
        <w:rPr>
          <w:rFonts w:ascii="Garamond" w:hAnsi="Garamond"/>
          <w:lang w:val="cs-CZ"/>
        </w:rPr>
      </w:pPr>
      <w:r>
        <w:rPr>
          <w:rFonts w:ascii="Garamond" w:hAnsi="Garamond"/>
          <w:lang w:val="cs-CZ"/>
        </w:rPr>
        <w:t>Aktivní eutanazie</w:t>
      </w:r>
      <w:r w:rsidR="00257C3A">
        <w:rPr>
          <w:rFonts w:ascii="Garamond" w:hAnsi="Garamond"/>
          <w:lang w:val="cs-CZ"/>
        </w:rPr>
        <w:t>, popřípadě asistovaná sebevražda, je</w:t>
      </w:r>
      <w:r>
        <w:rPr>
          <w:rFonts w:ascii="Garamond" w:hAnsi="Garamond"/>
          <w:lang w:val="cs-CZ"/>
        </w:rPr>
        <w:t xml:space="preserve"> povolena v Belgii, Nizozemsku, Lucembursku, Švýcarsku</w:t>
      </w:r>
      <w:r w:rsidR="00257C3A">
        <w:rPr>
          <w:rFonts w:ascii="Garamond" w:hAnsi="Garamond"/>
          <w:lang w:val="cs-CZ"/>
        </w:rPr>
        <w:t>, Kanadě</w:t>
      </w:r>
      <w:r>
        <w:rPr>
          <w:rFonts w:ascii="Garamond" w:hAnsi="Garamond"/>
          <w:lang w:val="cs-CZ"/>
        </w:rPr>
        <w:t xml:space="preserve"> a v amerických státech Oregon, Washington, Montana, Vermont a Kalifornie.</w:t>
      </w:r>
      <w:r>
        <w:rPr>
          <w:rStyle w:val="FootnoteReference"/>
          <w:rFonts w:ascii="Garamond" w:hAnsi="Garamond"/>
          <w:lang w:val="cs-CZ"/>
        </w:rPr>
        <w:footnoteReference w:id="21"/>
      </w:r>
      <w:r>
        <w:rPr>
          <w:rFonts w:ascii="Garamond" w:hAnsi="Garamond"/>
          <w:lang w:val="cs-CZ"/>
        </w:rPr>
        <w:t xml:space="preserve"> Pasivní eutanazie</w:t>
      </w:r>
      <w:r w:rsidR="00257C3A">
        <w:rPr>
          <w:rFonts w:ascii="Garamond" w:hAnsi="Garamond"/>
          <w:lang w:val="cs-CZ"/>
        </w:rPr>
        <w:t>, jakožto méně kontroverzní záležitost,</w:t>
      </w:r>
      <w:r>
        <w:rPr>
          <w:rFonts w:ascii="Garamond" w:hAnsi="Garamond"/>
          <w:lang w:val="cs-CZ"/>
        </w:rPr>
        <w:t xml:space="preserve"> je pak umožněna</w:t>
      </w:r>
      <w:r w:rsidR="00257C3A">
        <w:rPr>
          <w:rFonts w:ascii="Garamond" w:hAnsi="Garamond"/>
          <w:lang w:val="cs-CZ"/>
        </w:rPr>
        <w:t xml:space="preserve"> v mnohem větším okruhu států po celém světě, namátkou pak</w:t>
      </w:r>
      <w:r>
        <w:rPr>
          <w:rFonts w:ascii="Garamond" w:hAnsi="Garamond"/>
          <w:lang w:val="cs-CZ"/>
        </w:rPr>
        <w:t xml:space="preserve"> v</w:t>
      </w:r>
      <w:r w:rsidR="00257C3A">
        <w:rPr>
          <w:rFonts w:ascii="Garamond" w:hAnsi="Garamond"/>
          <w:lang w:val="cs-CZ"/>
        </w:rPr>
        <w:t xml:space="preserve"> Británii, </w:t>
      </w:r>
      <w:r>
        <w:rPr>
          <w:rFonts w:ascii="Garamond" w:hAnsi="Garamond"/>
          <w:lang w:val="cs-CZ"/>
        </w:rPr>
        <w:t>Dánsku, Finsku, Francii, Irsku, Itálii, Německu</w:t>
      </w:r>
      <w:r w:rsidR="00257C3A">
        <w:rPr>
          <w:rFonts w:ascii="Garamond" w:hAnsi="Garamond"/>
          <w:lang w:val="cs-CZ"/>
        </w:rPr>
        <w:t xml:space="preserve"> i na federální úrovni USA</w:t>
      </w:r>
      <w:r>
        <w:rPr>
          <w:rFonts w:ascii="Garamond" w:hAnsi="Garamond"/>
          <w:lang w:val="cs-CZ"/>
        </w:rPr>
        <w:t>. Eutanazie dětí je však umožněna pouze ve dvou státech na světě, a to v Belgii a Nizozemsku.</w:t>
      </w:r>
    </w:p>
    <w:p w14:paraId="5FEC62F8" w14:textId="45FA466D" w:rsidR="007759EE" w:rsidRDefault="0014565E" w:rsidP="00B81EB3">
      <w:pPr>
        <w:spacing w:line="360" w:lineRule="auto"/>
        <w:ind w:firstLine="720"/>
        <w:jc w:val="both"/>
        <w:rPr>
          <w:rFonts w:ascii="Garamond" w:hAnsi="Garamond"/>
          <w:lang w:val="cs-CZ"/>
        </w:rPr>
      </w:pPr>
      <w:r>
        <w:rPr>
          <w:rFonts w:ascii="Garamond" w:hAnsi="Garamond"/>
          <w:lang w:val="cs-CZ"/>
        </w:rPr>
        <w:t>Zásadní roli v legislativě umožňující eutanazii hrálo s</w:t>
      </w:r>
      <w:r w:rsidR="00B81EB3">
        <w:rPr>
          <w:rFonts w:ascii="Garamond" w:hAnsi="Garamond"/>
          <w:lang w:val="cs-CZ"/>
        </w:rPr>
        <w:t xml:space="preserve">tanovení věkové hranice, která má </w:t>
      </w:r>
      <w:r w:rsidR="00E54C20">
        <w:rPr>
          <w:rFonts w:ascii="Garamond" w:hAnsi="Garamond"/>
          <w:lang w:val="cs-CZ"/>
        </w:rPr>
        <w:t>představovat</w:t>
      </w:r>
      <w:r w:rsidR="00B81EB3">
        <w:rPr>
          <w:rFonts w:ascii="Garamond" w:hAnsi="Garamond"/>
          <w:lang w:val="cs-CZ"/>
        </w:rPr>
        <w:t xml:space="preserve"> určitou míru vyspělosti</w:t>
      </w:r>
      <w:r w:rsidR="002D1A22">
        <w:rPr>
          <w:rFonts w:ascii="Garamond" w:hAnsi="Garamond"/>
          <w:lang w:val="cs-CZ"/>
        </w:rPr>
        <w:t xml:space="preserve"> pacienta</w:t>
      </w:r>
      <w:r>
        <w:rPr>
          <w:rFonts w:ascii="Garamond" w:hAnsi="Garamond"/>
          <w:lang w:val="cs-CZ"/>
        </w:rPr>
        <w:t xml:space="preserve">. </w:t>
      </w:r>
      <w:r w:rsidR="008E4D9E">
        <w:rPr>
          <w:rFonts w:ascii="Garamond" w:hAnsi="Garamond"/>
          <w:lang w:val="cs-CZ"/>
        </w:rPr>
        <w:t xml:space="preserve">Otázka, zda a jak vysoká má být věková hranice k umožnění eutanazie, byla hojně diskutovaným tématem, přičemž </w:t>
      </w:r>
      <w:r w:rsidR="006B6707">
        <w:rPr>
          <w:rFonts w:ascii="Garamond" w:hAnsi="Garamond"/>
          <w:lang w:val="cs-CZ"/>
        </w:rPr>
        <w:t xml:space="preserve">paradoxně </w:t>
      </w:r>
      <w:r w:rsidR="008E4D9E">
        <w:rPr>
          <w:rFonts w:ascii="Garamond" w:hAnsi="Garamond"/>
          <w:lang w:val="cs-CZ"/>
        </w:rPr>
        <w:t xml:space="preserve">v těch stejných jurisdikcích byla věková hranice pro rozhodování dětí o </w:t>
      </w:r>
      <w:r w:rsidR="00E54C20">
        <w:rPr>
          <w:rFonts w:ascii="Garamond" w:hAnsi="Garamond"/>
          <w:lang w:val="cs-CZ"/>
        </w:rPr>
        <w:t xml:space="preserve">jiných </w:t>
      </w:r>
      <w:r w:rsidR="008E4D9E">
        <w:rPr>
          <w:rFonts w:ascii="Garamond" w:hAnsi="Garamond"/>
          <w:lang w:val="cs-CZ"/>
        </w:rPr>
        <w:t xml:space="preserve">lékařských otázkách a postupech dávno upravena. Míra účasti nezletilých na lékařských rozhodnutí, týkajících se jejich zdraví a života, je uzákoněna každým státem jinak a mezi jednotlivými jurisdikcemi panují značné rozdíly jak v otázce věku, tak v povaze lékařského rozhodnutí. </w:t>
      </w:r>
      <w:r w:rsidR="001D4BD4">
        <w:rPr>
          <w:rFonts w:ascii="Garamond" w:hAnsi="Garamond"/>
          <w:lang w:val="cs-CZ"/>
        </w:rPr>
        <w:t>V rámci evropských zemí se zákonný věk k udělení nezávislého souhlasu pohybuje mezi dvanácti a osmnácti.</w:t>
      </w:r>
      <w:r w:rsidR="001D4BD4">
        <w:rPr>
          <w:rStyle w:val="FootnoteReference"/>
          <w:rFonts w:ascii="Garamond" w:hAnsi="Garamond"/>
          <w:lang w:val="cs-CZ"/>
        </w:rPr>
        <w:footnoteReference w:id="22"/>
      </w:r>
      <w:r w:rsidR="001D4BD4">
        <w:rPr>
          <w:rFonts w:ascii="Garamond" w:hAnsi="Garamond"/>
          <w:lang w:val="cs-CZ"/>
        </w:rPr>
        <w:t xml:space="preserve"> V rámci lékařských rozhodnutí celkově devět členských států EU má stanovenou pevnou věkovou hranici k udělení souhlasu s léčbou, další pak berou v úvahu vyspělost nezletilého (Belgie) a/nebo jeho způsobilost (Francie).</w:t>
      </w:r>
      <w:r w:rsidR="001D4BD4">
        <w:rPr>
          <w:rStyle w:val="FootnoteReference"/>
          <w:rFonts w:ascii="Garamond" w:hAnsi="Garamond"/>
          <w:lang w:val="cs-CZ"/>
        </w:rPr>
        <w:footnoteReference w:id="23"/>
      </w:r>
    </w:p>
    <w:p w14:paraId="76566CDC" w14:textId="661F011F" w:rsidR="007759EE" w:rsidRPr="007759EE" w:rsidRDefault="007759EE" w:rsidP="00613549">
      <w:pPr>
        <w:pStyle w:val="Heading2"/>
        <w:numPr>
          <w:ilvl w:val="0"/>
          <w:numId w:val="14"/>
        </w:numPr>
        <w:spacing w:line="360" w:lineRule="auto"/>
        <w:rPr>
          <w:lang w:val="cs-CZ"/>
        </w:rPr>
      </w:pPr>
      <w:bookmarkStart w:id="3" w:name="_Toc11919769"/>
      <w:r w:rsidRPr="007759EE">
        <w:rPr>
          <w:lang w:val="cs-CZ"/>
        </w:rPr>
        <w:t>Právní úprava v Belgii</w:t>
      </w:r>
      <w:bookmarkEnd w:id="3"/>
    </w:p>
    <w:p w14:paraId="43750E37" w14:textId="5D4B59E5" w:rsidR="007759EE" w:rsidRDefault="00904CE8" w:rsidP="00613549">
      <w:pPr>
        <w:spacing w:line="360" w:lineRule="auto"/>
        <w:ind w:firstLine="720"/>
        <w:jc w:val="both"/>
        <w:rPr>
          <w:rFonts w:ascii="Garamond" w:hAnsi="Garamond"/>
          <w:lang w:val="cs-CZ"/>
        </w:rPr>
      </w:pPr>
      <w:r>
        <w:rPr>
          <w:rFonts w:ascii="Garamond" w:hAnsi="Garamond"/>
          <w:lang w:val="cs-CZ"/>
        </w:rPr>
        <w:t>Zkraje února 2014</w:t>
      </w:r>
      <w:r w:rsidR="00613549">
        <w:rPr>
          <w:rFonts w:ascii="Garamond" w:hAnsi="Garamond"/>
          <w:lang w:val="cs-CZ"/>
        </w:rPr>
        <w:t xml:space="preserve"> belgičtí poslanci silnou většinou schválili rozšíření práva na eutanazii i na nevyléčitelně nemocné děti</w:t>
      </w:r>
      <w:r w:rsidR="004D5658">
        <w:rPr>
          <w:rFonts w:ascii="Garamond" w:hAnsi="Garamond"/>
          <w:lang w:val="cs-CZ"/>
        </w:rPr>
        <w:t>, čímž se Belgie stala první</w:t>
      </w:r>
      <w:r w:rsidR="00FE2CFF">
        <w:rPr>
          <w:rFonts w:ascii="Garamond" w:hAnsi="Garamond"/>
          <w:lang w:val="cs-CZ"/>
        </w:rPr>
        <w:t>m</w:t>
      </w:r>
      <w:r w:rsidR="004D5658">
        <w:rPr>
          <w:rFonts w:ascii="Garamond" w:hAnsi="Garamond"/>
          <w:lang w:val="cs-CZ"/>
        </w:rPr>
        <w:t xml:space="preserve"> </w:t>
      </w:r>
      <w:r w:rsidR="00FE2CFF">
        <w:rPr>
          <w:rFonts w:ascii="Garamond" w:hAnsi="Garamond"/>
          <w:lang w:val="cs-CZ"/>
        </w:rPr>
        <w:t>státem</w:t>
      </w:r>
      <w:r w:rsidR="004D5658">
        <w:rPr>
          <w:rFonts w:ascii="Garamond" w:hAnsi="Garamond"/>
          <w:lang w:val="cs-CZ"/>
        </w:rPr>
        <w:t xml:space="preserve"> na světě, kter</w:t>
      </w:r>
      <w:r w:rsidR="00FE2CFF">
        <w:rPr>
          <w:rFonts w:ascii="Garamond" w:hAnsi="Garamond"/>
          <w:lang w:val="cs-CZ"/>
        </w:rPr>
        <w:t>ý</w:t>
      </w:r>
      <w:r w:rsidR="004D5658">
        <w:rPr>
          <w:rFonts w:ascii="Garamond" w:hAnsi="Garamond"/>
          <w:lang w:val="cs-CZ"/>
        </w:rPr>
        <w:t xml:space="preserve"> </w:t>
      </w:r>
      <w:r w:rsidR="00FE2CFF">
        <w:rPr>
          <w:rFonts w:ascii="Garamond" w:hAnsi="Garamond"/>
          <w:lang w:val="cs-CZ"/>
        </w:rPr>
        <w:t xml:space="preserve">u eutanazie </w:t>
      </w:r>
      <w:r w:rsidR="004D5658">
        <w:rPr>
          <w:rFonts w:ascii="Garamond" w:hAnsi="Garamond"/>
          <w:lang w:val="cs-CZ"/>
        </w:rPr>
        <w:t>odstranil věkový limit.</w:t>
      </w:r>
      <w:r w:rsidR="004D5658">
        <w:rPr>
          <w:rStyle w:val="FootnoteReference"/>
          <w:rFonts w:ascii="Garamond" w:hAnsi="Garamond"/>
          <w:lang w:val="cs-CZ"/>
        </w:rPr>
        <w:footnoteReference w:id="24"/>
      </w:r>
      <w:r w:rsidR="00FE2CFF">
        <w:rPr>
          <w:rFonts w:ascii="Garamond" w:hAnsi="Garamond"/>
          <w:lang w:val="cs-CZ"/>
        </w:rPr>
        <w:t xml:space="preserve"> Podle této úpravy tak může každý</w:t>
      </w:r>
      <w:r w:rsidR="00AE6078">
        <w:rPr>
          <w:rFonts w:ascii="Garamond" w:hAnsi="Garamond"/>
          <w:lang w:val="cs-CZ"/>
        </w:rPr>
        <w:t xml:space="preserve"> dětský</w:t>
      </w:r>
      <w:r w:rsidR="00FE2CFF">
        <w:rPr>
          <w:rFonts w:ascii="Garamond" w:hAnsi="Garamond"/>
          <w:lang w:val="cs-CZ"/>
        </w:rPr>
        <w:t xml:space="preserve"> pacient zažádat o eutanazii za předpokladu splnění následujících podmínek:</w:t>
      </w:r>
      <w:r w:rsidR="00FE2CFF">
        <w:rPr>
          <w:rStyle w:val="FootnoteReference"/>
          <w:rFonts w:ascii="Garamond" w:hAnsi="Garamond"/>
          <w:lang w:val="cs-CZ"/>
        </w:rPr>
        <w:footnoteReference w:id="25"/>
      </w:r>
    </w:p>
    <w:p w14:paraId="5CF45C06" w14:textId="5A5277B7" w:rsidR="001D62FD" w:rsidRDefault="000A7A59" w:rsidP="001D62FD">
      <w:pPr>
        <w:pStyle w:val="ListParagraph"/>
        <w:numPr>
          <w:ilvl w:val="0"/>
          <w:numId w:val="15"/>
        </w:numPr>
        <w:spacing w:line="360" w:lineRule="auto"/>
        <w:jc w:val="both"/>
        <w:rPr>
          <w:rFonts w:ascii="Garamond" w:hAnsi="Garamond"/>
          <w:lang w:val="cs-CZ"/>
        </w:rPr>
      </w:pPr>
      <w:r>
        <w:rPr>
          <w:rFonts w:ascii="Garamond" w:hAnsi="Garamond"/>
          <w:lang w:val="cs-CZ"/>
        </w:rPr>
        <w:t>Pacient</w:t>
      </w:r>
      <w:r w:rsidR="001D62FD">
        <w:rPr>
          <w:rFonts w:ascii="Garamond" w:hAnsi="Garamond"/>
          <w:lang w:val="cs-CZ"/>
        </w:rPr>
        <w:t xml:space="preserve"> </w:t>
      </w:r>
      <w:r w:rsidR="00E15D19">
        <w:rPr>
          <w:rFonts w:ascii="Garamond" w:hAnsi="Garamond"/>
          <w:lang w:val="cs-CZ"/>
        </w:rPr>
        <w:t>se musí nacházet v</w:t>
      </w:r>
      <w:r w:rsidR="008C29B9">
        <w:rPr>
          <w:rFonts w:ascii="Garamond" w:hAnsi="Garamond"/>
          <w:lang w:val="cs-CZ"/>
        </w:rPr>
        <w:t>e</w:t>
      </w:r>
      <w:r w:rsidR="00E15D19">
        <w:rPr>
          <w:rFonts w:ascii="Garamond" w:hAnsi="Garamond"/>
          <w:lang w:val="cs-CZ"/>
        </w:rPr>
        <w:t xml:space="preserve"> zdravotně bezvýchodné situaci, způsobenou závažnou a nevyléčitelnou nemocí nahodilé nebo patologické povahy, doprovázenou konstantním a nesnesitelným fyzickým utrpením, kterému nelze ulevit a </w:t>
      </w:r>
      <w:r w:rsidR="00486FFE">
        <w:rPr>
          <w:rFonts w:ascii="Garamond" w:hAnsi="Garamond"/>
          <w:lang w:val="cs-CZ"/>
        </w:rPr>
        <w:t xml:space="preserve">která </w:t>
      </w:r>
      <w:r w:rsidR="00E15D19">
        <w:rPr>
          <w:rFonts w:ascii="Garamond" w:hAnsi="Garamond"/>
          <w:lang w:val="cs-CZ"/>
        </w:rPr>
        <w:t>způsobí v krátkém časovém horizontu smrt;</w:t>
      </w:r>
    </w:p>
    <w:p w14:paraId="6C55ACD1" w14:textId="7164E9C5" w:rsidR="001D62FD" w:rsidRDefault="006F01A5" w:rsidP="001D62FD">
      <w:pPr>
        <w:pStyle w:val="ListParagraph"/>
        <w:numPr>
          <w:ilvl w:val="0"/>
          <w:numId w:val="15"/>
        </w:numPr>
        <w:spacing w:line="360" w:lineRule="auto"/>
        <w:jc w:val="both"/>
        <w:rPr>
          <w:rFonts w:ascii="Garamond" w:hAnsi="Garamond"/>
          <w:lang w:val="cs-CZ"/>
        </w:rPr>
      </w:pPr>
      <w:r>
        <w:rPr>
          <w:rFonts w:ascii="Garamond" w:hAnsi="Garamond"/>
          <w:lang w:val="cs-CZ"/>
        </w:rPr>
        <w:lastRenderedPageBreak/>
        <w:t>v</w:t>
      </w:r>
      <w:r w:rsidR="001D62FD">
        <w:rPr>
          <w:rFonts w:ascii="Garamond" w:hAnsi="Garamond"/>
          <w:lang w:val="cs-CZ"/>
        </w:rPr>
        <w:t xml:space="preserve"> době podání žádosti musí být </w:t>
      </w:r>
      <w:r w:rsidR="000A7A59">
        <w:rPr>
          <w:rFonts w:ascii="Garamond" w:hAnsi="Garamond"/>
          <w:lang w:val="cs-CZ"/>
        </w:rPr>
        <w:t>pacient</w:t>
      </w:r>
      <w:r w:rsidR="001D62FD">
        <w:rPr>
          <w:rFonts w:ascii="Garamond" w:hAnsi="Garamond"/>
          <w:lang w:val="cs-CZ"/>
        </w:rPr>
        <w:t xml:space="preserve"> schopen</w:t>
      </w:r>
      <w:r w:rsidR="00B152D9">
        <w:rPr>
          <w:rFonts w:ascii="Garamond" w:hAnsi="Garamond"/>
          <w:lang w:val="cs-CZ"/>
        </w:rPr>
        <w:t xml:space="preserve"> takové rozhodnutí učinit</w:t>
      </w:r>
      <w:r w:rsidR="00897C0B">
        <w:rPr>
          <w:rFonts w:ascii="Garamond" w:hAnsi="Garamond"/>
          <w:lang w:val="cs-CZ"/>
        </w:rPr>
        <w:t xml:space="preserve"> (</w:t>
      </w:r>
      <w:r w:rsidR="00EE7D34">
        <w:rPr>
          <w:rFonts w:ascii="Garamond" w:hAnsi="Garamond"/>
          <w:lang w:val="cs-CZ"/>
        </w:rPr>
        <w:t>dále jen „</w:t>
      </w:r>
      <w:r w:rsidR="00897C0B">
        <w:rPr>
          <w:rFonts w:ascii="Garamond" w:hAnsi="Garamond"/>
          <w:lang w:val="cs-CZ"/>
        </w:rPr>
        <w:t>duševní způsobilost</w:t>
      </w:r>
      <w:r w:rsidR="00EE7D34">
        <w:rPr>
          <w:rFonts w:ascii="Garamond" w:hAnsi="Garamond"/>
          <w:lang w:val="cs-CZ"/>
        </w:rPr>
        <w:t>“</w:t>
      </w:r>
      <w:r w:rsidR="00897C0B">
        <w:rPr>
          <w:rFonts w:ascii="Garamond" w:hAnsi="Garamond"/>
          <w:lang w:val="cs-CZ"/>
        </w:rPr>
        <w:t>)</w:t>
      </w:r>
      <w:r w:rsidR="00B152D9">
        <w:rPr>
          <w:rStyle w:val="FootnoteReference"/>
          <w:rFonts w:ascii="Garamond" w:hAnsi="Garamond"/>
          <w:lang w:val="cs-CZ"/>
        </w:rPr>
        <w:footnoteReference w:id="26"/>
      </w:r>
      <w:r w:rsidR="00B152D9">
        <w:rPr>
          <w:rFonts w:ascii="Garamond" w:hAnsi="Garamond"/>
          <w:lang w:val="cs-CZ"/>
        </w:rPr>
        <w:t xml:space="preserve">, což musí posoudit </w:t>
      </w:r>
      <w:r w:rsidR="003E04C2">
        <w:rPr>
          <w:rFonts w:ascii="Garamond" w:hAnsi="Garamond"/>
          <w:lang w:val="cs-CZ"/>
        </w:rPr>
        <w:t xml:space="preserve">nezávislý odborník, a to buď </w:t>
      </w:r>
      <w:r w:rsidR="00B152D9">
        <w:rPr>
          <w:rFonts w:ascii="Garamond" w:hAnsi="Garamond"/>
          <w:lang w:val="cs-CZ"/>
        </w:rPr>
        <w:t>dětský psychiatr nebo psycholog.</w:t>
      </w:r>
      <w:r w:rsidR="003E04C2">
        <w:rPr>
          <w:rFonts w:ascii="Garamond" w:hAnsi="Garamond"/>
          <w:lang w:val="cs-CZ"/>
        </w:rPr>
        <w:t xml:space="preserve"> Zároveň musí posoudit, zda nebyl pacient ovlivněn třetí osobou</w:t>
      </w:r>
      <w:r w:rsidR="00F956E8">
        <w:rPr>
          <w:rFonts w:ascii="Garamond" w:hAnsi="Garamond"/>
          <w:lang w:val="cs-CZ"/>
        </w:rPr>
        <w:t>;</w:t>
      </w:r>
      <w:r w:rsidR="00370593">
        <w:rPr>
          <w:rStyle w:val="FootnoteReference"/>
          <w:rFonts w:ascii="Garamond" w:hAnsi="Garamond"/>
          <w:lang w:val="cs-CZ"/>
        </w:rPr>
        <w:footnoteReference w:id="27"/>
      </w:r>
    </w:p>
    <w:p w14:paraId="10489971" w14:textId="294151D0" w:rsidR="00B152D9" w:rsidRDefault="006F01A5" w:rsidP="001D62FD">
      <w:pPr>
        <w:pStyle w:val="ListParagraph"/>
        <w:numPr>
          <w:ilvl w:val="0"/>
          <w:numId w:val="15"/>
        </w:numPr>
        <w:spacing w:line="360" w:lineRule="auto"/>
        <w:jc w:val="both"/>
        <w:rPr>
          <w:rFonts w:ascii="Garamond" w:hAnsi="Garamond"/>
          <w:lang w:val="cs-CZ"/>
        </w:rPr>
      </w:pPr>
      <w:r>
        <w:rPr>
          <w:rFonts w:ascii="Garamond" w:hAnsi="Garamond"/>
          <w:lang w:val="cs-CZ"/>
        </w:rPr>
        <w:t>ž</w:t>
      </w:r>
      <w:r w:rsidR="00B152D9">
        <w:rPr>
          <w:rFonts w:ascii="Garamond" w:hAnsi="Garamond"/>
          <w:lang w:val="cs-CZ"/>
        </w:rPr>
        <w:t xml:space="preserve">ádost musí být písemná, podána přímo </w:t>
      </w:r>
      <w:r w:rsidR="00AE6078">
        <w:rPr>
          <w:rFonts w:ascii="Garamond" w:hAnsi="Garamond"/>
          <w:lang w:val="cs-CZ"/>
        </w:rPr>
        <w:t>pacientem</w:t>
      </w:r>
      <w:r w:rsidR="00B152D9">
        <w:rPr>
          <w:rFonts w:ascii="Garamond" w:hAnsi="Garamond"/>
          <w:lang w:val="cs-CZ"/>
        </w:rPr>
        <w:t>, a to opakovaně</w:t>
      </w:r>
      <w:r w:rsidR="00F956E8">
        <w:rPr>
          <w:rFonts w:ascii="Garamond" w:hAnsi="Garamond"/>
          <w:lang w:val="cs-CZ"/>
        </w:rPr>
        <w:t>;</w:t>
      </w:r>
    </w:p>
    <w:p w14:paraId="5D96BE9D" w14:textId="0E948F1A" w:rsidR="00B152D9" w:rsidRDefault="006F01A5" w:rsidP="001D62FD">
      <w:pPr>
        <w:pStyle w:val="ListParagraph"/>
        <w:numPr>
          <w:ilvl w:val="0"/>
          <w:numId w:val="15"/>
        </w:numPr>
        <w:spacing w:line="360" w:lineRule="auto"/>
        <w:jc w:val="both"/>
        <w:rPr>
          <w:rFonts w:ascii="Garamond" w:hAnsi="Garamond"/>
          <w:lang w:val="cs-CZ"/>
        </w:rPr>
      </w:pPr>
      <w:r>
        <w:rPr>
          <w:rFonts w:ascii="Garamond" w:hAnsi="Garamond"/>
          <w:lang w:val="cs-CZ"/>
        </w:rPr>
        <w:t>j</w:t>
      </w:r>
      <w:r w:rsidR="00B152D9">
        <w:rPr>
          <w:rFonts w:ascii="Garamond" w:hAnsi="Garamond"/>
          <w:lang w:val="cs-CZ"/>
        </w:rPr>
        <w:t>e vyžadován písemný souhlas rodičů</w:t>
      </w:r>
      <w:r w:rsidR="00F956E8">
        <w:rPr>
          <w:rFonts w:ascii="Garamond" w:hAnsi="Garamond"/>
          <w:lang w:val="cs-CZ"/>
        </w:rPr>
        <w:t>;</w:t>
      </w:r>
    </w:p>
    <w:p w14:paraId="25289B1C" w14:textId="39D33954" w:rsidR="00B152D9" w:rsidRDefault="006F01A5" w:rsidP="001D62FD">
      <w:pPr>
        <w:pStyle w:val="ListParagraph"/>
        <w:numPr>
          <w:ilvl w:val="0"/>
          <w:numId w:val="15"/>
        </w:numPr>
        <w:spacing w:line="360" w:lineRule="auto"/>
        <w:jc w:val="both"/>
        <w:rPr>
          <w:rFonts w:ascii="Garamond" w:hAnsi="Garamond"/>
          <w:lang w:val="cs-CZ"/>
        </w:rPr>
      </w:pPr>
      <w:r>
        <w:rPr>
          <w:rFonts w:ascii="Garamond" w:hAnsi="Garamond"/>
          <w:lang w:val="cs-CZ"/>
        </w:rPr>
        <w:t>o</w:t>
      </w:r>
      <w:r w:rsidR="00B152D9">
        <w:rPr>
          <w:rFonts w:ascii="Garamond" w:hAnsi="Garamond"/>
          <w:lang w:val="cs-CZ"/>
        </w:rPr>
        <w:t>šetřující lékař musí žádost zvlášť posoudit a musí znát pacientův lékařský spis</w:t>
      </w:r>
      <w:r w:rsidR="00F956E8">
        <w:rPr>
          <w:rFonts w:ascii="Garamond" w:hAnsi="Garamond"/>
          <w:lang w:val="cs-CZ"/>
        </w:rPr>
        <w:t>;</w:t>
      </w:r>
    </w:p>
    <w:p w14:paraId="4458A26D" w14:textId="15E84822" w:rsidR="00B152D9" w:rsidRDefault="006F01A5" w:rsidP="001D62FD">
      <w:pPr>
        <w:pStyle w:val="ListParagraph"/>
        <w:numPr>
          <w:ilvl w:val="0"/>
          <w:numId w:val="15"/>
        </w:numPr>
        <w:spacing w:line="360" w:lineRule="auto"/>
        <w:jc w:val="both"/>
        <w:rPr>
          <w:rFonts w:ascii="Garamond" w:hAnsi="Garamond"/>
          <w:lang w:val="cs-CZ"/>
        </w:rPr>
      </w:pPr>
      <w:r>
        <w:rPr>
          <w:rFonts w:ascii="Garamond" w:hAnsi="Garamond"/>
          <w:lang w:val="cs-CZ"/>
        </w:rPr>
        <w:t>p</w:t>
      </w:r>
      <w:r w:rsidR="003E04C2">
        <w:rPr>
          <w:rFonts w:ascii="Garamond" w:hAnsi="Garamond"/>
          <w:lang w:val="cs-CZ"/>
        </w:rPr>
        <w:t>acient i jeho rodina mají nárok na psychologickou péči a podporu.</w:t>
      </w:r>
    </w:p>
    <w:p w14:paraId="71EA3525" w14:textId="001C9DDF" w:rsidR="00062020" w:rsidRDefault="00FE7B8F" w:rsidP="00CA090B">
      <w:pPr>
        <w:spacing w:line="360" w:lineRule="auto"/>
        <w:ind w:firstLine="720"/>
        <w:jc w:val="both"/>
        <w:rPr>
          <w:rFonts w:ascii="Garamond" w:hAnsi="Garamond"/>
          <w:lang w:val="cs-CZ"/>
        </w:rPr>
      </w:pPr>
      <w:r>
        <w:rPr>
          <w:rFonts w:ascii="Garamond" w:hAnsi="Garamond"/>
          <w:lang w:val="cs-CZ"/>
        </w:rPr>
        <w:t>T</w:t>
      </w:r>
      <w:r w:rsidR="006D0514">
        <w:rPr>
          <w:rFonts w:ascii="Garamond" w:hAnsi="Garamond"/>
          <w:lang w:val="cs-CZ"/>
        </w:rPr>
        <w:t>oto rozšíření je postaveno na stejných základech jako původní zákon o eutanazii z roku 2002</w:t>
      </w:r>
      <w:r w:rsidR="006D0514">
        <w:rPr>
          <w:rStyle w:val="FootnoteReference"/>
          <w:rFonts w:ascii="Garamond" w:hAnsi="Garamond"/>
          <w:lang w:val="cs-CZ"/>
        </w:rPr>
        <w:footnoteReference w:id="28"/>
      </w:r>
      <w:r w:rsidR="006D0514">
        <w:rPr>
          <w:rFonts w:ascii="Garamond" w:hAnsi="Garamond"/>
          <w:lang w:val="cs-CZ"/>
        </w:rPr>
        <w:t>, včetně požadavků žádosti, odpovědnosti lékaře a aspektech závažné a nevyléčitelné nemoci, zdravotně bezvýchodné situace a nesnesitelného utrpení.</w:t>
      </w:r>
      <w:r w:rsidR="006D0514">
        <w:rPr>
          <w:rStyle w:val="FootnoteReference"/>
          <w:rFonts w:ascii="Garamond" w:hAnsi="Garamond"/>
          <w:lang w:val="cs-CZ"/>
        </w:rPr>
        <w:footnoteReference w:id="29"/>
      </w:r>
      <w:r w:rsidR="00023372">
        <w:rPr>
          <w:rFonts w:ascii="Garamond" w:hAnsi="Garamond"/>
          <w:lang w:val="cs-CZ"/>
        </w:rPr>
        <w:t xml:space="preserve"> Rozdílem však zůstává povaha nemoci, neboť u dětí </w:t>
      </w:r>
      <w:r w:rsidR="007934A6">
        <w:rPr>
          <w:rFonts w:ascii="Garamond" w:hAnsi="Garamond"/>
          <w:lang w:val="cs-CZ"/>
        </w:rPr>
        <w:t>je</w:t>
      </w:r>
      <w:r w:rsidR="00023372">
        <w:rPr>
          <w:rFonts w:ascii="Garamond" w:hAnsi="Garamond"/>
          <w:lang w:val="cs-CZ"/>
        </w:rPr>
        <w:t xml:space="preserve"> možnost žádosti o eutanazii z důvodu psychické nemoci vyloučena</w:t>
      </w:r>
      <w:r w:rsidR="00C23C3B">
        <w:rPr>
          <w:rFonts w:ascii="Garamond" w:hAnsi="Garamond"/>
          <w:lang w:val="cs-CZ"/>
        </w:rPr>
        <w:t xml:space="preserve"> samotným předpokladem duševní způsobilosti, což automaticky vylučuje děti se změněným stavem vědomí, mentálním postižením či novorozence.</w:t>
      </w:r>
      <w:r w:rsidR="00C23C3B">
        <w:rPr>
          <w:rStyle w:val="FootnoteReference"/>
          <w:rFonts w:ascii="Garamond" w:hAnsi="Garamond"/>
          <w:lang w:val="cs-CZ"/>
        </w:rPr>
        <w:footnoteReference w:id="30"/>
      </w:r>
      <w:r w:rsidR="001B01EA">
        <w:rPr>
          <w:rFonts w:ascii="Garamond" w:hAnsi="Garamond"/>
          <w:lang w:val="cs-CZ"/>
        </w:rPr>
        <w:t xml:space="preserve"> Tím se </w:t>
      </w:r>
      <w:r w:rsidR="00AE66C2">
        <w:rPr>
          <w:rFonts w:ascii="Garamond" w:hAnsi="Garamond"/>
          <w:lang w:val="cs-CZ"/>
        </w:rPr>
        <w:t xml:space="preserve">úprava </w:t>
      </w:r>
      <w:r w:rsidR="001B01EA">
        <w:rPr>
          <w:rFonts w:ascii="Garamond" w:hAnsi="Garamond"/>
          <w:lang w:val="cs-CZ"/>
        </w:rPr>
        <w:t xml:space="preserve">podstatně odlišuje od </w:t>
      </w:r>
      <w:r w:rsidR="00AE66C2">
        <w:rPr>
          <w:rFonts w:ascii="Garamond" w:hAnsi="Garamond"/>
          <w:lang w:val="cs-CZ"/>
        </w:rPr>
        <w:t xml:space="preserve">nizozemského </w:t>
      </w:r>
      <w:r w:rsidR="001B01EA">
        <w:rPr>
          <w:rFonts w:ascii="Garamond" w:hAnsi="Garamond"/>
          <w:lang w:val="cs-CZ"/>
        </w:rPr>
        <w:t>Groningenského protokolu</w:t>
      </w:r>
      <w:r w:rsidR="00062020">
        <w:rPr>
          <w:rFonts w:ascii="Garamond" w:hAnsi="Garamond"/>
          <w:lang w:val="cs-CZ"/>
        </w:rPr>
        <w:t>, který upravuje podmínky ukončení života novorozenců.</w:t>
      </w:r>
      <w:r w:rsidR="00062020">
        <w:rPr>
          <w:rStyle w:val="FootnoteReference"/>
          <w:rFonts w:ascii="Garamond" w:hAnsi="Garamond"/>
          <w:lang w:val="cs-CZ"/>
        </w:rPr>
        <w:footnoteReference w:id="31"/>
      </w:r>
      <w:r w:rsidR="00CA090B">
        <w:rPr>
          <w:rFonts w:ascii="Garamond" w:hAnsi="Garamond"/>
          <w:lang w:val="cs-CZ"/>
        </w:rPr>
        <w:t xml:space="preserve"> </w:t>
      </w:r>
      <w:r w:rsidR="00062020">
        <w:rPr>
          <w:rFonts w:ascii="Garamond" w:hAnsi="Garamond"/>
          <w:lang w:val="cs-CZ"/>
        </w:rPr>
        <w:t>Kontrolu nad výkonem eutanazie pak vykonává Federální komise pro kontrolu a evaluaci eutanazie (dále jen „Komise CFCEE“)</w:t>
      </w:r>
      <w:r w:rsidR="006B631C">
        <w:rPr>
          <w:rFonts w:ascii="Garamond" w:hAnsi="Garamond"/>
          <w:lang w:val="cs-CZ"/>
        </w:rPr>
        <w:t>, jenž lékaři zasílají oficiální zprávy o každém jednotlivém výkonu. Komise CFCEE může následně vznášet doplňující dotazy na příslušné lékaře, případně může případ postoupit soudu, pokud se bude domnívat, že byla eutanazie vykonána v rozporu se zákonem.</w:t>
      </w:r>
      <w:r w:rsidR="006B631C">
        <w:rPr>
          <w:rStyle w:val="FootnoteReference"/>
          <w:rFonts w:ascii="Garamond" w:hAnsi="Garamond"/>
          <w:lang w:val="cs-CZ"/>
        </w:rPr>
        <w:footnoteReference w:id="32"/>
      </w:r>
    </w:p>
    <w:p w14:paraId="33DDFD95" w14:textId="6A5D75DC" w:rsidR="00EE7D34" w:rsidRDefault="00891076" w:rsidP="00062020">
      <w:pPr>
        <w:spacing w:line="360" w:lineRule="auto"/>
        <w:ind w:firstLine="720"/>
        <w:jc w:val="both"/>
        <w:rPr>
          <w:rFonts w:ascii="Garamond" w:hAnsi="Garamond"/>
          <w:lang w:val="cs-CZ"/>
        </w:rPr>
      </w:pPr>
      <w:r>
        <w:rPr>
          <w:rFonts w:ascii="Garamond" w:hAnsi="Garamond"/>
          <w:lang w:val="cs-CZ"/>
        </w:rPr>
        <w:t>Průzkumy veřejnosti prokázaly, že většina společnosti rozšíření uvítala, nicméně k rozkolu došlo na lékařské půdě, kde celkově 170 pediatrů podepsalo otevřený dopis poslanců k odložení jejich rozhodnutí.</w:t>
      </w:r>
      <w:r>
        <w:rPr>
          <w:rStyle w:val="FootnoteReference"/>
          <w:rFonts w:ascii="Garamond" w:hAnsi="Garamond"/>
          <w:lang w:val="cs-CZ"/>
        </w:rPr>
        <w:footnoteReference w:id="33"/>
      </w:r>
      <w:r w:rsidR="00023372">
        <w:rPr>
          <w:rFonts w:ascii="Garamond" w:hAnsi="Garamond"/>
          <w:lang w:val="cs-CZ"/>
        </w:rPr>
        <w:t xml:space="preserve"> </w:t>
      </w:r>
      <w:r w:rsidR="00CD7713">
        <w:rPr>
          <w:rFonts w:ascii="Garamond" w:hAnsi="Garamond"/>
          <w:lang w:val="cs-CZ"/>
        </w:rPr>
        <w:t>Taktéž podle zprávy Evropského institutu bioetiky měla být legislativní změna velmi uspěchaná, byla vedena pouze politickými zájmy bez zvážení názorů hlavních dotčených subjektů, a to dětí, jejich rodičů a lékařů.</w:t>
      </w:r>
      <w:r w:rsidR="00CD7713">
        <w:rPr>
          <w:rStyle w:val="FootnoteReference"/>
          <w:rFonts w:ascii="Garamond" w:hAnsi="Garamond"/>
          <w:lang w:val="cs-CZ"/>
        </w:rPr>
        <w:footnoteReference w:id="34"/>
      </w:r>
      <w:r w:rsidR="00062020">
        <w:rPr>
          <w:rFonts w:ascii="Garamond" w:hAnsi="Garamond"/>
          <w:lang w:val="cs-CZ"/>
        </w:rPr>
        <w:t xml:space="preserve"> </w:t>
      </w:r>
      <w:r w:rsidR="00C90209">
        <w:rPr>
          <w:rFonts w:ascii="Garamond" w:hAnsi="Garamond"/>
          <w:lang w:val="cs-CZ"/>
        </w:rPr>
        <w:t xml:space="preserve">Belgická úprava pak byla napadnuta i před </w:t>
      </w:r>
      <w:r w:rsidR="00F418EE">
        <w:rPr>
          <w:rFonts w:ascii="Garamond" w:hAnsi="Garamond"/>
          <w:lang w:val="cs-CZ"/>
        </w:rPr>
        <w:t>ú</w:t>
      </w:r>
      <w:r w:rsidR="00C90209">
        <w:rPr>
          <w:rFonts w:ascii="Garamond" w:hAnsi="Garamond"/>
          <w:lang w:val="cs-CZ"/>
        </w:rPr>
        <w:t xml:space="preserve">stavním </w:t>
      </w:r>
      <w:r w:rsidR="00C90209">
        <w:rPr>
          <w:rFonts w:ascii="Garamond" w:hAnsi="Garamond"/>
          <w:lang w:val="cs-CZ"/>
        </w:rPr>
        <w:lastRenderedPageBreak/>
        <w:t>soudem.</w:t>
      </w:r>
      <w:r w:rsidR="00C90209">
        <w:rPr>
          <w:rStyle w:val="FootnoteReference"/>
          <w:rFonts w:ascii="Garamond" w:hAnsi="Garamond"/>
          <w:lang w:val="cs-CZ"/>
        </w:rPr>
        <w:footnoteReference w:id="35"/>
      </w:r>
      <w:r w:rsidR="00C90209">
        <w:rPr>
          <w:rFonts w:ascii="Garamond" w:hAnsi="Garamond"/>
          <w:lang w:val="cs-CZ"/>
        </w:rPr>
        <w:t xml:space="preserve"> Navrhovatelé namítali, že právo na život nezahrnuje právo na smrt, jakož i to, že stát nemůže dekriminalizovat eutanazii bez</w:t>
      </w:r>
      <w:r w:rsidR="006A2090">
        <w:rPr>
          <w:rFonts w:ascii="Garamond" w:hAnsi="Garamond"/>
          <w:lang w:val="cs-CZ"/>
        </w:rPr>
        <w:t xml:space="preserve"> současného</w:t>
      </w:r>
      <w:r w:rsidR="00C90209">
        <w:rPr>
          <w:rFonts w:ascii="Garamond" w:hAnsi="Garamond"/>
          <w:lang w:val="cs-CZ"/>
        </w:rPr>
        <w:t xml:space="preserve"> porušení jeho pozitivního závazku chránit lidský život. I kdyby však soud došel k závěru, že taková dekriminalizace je možná, belgická legislativa dle navrhovatelů neposkytovala dostatečné záruky k ochraně dětí. Soud k této námitce uvedl, že rozšíření </w:t>
      </w:r>
      <w:r w:rsidR="00EE7D34">
        <w:rPr>
          <w:rFonts w:ascii="Garamond" w:hAnsi="Garamond"/>
          <w:lang w:val="cs-CZ"/>
        </w:rPr>
        <w:t>působnosti zákona o eutanazii na děti by bylo přijatelné jen tehdy, pokud by bylo zároveň zaručeno, že by se rozšíření omezovalo pouze na děti, které jsou schopny porozumět skutečným dopadům žádosti o eutanazii, a byl kladen dostatečný důraz na jejich zranitelnost.</w:t>
      </w:r>
      <w:r w:rsidR="00AE66C2">
        <w:rPr>
          <w:rStyle w:val="FootnoteReference"/>
          <w:rFonts w:ascii="Garamond" w:hAnsi="Garamond"/>
          <w:lang w:val="cs-CZ"/>
        </w:rPr>
        <w:footnoteReference w:id="36"/>
      </w:r>
      <w:r w:rsidR="00EE7D34">
        <w:rPr>
          <w:rFonts w:ascii="Garamond" w:hAnsi="Garamond"/>
          <w:lang w:val="cs-CZ"/>
        </w:rPr>
        <w:t xml:space="preserve"> </w:t>
      </w:r>
    </w:p>
    <w:p w14:paraId="40476110" w14:textId="2334B8D2" w:rsidR="00C90209" w:rsidRDefault="00EE7D34" w:rsidP="00CA090B">
      <w:pPr>
        <w:spacing w:line="360" w:lineRule="auto"/>
        <w:ind w:firstLine="720"/>
        <w:jc w:val="both"/>
        <w:rPr>
          <w:rFonts w:ascii="Garamond" w:hAnsi="Garamond"/>
          <w:lang w:val="cs-CZ"/>
        </w:rPr>
      </w:pPr>
      <w:r>
        <w:rPr>
          <w:rFonts w:ascii="Garamond" w:hAnsi="Garamond"/>
          <w:lang w:val="cs-CZ"/>
        </w:rPr>
        <w:t xml:space="preserve">V daném případě tyto požadavky byly </w:t>
      </w:r>
      <w:r w:rsidR="00E3630E">
        <w:rPr>
          <w:rFonts w:ascii="Garamond" w:hAnsi="Garamond"/>
          <w:lang w:val="cs-CZ"/>
        </w:rPr>
        <w:t xml:space="preserve">dle soudu </w:t>
      </w:r>
      <w:r>
        <w:rPr>
          <w:rFonts w:ascii="Garamond" w:hAnsi="Garamond"/>
          <w:lang w:val="cs-CZ"/>
        </w:rPr>
        <w:t>splněny, neboť novelizace povolila eutanazii pouze na dětech s duševní způsobilostí. Tato způsobilost je ověřována nejenom ošetřujícím lékařem, ale i nezávislým expertem, a to pouze dětským psychiatrem nebo psychologem.</w:t>
      </w:r>
      <w:r w:rsidR="00AE66C2">
        <w:rPr>
          <w:rStyle w:val="FootnoteReference"/>
          <w:rFonts w:ascii="Garamond" w:hAnsi="Garamond"/>
          <w:lang w:val="cs-CZ"/>
        </w:rPr>
        <w:footnoteReference w:id="37"/>
      </w:r>
      <w:r>
        <w:rPr>
          <w:rFonts w:ascii="Garamond" w:hAnsi="Garamond"/>
          <w:lang w:val="cs-CZ"/>
        </w:rPr>
        <w:t xml:space="preserve"> Dále</w:t>
      </w:r>
      <w:r w:rsidR="00F40570">
        <w:rPr>
          <w:rFonts w:ascii="Garamond" w:hAnsi="Garamond"/>
          <w:lang w:val="cs-CZ"/>
        </w:rPr>
        <w:t xml:space="preserve"> soud shrnul</w:t>
      </w:r>
      <w:r>
        <w:rPr>
          <w:rFonts w:ascii="Garamond" w:hAnsi="Garamond"/>
          <w:lang w:val="cs-CZ"/>
        </w:rPr>
        <w:t>, že je eutanazie dětí možná jen z důvodu jejich fyzického utrpení, a to na základě nemoci, která má způsobit smrt v dohledné době. Posledně pak, že legislativa neumožňuje dětem využít institutu dříve vyslovených přání, pokud by se následně ocitly ve stavu trvalého bezvědomí.</w:t>
      </w:r>
      <w:r w:rsidR="00AE66C2">
        <w:rPr>
          <w:rStyle w:val="FootnoteReference"/>
          <w:rFonts w:ascii="Garamond" w:hAnsi="Garamond"/>
          <w:lang w:val="cs-CZ"/>
        </w:rPr>
        <w:footnoteReference w:id="38"/>
      </w:r>
      <w:r>
        <w:rPr>
          <w:rFonts w:ascii="Garamond" w:hAnsi="Garamond"/>
          <w:lang w:val="cs-CZ"/>
        </w:rPr>
        <w:t xml:space="preserve"> Ústavní soud tak konstatoval, že nová úprava poskytuje dostatečné záruky a je tak v souladu s belgickou ústavou a lidskými právy.</w:t>
      </w:r>
      <w:r w:rsidR="00BD2806">
        <w:rPr>
          <w:rStyle w:val="FootnoteReference"/>
          <w:rFonts w:ascii="Garamond" w:hAnsi="Garamond"/>
          <w:lang w:val="cs-CZ"/>
        </w:rPr>
        <w:footnoteReference w:id="39"/>
      </w:r>
    </w:p>
    <w:p w14:paraId="289BC71F" w14:textId="5725ACA8" w:rsidR="00BE4A09" w:rsidRDefault="00CA090B" w:rsidP="000A74EF">
      <w:pPr>
        <w:spacing w:line="360" w:lineRule="auto"/>
        <w:ind w:firstLine="720"/>
        <w:jc w:val="both"/>
        <w:rPr>
          <w:rFonts w:ascii="Garamond" w:hAnsi="Garamond"/>
          <w:lang w:val="cs-CZ"/>
        </w:rPr>
      </w:pPr>
      <w:r>
        <w:rPr>
          <w:rFonts w:ascii="Garamond" w:hAnsi="Garamond"/>
          <w:lang w:val="cs-CZ"/>
        </w:rPr>
        <w:t>K</w:t>
      </w:r>
      <w:r w:rsidR="000A74EF">
        <w:rPr>
          <w:rFonts w:ascii="Garamond" w:hAnsi="Garamond"/>
          <w:lang w:val="cs-CZ"/>
        </w:rPr>
        <w:t xml:space="preserve"> prvním </w:t>
      </w:r>
      <w:r>
        <w:rPr>
          <w:rFonts w:ascii="Garamond" w:hAnsi="Garamond"/>
          <w:lang w:val="cs-CZ"/>
        </w:rPr>
        <w:t>samotným</w:t>
      </w:r>
      <w:r w:rsidR="000A74EF">
        <w:rPr>
          <w:rFonts w:ascii="Garamond" w:hAnsi="Garamond"/>
          <w:lang w:val="cs-CZ"/>
        </w:rPr>
        <w:t xml:space="preserve"> </w:t>
      </w:r>
      <w:r>
        <w:rPr>
          <w:rFonts w:ascii="Garamond" w:hAnsi="Garamond"/>
          <w:lang w:val="cs-CZ"/>
        </w:rPr>
        <w:t>výkonům eutanazie na dětech</w:t>
      </w:r>
      <w:r w:rsidR="000A74EF">
        <w:rPr>
          <w:rFonts w:ascii="Garamond" w:hAnsi="Garamond"/>
          <w:lang w:val="cs-CZ"/>
        </w:rPr>
        <w:t xml:space="preserve"> v Belgii</w:t>
      </w:r>
      <w:r>
        <w:rPr>
          <w:rFonts w:ascii="Garamond" w:hAnsi="Garamond"/>
          <w:lang w:val="cs-CZ"/>
        </w:rPr>
        <w:t xml:space="preserve"> došlo až mezi lety 2016-2017, kdy </w:t>
      </w:r>
      <w:r w:rsidR="000A74EF">
        <w:rPr>
          <w:rFonts w:ascii="Garamond" w:hAnsi="Garamond"/>
          <w:lang w:val="cs-CZ"/>
        </w:rPr>
        <w:t>byl zákrok vykonán na vůbec nejmladším pacientovi na světě.</w:t>
      </w:r>
      <w:r w:rsidR="00132485">
        <w:rPr>
          <w:rStyle w:val="FootnoteReference"/>
          <w:rFonts w:ascii="Garamond" w:hAnsi="Garamond"/>
          <w:lang w:val="cs-CZ"/>
        </w:rPr>
        <w:footnoteReference w:id="40"/>
      </w:r>
      <w:r w:rsidR="00132485">
        <w:rPr>
          <w:rFonts w:ascii="Garamond" w:hAnsi="Garamond"/>
          <w:lang w:val="cs-CZ"/>
        </w:rPr>
        <w:t xml:space="preserve"> Podle zveřejněné zprávy </w:t>
      </w:r>
      <w:r w:rsidR="00A401E5">
        <w:rPr>
          <w:rFonts w:ascii="Garamond" w:hAnsi="Garamond"/>
          <w:lang w:val="cs-CZ"/>
        </w:rPr>
        <w:t xml:space="preserve">Komise </w:t>
      </w:r>
      <w:r w:rsidR="00E03F8B">
        <w:rPr>
          <w:rFonts w:ascii="Garamond" w:hAnsi="Garamond"/>
          <w:lang w:val="cs-CZ"/>
        </w:rPr>
        <w:t>CFCEE</w:t>
      </w:r>
      <w:r w:rsidR="00132485">
        <w:rPr>
          <w:rFonts w:ascii="Garamond" w:hAnsi="Garamond"/>
          <w:lang w:val="cs-CZ"/>
        </w:rPr>
        <w:t xml:space="preserve"> měla být v období mezi 1.1.2016 až 31.12.2017 podána smrtící injekce v celkově třech případech dětí, a to devítiletému, jedenáctiletému a sedmnáctiletému pacientovi.</w:t>
      </w:r>
      <w:r w:rsidR="00132485">
        <w:rPr>
          <w:rStyle w:val="FootnoteReference"/>
          <w:rFonts w:ascii="Garamond" w:hAnsi="Garamond"/>
          <w:lang w:val="cs-CZ"/>
        </w:rPr>
        <w:footnoteReference w:id="41"/>
      </w:r>
      <w:r w:rsidR="000C4B89">
        <w:rPr>
          <w:rFonts w:ascii="Garamond" w:hAnsi="Garamond"/>
          <w:lang w:val="cs-CZ"/>
        </w:rPr>
        <w:t xml:space="preserve"> Co se týče onemocnění, jednalo se jednotlivě o nádor mozku, cystickou fibrózu a svalovou dystrofii. Řádově však šlo o </w:t>
      </w:r>
      <w:r w:rsidR="00EF5702">
        <w:rPr>
          <w:rFonts w:ascii="Garamond" w:hAnsi="Garamond"/>
          <w:lang w:val="cs-CZ"/>
        </w:rPr>
        <w:t>desetiny</w:t>
      </w:r>
      <w:r w:rsidR="000C4B89">
        <w:rPr>
          <w:rFonts w:ascii="Garamond" w:hAnsi="Garamond"/>
          <w:lang w:val="cs-CZ"/>
        </w:rPr>
        <w:t xml:space="preserve"> procent</w:t>
      </w:r>
      <w:r w:rsidR="00EF5702">
        <w:rPr>
          <w:rFonts w:ascii="Garamond" w:hAnsi="Garamond"/>
          <w:lang w:val="cs-CZ"/>
        </w:rPr>
        <w:t>a</w:t>
      </w:r>
      <w:r w:rsidR="000C4B89">
        <w:rPr>
          <w:rFonts w:ascii="Garamond" w:hAnsi="Garamond"/>
          <w:lang w:val="cs-CZ"/>
        </w:rPr>
        <w:t xml:space="preserve"> z celkového počtu pacientů, kteří eutanazii podstoupili, neboť v těchto letech bylo usmrceno celkově 43</w:t>
      </w:r>
      <w:r w:rsidR="00EF5702">
        <w:rPr>
          <w:rFonts w:ascii="Garamond" w:hAnsi="Garamond"/>
          <w:lang w:val="cs-CZ"/>
        </w:rPr>
        <w:t>37</w:t>
      </w:r>
      <w:r w:rsidR="000C4B89">
        <w:rPr>
          <w:rFonts w:ascii="Garamond" w:hAnsi="Garamond"/>
          <w:lang w:val="cs-CZ"/>
        </w:rPr>
        <w:t xml:space="preserve"> dospělých pacientů, přičemž</w:t>
      </w:r>
      <w:r w:rsidR="00EF5702">
        <w:rPr>
          <w:rFonts w:ascii="Garamond" w:hAnsi="Garamond"/>
          <w:lang w:val="cs-CZ"/>
        </w:rPr>
        <w:t xml:space="preserve"> přibližně</w:t>
      </w:r>
      <w:r w:rsidR="000C4B89">
        <w:rPr>
          <w:rFonts w:ascii="Garamond" w:hAnsi="Garamond"/>
          <w:lang w:val="cs-CZ"/>
        </w:rPr>
        <w:t xml:space="preserve"> 64</w:t>
      </w:r>
      <w:r w:rsidR="00EF5702">
        <w:rPr>
          <w:rFonts w:ascii="Garamond" w:hAnsi="Garamond"/>
          <w:lang w:val="cs-CZ"/>
        </w:rPr>
        <w:t xml:space="preserve"> </w:t>
      </w:r>
      <w:r w:rsidR="000C4B89">
        <w:rPr>
          <w:rFonts w:ascii="Garamond" w:hAnsi="Garamond"/>
          <w:lang w:val="cs-CZ"/>
        </w:rPr>
        <w:t xml:space="preserve">% z nich tak </w:t>
      </w:r>
      <w:r w:rsidR="00EF5702">
        <w:rPr>
          <w:rFonts w:ascii="Garamond" w:hAnsi="Garamond"/>
          <w:lang w:val="cs-CZ"/>
        </w:rPr>
        <w:t>učinilo z důvodu rakoviny.</w:t>
      </w:r>
      <w:r w:rsidR="00EF5702">
        <w:rPr>
          <w:rStyle w:val="FootnoteReference"/>
          <w:rFonts w:ascii="Garamond" w:hAnsi="Garamond"/>
          <w:lang w:val="cs-CZ"/>
        </w:rPr>
        <w:footnoteReference w:id="42"/>
      </w:r>
      <w:r w:rsidR="00062020">
        <w:rPr>
          <w:rFonts w:ascii="Garamond" w:hAnsi="Garamond"/>
          <w:lang w:val="cs-CZ"/>
        </w:rPr>
        <w:t xml:space="preserve"> </w:t>
      </w:r>
    </w:p>
    <w:p w14:paraId="4634B684" w14:textId="3FE36AE2" w:rsidR="002A1C44" w:rsidRPr="000E19EF" w:rsidRDefault="000E19EF" w:rsidP="002A1C44">
      <w:pPr>
        <w:pStyle w:val="ListParagraph"/>
        <w:numPr>
          <w:ilvl w:val="0"/>
          <w:numId w:val="17"/>
        </w:numPr>
        <w:spacing w:line="360" w:lineRule="auto"/>
        <w:jc w:val="both"/>
        <w:rPr>
          <w:rFonts w:ascii="Garamond" w:hAnsi="Garamond"/>
          <w:lang w:val="cs-CZ"/>
        </w:rPr>
      </w:pPr>
      <w:r>
        <w:rPr>
          <w:rFonts w:ascii="Garamond" w:hAnsi="Garamond"/>
          <w:b/>
          <w:lang w:val="cs-CZ"/>
        </w:rPr>
        <w:t>Duševní způsobilost</w:t>
      </w:r>
    </w:p>
    <w:p w14:paraId="3C5BE8F2" w14:textId="5BEB23D0" w:rsidR="0029093D" w:rsidRDefault="000E19EF" w:rsidP="0029093D">
      <w:pPr>
        <w:spacing w:line="360" w:lineRule="auto"/>
        <w:ind w:firstLine="720"/>
        <w:jc w:val="both"/>
        <w:rPr>
          <w:rFonts w:ascii="Garamond" w:hAnsi="Garamond"/>
          <w:lang w:val="cs-CZ"/>
        </w:rPr>
      </w:pPr>
      <w:r w:rsidRPr="000E19EF">
        <w:rPr>
          <w:rFonts w:ascii="Garamond" w:hAnsi="Garamond"/>
          <w:lang w:val="cs-CZ"/>
        </w:rPr>
        <w:t>Dalším sporným bodem rozšíření zákona o eutanazii bylo posuzování duševní způsobilosti</w:t>
      </w:r>
      <w:r>
        <w:rPr>
          <w:rFonts w:ascii="Garamond" w:hAnsi="Garamond"/>
          <w:lang w:val="cs-CZ"/>
        </w:rPr>
        <w:t xml:space="preserve"> dětí. Navrhovatelé poukazovali zejména na nejasnost pojmu duševní způsobilost. Zejména pak, že </w:t>
      </w:r>
      <w:r>
        <w:rPr>
          <w:rFonts w:ascii="Garamond" w:hAnsi="Garamond"/>
          <w:lang w:val="cs-CZ"/>
        </w:rPr>
        <w:lastRenderedPageBreak/>
        <w:t xml:space="preserve">duševní způsobilost je nový koncept a jelikož legislativa neposkytovala žádná kritéria pro určení této způsobilosti, bylo nemožné zjistit, co tento termín znamená a jak jej kontinuálně aplikovat. Vágnost pojmu pak měla poskytovat ošetřujícímu lékaři a externímu psychiatrovi nebo psychologovi neomezenou pravomoc diskrece v rámci posuzování, což mělo výrazně podkopávat </w:t>
      </w:r>
      <w:r w:rsidR="00A401E5">
        <w:rPr>
          <w:rFonts w:ascii="Garamond" w:hAnsi="Garamond"/>
          <w:lang w:val="cs-CZ"/>
        </w:rPr>
        <w:t xml:space="preserve">jeho </w:t>
      </w:r>
      <w:r>
        <w:rPr>
          <w:rFonts w:ascii="Garamond" w:hAnsi="Garamond"/>
          <w:lang w:val="cs-CZ"/>
        </w:rPr>
        <w:t>objektivitu</w:t>
      </w:r>
      <w:r w:rsidR="00A401E5">
        <w:rPr>
          <w:rFonts w:ascii="Garamond" w:hAnsi="Garamond"/>
          <w:lang w:val="cs-CZ"/>
        </w:rPr>
        <w:t xml:space="preserve"> a závažně komplikovat následnou kontrolu ze strany Komise CFCEE.</w:t>
      </w:r>
      <w:r w:rsidR="00284ED1">
        <w:rPr>
          <w:rFonts w:ascii="Garamond" w:hAnsi="Garamond"/>
          <w:lang w:val="cs-CZ"/>
        </w:rPr>
        <w:t xml:space="preserve"> </w:t>
      </w:r>
      <w:r w:rsidR="007757A1">
        <w:rPr>
          <w:rFonts w:ascii="Garamond" w:hAnsi="Garamond"/>
          <w:lang w:val="cs-CZ"/>
        </w:rPr>
        <w:t>Ústavní soud konstatoval, že pojem duševní způsobilost se podstatně neliší od úpravy podle zákona o právech pacientů z roku 2002</w:t>
      </w:r>
      <w:r w:rsidR="009C65B9">
        <w:rPr>
          <w:rStyle w:val="FootnoteReference"/>
          <w:rFonts w:ascii="Garamond" w:hAnsi="Garamond"/>
          <w:lang w:val="cs-CZ"/>
        </w:rPr>
        <w:footnoteReference w:id="43"/>
      </w:r>
      <w:r w:rsidR="00CE26CD">
        <w:rPr>
          <w:rFonts w:ascii="Garamond" w:hAnsi="Garamond"/>
          <w:lang w:val="cs-CZ"/>
        </w:rPr>
        <w:t>,</w:t>
      </w:r>
      <w:r w:rsidR="007757A1">
        <w:rPr>
          <w:rFonts w:ascii="Garamond" w:hAnsi="Garamond"/>
          <w:lang w:val="cs-CZ"/>
        </w:rPr>
        <w:t xml:space="preserve"> který stanovil, že dítě může být v určitých situacích způsobilé rozumně posoudit vlastní zájmy.</w:t>
      </w:r>
      <w:r w:rsidR="007757A1">
        <w:rPr>
          <w:rStyle w:val="FootnoteReference"/>
          <w:rFonts w:ascii="Garamond" w:hAnsi="Garamond"/>
          <w:lang w:val="cs-CZ"/>
        </w:rPr>
        <w:footnoteReference w:id="44"/>
      </w:r>
      <w:r w:rsidR="007757A1">
        <w:rPr>
          <w:rFonts w:ascii="Garamond" w:hAnsi="Garamond"/>
          <w:lang w:val="cs-CZ"/>
        </w:rPr>
        <w:t xml:space="preserve"> </w:t>
      </w:r>
      <w:r w:rsidR="009D2E79">
        <w:rPr>
          <w:rFonts w:ascii="Garamond" w:hAnsi="Garamond"/>
          <w:lang w:val="cs-CZ"/>
        </w:rPr>
        <w:t>Termín tak nelze považovat za nový a konkrétně se má pak duševní způsobilost vztahovat ke schopnosti dítěte pochopit skutečné dopady</w:t>
      </w:r>
      <w:r w:rsidR="004F4618">
        <w:rPr>
          <w:rFonts w:ascii="Garamond" w:hAnsi="Garamond"/>
          <w:lang w:val="cs-CZ"/>
        </w:rPr>
        <w:t xml:space="preserve"> žádosti o eutanazii a s ní spojené důsledky.</w:t>
      </w:r>
      <w:r w:rsidR="004F4618">
        <w:rPr>
          <w:rStyle w:val="FootnoteReference"/>
          <w:rFonts w:ascii="Garamond" w:hAnsi="Garamond"/>
          <w:lang w:val="cs-CZ"/>
        </w:rPr>
        <w:footnoteReference w:id="45"/>
      </w:r>
      <w:r w:rsidR="004F4618">
        <w:rPr>
          <w:rFonts w:ascii="Garamond" w:hAnsi="Garamond"/>
          <w:lang w:val="cs-CZ"/>
        </w:rPr>
        <w:t xml:space="preserve"> </w:t>
      </w:r>
      <w:r w:rsidR="00284ED1">
        <w:rPr>
          <w:rFonts w:ascii="Garamond" w:hAnsi="Garamond"/>
          <w:lang w:val="cs-CZ"/>
        </w:rPr>
        <w:t>S ohledem na podobnost duševní způsobilosti s dřívějšími uzákoněnými pojmy shledává rozsah termínu duševní způsobilost za dostatečně jasný i odborná veřejnost.</w:t>
      </w:r>
      <w:r w:rsidR="00284ED1">
        <w:rPr>
          <w:rStyle w:val="FootnoteReference"/>
          <w:rFonts w:ascii="Garamond" w:hAnsi="Garamond"/>
          <w:lang w:val="cs-CZ"/>
        </w:rPr>
        <w:footnoteReference w:id="46"/>
      </w:r>
    </w:p>
    <w:p w14:paraId="544122BE" w14:textId="4B6F31BF" w:rsidR="00284ED1" w:rsidRDefault="00094972" w:rsidP="00284ED1">
      <w:pPr>
        <w:spacing w:line="360" w:lineRule="auto"/>
        <w:ind w:firstLine="720"/>
        <w:jc w:val="both"/>
        <w:rPr>
          <w:rFonts w:ascii="Garamond" w:hAnsi="Garamond"/>
          <w:lang w:val="cs-CZ"/>
        </w:rPr>
      </w:pPr>
      <w:r>
        <w:rPr>
          <w:rFonts w:ascii="Garamond" w:hAnsi="Garamond"/>
          <w:lang w:val="cs-CZ"/>
        </w:rPr>
        <w:t>Duševní způsobilost hrála velkou roli i při rozhodování, zda bude uzákoněna věková hranice pro žádost o eutanazii či nikoliv. Parlament se však opřel o zprávu Lékařské asociace z roku 2003, podle níž z lékařsko-etického hlediska je mentální věk pacienta důležitější než věk skutečný, chronologický.</w:t>
      </w:r>
      <w:r>
        <w:rPr>
          <w:rStyle w:val="FootnoteReference"/>
          <w:rFonts w:ascii="Garamond" w:hAnsi="Garamond"/>
          <w:lang w:val="cs-CZ"/>
        </w:rPr>
        <w:footnoteReference w:id="47"/>
      </w:r>
      <w:r w:rsidR="00250BD6">
        <w:rPr>
          <w:rFonts w:ascii="Garamond" w:hAnsi="Garamond"/>
          <w:lang w:val="cs-CZ"/>
        </w:rPr>
        <w:t xml:space="preserve"> V tomto směru se pak legislativa přiklonila k závěru, že dítě může mít dostatečnou duševní způsobilost k posouzení dopadů své žádosti o eutanazii bez ohledu na věk a tyto případy pak musí být posuzovány jednotlivě. Navíc však zahrnula i dodatečný požadavek na písemný souhlas zákonných zástupců nezletilého pacienta, žádajícího o eutanazii.</w:t>
      </w:r>
      <w:r w:rsidR="00250BD6">
        <w:rPr>
          <w:rStyle w:val="FootnoteReference"/>
          <w:rFonts w:ascii="Garamond" w:hAnsi="Garamond"/>
          <w:lang w:val="cs-CZ"/>
        </w:rPr>
        <w:footnoteReference w:id="48"/>
      </w:r>
      <w:r w:rsidR="007A08DA">
        <w:rPr>
          <w:rFonts w:ascii="Garamond" w:hAnsi="Garamond"/>
          <w:lang w:val="cs-CZ"/>
        </w:rPr>
        <w:t xml:space="preserve"> Tento příklon pak jde v souladu i se závěry </w:t>
      </w:r>
      <w:r w:rsidR="006056D9">
        <w:rPr>
          <w:rFonts w:ascii="Garamond" w:hAnsi="Garamond"/>
          <w:lang w:val="cs-CZ"/>
        </w:rPr>
        <w:t>starší, leč i dnes hojně citované</w:t>
      </w:r>
      <w:r w:rsidR="007A08DA">
        <w:rPr>
          <w:rFonts w:ascii="Garamond" w:hAnsi="Garamond"/>
          <w:lang w:val="cs-CZ"/>
        </w:rPr>
        <w:t xml:space="preserve"> </w:t>
      </w:r>
      <w:r w:rsidR="006056D9">
        <w:rPr>
          <w:rFonts w:ascii="Garamond" w:hAnsi="Garamond"/>
          <w:lang w:val="cs-CZ"/>
        </w:rPr>
        <w:t>lékařské</w:t>
      </w:r>
      <w:r w:rsidR="007A08DA">
        <w:rPr>
          <w:rFonts w:ascii="Garamond" w:hAnsi="Garamond"/>
          <w:lang w:val="cs-CZ"/>
        </w:rPr>
        <w:t xml:space="preserve"> studi</w:t>
      </w:r>
      <w:r w:rsidR="006056D9">
        <w:rPr>
          <w:rFonts w:ascii="Garamond" w:hAnsi="Garamond"/>
          <w:lang w:val="cs-CZ"/>
        </w:rPr>
        <w:t>e</w:t>
      </w:r>
      <w:r w:rsidR="00EF517A">
        <w:rPr>
          <w:rFonts w:ascii="Garamond" w:hAnsi="Garamond"/>
          <w:lang w:val="cs-CZ"/>
        </w:rPr>
        <w:t xml:space="preserve">, podle </w:t>
      </w:r>
      <w:r w:rsidR="006056D9">
        <w:rPr>
          <w:rFonts w:ascii="Garamond" w:hAnsi="Garamond"/>
          <w:lang w:val="cs-CZ"/>
        </w:rPr>
        <w:t>níž</w:t>
      </w:r>
      <w:r w:rsidR="00EF517A">
        <w:rPr>
          <w:rFonts w:ascii="Garamond" w:hAnsi="Garamond"/>
          <w:lang w:val="cs-CZ"/>
        </w:rPr>
        <w:t xml:space="preserve"> čtrnáctileté děti dosahují téměř stejné úrovně způsobilosti</w:t>
      </w:r>
      <w:r w:rsidR="00A400D9">
        <w:rPr>
          <w:rFonts w:ascii="Garamond" w:hAnsi="Garamond"/>
          <w:lang w:val="cs-CZ"/>
        </w:rPr>
        <w:t xml:space="preserve"> při udělování informovaného souhlasu</w:t>
      </w:r>
      <w:r w:rsidR="00EF517A">
        <w:rPr>
          <w:rFonts w:ascii="Garamond" w:hAnsi="Garamond"/>
          <w:lang w:val="cs-CZ"/>
        </w:rPr>
        <w:t xml:space="preserve"> jako dospělí.</w:t>
      </w:r>
      <w:r w:rsidR="00EF517A">
        <w:rPr>
          <w:rStyle w:val="FootnoteReference"/>
          <w:rFonts w:ascii="Garamond" w:hAnsi="Garamond"/>
          <w:lang w:val="cs-CZ"/>
        </w:rPr>
        <w:footnoteReference w:id="49"/>
      </w:r>
      <w:r w:rsidR="008E2290">
        <w:rPr>
          <w:rFonts w:ascii="Garamond" w:hAnsi="Garamond"/>
          <w:lang w:val="cs-CZ"/>
        </w:rPr>
        <w:t xml:space="preserve"> </w:t>
      </w:r>
      <w:r w:rsidR="006056D9">
        <w:rPr>
          <w:rFonts w:ascii="Garamond" w:hAnsi="Garamond"/>
          <w:lang w:val="cs-CZ"/>
        </w:rPr>
        <w:t>Ačkoli nelze úroveň způsobilosti dovozovat u všech dětí stejně, již některé dvanáctileté děti lze považovat za dostatečně kompetentní.</w:t>
      </w:r>
      <w:r w:rsidR="006056D9">
        <w:rPr>
          <w:rStyle w:val="FootnoteReference"/>
          <w:rFonts w:ascii="Garamond" w:hAnsi="Garamond"/>
          <w:lang w:val="cs-CZ"/>
        </w:rPr>
        <w:footnoteReference w:id="50"/>
      </w:r>
      <w:r w:rsidR="006056D9">
        <w:rPr>
          <w:rFonts w:ascii="Garamond" w:hAnsi="Garamond"/>
          <w:lang w:val="cs-CZ"/>
        </w:rPr>
        <w:t xml:space="preserve"> </w:t>
      </w:r>
      <w:r w:rsidR="008E2290">
        <w:rPr>
          <w:rFonts w:ascii="Garamond" w:hAnsi="Garamond"/>
          <w:lang w:val="cs-CZ"/>
        </w:rPr>
        <w:t>Důležité je také zmínit argument</w:t>
      </w:r>
      <w:r w:rsidR="001B65BF">
        <w:rPr>
          <w:rFonts w:ascii="Garamond" w:hAnsi="Garamond"/>
          <w:lang w:val="cs-CZ"/>
        </w:rPr>
        <w:t xml:space="preserve">, který zazněl </w:t>
      </w:r>
      <w:r w:rsidR="008E2290">
        <w:rPr>
          <w:rFonts w:ascii="Garamond" w:hAnsi="Garamond"/>
          <w:lang w:val="cs-CZ"/>
        </w:rPr>
        <w:t>během parlamentní rozpravy</w:t>
      </w:r>
      <w:r w:rsidR="001B65BF">
        <w:rPr>
          <w:rFonts w:ascii="Garamond" w:hAnsi="Garamond"/>
          <w:lang w:val="cs-CZ"/>
        </w:rPr>
        <w:t xml:space="preserve"> při přijímání novelizace</w:t>
      </w:r>
      <w:r w:rsidR="008E2290">
        <w:rPr>
          <w:rFonts w:ascii="Garamond" w:hAnsi="Garamond"/>
          <w:lang w:val="cs-CZ"/>
        </w:rPr>
        <w:t>, že zavedení věkového limitu</w:t>
      </w:r>
      <w:r w:rsidR="008A7B93">
        <w:rPr>
          <w:rFonts w:ascii="Garamond" w:hAnsi="Garamond"/>
          <w:lang w:val="cs-CZ"/>
        </w:rPr>
        <w:t>, tak jak tomu bylo učiněno v Nizozemsku,</w:t>
      </w:r>
      <w:r w:rsidR="008E2290">
        <w:rPr>
          <w:rFonts w:ascii="Garamond" w:hAnsi="Garamond"/>
          <w:lang w:val="cs-CZ"/>
        </w:rPr>
        <w:t xml:space="preserve"> by</w:t>
      </w:r>
      <w:r w:rsidR="00F351D7">
        <w:rPr>
          <w:rFonts w:ascii="Garamond" w:hAnsi="Garamond"/>
          <w:lang w:val="cs-CZ"/>
        </w:rPr>
        <w:t xml:space="preserve"> mohlo</w:t>
      </w:r>
      <w:r w:rsidR="008E2290">
        <w:rPr>
          <w:rFonts w:ascii="Garamond" w:hAnsi="Garamond"/>
          <w:lang w:val="cs-CZ"/>
        </w:rPr>
        <w:t xml:space="preserve"> představova</w:t>
      </w:r>
      <w:r w:rsidR="00F351D7">
        <w:rPr>
          <w:rFonts w:ascii="Garamond" w:hAnsi="Garamond"/>
          <w:lang w:val="cs-CZ"/>
        </w:rPr>
        <w:t>t</w:t>
      </w:r>
      <w:r w:rsidR="008E2290">
        <w:rPr>
          <w:rFonts w:ascii="Garamond" w:hAnsi="Garamond"/>
          <w:lang w:val="cs-CZ"/>
        </w:rPr>
        <w:t xml:space="preserve"> někdy až moc přísnou</w:t>
      </w:r>
      <w:r w:rsidR="00F351D7">
        <w:rPr>
          <w:rFonts w:ascii="Garamond" w:hAnsi="Garamond"/>
          <w:lang w:val="cs-CZ"/>
        </w:rPr>
        <w:t>, arbitrární</w:t>
      </w:r>
      <w:r w:rsidR="008E2290">
        <w:rPr>
          <w:rFonts w:ascii="Garamond" w:hAnsi="Garamond"/>
          <w:lang w:val="cs-CZ"/>
        </w:rPr>
        <w:t xml:space="preserve"> hranici, v případě, že by byla </w:t>
      </w:r>
      <w:r w:rsidR="008E2290">
        <w:rPr>
          <w:rFonts w:ascii="Garamond" w:hAnsi="Garamond"/>
          <w:lang w:val="cs-CZ"/>
        </w:rPr>
        <w:lastRenderedPageBreak/>
        <w:t>například žádost pacienta starého jedenáct let a jedenáct měsíců odmítnuta, neboť by nedosahoval požadovaného limitu dvanácti let.</w:t>
      </w:r>
      <w:r w:rsidR="008E2290">
        <w:rPr>
          <w:rStyle w:val="FootnoteReference"/>
          <w:rFonts w:ascii="Garamond" w:hAnsi="Garamond"/>
          <w:lang w:val="cs-CZ"/>
        </w:rPr>
        <w:footnoteReference w:id="51"/>
      </w:r>
    </w:p>
    <w:p w14:paraId="6124753D" w14:textId="76801A54" w:rsidR="0071645C" w:rsidRDefault="001150D5" w:rsidP="00865E5C">
      <w:pPr>
        <w:spacing w:line="360" w:lineRule="auto"/>
        <w:ind w:firstLine="720"/>
        <w:jc w:val="both"/>
        <w:rPr>
          <w:rFonts w:ascii="Garamond" w:hAnsi="Garamond"/>
          <w:lang w:val="cs-CZ"/>
        </w:rPr>
      </w:pPr>
      <w:r>
        <w:rPr>
          <w:rFonts w:ascii="Garamond" w:hAnsi="Garamond"/>
          <w:lang w:val="cs-CZ"/>
        </w:rPr>
        <w:t xml:space="preserve">Dále </w:t>
      </w:r>
      <w:r w:rsidR="00967B09">
        <w:rPr>
          <w:rFonts w:ascii="Garamond" w:hAnsi="Garamond"/>
          <w:lang w:val="cs-CZ"/>
        </w:rPr>
        <w:t>stěžovatelé</w:t>
      </w:r>
      <w:r>
        <w:rPr>
          <w:rFonts w:ascii="Garamond" w:hAnsi="Garamond"/>
          <w:lang w:val="cs-CZ"/>
        </w:rPr>
        <w:t xml:space="preserve"> namítali, že při posuzování duševní způsobilosti může dojít k závažným chybám, neboť úprava u externích dětských psychiatrů nebo psychologů nevyžaduje žádné zvláštní kvalifikace. Soud takové tvrzení </w:t>
      </w:r>
      <w:r w:rsidR="002B6789">
        <w:rPr>
          <w:rFonts w:ascii="Garamond" w:hAnsi="Garamond"/>
          <w:lang w:val="cs-CZ"/>
        </w:rPr>
        <w:t xml:space="preserve">však </w:t>
      </w:r>
      <w:r>
        <w:rPr>
          <w:rFonts w:ascii="Garamond" w:hAnsi="Garamond"/>
          <w:lang w:val="cs-CZ"/>
        </w:rPr>
        <w:t>odmítl</w:t>
      </w:r>
      <w:r w:rsidR="002B6789">
        <w:rPr>
          <w:rFonts w:ascii="Garamond" w:hAnsi="Garamond"/>
          <w:lang w:val="cs-CZ"/>
        </w:rPr>
        <w:t xml:space="preserve"> s odůvodněním, že tito lékaři již prokázali dostatek kvalifikací, neboť jsou po nich pro výkon této profese vyžadovány zákonem.</w:t>
      </w:r>
      <w:r w:rsidR="002B6789">
        <w:rPr>
          <w:rStyle w:val="FootnoteReference"/>
          <w:rFonts w:ascii="Garamond" w:hAnsi="Garamond"/>
          <w:lang w:val="cs-CZ"/>
        </w:rPr>
        <w:footnoteReference w:id="52"/>
      </w:r>
      <w:r w:rsidR="00865E5C">
        <w:rPr>
          <w:rFonts w:ascii="Garamond" w:hAnsi="Garamond"/>
          <w:lang w:val="cs-CZ"/>
        </w:rPr>
        <w:t xml:space="preserve"> </w:t>
      </w:r>
      <w:r w:rsidR="0071645C">
        <w:rPr>
          <w:rFonts w:ascii="Garamond" w:hAnsi="Garamond"/>
          <w:lang w:val="cs-CZ"/>
        </w:rPr>
        <w:t>Samotná objektivita posuzování duševní způsobilosti má být zaručena několikastupňovým procesem. Duševní způsobilost dítěte musí být totiž potvrzena třemi různými rozhodnutími, a to rozhodnutím ošetřujícího lékaře, dětského psychiatra nebo psychologa a zákonn</w:t>
      </w:r>
      <w:r w:rsidR="00FC4DFA">
        <w:rPr>
          <w:rFonts w:ascii="Garamond" w:hAnsi="Garamond"/>
          <w:lang w:val="cs-CZ"/>
        </w:rPr>
        <w:t>ého zástupce.</w:t>
      </w:r>
      <w:r w:rsidR="00FC4DFA">
        <w:rPr>
          <w:rStyle w:val="FootnoteReference"/>
          <w:rFonts w:ascii="Garamond" w:hAnsi="Garamond"/>
          <w:lang w:val="cs-CZ"/>
        </w:rPr>
        <w:footnoteReference w:id="53"/>
      </w:r>
      <w:r w:rsidR="00FC4DFA">
        <w:rPr>
          <w:rFonts w:ascii="Garamond" w:hAnsi="Garamond"/>
          <w:lang w:val="cs-CZ"/>
        </w:rPr>
        <w:t xml:space="preserve"> Před vydáním rozhodnutí musí ošetřující lékař navíc věc probrat s ošetřovatelským personálem, který byl s dítětem v pravidelném kontaktu, jakož i s jakýmkoli příbuzným (příp. jinou osobou), kterého si dítě zvolí. Vzhledem k počtu zúčastněných osob je tak proces posuzování považován za dostatečný.</w:t>
      </w:r>
      <w:r w:rsidR="00FC4DFA">
        <w:rPr>
          <w:rStyle w:val="FootnoteReference"/>
          <w:rFonts w:ascii="Garamond" w:hAnsi="Garamond"/>
          <w:lang w:val="cs-CZ"/>
        </w:rPr>
        <w:footnoteReference w:id="54"/>
      </w:r>
    </w:p>
    <w:p w14:paraId="4954B7F3" w14:textId="680C0934" w:rsidR="00865E5C" w:rsidRPr="000E19EF" w:rsidRDefault="00F11596" w:rsidP="00865E5C">
      <w:pPr>
        <w:spacing w:line="360" w:lineRule="auto"/>
        <w:ind w:firstLine="720"/>
        <w:jc w:val="both"/>
        <w:rPr>
          <w:rFonts w:ascii="Garamond" w:hAnsi="Garamond"/>
          <w:lang w:val="cs-CZ"/>
        </w:rPr>
      </w:pPr>
      <w:r>
        <w:rPr>
          <w:rFonts w:ascii="Garamond" w:hAnsi="Garamond"/>
          <w:lang w:val="cs-CZ"/>
        </w:rPr>
        <w:t>Kritici rozšíření dále vytýkali, že dětem by nemělo být svěřeno rozhodování o tak závažné věci jako je eutanazie. Tato kritika však silně nekoresponduje s již v Belgii dávno přijatou právní úpravou podle zákona o právech pacientů z roku 2002. Ten byl přijat společně s původním zákonem o eutanazii a mimo jiné upravuje, že na každém lékařském rozhodnutí by se měl nezletilý pacient podílet podle své vyspělosti a věku.</w:t>
      </w:r>
      <w:r>
        <w:rPr>
          <w:rStyle w:val="FootnoteReference"/>
          <w:rFonts w:ascii="Garamond" w:hAnsi="Garamond"/>
          <w:lang w:val="cs-CZ"/>
        </w:rPr>
        <w:footnoteReference w:id="55"/>
      </w:r>
      <w:r w:rsidR="003F0A8C">
        <w:rPr>
          <w:rFonts w:ascii="Garamond" w:hAnsi="Garamond"/>
          <w:lang w:val="cs-CZ"/>
        </w:rPr>
        <w:t xml:space="preserve"> Vyspělí nezletilí pacienti tak ve smyslu tohoto zákona mohou například odmítnout další kolo chemoterapie nebo transplantaci orgánu i v případě, že smrt bude nevyhnutelným následkem takového rozhodnutí.</w:t>
      </w:r>
      <w:r w:rsidR="003F0A8C">
        <w:rPr>
          <w:rStyle w:val="FootnoteReference"/>
          <w:rFonts w:ascii="Garamond" w:hAnsi="Garamond"/>
          <w:lang w:val="cs-CZ"/>
        </w:rPr>
        <w:footnoteReference w:id="56"/>
      </w:r>
      <w:r w:rsidR="003F0A8C">
        <w:rPr>
          <w:rFonts w:ascii="Garamond" w:hAnsi="Garamond"/>
          <w:lang w:val="cs-CZ"/>
        </w:rPr>
        <w:t xml:space="preserve"> S ohledem na uplatňovanou praxi tak argument závažnosti rozhodování</w:t>
      </w:r>
      <w:r w:rsidR="0051026F">
        <w:rPr>
          <w:rFonts w:ascii="Garamond" w:hAnsi="Garamond"/>
          <w:lang w:val="cs-CZ"/>
        </w:rPr>
        <w:t xml:space="preserve"> není považován za dostatečný.</w:t>
      </w:r>
      <w:r w:rsidR="0051026F">
        <w:rPr>
          <w:rStyle w:val="FootnoteReference"/>
          <w:rFonts w:ascii="Garamond" w:hAnsi="Garamond"/>
          <w:lang w:val="cs-CZ"/>
        </w:rPr>
        <w:footnoteReference w:id="57"/>
      </w:r>
    </w:p>
    <w:p w14:paraId="2848EE68" w14:textId="32E9D01D" w:rsidR="007759EE" w:rsidRDefault="007759EE" w:rsidP="00613549">
      <w:pPr>
        <w:pStyle w:val="Heading2"/>
        <w:numPr>
          <w:ilvl w:val="0"/>
          <w:numId w:val="14"/>
        </w:numPr>
        <w:spacing w:line="360" w:lineRule="auto"/>
        <w:rPr>
          <w:lang w:val="cs-CZ"/>
        </w:rPr>
      </w:pPr>
      <w:bookmarkStart w:id="4" w:name="_Toc11919770"/>
      <w:r w:rsidRPr="007759EE">
        <w:rPr>
          <w:lang w:val="cs-CZ"/>
        </w:rPr>
        <w:t>Právní úprava v</w:t>
      </w:r>
      <w:r>
        <w:rPr>
          <w:lang w:val="cs-CZ"/>
        </w:rPr>
        <w:t> </w:t>
      </w:r>
      <w:r w:rsidRPr="007759EE">
        <w:rPr>
          <w:lang w:val="cs-CZ"/>
        </w:rPr>
        <w:t>Nizozemsku</w:t>
      </w:r>
      <w:bookmarkEnd w:id="4"/>
    </w:p>
    <w:p w14:paraId="47EAB0C0" w14:textId="77777777" w:rsidR="00E82CFF" w:rsidRDefault="006F5DD8" w:rsidP="00E82CFF">
      <w:pPr>
        <w:spacing w:line="360" w:lineRule="auto"/>
        <w:ind w:firstLine="720"/>
        <w:jc w:val="both"/>
        <w:rPr>
          <w:rFonts w:ascii="Garamond" w:hAnsi="Garamond"/>
          <w:lang w:val="cs-CZ"/>
        </w:rPr>
      </w:pPr>
      <w:r>
        <w:rPr>
          <w:rFonts w:ascii="Garamond" w:hAnsi="Garamond"/>
          <w:lang w:val="cs-CZ"/>
        </w:rPr>
        <w:t xml:space="preserve">Ačkoli </w:t>
      </w:r>
      <w:r w:rsidR="00DA4F42">
        <w:rPr>
          <w:rFonts w:ascii="Garamond" w:hAnsi="Garamond"/>
          <w:lang w:val="cs-CZ"/>
        </w:rPr>
        <w:t>je eutanazie v Nizozemsku reálně vykonávána od 80. let, uzákoněna byla až v roce 2002, čímž se Nizozemsko stalo prvním státem na světě, který tak učinil.</w:t>
      </w:r>
      <w:r w:rsidR="00DA4F42">
        <w:rPr>
          <w:rStyle w:val="FootnoteReference"/>
          <w:rFonts w:ascii="Garamond" w:hAnsi="Garamond"/>
          <w:lang w:val="cs-CZ"/>
        </w:rPr>
        <w:footnoteReference w:id="58"/>
      </w:r>
      <w:r w:rsidR="004E6BEE">
        <w:rPr>
          <w:rFonts w:ascii="Garamond" w:hAnsi="Garamond"/>
          <w:lang w:val="cs-CZ"/>
        </w:rPr>
        <w:t xml:space="preserve"> Do té</w:t>
      </w:r>
      <w:r w:rsidR="00B05180">
        <w:rPr>
          <w:rFonts w:ascii="Garamond" w:hAnsi="Garamond"/>
          <w:lang w:val="cs-CZ"/>
        </w:rPr>
        <w:t xml:space="preserve"> doby byla eutanazie byla klasifikována jako kvalifikovaná forma vraždy podle trestního zákoníku.</w:t>
      </w:r>
      <w:r w:rsidR="00B05180">
        <w:rPr>
          <w:rStyle w:val="FootnoteReference"/>
          <w:rFonts w:ascii="Garamond" w:hAnsi="Garamond"/>
          <w:lang w:val="cs-CZ"/>
        </w:rPr>
        <w:footnoteReference w:id="59"/>
      </w:r>
      <w:r w:rsidR="00C93141">
        <w:rPr>
          <w:rFonts w:ascii="Garamond" w:hAnsi="Garamond"/>
          <w:lang w:val="cs-CZ"/>
        </w:rPr>
        <w:t xml:space="preserve"> Ke změně došlo </w:t>
      </w:r>
      <w:r w:rsidR="00C93141">
        <w:rPr>
          <w:rFonts w:ascii="Garamond" w:hAnsi="Garamond"/>
          <w:lang w:val="cs-CZ"/>
        </w:rPr>
        <w:lastRenderedPageBreak/>
        <w:t xml:space="preserve">v roce 1984, kdy Nejvyšší soud Nizozemí v případu </w:t>
      </w:r>
      <w:proofErr w:type="spellStart"/>
      <w:r w:rsidR="00C93141">
        <w:rPr>
          <w:rFonts w:ascii="Garamond" w:hAnsi="Garamond"/>
          <w:i/>
          <w:lang w:val="cs-CZ"/>
        </w:rPr>
        <w:t>Schoonheim</w:t>
      </w:r>
      <w:proofErr w:type="spellEnd"/>
      <w:r w:rsidR="00C93141">
        <w:rPr>
          <w:rFonts w:ascii="Garamond" w:hAnsi="Garamond"/>
          <w:i/>
          <w:lang w:val="cs-CZ"/>
        </w:rPr>
        <w:t xml:space="preserve"> </w:t>
      </w:r>
      <w:r w:rsidR="00C93141">
        <w:rPr>
          <w:rFonts w:ascii="Garamond" w:hAnsi="Garamond"/>
          <w:lang w:val="cs-CZ"/>
        </w:rPr>
        <w:t>potvrdil zproštění trestní odpovědnosti lékaře, který vykonal na žádost pacientky eutanazii</w:t>
      </w:r>
      <w:r w:rsidR="00FA0678">
        <w:rPr>
          <w:rFonts w:ascii="Garamond" w:hAnsi="Garamond"/>
          <w:lang w:val="cs-CZ"/>
        </w:rPr>
        <w:t>, neboť jeho rozhodnutí v daném případě pacientky, jejíž utrpení bylo nesnesitelné a beznadějné, bylo objektivně ospravedlnitelné.</w:t>
      </w:r>
      <w:r w:rsidR="00FA0678">
        <w:rPr>
          <w:rStyle w:val="FootnoteReference"/>
          <w:rFonts w:ascii="Garamond" w:hAnsi="Garamond"/>
          <w:lang w:val="cs-CZ"/>
        </w:rPr>
        <w:footnoteReference w:id="60"/>
      </w:r>
      <w:r w:rsidR="00FA0678">
        <w:rPr>
          <w:rFonts w:ascii="Garamond" w:hAnsi="Garamond"/>
          <w:lang w:val="cs-CZ"/>
        </w:rPr>
        <w:t xml:space="preserve"> Judikatura tak až do přijetí příslušného zákona zajišťovala lékařům v této věci beztrestnost, pokud se drželi vytyčených limitů.</w:t>
      </w:r>
      <w:r w:rsidR="00FA0678">
        <w:rPr>
          <w:rStyle w:val="FootnoteReference"/>
          <w:rFonts w:ascii="Garamond" w:hAnsi="Garamond"/>
          <w:lang w:val="cs-CZ"/>
        </w:rPr>
        <w:footnoteReference w:id="61"/>
      </w:r>
      <w:r w:rsidR="00FA0678">
        <w:rPr>
          <w:rFonts w:ascii="Garamond" w:hAnsi="Garamond"/>
          <w:lang w:val="cs-CZ"/>
        </w:rPr>
        <w:t xml:space="preserve"> </w:t>
      </w:r>
    </w:p>
    <w:p w14:paraId="7A31C746" w14:textId="6AA974B9" w:rsidR="00926F0E" w:rsidRDefault="00926F0E" w:rsidP="00E82CFF">
      <w:pPr>
        <w:spacing w:line="360" w:lineRule="auto"/>
        <w:ind w:firstLine="720"/>
        <w:jc w:val="both"/>
        <w:rPr>
          <w:rFonts w:ascii="Garamond" w:hAnsi="Garamond"/>
          <w:lang w:val="cs-CZ"/>
        </w:rPr>
      </w:pPr>
      <w:r>
        <w:rPr>
          <w:rFonts w:ascii="Garamond" w:hAnsi="Garamond"/>
          <w:lang w:val="cs-CZ"/>
        </w:rPr>
        <w:t xml:space="preserve">V roce 2002 pak vstoupil v účinnost zákon o </w:t>
      </w:r>
      <w:r w:rsidR="00EC3C79">
        <w:rPr>
          <w:rFonts w:ascii="Garamond" w:hAnsi="Garamond"/>
          <w:lang w:val="cs-CZ"/>
        </w:rPr>
        <w:t>ukončení života na žádost a o asistované sebevraždě</w:t>
      </w:r>
      <w:r w:rsidR="007F2E74">
        <w:rPr>
          <w:rFonts w:ascii="Garamond" w:hAnsi="Garamond"/>
          <w:lang w:val="cs-CZ"/>
        </w:rPr>
        <w:t>.</w:t>
      </w:r>
      <w:r>
        <w:rPr>
          <w:rStyle w:val="FootnoteReference"/>
          <w:rFonts w:ascii="Garamond" w:hAnsi="Garamond"/>
          <w:lang w:val="cs-CZ"/>
        </w:rPr>
        <w:footnoteReference w:id="62"/>
      </w:r>
      <w:r w:rsidR="007F2E74">
        <w:rPr>
          <w:rFonts w:ascii="Garamond" w:hAnsi="Garamond"/>
          <w:lang w:val="cs-CZ"/>
        </w:rPr>
        <w:t xml:space="preserve"> Podle tohoto zákona pak lékaři, kteří provedou eutanazii, nebudou trestně stíháni, za předpokladu, že dodrží předepsané postupy a tzv. kritéria náležité péče.</w:t>
      </w:r>
      <w:r w:rsidR="007F2E74">
        <w:rPr>
          <w:rStyle w:val="FootnoteReference"/>
          <w:rFonts w:ascii="Garamond" w:hAnsi="Garamond"/>
          <w:lang w:val="cs-CZ"/>
        </w:rPr>
        <w:footnoteReference w:id="63"/>
      </w:r>
      <w:r w:rsidR="00F956E8">
        <w:rPr>
          <w:rFonts w:ascii="Garamond" w:hAnsi="Garamond"/>
          <w:lang w:val="cs-CZ"/>
        </w:rPr>
        <w:t xml:space="preserve"> Podle těchto kritérií musí ošetřující lékař</w:t>
      </w:r>
      <w:r w:rsidR="00967B09">
        <w:rPr>
          <w:rFonts w:ascii="Garamond" w:hAnsi="Garamond"/>
          <w:lang w:val="cs-CZ"/>
        </w:rPr>
        <w:t>:</w:t>
      </w:r>
    </w:p>
    <w:p w14:paraId="3D0BD11A" w14:textId="0089B872" w:rsidR="00F956E8" w:rsidRDefault="006F01A5" w:rsidP="00F956E8">
      <w:pPr>
        <w:pStyle w:val="ListParagraph"/>
        <w:numPr>
          <w:ilvl w:val="0"/>
          <w:numId w:val="19"/>
        </w:numPr>
        <w:spacing w:line="360" w:lineRule="auto"/>
        <w:jc w:val="both"/>
        <w:rPr>
          <w:rFonts w:ascii="Garamond" w:hAnsi="Garamond"/>
          <w:lang w:val="cs-CZ"/>
        </w:rPr>
      </w:pPr>
      <w:r>
        <w:rPr>
          <w:rFonts w:ascii="Garamond" w:hAnsi="Garamond"/>
          <w:lang w:val="cs-CZ"/>
        </w:rPr>
        <w:t>B</w:t>
      </w:r>
      <w:r w:rsidR="00F956E8">
        <w:rPr>
          <w:rFonts w:ascii="Garamond" w:hAnsi="Garamond"/>
          <w:lang w:val="cs-CZ"/>
        </w:rPr>
        <w:t>ýt důvodně přesvědčen, že pacientova žádost je dobrovolná a dobře zvážena;</w:t>
      </w:r>
    </w:p>
    <w:p w14:paraId="08A621FA" w14:textId="2772C4AC" w:rsidR="00F956E8" w:rsidRDefault="006F01A5" w:rsidP="00F956E8">
      <w:pPr>
        <w:pStyle w:val="ListParagraph"/>
        <w:numPr>
          <w:ilvl w:val="0"/>
          <w:numId w:val="19"/>
        </w:numPr>
        <w:spacing w:line="360" w:lineRule="auto"/>
        <w:jc w:val="both"/>
        <w:rPr>
          <w:rFonts w:ascii="Garamond" w:hAnsi="Garamond"/>
          <w:lang w:val="cs-CZ"/>
        </w:rPr>
      </w:pPr>
      <w:r>
        <w:rPr>
          <w:rFonts w:ascii="Garamond" w:hAnsi="Garamond"/>
          <w:lang w:val="cs-CZ"/>
        </w:rPr>
        <w:t>b</w:t>
      </w:r>
      <w:r w:rsidR="00F956E8">
        <w:rPr>
          <w:rFonts w:ascii="Garamond" w:hAnsi="Garamond"/>
          <w:lang w:val="cs-CZ"/>
        </w:rPr>
        <w:t>ýt přesvědčen, že pacientovo utrpení je nesnesitelné bez naděje na zlepšení;</w:t>
      </w:r>
    </w:p>
    <w:p w14:paraId="3EA0C4A1" w14:textId="2110A417" w:rsidR="00F956E8" w:rsidRDefault="006F01A5" w:rsidP="00F956E8">
      <w:pPr>
        <w:pStyle w:val="ListParagraph"/>
        <w:numPr>
          <w:ilvl w:val="0"/>
          <w:numId w:val="19"/>
        </w:numPr>
        <w:spacing w:line="360" w:lineRule="auto"/>
        <w:jc w:val="both"/>
        <w:rPr>
          <w:rFonts w:ascii="Garamond" w:hAnsi="Garamond"/>
          <w:lang w:val="cs-CZ"/>
        </w:rPr>
      </w:pPr>
      <w:r>
        <w:rPr>
          <w:rFonts w:ascii="Garamond" w:hAnsi="Garamond"/>
          <w:lang w:val="cs-CZ"/>
        </w:rPr>
        <w:t>i</w:t>
      </w:r>
      <w:r w:rsidR="00F956E8">
        <w:rPr>
          <w:rFonts w:ascii="Garamond" w:hAnsi="Garamond"/>
          <w:lang w:val="cs-CZ"/>
        </w:rPr>
        <w:t>nformovat pacienta o jeho stavu a prognóze;</w:t>
      </w:r>
    </w:p>
    <w:p w14:paraId="6D33591A" w14:textId="5391F93D" w:rsidR="00F956E8" w:rsidRDefault="00F956E8" w:rsidP="00F956E8">
      <w:pPr>
        <w:pStyle w:val="ListParagraph"/>
        <w:numPr>
          <w:ilvl w:val="0"/>
          <w:numId w:val="19"/>
        </w:numPr>
        <w:spacing w:line="360" w:lineRule="auto"/>
        <w:jc w:val="both"/>
        <w:rPr>
          <w:rFonts w:ascii="Garamond" w:hAnsi="Garamond"/>
          <w:lang w:val="cs-CZ"/>
        </w:rPr>
      </w:pPr>
      <w:r>
        <w:rPr>
          <w:rFonts w:ascii="Garamond" w:hAnsi="Garamond"/>
          <w:lang w:val="cs-CZ"/>
        </w:rPr>
        <w:t>dojít společně s pacientem k závěru, že zde neexistuje žádná rozumná alternativa vzhledem k pacientově situaci;</w:t>
      </w:r>
    </w:p>
    <w:p w14:paraId="22138E46" w14:textId="6B43F32A" w:rsidR="00F956E8" w:rsidRDefault="00F956E8" w:rsidP="00F956E8">
      <w:pPr>
        <w:pStyle w:val="ListParagraph"/>
        <w:numPr>
          <w:ilvl w:val="0"/>
          <w:numId w:val="19"/>
        </w:numPr>
        <w:spacing w:line="360" w:lineRule="auto"/>
        <w:jc w:val="both"/>
        <w:rPr>
          <w:rFonts w:ascii="Garamond" w:hAnsi="Garamond"/>
          <w:lang w:val="cs-CZ"/>
        </w:rPr>
      </w:pPr>
      <w:r>
        <w:rPr>
          <w:rFonts w:ascii="Garamond" w:hAnsi="Garamond"/>
          <w:lang w:val="cs-CZ"/>
        </w:rPr>
        <w:t xml:space="preserve">konzultovat </w:t>
      </w:r>
      <w:r w:rsidR="000952F9">
        <w:rPr>
          <w:rFonts w:ascii="Garamond" w:hAnsi="Garamond"/>
          <w:lang w:val="cs-CZ"/>
        </w:rPr>
        <w:t>případ alespoň s jedním nezávislým lékařem</w:t>
      </w:r>
      <w:r>
        <w:rPr>
          <w:rFonts w:ascii="Garamond" w:hAnsi="Garamond"/>
          <w:lang w:val="cs-CZ"/>
        </w:rPr>
        <w:t>, který musí pacienta shlédnout a poskytnout písemný názor, zda byla výše uvedená kritéria splněna;</w:t>
      </w:r>
    </w:p>
    <w:p w14:paraId="20F7D88A" w14:textId="01EFD28D" w:rsidR="00F956E8" w:rsidRDefault="00F956E8" w:rsidP="00F956E8">
      <w:pPr>
        <w:pStyle w:val="ListParagraph"/>
        <w:numPr>
          <w:ilvl w:val="0"/>
          <w:numId w:val="19"/>
        </w:numPr>
        <w:spacing w:line="360" w:lineRule="auto"/>
        <w:jc w:val="both"/>
        <w:rPr>
          <w:rFonts w:ascii="Garamond" w:hAnsi="Garamond"/>
          <w:lang w:val="cs-CZ"/>
        </w:rPr>
      </w:pPr>
      <w:r>
        <w:rPr>
          <w:rFonts w:ascii="Garamond" w:hAnsi="Garamond"/>
          <w:lang w:val="cs-CZ"/>
        </w:rPr>
        <w:t>provést eutanazii nebo asistovanou sebevraždu s náležitou lékařskou péčí a pozorností.</w:t>
      </w:r>
      <w:r w:rsidR="00967B09">
        <w:rPr>
          <w:rStyle w:val="FootnoteReference"/>
          <w:rFonts w:ascii="Garamond" w:hAnsi="Garamond"/>
          <w:lang w:val="cs-CZ"/>
        </w:rPr>
        <w:footnoteReference w:id="64"/>
      </w:r>
    </w:p>
    <w:p w14:paraId="273CD73F" w14:textId="54274D28" w:rsidR="00F956E8" w:rsidRDefault="00955E15" w:rsidP="00955E15">
      <w:pPr>
        <w:spacing w:line="360" w:lineRule="auto"/>
        <w:ind w:firstLine="720"/>
        <w:jc w:val="both"/>
        <w:rPr>
          <w:rFonts w:ascii="Garamond" w:hAnsi="Garamond"/>
          <w:lang w:val="cs-CZ"/>
        </w:rPr>
      </w:pPr>
      <w:r>
        <w:rPr>
          <w:rFonts w:ascii="Garamond" w:hAnsi="Garamond"/>
          <w:lang w:val="cs-CZ"/>
        </w:rPr>
        <w:t>Zákon dále upravuje podmínky eutanazie na nezletilých pacientech s odlišnostmi podle věku pacienta. Hraničními věky jsou zde šestnáct a dvanáct let. Pacienti starší šestnácti let můžou podstoupit eutanazii, pokud jsou schopni rozumného posouzení</w:t>
      </w:r>
      <w:r>
        <w:rPr>
          <w:rStyle w:val="FootnoteReference"/>
          <w:rFonts w:ascii="Garamond" w:hAnsi="Garamond"/>
          <w:lang w:val="cs-CZ"/>
        </w:rPr>
        <w:footnoteReference w:id="65"/>
      </w:r>
      <w:r>
        <w:rPr>
          <w:rFonts w:ascii="Garamond" w:hAnsi="Garamond"/>
          <w:lang w:val="cs-CZ"/>
        </w:rPr>
        <w:t xml:space="preserve"> a žádost bude prokonzultována s pacientovi zákonnými zástupci.</w:t>
      </w:r>
      <w:r>
        <w:rPr>
          <w:rStyle w:val="FootnoteReference"/>
          <w:rFonts w:ascii="Garamond" w:hAnsi="Garamond"/>
          <w:lang w:val="cs-CZ"/>
        </w:rPr>
        <w:footnoteReference w:id="66"/>
      </w:r>
      <w:r>
        <w:rPr>
          <w:rFonts w:ascii="Garamond" w:hAnsi="Garamond"/>
          <w:lang w:val="cs-CZ"/>
        </w:rPr>
        <w:t xml:space="preserve"> V případě, že se šestnáctiletý pacient ocitne ve stavu, kdy nebude schopen vyjádřit svou vůli, eutanazie může být vykonána, pokud již dříve sepsal písemnou žádost o eutanazii</w:t>
      </w:r>
      <w:r w:rsidR="00A41566">
        <w:rPr>
          <w:rFonts w:ascii="Garamond" w:hAnsi="Garamond"/>
          <w:lang w:val="cs-CZ"/>
        </w:rPr>
        <w:t xml:space="preserve"> a budou splněna kritéria náležité péče.</w:t>
      </w:r>
      <w:r w:rsidR="00A41566">
        <w:rPr>
          <w:rStyle w:val="FootnoteReference"/>
          <w:rFonts w:ascii="Garamond" w:hAnsi="Garamond"/>
          <w:lang w:val="cs-CZ"/>
        </w:rPr>
        <w:footnoteReference w:id="67"/>
      </w:r>
      <w:r w:rsidR="00A41566">
        <w:rPr>
          <w:rFonts w:ascii="Garamond" w:hAnsi="Garamond"/>
          <w:lang w:val="cs-CZ"/>
        </w:rPr>
        <w:t xml:space="preserve"> Zajímavé je, že zákon nevyžaduje, aby byl pacient ve věku šestnácti let v době sepsání žádosti, ale postačí, pokud takového věku dosáhne v době výkonu eutanazie.</w:t>
      </w:r>
      <w:r w:rsidR="00A41566">
        <w:rPr>
          <w:rStyle w:val="FootnoteReference"/>
          <w:rFonts w:ascii="Garamond" w:hAnsi="Garamond"/>
          <w:lang w:val="cs-CZ"/>
        </w:rPr>
        <w:footnoteReference w:id="68"/>
      </w:r>
      <w:r w:rsidR="00A41566">
        <w:rPr>
          <w:rFonts w:ascii="Garamond" w:hAnsi="Garamond"/>
          <w:lang w:val="cs-CZ"/>
        </w:rPr>
        <w:t xml:space="preserve"> Konečně pak, pokud je pacientem dítě ve věku mezi dvanácti a šestnácti </w:t>
      </w:r>
      <w:r w:rsidR="00A41566">
        <w:rPr>
          <w:rFonts w:ascii="Garamond" w:hAnsi="Garamond"/>
          <w:lang w:val="cs-CZ"/>
        </w:rPr>
        <w:lastRenderedPageBreak/>
        <w:t>lety, může být eutanazie vykonána, pokud je pacient schopen rozumného posouzení, budou splněny kritéria náležité péče a s výkonem eutanazie budou souhlasit pacientovi zákonní zástupci.</w:t>
      </w:r>
      <w:r w:rsidR="00A41566">
        <w:rPr>
          <w:rStyle w:val="FootnoteReference"/>
          <w:rFonts w:ascii="Garamond" w:hAnsi="Garamond"/>
          <w:lang w:val="cs-CZ"/>
        </w:rPr>
        <w:footnoteReference w:id="69"/>
      </w:r>
    </w:p>
    <w:p w14:paraId="4D45D69A" w14:textId="18A32C1E" w:rsidR="00C5502C" w:rsidRDefault="00EE1F29" w:rsidP="004A4384">
      <w:pPr>
        <w:spacing w:line="360" w:lineRule="auto"/>
        <w:ind w:firstLine="720"/>
        <w:jc w:val="both"/>
        <w:rPr>
          <w:rFonts w:ascii="Garamond" w:hAnsi="Garamond"/>
          <w:lang w:val="cs-CZ"/>
        </w:rPr>
      </w:pPr>
      <w:r>
        <w:rPr>
          <w:rFonts w:ascii="Garamond" w:hAnsi="Garamond"/>
          <w:lang w:val="cs-CZ"/>
        </w:rPr>
        <w:t xml:space="preserve">Stejně jako v Belgii, i </w:t>
      </w:r>
      <w:r w:rsidR="00D2055D">
        <w:rPr>
          <w:rFonts w:ascii="Garamond" w:hAnsi="Garamond"/>
          <w:lang w:val="cs-CZ"/>
        </w:rPr>
        <w:t>v Nizozemsku hrají důležitou roli kontrolní etické komise</w:t>
      </w:r>
      <w:r w:rsidR="00296900">
        <w:rPr>
          <w:rFonts w:ascii="Garamond" w:hAnsi="Garamond"/>
          <w:lang w:val="cs-CZ"/>
        </w:rPr>
        <w:t xml:space="preserve"> (celkově pět komisí)</w:t>
      </w:r>
      <w:r w:rsidR="00D2055D">
        <w:rPr>
          <w:rFonts w:ascii="Garamond" w:hAnsi="Garamond"/>
          <w:lang w:val="cs-CZ"/>
        </w:rPr>
        <w:t>, jejímž úkolem je kontrola nad výkonem eutanazie na základě lékařské zprávy ošetřujícího lékaře. Tyto komise lichého počtu členů jsou složeny z předsedy-právníka, jednoho lékaře a jednoho odborníka na etické nebo morální otázky.</w:t>
      </w:r>
      <w:r w:rsidR="00D2055D">
        <w:rPr>
          <w:rStyle w:val="FootnoteReference"/>
          <w:rFonts w:ascii="Garamond" w:hAnsi="Garamond"/>
          <w:lang w:val="cs-CZ"/>
        </w:rPr>
        <w:footnoteReference w:id="70"/>
      </w:r>
      <w:r w:rsidR="00D2055D">
        <w:rPr>
          <w:rFonts w:ascii="Garamond" w:hAnsi="Garamond"/>
          <w:lang w:val="cs-CZ"/>
        </w:rPr>
        <w:t xml:space="preserve"> Pokud dojde etická komise k závěru, že došlo k pochybení, může předat případ státnímu zastupitelství.</w:t>
      </w:r>
      <w:r w:rsidR="00D2055D">
        <w:rPr>
          <w:rStyle w:val="FootnoteReference"/>
          <w:rFonts w:ascii="Garamond" w:hAnsi="Garamond"/>
          <w:lang w:val="cs-CZ"/>
        </w:rPr>
        <w:footnoteReference w:id="71"/>
      </w:r>
      <w:r w:rsidR="004A4384">
        <w:rPr>
          <w:rFonts w:ascii="Garamond" w:hAnsi="Garamond"/>
          <w:lang w:val="cs-CZ"/>
        </w:rPr>
        <w:t xml:space="preserve"> V Nizozemsku tyto etické komise taktéž dokumentují případy výkonů eutanazie,</w:t>
      </w:r>
      <w:r w:rsidR="00296900">
        <w:rPr>
          <w:rFonts w:ascii="Garamond" w:hAnsi="Garamond"/>
          <w:lang w:val="cs-CZ"/>
        </w:rPr>
        <w:t xml:space="preserve"> přičemž podle zpřístupněných informací, výkon eutanazie na dětech je velmi výjimečný. </w:t>
      </w:r>
      <w:r w:rsidR="000D585E">
        <w:rPr>
          <w:rFonts w:ascii="Garamond" w:hAnsi="Garamond"/>
          <w:lang w:val="cs-CZ"/>
        </w:rPr>
        <w:t>Podle výroční zprávy z roku 2017 došlo k výkonu eutanazie v celkově 6 585 případech a počet se každoročně stále zvyšuje.</w:t>
      </w:r>
      <w:r w:rsidR="000D585E">
        <w:rPr>
          <w:rStyle w:val="FootnoteReference"/>
          <w:rFonts w:ascii="Garamond" w:hAnsi="Garamond"/>
          <w:lang w:val="cs-CZ"/>
        </w:rPr>
        <w:footnoteReference w:id="72"/>
      </w:r>
      <w:r w:rsidR="000D585E">
        <w:rPr>
          <w:rFonts w:ascii="Garamond" w:hAnsi="Garamond"/>
          <w:lang w:val="cs-CZ"/>
        </w:rPr>
        <w:t xml:space="preserve"> U dětí etické komise evidují m</w:t>
      </w:r>
      <w:r w:rsidR="00296900">
        <w:rPr>
          <w:rFonts w:ascii="Garamond" w:hAnsi="Garamond"/>
          <w:lang w:val="cs-CZ"/>
        </w:rPr>
        <w:t>ezi lety 2002 až 2014 pouze pět takových žádostí, kterým bylo i následně vyhověno.</w:t>
      </w:r>
      <w:r w:rsidR="00296900">
        <w:rPr>
          <w:rStyle w:val="FootnoteReference"/>
          <w:rFonts w:ascii="Garamond" w:hAnsi="Garamond"/>
          <w:lang w:val="cs-CZ"/>
        </w:rPr>
        <w:footnoteReference w:id="73"/>
      </w:r>
      <w:r w:rsidR="00296900">
        <w:rPr>
          <w:rFonts w:ascii="Garamond" w:hAnsi="Garamond"/>
          <w:lang w:val="cs-CZ"/>
        </w:rPr>
        <w:t xml:space="preserve"> </w:t>
      </w:r>
      <w:r w:rsidR="000D585E">
        <w:rPr>
          <w:rFonts w:ascii="Garamond" w:hAnsi="Garamond"/>
          <w:lang w:val="cs-CZ"/>
        </w:rPr>
        <w:t>V roce 2017 jsou pak evidovány celkově tři žádosti.</w:t>
      </w:r>
      <w:r w:rsidR="000D585E">
        <w:rPr>
          <w:rStyle w:val="FootnoteReference"/>
          <w:rFonts w:ascii="Garamond" w:hAnsi="Garamond"/>
          <w:lang w:val="cs-CZ"/>
        </w:rPr>
        <w:footnoteReference w:id="74"/>
      </w:r>
    </w:p>
    <w:p w14:paraId="4C228605" w14:textId="77777777" w:rsidR="00E11770" w:rsidRDefault="00E11770" w:rsidP="002D3394">
      <w:pPr>
        <w:pStyle w:val="ListParagraph"/>
        <w:numPr>
          <w:ilvl w:val="0"/>
          <w:numId w:val="18"/>
        </w:numPr>
        <w:spacing w:line="360" w:lineRule="auto"/>
        <w:jc w:val="both"/>
        <w:rPr>
          <w:rFonts w:ascii="Garamond" w:hAnsi="Garamond"/>
          <w:b/>
          <w:lang w:val="cs-CZ"/>
        </w:rPr>
      </w:pPr>
      <w:r w:rsidRPr="00E11770">
        <w:rPr>
          <w:rFonts w:ascii="Garamond" w:hAnsi="Garamond"/>
          <w:b/>
          <w:lang w:val="cs-CZ"/>
        </w:rPr>
        <w:t>Groningenský protokol</w:t>
      </w:r>
    </w:p>
    <w:p w14:paraId="1CDE8C74" w14:textId="2F169DD3" w:rsidR="0079171C" w:rsidRDefault="003662C6" w:rsidP="005F5387">
      <w:pPr>
        <w:spacing w:line="360" w:lineRule="auto"/>
        <w:ind w:firstLine="720"/>
        <w:jc w:val="both"/>
        <w:rPr>
          <w:rFonts w:ascii="Garamond" w:hAnsi="Garamond"/>
          <w:lang w:val="cs-CZ"/>
        </w:rPr>
      </w:pPr>
      <w:r>
        <w:rPr>
          <w:rFonts w:ascii="Garamond" w:hAnsi="Garamond"/>
          <w:lang w:val="cs-CZ"/>
        </w:rPr>
        <w:t xml:space="preserve">Groningenský protokol, publikován v roce 2005 lékaři pediatrického oddělení Eduardem </w:t>
      </w:r>
      <w:proofErr w:type="spellStart"/>
      <w:r>
        <w:rPr>
          <w:rFonts w:ascii="Garamond" w:hAnsi="Garamond"/>
          <w:lang w:val="cs-CZ"/>
        </w:rPr>
        <w:t>Verhagenem</w:t>
      </w:r>
      <w:proofErr w:type="spellEnd"/>
      <w:r>
        <w:rPr>
          <w:rFonts w:ascii="Garamond" w:hAnsi="Garamond"/>
          <w:lang w:val="cs-CZ"/>
        </w:rPr>
        <w:t xml:space="preserve"> a </w:t>
      </w:r>
      <w:proofErr w:type="spellStart"/>
      <w:r>
        <w:rPr>
          <w:rFonts w:ascii="Garamond" w:hAnsi="Garamond"/>
          <w:lang w:val="cs-CZ"/>
        </w:rPr>
        <w:t>Pieterem</w:t>
      </w:r>
      <w:proofErr w:type="spellEnd"/>
      <w:r>
        <w:rPr>
          <w:rFonts w:ascii="Garamond" w:hAnsi="Garamond"/>
          <w:lang w:val="cs-CZ"/>
        </w:rPr>
        <w:t xml:space="preserve"> Sauerem</w:t>
      </w:r>
      <w:r w:rsidR="00442414">
        <w:rPr>
          <w:rStyle w:val="FootnoteReference"/>
          <w:rFonts w:ascii="Garamond" w:hAnsi="Garamond"/>
          <w:lang w:val="cs-CZ"/>
        </w:rPr>
        <w:footnoteReference w:id="75"/>
      </w:r>
      <w:r>
        <w:rPr>
          <w:rFonts w:ascii="Garamond" w:hAnsi="Garamond"/>
          <w:lang w:val="cs-CZ"/>
        </w:rPr>
        <w:t xml:space="preserve">, způsobil v nizozemském právním systému zvláštní situaci. Ačkoli se nejedná o právní předpis, </w:t>
      </w:r>
      <w:r w:rsidR="00586D59">
        <w:rPr>
          <w:rFonts w:ascii="Garamond" w:hAnsi="Garamond"/>
          <w:lang w:val="cs-CZ"/>
        </w:rPr>
        <w:t>popisuje</w:t>
      </w:r>
      <w:r>
        <w:rPr>
          <w:rFonts w:ascii="Garamond" w:hAnsi="Garamond"/>
          <w:lang w:val="cs-CZ"/>
        </w:rPr>
        <w:t xml:space="preserve"> tento dokument způsob</w:t>
      </w:r>
      <w:r w:rsidR="00957329">
        <w:rPr>
          <w:rFonts w:ascii="Garamond" w:hAnsi="Garamond"/>
          <w:lang w:val="cs-CZ"/>
        </w:rPr>
        <w:t xml:space="preserve"> aktivního</w:t>
      </w:r>
      <w:r>
        <w:rPr>
          <w:rFonts w:ascii="Garamond" w:hAnsi="Garamond"/>
          <w:lang w:val="cs-CZ"/>
        </w:rPr>
        <w:t xml:space="preserve"> lékařského ukončení života novorozence</w:t>
      </w:r>
      <w:r w:rsidR="0015470E">
        <w:rPr>
          <w:rFonts w:ascii="Garamond" w:hAnsi="Garamond"/>
          <w:lang w:val="cs-CZ"/>
        </w:rPr>
        <w:t xml:space="preserve"> (do jednoho roku věku)</w:t>
      </w:r>
      <w:r>
        <w:rPr>
          <w:rFonts w:ascii="Garamond" w:hAnsi="Garamond"/>
          <w:lang w:val="cs-CZ"/>
        </w:rPr>
        <w:t xml:space="preserve">, za jehož výkon </w:t>
      </w:r>
      <w:r w:rsidR="00EC7DB2">
        <w:rPr>
          <w:rFonts w:ascii="Garamond" w:hAnsi="Garamond"/>
          <w:lang w:val="cs-CZ"/>
        </w:rPr>
        <w:t>nemusí být</w:t>
      </w:r>
      <w:r>
        <w:rPr>
          <w:rFonts w:ascii="Garamond" w:hAnsi="Garamond"/>
          <w:lang w:val="cs-CZ"/>
        </w:rPr>
        <w:t xml:space="preserve"> daný lékař trestně stíhán, pokud dodrží všechna přísně stanovená kritéria.</w:t>
      </w:r>
      <w:r>
        <w:rPr>
          <w:rStyle w:val="FootnoteReference"/>
          <w:rFonts w:ascii="Garamond" w:hAnsi="Garamond"/>
          <w:lang w:val="cs-CZ"/>
        </w:rPr>
        <w:footnoteReference w:id="76"/>
      </w:r>
      <w:r w:rsidR="00EC7DB2">
        <w:rPr>
          <w:rFonts w:ascii="Garamond" w:hAnsi="Garamond"/>
          <w:lang w:val="cs-CZ"/>
        </w:rPr>
        <w:t xml:space="preserve"> </w:t>
      </w:r>
      <w:proofErr w:type="spellStart"/>
      <w:r w:rsidR="00EC7DB2">
        <w:rPr>
          <w:rFonts w:ascii="Garamond" w:hAnsi="Garamond"/>
          <w:lang w:val="cs-CZ"/>
        </w:rPr>
        <w:t>Verhagen</w:t>
      </w:r>
      <w:proofErr w:type="spellEnd"/>
      <w:r w:rsidR="00EC7DB2">
        <w:rPr>
          <w:rFonts w:ascii="Garamond" w:hAnsi="Garamond"/>
          <w:lang w:val="cs-CZ"/>
        </w:rPr>
        <w:t xml:space="preserve"> protokol sestavil na základě analýz</w:t>
      </w:r>
      <w:r w:rsidR="00367FED">
        <w:rPr>
          <w:rFonts w:ascii="Garamond" w:hAnsi="Garamond"/>
          <w:lang w:val="cs-CZ"/>
        </w:rPr>
        <w:t>y dvaceti dvou případů eutanazie novorozenců, ve kterých státní zástupce nezahájil trestní stíhání, neboť lékaři měli dodržet všechny požadavky náležité péče.</w:t>
      </w:r>
      <w:r w:rsidR="00367FED">
        <w:rPr>
          <w:rStyle w:val="FootnoteReference"/>
          <w:rFonts w:ascii="Garamond" w:hAnsi="Garamond"/>
          <w:lang w:val="cs-CZ"/>
        </w:rPr>
        <w:footnoteReference w:id="77"/>
      </w:r>
      <w:r w:rsidR="00367FED">
        <w:rPr>
          <w:rFonts w:ascii="Garamond" w:hAnsi="Garamond"/>
          <w:lang w:val="cs-CZ"/>
        </w:rPr>
        <w:t xml:space="preserve"> Protokol obsahuje povinných pět lékařských předpokladů a další podpůrné, přičemž však jejich dodržení automaticky negarantuje nestíhatelnost. Povinné předpoklady zahrnují:</w:t>
      </w:r>
    </w:p>
    <w:p w14:paraId="304BD371" w14:textId="41F4D924" w:rsidR="00367FED" w:rsidRDefault="006F01A5" w:rsidP="00367FED">
      <w:pPr>
        <w:pStyle w:val="ListParagraph"/>
        <w:numPr>
          <w:ilvl w:val="0"/>
          <w:numId w:val="22"/>
        </w:numPr>
        <w:spacing w:line="360" w:lineRule="auto"/>
        <w:jc w:val="both"/>
        <w:rPr>
          <w:rFonts w:ascii="Garamond" w:hAnsi="Garamond"/>
          <w:lang w:val="cs-CZ"/>
        </w:rPr>
      </w:pPr>
      <w:r>
        <w:rPr>
          <w:rFonts w:ascii="Garamond" w:hAnsi="Garamond"/>
          <w:lang w:val="cs-CZ"/>
        </w:rPr>
        <w:t>D</w:t>
      </w:r>
      <w:r w:rsidR="00367FED">
        <w:rPr>
          <w:rFonts w:ascii="Garamond" w:hAnsi="Garamond"/>
          <w:lang w:val="cs-CZ"/>
        </w:rPr>
        <w:t>iagnóza a prognóza musí být jisté;</w:t>
      </w:r>
    </w:p>
    <w:p w14:paraId="695B66AB" w14:textId="31403419" w:rsidR="00367FED" w:rsidRDefault="00367FED" w:rsidP="00367FED">
      <w:pPr>
        <w:pStyle w:val="ListParagraph"/>
        <w:numPr>
          <w:ilvl w:val="0"/>
          <w:numId w:val="22"/>
        </w:numPr>
        <w:spacing w:line="360" w:lineRule="auto"/>
        <w:jc w:val="both"/>
        <w:rPr>
          <w:rFonts w:ascii="Garamond" w:hAnsi="Garamond"/>
          <w:lang w:val="cs-CZ"/>
        </w:rPr>
      </w:pPr>
      <w:r>
        <w:rPr>
          <w:rFonts w:ascii="Garamond" w:hAnsi="Garamond"/>
          <w:lang w:val="cs-CZ"/>
        </w:rPr>
        <w:t>existence beznadějného a nesnesitelného utrpení;</w:t>
      </w:r>
    </w:p>
    <w:p w14:paraId="071B8039" w14:textId="5DC9EB8E" w:rsidR="00367FED" w:rsidRDefault="00367FED" w:rsidP="00367FED">
      <w:pPr>
        <w:pStyle w:val="ListParagraph"/>
        <w:numPr>
          <w:ilvl w:val="0"/>
          <w:numId w:val="22"/>
        </w:numPr>
        <w:spacing w:line="360" w:lineRule="auto"/>
        <w:jc w:val="both"/>
        <w:rPr>
          <w:rFonts w:ascii="Garamond" w:hAnsi="Garamond"/>
          <w:lang w:val="cs-CZ"/>
        </w:rPr>
      </w:pPr>
      <w:r>
        <w:rPr>
          <w:rFonts w:ascii="Garamond" w:hAnsi="Garamond"/>
          <w:lang w:val="cs-CZ"/>
        </w:rPr>
        <w:lastRenderedPageBreak/>
        <w:t>diagnóza, prognóza a nesnesitelnost utrpení musí být potvrzena alespoň jedním dalším nezávislým lékařem;</w:t>
      </w:r>
    </w:p>
    <w:p w14:paraId="265E8F90" w14:textId="540C0995" w:rsidR="00367FED" w:rsidRDefault="00367FED" w:rsidP="00367FED">
      <w:pPr>
        <w:pStyle w:val="ListParagraph"/>
        <w:numPr>
          <w:ilvl w:val="0"/>
          <w:numId w:val="22"/>
        </w:numPr>
        <w:spacing w:line="360" w:lineRule="auto"/>
        <w:jc w:val="both"/>
        <w:rPr>
          <w:rFonts w:ascii="Garamond" w:hAnsi="Garamond"/>
          <w:lang w:val="cs-CZ"/>
        </w:rPr>
      </w:pPr>
      <w:r>
        <w:rPr>
          <w:rFonts w:ascii="Garamond" w:hAnsi="Garamond"/>
          <w:lang w:val="cs-CZ"/>
        </w:rPr>
        <w:t>oba rodiče musí poskytnou informovaný souhlas;</w:t>
      </w:r>
    </w:p>
    <w:p w14:paraId="6CD88672" w14:textId="6558A666" w:rsidR="00367FED" w:rsidRDefault="00367FED" w:rsidP="00367FED">
      <w:pPr>
        <w:pStyle w:val="ListParagraph"/>
        <w:numPr>
          <w:ilvl w:val="0"/>
          <w:numId w:val="22"/>
        </w:numPr>
        <w:spacing w:line="360" w:lineRule="auto"/>
        <w:jc w:val="both"/>
        <w:rPr>
          <w:rFonts w:ascii="Garamond" w:hAnsi="Garamond"/>
          <w:lang w:val="cs-CZ"/>
        </w:rPr>
      </w:pPr>
      <w:r>
        <w:rPr>
          <w:rFonts w:ascii="Garamond" w:hAnsi="Garamond"/>
          <w:lang w:val="cs-CZ"/>
        </w:rPr>
        <w:t>procedura musí být vykonána v souladu s uznávanými lékařskými standardy.</w:t>
      </w:r>
      <w:r>
        <w:rPr>
          <w:rStyle w:val="FootnoteReference"/>
          <w:rFonts w:ascii="Garamond" w:hAnsi="Garamond"/>
          <w:lang w:val="cs-CZ"/>
        </w:rPr>
        <w:footnoteReference w:id="78"/>
      </w:r>
    </w:p>
    <w:p w14:paraId="14F483C7" w14:textId="37BA5A83" w:rsidR="00367FED" w:rsidRDefault="00586D59" w:rsidP="00C5421D">
      <w:pPr>
        <w:spacing w:line="360" w:lineRule="auto"/>
        <w:ind w:firstLine="720"/>
        <w:jc w:val="both"/>
        <w:rPr>
          <w:rFonts w:ascii="Garamond" w:hAnsi="Garamond"/>
          <w:lang w:val="cs-CZ"/>
        </w:rPr>
      </w:pPr>
      <w:r>
        <w:rPr>
          <w:rFonts w:ascii="Garamond" w:hAnsi="Garamond"/>
          <w:lang w:val="cs-CZ"/>
        </w:rPr>
        <w:t>Podpůrné předpoklady pak mimo jiné zahrnují</w:t>
      </w:r>
      <w:r w:rsidR="00C5421D">
        <w:rPr>
          <w:rFonts w:ascii="Garamond" w:hAnsi="Garamond"/>
          <w:lang w:val="cs-CZ"/>
        </w:rPr>
        <w:t xml:space="preserve"> skutečnosti jako, kdo zahájil diskusi na téma potenciální eutanazie, jakým způsobem byla zhodnocena prognóza a stupeň utrpení, jaká alternativa ve vztahu k vykonané eutanazii se nabízela a další.</w:t>
      </w:r>
      <w:r w:rsidR="00C5421D">
        <w:rPr>
          <w:rStyle w:val="FootnoteReference"/>
          <w:rFonts w:ascii="Garamond" w:hAnsi="Garamond"/>
          <w:lang w:val="cs-CZ"/>
        </w:rPr>
        <w:footnoteReference w:id="79"/>
      </w:r>
    </w:p>
    <w:p w14:paraId="12A8E6F3" w14:textId="77777777" w:rsidR="00113401" w:rsidRPr="00113401" w:rsidRDefault="00113401" w:rsidP="007B171A">
      <w:pPr>
        <w:pStyle w:val="Heading2"/>
        <w:numPr>
          <w:ilvl w:val="0"/>
          <w:numId w:val="14"/>
        </w:numPr>
        <w:spacing w:line="360" w:lineRule="auto"/>
        <w:rPr>
          <w:b w:val="0"/>
          <w:lang w:val="cs-CZ"/>
        </w:rPr>
      </w:pPr>
      <w:bookmarkStart w:id="5" w:name="_Toc11919771"/>
      <w:r>
        <w:rPr>
          <w:lang w:val="cs-CZ"/>
        </w:rPr>
        <w:t>Shrnutí</w:t>
      </w:r>
      <w:bookmarkEnd w:id="5"/>
    </w:p>
    <w:p w14:paraId="5B882A88" w14:textId="78BA50AA" w:rsidR="00405201" w:rsidRDefault="00B75062" w:rsidP="00B75062">
      <w:pPr>
        <w:spacing w:line="360" w:lineRule="auto"/>
        <w:ind w:firstLine="720"/>
        <w:jc w:val="both"/>
        <w:rPr>
          <w:rFonts w:ascii="Garamond" w:hAnsi="Garamond"/>
          <w:lang w:val="cs-CZ"/>
        </w:rPr>
      </w:pPr>
      <w:r>
        <w:rPr>
          <w:rFonts w:ascii="Garamond" w:hAnsi="Garamond"/>
          <w:lang w:val="cs-CZ"/>
        </w:rPr>
        <w:t>Jak již bylo uvedeno výše, nizozemská legislativa dovoluje výkon eutanazie na dětech starší dvanácti let prostřednictvím zákona o eutanazii a ukončení života novorozenců, resp. dětí od narození do jednoho roku prostřednictvím Groningenského protokolu. Pro děti mezi těmito dvěma věkovým</w:t>
      </w:r>
      <w:r w:rsidR="00467646">
        <w:rPr>
          <w:rFonts w:ascii="Garamond" w:hAnsi="Garamond"/>
          <w:lang w:val="cs-CZ"/>
        </w:rPr>
        <w:t>i</w:t>
      </w:r>
      <w:r>
        <w:rPr>
          <w:rFonts w:ascii="Garamond" w:hAnsi="Garamond"/>
          <w:lang w:val="cs-CZ"/>
        </w:rPr>
        <w:t xml:space="preserve"> skupina</w:t>
      </w:r>
      <w:r w:rsidR="00467646">
        <w:rPr>
          <w:rFonts w:ascii="Garamond" w:hAnsi="Garamond"/>
          <w:lang w:val="cs-CZ"/>
        </w:rPr>
        <w:t>mi</w:t>
      </w:r>
      <w:r w:rsidR="00DF650F">
        <w:rPr>
          <w:rFonts w:ascii="Garamond" w:hAnsi="Garamond"/>
          <w:lang w:val="cs-CZ"/>
        </w:rPr>
        <w:t xml:space="preserve"> </w:t>
      </w:r>
      <w:r>
        <w:rPr>
          <w:rFonts w:ascii="Garamond" w:hAnsi="Garamond"/>
          <w:lang w:val="cs-CZ"/>
        </w:rPr>
        <w:t>však výkon eutanazie umožněn není a tato věková propast byla v posledních letech dost kritizována.</w:t>
      </w:r>
      <w:r>
        <w:rPr>
          <w:rStyle w:val="FootnoteReference"/>
          <w:rFonts w:ascii="Garamond" w:hAnsi="Garamond"/>
          <w:lang w:val="cs-CZ"/>
        </w:rPr>
        <w:footnoteReference w:id="80"/>
      </w:r>
      <w:r>
        <w:rPr>
          <w:rFonts w:ascii="Garamond" w:hAnsi="Garamond"/>
          <w:lang w:val="cs-CZ"/>
        </w:rPr>
        <w:t xml:space="preserve"> </w:t>
      </w:r>
      <w:r w:rsidR="007D1489">
        <w:rPr>
          <w:rFonts w:ascii="Garamond" w:hAnsi="Garamond"/>
          <w:lang w:val="cs-CZ"/>
        </w:rPr>
        <w:t>S kritikou věkových hranic plně souhlasím, neboť se domnívám, že představují zbytečně přísnou</w:t>
      </w:r>
      <w:r w:rsidR="00405201">
        <w:rPr>
          <w:rFonts w:ascii="Garamond" w:hAnsi="Garamond"/>
          <w:lang w:val="cs-CZ"/>
        </w:rPr>
        <w:t xml:space="preserve"> překážku, která nebere v potaz individualitu jednotlivých pacientů. </w:t>
      </w:r>
      <w:r w:rsidR="00747FD5">
        <w:rPr>
          <w:rFonts w:ascii="Garamond" w:hAnsi="Garamond"/>
          <w:lang w:val="cs-CZ"/>
        </w:rPr>
        <w:t>Věková limitace zejména nepočítá s tím, že děti tvoří heterogenní skupinu a jejich intelektuální schopnosti nejsou vždy na stejné úrovni.</w:t>
      </w:r>
      <w:r w:rsidR="00747FD5">
        <w:rPr>
          <w:rStyle w:val="FootnoteReference"/>
          <w:rFonts w:ascii="Garamond" w:hAnsi="Garamond"/>
          <w:lang w:val="cs-CZ"/>
        </w:rPr>
        <w:footnoteReference w:id="81"/>
      </w:r>
      <w:r w:rsidR="00747FD5">
        <w:rPr>
          <w:rFonts w:ascii="Garamond" w:hAnsi="Garamond"/>
          <w:lang w:val="cs-CZ"/>
        </w:rPr>
        <w:t xml:space="preserve"> </w:t>
      </w:r>
    </w:p>
    <w:p w14:paraId="2A24A0B0" w14:textId="23D06C71" w:rsidR="00B75062" w:rsidRDefault="00405201" w:rsidP="00B75062">
      <w:pPr>
        <w:spacing w:line="360" w:lineRule="auto"/>
        <w:ind w:firstLine="720"/>
        <w:jc w:val="both"/>
        <w:rPr>
          <w:rFonts w:ascii="Garamond" w:hAnsi="Garamond"/>
          <w:lang w:val="cs-CZ"/>
        </w:rPr>
      </w:pPr>
      <w:r>
        <w:rPr>
          <w:rFonts w:ascii="Garamond" w:hAnsi="Garamond"/>
          <w:lang w:val="cs-CZ"/>
        </w:rPr>
        <w:t xml:space="preserve">Pokud by zde však nějaká hranice stanovena být měla, dvanáct let nepovažuji za dobře zvolenou variantu. </w:t>
      </w:r>
      <w:r w:rsidR="005B15A6">
        <w:rPr>
          <w:rFonts w:ascii="Garamond" w:hAnsi="Garamond"/>
          <w:lang w:val="cs-CZ"/>
        </w:rPr>
        <w:t>Většina výzkumů totiž dochází k závěru, že děti mladší jedenácti let nedisponují dostatečnými intelektuálními schopnostmi k uspokojení požadavků psychologické interpretace</w:t>
      </w:r>
      <w:r>
        <w:rPr>
          <w:rFonts w:ascii="Garamond" w:hAnsi="Garamond"/>
          <w:lang w:val="cs-CZ"/>
        </w:rPr>
        <w:t xml:space="preserve"> </w:t>
      </w:r>
      <w:r w:rsidR="005B15A6">
        <w:rPr>
          <w:rFonts w:ascii="Garamond" w:hAnsi="Garamond"/>
          <w:lang w:val="cs-CZ"/>
        </w:rPr>
        <w:t>zákonného standardu pro kompetentní souhlas s léčbou.</w:t>
      </w:r>
      <w:r w:rsidR="005B15A6">
        <w:rPr>
          <w:rStyle w:val="FootnoteReference"/>
          <w:rFonts w:ascii="Garamond" w:hAnsi="Garamond"/>
          <w:lang w:val="cs-CZ"/>
        </w:rPr>
        <w:footnoteReference w:id="82"/>
      </w:r>
      <w:r w:rsidR="000022D5">
        <w:rPr>
          <w:rFonts w:ascii="Garamond" w:hAnsi="Garamond"/>
          <w:lang w:val="cs-CZ"/>
        </w:rPr>
        <w:t xml:space="preserve"> S dalším postupným rozvíjením dítěte pak studie odkazují na věk </w:t>
      </w:r>
      <w:r w:rsidR="00C17D3A">
        <w:rPr>
          <w:rFonts w:ascii="Garamond" w:hAnsi="Garamond"/>
          <w:lang w:val="cs-CZ"/>
        </w:rPr>
        <w:t xml:space="preserve">čtrnácti </w:t>
      </w:r>
      <w:r w:rsidR="00DE0F40">
        <w:rPr>
          <w:rFonts w:ascii="Garamond" w:hAnsi="Garamond"/>
          <w:lang w:val="cs-CZ"/>
        </w:rPr>
        <w:t xml:space="preserve">či </w:t>
      </w:r>
      <w:r w:rsidR="000022D5">
        <w:rPr>
          <w:rFonts w:ascii="Garamond" w:hAnsi="Garamond"/>
          <w:lang w:val="cs-CZ"/>
        </w:rPr>
        <w:t>patnácti let, kdy schopnost dětí poskytnout informovaný souhlas je srovnatelná se schopností dospělých.</w:t>
      </w:r>
      <w:r w:rsidR="000022D5">
        <w:rPr>
          <w:rStyle w:val="FootnoteReference"/>
          <w:rFonts w:ascii="Garamond" w:hAnsi="Garamond"/>
          <w:lang w:val="cs-CZ"/>
        </w:rPr>
        <w:footnoteReference w:id="83"/>
      </w:r>
      <w:r w:rsidR="000022D5">
        <w:rPr>
          <w:rFonts w:ascii="Garamond" w:hAnsi="Garamond"/>
          <w:lang w:val="cs-CZ"/>
        </w:rPr>
        <w:t xml:space="preserve"> </w:t>
      </w:r>
      <w:r w:rsidR="00747FD5">
        <w:rPr>
          <w:rFonts w:ascii="Garamond" w:hAnsi="Garamond"/>
          <w:lang w:val="cs-CZ"/>
        </w:rPr>
        <w:t>Přiklonil bych se tedy spíše k této vyšší hranici.</w:t>
      </w:r>
    </w:p>
    <w:p w14:paraId="461A4CE0" w14:textId="3B6D4D47" w:rsidR="008E074A" w:rsidRDefault="007D1489" w:rsidP="00B75062">
      <w:pPr>
        <w:spacing w:line="360" w:lineRule="auto"/>
        <w:ind w:firstLine="720"/>
        <w:jc w:val="both"/>
        <w:rPr>
          <w:rFonts w:ascii="Garamond" w:hAnsi="Garamond"/>
          <w:lang w:val="cs-CZ"/>
        </w:rPr>
      </w:pPr>
      <w:r>
        <w:rPr>
          <w:rFonts w:ascii="Garamond" w:hAnsi="Garamond"/>
          <w:lang w:val="cs-CZ"/>
        </w:rPr>
        <w:t xml:space="preserve">Co se týče záruk před zneužitím a nesprávnou praxí, považuji belgickou úpravu za lépe zvolenou. </w:t>
      </w:r>
      <w:r w:rsidR="00B75062" w:rsidRPr="00B75062">
        <w:rPr>
          <w:rFonts w:ascii="Garamond" w:hAnsi="Garamond"/>
          <w:lang w:val="cs-CZ"/>
        </w:rPr>
        <w:t>Zejména s ohledem na fakt, že belgická úprava nestanovila žádný věkový limit pro podání žádosti o eutanazii, stala se předmětem mnohem větší kritiky než ta nizozemská.</w:t>
      </w:r>
      <w:r w:rsidR="00B75062">
        <w:rPr>
          <w:rStyle w:val="FootnoteReference"/>
          <w:rFonts w:ascii="Garamond" w:hAnsi="Garamond"/>
          <w:lang w:val="cs-CZ"/>
        </w:rPr>
        <w:footnoteReference w:id="84"/>
      </w:r>
      <w:r w:rsidR="00B75062" w:rsidRPr="00B75062">
        <w:rPr>
          <w:rFonts w:ascii="Garamond" w:hAnsi="Garamond"/>
          <w:lang w:val="cs-CZ"/>
        </w:rPr>
        <w:t xml:space="preserve"> Domnívám se však, že zcela nezaslouženě, neboť belgická legislativa zakotvila mnohem silnější záruky než ta </w:t>
      </w:r>
      <w:r w:rsidR="00B75062" w:rsidRPr="00B75062">
        <w:rPr>
          <w:rFonts w:ascii="Garamond" w:hAnsi="Garamond"/>
          <w:lang w:val="cs-CZ"/>
        </w:rPr>
        <w:lastRenderedPageBreak/>
        <w:t xml:space="preserve">nizozemská. Zatímco v Belgii může dítě podstoupit eutanazii jen za předpokladu, že bude trpět nevyléčitelnou nemocí spojenou s fyzickým utrpením a tato nemoc způsobí smrt v dohledné době, nizozemská úprava stanovuje totožné podmínky jak pro dospělé, tak děti. Není zde </w:t>
      </w:r>
      <w:r w:rsidR="00BD4073">
        <w:rPr>
          <w:rFonts w:ascii="Garamond" w:hAnsi="Garamond"/>
          <w:lang w:val="cs-CZ"/>
        </w:rPr>
        <w:t xml:space="preserve">žádný časový předpoklad blízké smrti nezletilého pacienta </w:t>
      </w:r>
      <w:r w:rsidR="00B75062">
        <w:rPr>
          <w:rFonts w:ascii="Garamond" w:hAnsi="Garamond"/>
          <w:lang w:val="cs-CZ"/>
        </w:rPr>
        <w:t>a a</w:t>
      </w:r>
      <w:r w:rsidR="00B75062" w:rsidRPr="00B75062">
        <w:rPr>
          <w:rFonts w:ascii="Garamond" w:hAnsi="Garamond"/>
          <w:lang w:val="cs-CZ"/>
        </w:rPr>
        <w:t>ni zhodnocení způsobilosti dítěte učinit takové rozhodnutí nemusí v Nizozemsku provádět nezávislý dětský psychiatr nebo psycholog.</w:t>
      </w:r>
      <w:r w:rsidR="00BD4073">
        <w:rPr>
          <w:rFonts w:ascii="Garamond" w:hAnsi="Garamond"/>
          <w:lang w:val="cs-CZ"/>
        </w:rPr>
        <w:t xml:space="preserve"> </w:t>
      </w:r>
    </w:p>
    <w:p w14:paraId="396840E0" w14:textId="77777777" w:rsidR="00B75062" w:rsidRPr="00B75062" w:rsidRDefault="00B75062" w:rsidP="00B75062">
      <w:pPr>
        <w:spacing w:line="360" w:lineRule="auto"/>
        <w:ind w:firstLine="720"/>
        <w:jc w:val="both"/>
        <w:rPr>
          <w:rFonts w:ascii="Garamond" w:hAnsi="Garamond"/>
          <w:lang w:val="cs-CZ"/>
        </w:rPr>
      </w:pPr>
    </w:p>
    <w:p w14:paraId="50DD72DC" w14:textId="1E112443" w:rsidR="001D5548" w:rsidRPr="00E11770" w:rsidRDefault="00FA167B" w:rsidP="00113401">
      <w:pPr>
        <w:ind w:left="720"/>
        <w:jc w:val="both"/>
        <w:rPr>
          <w:rFonts w:ascii="Garamond" w:hAnsi="Garamond"/>
          <w:b/>
          <w:lang w:val="cs-CZ"/>
        </w:rPr>
      </w:pPr>
      <w:r w:rsidRPr="00E11770">
        <w:rPr>
          <w:rFonts w:ascii="Garamond" w:hAnsi="Garamond"/>
          <w:b/>
          <w:lang w:val="cs-CZ"/>
        </w:rPr>
        <w:br w:type="page"/>
      </w:r>
    </w:p>
    <w:p w14:paraId="1431C6F6" w14:textId="5383A175" w:rsidR="00CB489C" w:rsidRPr="007759EE" w:rsidRDefault="00CB489C" w:rsidP="003F3660">
      <w:pPr>
        <w:pStyle w:val="Heading1"/>
        <w:numPr>
          <w:ilvl w:val="0"/>
          <w:numId w:val="2"/>
        </w:numPr>
        <w:spacing w:line="360" w:lineRule="auto"/>
        <w:ind w:left="720" w:hanging="720"/>
        <w:rPr>
          <w:rFonts w:cs="Times New Roman"/>
          <w:lang w:val="cs-CZ"/>
        </w:rPr>
      </w:pPr>
      <w:bookmarkStart w:id="6" w:name="_Toc11919772"/>
      <w:r w:rsidRPr="007759EE">
        <w:rPr>
          <w:rFonts w:cs="Times New Roman"/>
          <w:lang w:val="cs-CZ"/>
        </w:rPr>
        <w:lastRenderedPageBreak/>
        <w:t>Judikatura ESLP</w:t>
      </w:r>
      <w:bookmarkEnd w:id="6"/>
    </w:p>
    <w:p w14:paraId="255ED498" w14:textId="02AA566B" w:rsidR="002B6F1B" w:rsidRPr="007759EE" w:rsidRDefault="00A15D95" w:rsidP="00A15D95">
      <w:pPr>
        <w:spacing w:line="360" w:lineRule="auto"/>
        <w:ind w:firstLine="720"/>
        <w:jc w:val="both"/>
        <w:rPr>
          <w:rFonts w:ascii="Garamond" w:hAnsi="Garamond"/>
          <w:lang w:val="cs-CZ"/>
        </w:rPr>
      </w:pPr>
      <w:r w:rsidRPr="007759EE">
        <w:rPr>
          <w:rFonts w:ascii="Garamond" w:hAnsi="Garamond"/>
          <w:lang w:val="cs-CZ"/>
        </w:rPr>
        <w:t>Jak Úmluva, tak Úmluva o lidských právech a biomedicíně se otázce eutanazie přímo nevěnuje. To je dáno zejména tím, že zde neexistuje všeobecně uznávaný konsensus napříč smluvními státy. Některé evropské státy eutanázii, potažmo asistovanou sebevraždu uzákonily nebo alespoň dekriminizovaly a další umožnily pacientům odmítnout léčbu, zažádat si o lékařský předpis na smrtící látku a další jiné způsoby objektivního zkrácení života.</w:t>
      </w:r>
      <w:r w:rsidR="00F426B9" w:rsidRPr="007759EE">
        <w:rPr>
          <w:rStyle w:val="FootnoteReference"/>
          <w:rFonts w:ascii="Garamond" w:hAnsi="Garamond"/>
          <w:lang w:val="cs-CZ"/>
        </w:rPr>
        <w:footnoteReference w:id="85"/>
      </w:r>
      <w:r w:rsidRPr="007759EE">
        <w:rPr>
          <w:rFonts w:ascii="Garamond" w:hAnsi="Garamond"/>
          <w:lang w:val="cs-CZ"/>
        </w:rPr>
        <w:t xml:space="preserve"> Rozdílná jsou i úvahy o tom, zda můžou lékaři a případně soudy zasahovat do autonomie pacienta a jeho zákonných zástupců. Obecně však převládá názor, že eutanazii je třeba vnímat jako neetickou a jako taková musí být lékařskou obcí odsouzena, teda alespoň co se týče mezinárodních organizací.</w:t>
      </w:r>
      <w:r w:rsidRPr="007759EE">
        <w:rPr>
          <w:rStyle w:val="FootnoteReference"/>
          <w:rFonts w:ascii="Garamond" w:hAnsi="Garamond"/>
          <w:lang w:val="cs-CZ"/>
        </w:rPr>
        <w:footnoteReference w:id="86"/>
      </w:r>
    </w:p>
    <w:p w14:paraId="64407FD0" w14:textId="0578DAF1" w:rsidR="00A15D95" w:rsidRDefault="00FE3DA5" w:rsidP="0015656D">
      <w:pPr>
        <w:spacing w:line="360" w:lineRule="auto"/>
        <w:ind w:firstLine="720"/>
        <w:jc w:val="both"/>
        <w:rPr>
          <w:rFonts w:ascii="Garamond" w:hAnsi="Garamond"/>
          <w:lang w:val="cs-CZ"/>
        </w:rPr>
      </w:pPr>
      <w:r w:rsidRPr="007759EE">
        <w:rPr>
          <w:rFonts w:ascii="Garamond" w:hAnsi="Garamond"/>
          <w:lang w:val="cs-CZ"/>
        </w:rPr>
        <w:t>To však nebrání podávat dotčeným osobám stížnosti k ESLP. Právě naopak, počet případů dopadajících na ESLP týkajících se otázek zkracování či prodlužování života se pravidelně zvětšuje.</w:t>
      </w:r>
      <w:r w:rsidRPr="007759EE">
        <w:rPr>
          <w:rStyle w:val="FootnoteReference"/>
          <w:rFonts w:ascii="Garamond" w:hAnsi="Garamond"/>
          <w:lang w:val="cs-CZ"/>
        </w:rPr>
        <w:footnoteReference w:id="87"/>
      </w:r>
      <w:r w:rsidR="00111F64" w:rsidRPr="007759EE">
        <w:rPr>
          <w:rFonts w:ascii="Garamond" w:hAnsi="Garamond"/>
          <w:lang w:val="cs-CZ"/>
        </w:rPr>
        <w:t xml:space="preserve"> Často však ESLP odkazuje na doktrínu prostoru pro uvážení, která je v oblasti eutanazie velmi široká, a samotné rozhodování o meritu věci ponechává vnitrostátním soudům</w:t>
      </w:r>
      <w:r w:rsidR="008D5519" w:rsidRPr="007759EE">
        <w:rPr>
          <w:rFonts w:ascii="Garamond" w:hAnsi="Garamond"/>
          <w:lang w:val="cs-CZ"/>
        </w:rPr>
        <w:t xml:space="preserve">, neboť jak již soud dříve potvrdil ve věci </w:t>
      </w:r>
      <w:proofErr w:type="spellStart"/>
      <w:r w:rsidR="008D5519" w:rsidRPr="007759EE">
        <w:rPr>
          <w:rFonts w:ascii="Garamond" w:hAnsi="Garamond"/>
          <w:i/>
          <w:lang w:val="cs-CZ"/>
        </w:rPr>
        <w:t>Evans</w:t>
      </w:r>
      <w:proofErr w:type="spellEnd"/>
      <w:r w:rsidR="008D5519" w:rsidRPr="007759EE">
        <w:rPr>
          <w:rFonts w:ascii="Garamond" w:hAnsi="Garamond"/>
          <w:i/>
          <w:lang w:val="cs-CZ"/>
        </w:rPr>
        <w:t xml:space="preserve"> proti Spojenému království</w:t>
      </w:r>
      <w:r w:rsidR="00442414" w:rsidRPr="00442414">
        <w:rPr>
          <w:rStyle w:val="FootnoteReference"/>
          <w:rFonts w:ascii="Garamond" w:hAnsi="Garamond"/>
          <w:iCs/>
          <w:lang w:val="cs-CZ"/>
        </w:rPr>
        <w:footnoteReference w:id="88"/>
      </w:r>
      <w:r w:rsidR="008D5519" w:rsidRPr="00442414">
        <w:rPr>
          <w:rFonts w:ascii="Garamond" w:hAnsi="Garamond"/>
          <w:iCs/>
          <w:lang w:val="cs-CZ"/>
        </w:rPr>
        <w:t>,</w:t>
      </w:r>
      <w:r w:rsidR="008D5519" w:rsidRPr="007759EE">
        <w:rPr>
          <w:rFonts w:ascii="Garamond" w:hAnsi="Garamond"/>
          <w:lang w:val="cs-CZ"/>
        </w:rPr>
        <w:t xml:space="preserve"> čím menší je zde konsensus na řešení otázky, tím širší je prostor pro uvážení</w:t>
      </w:r>
      <w:r w:rsidR="00111F64" w:rsidRPr="007759EE">
        <w:rPr>
          <w:rFonts w:ascii="Garamond" w:hAnsi="Garamond"/>
          <w:lang w:val="cs-CZ"/>
        </w:rPr>
        <w:t>.</w:t>
      </w:r>
      <w:r w:rsidR="008D5519" w:rsidRPr="007759EE">
        <w:rPr>
          <w:rStyle w:val="FootnoteReference"/>
          <w:rFonts w:ascii="Garamond" w:hAnsi="Garamond"/>
          <w:lang w:val="cs-CZ"/>
        </w:rPr>
        <w:footnoteReference w:id="89"/>
      </w:r>
      <w:r w:rsidR="008D5519" w:rsidRPr="007759EE">
        <w:rPr>
          <w:rFonts w:ascii="Garamond" w:hAnsi="Garamond"/>
          <w:lang w:val="cs-CZ"/>
        </w:rPr>
        <w:t xml:space="preserve"> </w:t>
      </w:r>
      <w:r w:rsidR="00111F64" w:rsidRPr="007759EE">
        <w:rPr>
          <w:rFonts w:ascii="Garamond" w:hAnsi="Garamond"/>
          <w:lang w:val="cs-CZ"/>
        </w:rPr>
        <w:t xml:space="preserve">Přestože se judikatura zabývala v převážné většině stížnostmi dospělých osob, její závěry lze plně vztáhnout i na </w:t>
      </w:r>
      <w:r w:rsidR="00585DE8" w:rsidRPr="007759EE">
        <w:rPr>
          <w:rFonts w:ascii="Garamond" w:hAnsi="Garamond"/>
          <w:lang w:val="cs-CZ"/>
        </w:rPr>
        <w:t>problematiku eutanazie u dětí. Zejména pak vyřešení otázky zjišťování přání pacienta, který v důsledku svého zdravotního stavu své přání vyslovit nemůže, je v tomto ohledu dosti podobná a</w:t>
      </w:r>
      <w:r w:rsidR="00111F64" w:rsidRPr="007759EE">
        <w:rPr>
          <w:rFonts w:ascii="Garamond" w:hAnsi="Garamond"/>
          <w:lang w:val="cs-CZ"/>
        </w:rPr>
        <w:t xml:space="preserve"> </w:t>
      </w:r>
      <w:r w:rsidR="00585DE8" w:rsidRPr="007759EE">
        <w:rPr>
          <w:rFonts w:ascii="Garamond" w:hAnsi="Garamond"/>
          <w:lang w:val="cs-CZ"/>
        </w:rPr>
        <w:t>stěžejní.</w:t>
      </w:r>
    </w:p>
    <w:p w14:paraId="49CAB850" w14:textId="2FAFD0A8" w:rsidR="00EA3F28" w:rsidRPr="007759EE" w:rsidRDefault="00EA3F28" w:rsidP="0015656D">
      <w:pPr>
        <w:spacing w:line="360" w:lineRule="auto"/>
        <w:ind w:firstLine="720"/>
        <w:jc w:val="both"/>
        <w:rPr>
          <w:rFonts w:ascii="Garamond" w:hAnsi="Garamond"/>
          <w:lang w:val="cs-CZ"/>
        </w:rPr>
      </w:pPr>
      <w:r>
        <w:rPr>
          <w:rFonts w:ascii="Garamond" w:hAnsi="Garamond"/>
          <w:lang w:val="cs-CZ"/>
        </w:rPr>
        <w:t>Převzetí judikatury ESLP vztahující se k dospělým pacientům na dětské pacienty jde i v souladu s dosavadním vývojem v rámci Evropské unie. Listina základních práv Evropské unie garantuje dětem právo na respektování jejich názorů v záležitostech, které se jich dotýkají, a to s ohledem na jejich věk a vyspělost.</w:t>
      </w:r>
      <w:r>
        <w:rPr>
          <w:rStyle w:val="FootnoteReference"/>
          <w:rFonts w:ascii="Garamond" w:hAnsi="Garamond"/>
          <w:lang w:val="cs-CZ"/>
        </w:rPr>
        <w:footnoteReference w:id="90"/>
      </w:r>
      <w:r>
        <w:rPr>
          <w:rFonts w:ascii="Garamond" w:hAnsi="Garamond"/>
          <w:lang w:val="cs-CZ"/>
        </w:rPr>
        <w:t xml:space="preserve"> Agenda EU v oblasti práv dítěte Evropské komise taktéž plně vyzývá k tomu, aby děti znaly svá práva, mohly vyjádřit své názory, byly konzultovány a bylo jim nasloucháno.</w:t>
      </w:r>
      <w:r>
        <w:rPr>
          <w:rStyle w:val="FootnoteReference"/>
          <w:rFonts w:ascii="Garamond" w:hAnsi="Garamond"/>
          <w:lang w:val="cs-CZ"/>
        </w:rPr>
        <w:footnoteReference w:id="91"/>
      </w:r>
      <w:r w:rsidR="00B81EB3">
        <w:rPr>
          <w:rFonts w:ascii="Garamond" w:hAnsi="Garamond"/>
          <w:lang w:val="cs-CZ"/>
        </w:rPr>
        <w:t xml:space="preserve"> Zejména pak Úmluva o právech dítěte stanoví závazek věnovat názorům dítěte patřičnou pozornost odpovídající jeho věku a úrovni.</w:t>
      </w:r>
      <w:r w:rsidR="00B81EB3">
        <w:rPr>
          <w:rStyle w:val="FootnoteReference"/>
          <w:rFonts w:ascii="Garamond" w:hAnsi="Garamond"/>
          <w:lang w:val="cs-CZ"/>
        </w:rPr>
        <w:footnoteReference w:id="92"/>
      </w:r>
    </w:p>
    <w:p w14:paraId="5EB626EC" w14:textId="77777777" w:rsidR="007B171A" w:rsidRDefault="007B171A" w:rsidP="00322E73">
      <w:pPr>
        <w:spacing w:line="360" w:lineRule="auto"/>
        <w:ind w:firstLine="720"/>
        <w:jc w:val="both"/>
        <w:rPr>
          <w:rFonts w:ascii="Garamond" w:hAnsi="Garamond" w:cs="Times New Roman"/>
          <w:lang w:val="cs-CZ"/>
        </w:rPr>
      </w:pPr>
    </w:p>
    <w:p w14:paraId="59E4B065" w14:textId="2A32109E" w:rsidR="007B171A" w:rsidRDefault="007B171A" w:rsidP="007B171A">
      <w:pPr>
        <w:pStyle w:val="Heading2"/>
        <w:numPr>
          <w:ilvl w:val="0"/>
          <w:numId w:val="23"/>
        </w:numPr>
        <w:spacing w:line="360" w:lineRule="auto"/>
        <w:ind w:left="720" w:hanging="720"/>
        <w:rPr>
          <w:rFonts w:cs="Times New Roman"/>
          <w:lang w:val="cs-CZ"/>
        </w:rPr>
      </w:pPr>
      <w:bookmarkStart w:id="7" w:name="_Toc11919773"/>
      <w:r>
        <w:rPr>
          <w:rFonts w:cs="Times New Roman"/>
          <w:lang w:val="cs-CZ"/>
        </w:rPr>
        <w:t>Aktivní eutanazie</w:t>
      </w:r>
      <w:bookmarkEnd w:id="7"/>
    </w:p>
    <w:p w14:paraId="6CAF35D9" w14:textId="0C799732" w:rsidR="003E15B6" w:rsidRPr="007759EE" w:rsidRDefault="00322E73" w:rsidP="00322E73">
      <w:pPr>
        <w:spacing w:line="360" w:lineRule="auto"/>
        <w:ind w:firstLine="720"/>
        <w:jc w:val="both"/>
        <w:rPr>
          <w:rFonts w:ascii="Garamond" w:hAnsi="Garamond" w:cs="Times New Roman"/>
          <w:lang w:val="cs-CZ"/>
        </w:rPr>
      </w:pPr>
      <w:r>
        <w:rPr>
          <w:rFonts w:ascii="Garamond" w:hAnsi="Garamond" w:cs="Times New Roman"/>
          <w:lang w:val="cs-CZ"/>
        </w:rPr>
        <w:t xml:space="preserve">Vůbec poprvé se problematikou eutanazie zabýval ESLP v případě </w:t>
      </w:r>
      <w:proofErr w:type="spellStart"/>
      <w:r>
        <w:rPr>
          <w:rFonts w:ascii="Garamond" w:hAnsi="Garamond" w:cs="Times New Roman"/>
          <w:i/>
          <w:lang w:val="cs-CZ"/>
        </w:rPr>
        <w:t>Pretty</w:t>
      </w:r>
      <w:proofErr w:type="spellEnd"/>
      <w:r>
        <w:rPr>
          <w:rFonts w:ascii="Garamond" w:hAnsi="Garamond" w:cs="Times New Roman"/>
          <w:i/>
          <w:lang w:val="cs-CZ"/>
        </w:rPr>
        <w:t xml:space="preserve"> proti Spojenému </w:t>
      </w:r>
      <w:r w:rsidRPr="00322E73">
        <w:rPr>
          <w:rFonts w:ascii="Garamond" w:hAnsi="Garamond" w:cs="Times New Roman"/>
          <w:i/>
          <w:lang w:val="cs-CZ"/>
        </w:rPr>
        <w:t>Království</w:t>
      </w:r>
      <w:r>
        <w:rPr>
          <w:rFonts w:ascii="Garamond" w:hAnsi="Garamond" w:cs="Times New Roman"/>
          <w:lang w:val="cs-CZ"/>
        </w:rPr>
        <w:t>.</w:t>
      </w:r>
      <w:r w:rsidR="00442414">
        <w:rPr>
          <w:rStyle w:val="FootnoteReference"/>
          <w:rFonts w:ascii="Garamond" w:hAnsi="Garamond" w:cs="Times New Roman"/>
          <w:lang w:val="cs-CZ"/>
        </w:rPr>
        <w:footnoteReference w:id="93"/>
      </w:r>
      <w:r>
        <w:rPr>
          <w:rFonts w:ascii="Garamond" w:hAnsi="Garamond" w:cs="Times New Roman"/>
          <w:i/>
          <w:lang w:val="cs-CZ"/>
        </w:rPr>
        <w:t xml:space="preserve"> </w:t>
      </w:r>
      <w:r w:rsidR="00BB1163" w:rsidRPr="00322E73">
        <w:rPr>
          <w:rFonts w:ascii="Garamond" w:hAnsi="Garamond" w:cs="Times New Roman"/>
          <w:lang w:val="cs-CZ"/>
        </w:rPr>
        <w:t>Paní</w:t>
      </w:r>
      <w:r w:rsidR="00BB1163" w:rsidRPr="007759EE">
        <w:rPr>
          <w:rFonts w:ascii="Garamond" w:hAnsi="Garamond" w:cs="Times New Roman"/>
          <w:lang w:val="cs-CZ"/>
        </w:rPr>
        <w:t xml:space="preserve"> Diane </w:t>
      </w:r>
      <w:proofErr w:type="spellStart"/>
      <w:r w:rsidR="00BB1163" w:rsidRPr="007759EE">
        <w:rPr>
          <w:rFonts w:ascii="Garamond" w:hAnsi="Garamond" w:cs="Times New Roman"/>
          <w:lang w:val="cs-CZ"/>
        </w:rPr>
        <w:t>Pretty</w:t>
      </w:r>
      <w:proofErr w:type="spellEnd"/>
      <w:r w:rsidR="00BB1163" w:rsidRPr="007759EE">
        <w:rPr>
          <w:rFonts w:ascii="Garamond" w:hAnsi="Garamond" w:cs="Times New Roman"/>
          <w:lang w:val="cs-CZ"/>
        </w:rPr>
        <w:t>, občanka Velké Británie</w:t>
      </w:r>
      <w:r>
        <w:rPr>
          <w:rFonts w:ascii="Garamond" w:hAnsi="Garamond" w:cs="Times New Roman"/>
          <w:lang w:val="cs-CZ"/>
        </w:rPr>
        <w:t xml:space="preserve">, </w:t>
      </w:r>
      <w:r w:rsidR="00BB1163" w:rsidRPr="007759EE">
        <w:rPr>
          <w:rFonts w:ascii="Garamond" w:hAnsi="Garamond" w:cs="Times New Roman"/>
          <w:lang w:val="cs-CZ"/>
        </w:rPr>
        <w:t xml:space="preserve">trpěla nemocí motorických neuronů, degenerativní nemocí postihující svalstvo, proti níž </w:t>
      </w:r>
      <w:r>
        <w:rPr>
          <w:rFonts w:ascii="Garamond" w:hAnsi="Garamond" w:cs="Times New Roman"/>
          <w:lang w:val="cs-CZ"/>
        </w:rPr>
        <w:t>neexistovala</w:t>
      </w:r>
      <w:r w:rsidR="00BB1163" w:rsidRPr="007759EE">
        <w:rPr>
          <w:rFonts w:ascii="Garamond" w:hAnsi="Garamond" w:cs="Times New Roman"/>
          <w:lang w:val="cs-CZ"/>
        </w:rPr>
        <w:t xml:space="preserve"> žádná léčba. Nemoc již byla v pokročilém stádiu</w:t>
      </w:r>
      <w:r w:rsidR="003E15B6" w:rsidRPr="007759EE">
        <w:rPr>
          <w:rFonts w:ascii="Garamond" w:hAnsi="Garamond" w:cs="Times New Roman"/>
          <w:lang w:val="cs-CZ"/>
        </w:rPr>
        <w:t xml:space="preserve">, </w:t>
      </w:r>
      <w:r w:rsidR="00BB1163" w:rsidRPr="007759EE">
        <w:rPr>
          <w:rFonts w:ascii="Garamond" w:hAnsi="Garamond" w:cs="Times New Roman"/>
          <w:lang w:val="cs-CZ"/>
        </w:rPr>
        <w:t xml:space="preserve">stěžovatelka </w:t>
      </w:r>
      <w:r w:rsidR="003E15B6" w:rsidRPr="007759EE">
        <w:rPr>
          <w:rFonts w:ascii="Garamond" w:hAnsi="Garamond" w:cs="Times New Roman"/>
          <w:lang w:val="cs-CZ"/>
        </w:rPr>
        <w:t xml:space="preserve">byla </w:t>
      </w:r>
      <w:r w:rsidR="00BB1163" w:rsidRPr="007759EE">
        <w:rPr>
          <w:rFonts w:ascii="Garamond" w:hAnsi="Garamond" w:cs="Times New Roman"/>
          <w:lang w:val="cs-CZ"/>
        </w:rPr>
        <w:t xml:space="preserve">již paralyzována od krku dolů a odhadovaná délka dožití byla velmi krátká. </w:t>
      </w:r>
      <w:r w:rsidR="003E15B6" w:rsidRPr="007759EE">
        <w:rPr>
          <w:rFonts w:ascii="Garamond" w:hAnsi="Garamond" w:cs="Times New Roman"/>
          <w:lang w:val="cs-CZ"/>
        </w:rPr>
        <w:t>Stejně jako v České republice, spáchání sebevraždy není ve Spojeném království nijak trestné, nicméně účast na sebevraždě podle zákona o sebevraždě</w:t>
      </w:r>
      <w:r w:rsidR="00956085" w:rsidRPr="007759EE">
        <w:rPr>
          <w:rFonts w:ascii="Garamond" w:hAnsi="Garamond" w:cs="Times New Roman"/>
          <w:lang w:val="cs-CZ"/>
        </w:rPr>
        <w:t xml:space="preserve"> z roku 1961</w:t>
      </w:r>
      <w:r w:rsidR="003E15B6" w:rsidRPr="007759EE">
        <w:rPr>
          <w:rFonts w:ascii="Garamond" w:hAnsi="Garamond" w:cs="Times New Roman"/>
          <w:lang w:val="cs-CZ"/>
        </w:rPr>
        <w:t xml:space="preserve"> trestným činem je. Vzhledem k tomu, že sebevražd</w:t>
      </w:r>
      <w:r w:rsidR="00956085" w:rsidRPr="007759EE">
        <w:rPr>
          <w:rFonts w:ascii="Garamond" w:hAnsi="Garamond" w:cs="Times New Roman"/>
          <w:lang w:val="cs-CZ"/>
        </w:rPr>
        <w:t>y</w:t>
      </w:r>
      <w:r w:rsidR="003E15B6" w:rsidRPr="007759EE">
        <w:rPr>
          <w:rFonts w:ascii="Garamond" w:hAnsi="Garamond" w:cs="Times New Roman"/>
          <w:lang w:val="cs-CZ"/>
        </w:rPr>
        <w:t xml:space="preserve"> nebyla </w:t>
      </w:r>
      <w:r w:rsidR="00956085" w:rsidRPr="007759EE">
        <w:rPr>
          <w:rFonts w:ascii="Garamond" w:hAnsi="Garamond" w:cs="Times New Roman"/>
          <w:lang w:val="cs-CZ"/>
        </w:rPr>
        <w:t xml:space="preserve">stěžovatelka </w:t>
      </w:r>
      <w:r w:rsidR="003E15B6" w:rsidRPr="007759EE">
        <w:rPr>
          <w:rFonts w:ascii="Garamond" w:hAnsi="Garamond" w:cs="Times New Roman"/>
          <w:lang w:val="cs-CZ"/>
        </w:rPr>
        <w:t xml:space="preserve">fakticky </w:t>
      </w:r>
      <w:r w:rsidR="00956085" w:rsidRPr="007759EE">
        <w:rPr>
          <w:rFonts w:ascii="Garamond" w:hAnsi="Garamond" w:cs="Times New Roman"/>
          <w:lang w:val="cs-CZ"/>
        </w:rPr>
        <w:t>schopná</w:t>
      </w:r>
      <w:r w:rsidR="003E15B6" w:rsidRPr="007759EE">
        <w:rPr>
          <w:rFonts w:ascii="Garamond" w:hAnsi="Garamond" w:cs="Times New Roman"/>
          <w:lang w:val="cs-CZ"/>
        </w:rPr>
        <w:t xml:space="preserve">, </w:t>
      </w:r>
      <w:r w:rsidR="00956085" w:rsidRPr="007759EE">
        <w:rPr>
          <w:rFonts w:ascii="Garamond" w:hAnsi="Garamond" w:cs="Times New Roman"/>
          <w:lang w:val="cs-CZ"/>
        </w:rPr>
        <w:t>potřebovala pomoc manžela a obrátila se tak na Úřad pro veřejné trestní stíhání</w:t>
      </w:r>
      <w:r w:rsidR="006A27A6">
        <w:rPr>
          <w:rStyle w:val="FootnoteReference"/>
          <w:rFonts w:ascii="Garamond" w:hAnsi="Garamond" w:cs="Times New Roman"/>
          <w:lang w:val="cs-CZ"/>
        </w:rPr>
        <w:footnoteReference w:id="94"/>
      </w:r>
      <w:r w:rsidR="00956085" w:rsidRPr="007759EE">
        <w:rPr>
          <w:rFonts w:ascii="Garamond" w:hAnsi="Garamond" w:cs="Times New Roman"/>
          <w:lang w:val="cs-CZ"/>
        </w:rPr>
        <w:t xml:space="preserve"> se žádostí, aby byla jejímu manželovi garantována nestíhatelnost v případě, že by jí pomoc k sebevraždě poskytl. Úřad však její žádost zamítl</w:t>
      </w:r>
      <w:r>
        <w:rPr>
          <w:rFonts w:ascii="Garamond" w:hAnsi="Garamond" w:cs="Times New Roman"/>
          <w:lang w:val="cs-CZ"/>
        </w:rPr>
        <w:t xml:space="preserve">, </w:t>
      </w:r>
      <w:r w:rsidR="00956085" w:rsidRPr="007759EE">
        <w:rPr>
          <w:rFonts w:ascii="Garamond" w:hAnsi="Garamond" w:cs="Times New Roman"/>
          <w:lang w:val="cs-CZ"/>
        </w:rPr>
        <w:t>jejím následným opravným prostředkům dle vnitrostátního práva nebylo taktéž vyhověno</w:t>
      </w:r>
      <w:r>
        <w:rPr>
          <w:rFonts w:ascii="Garamond" w:hAnsi="Garamond" w:cs="Times New Roman"/>
          <w:lang w:val="cs-CZ"/>
        </w:rPr>
        <w:t xml:space="preserve"> a případ došel až k ESLP.</w:t>
      </w:r>
    </w:p>
    <w:p w14:paraId="7084655D" w14:textId="3669048A" w:rsidR="00F61157" w:rsidRPr="007759EE" w:rsidRDefault="007A34E1" w:rsidP="003F3660">
      <w:pPr>
        <w:spacing w:line="360" w:lineRule="auto"/>
        <w:ind w:firstLine="720"/>
        <w:jc w:val="both"/>
        <w:rPr>
          <w:rFonts w:ascii="Garamond" w:hAnsi="Garamond" w:cs="Times New Roman"/>
          <w:lang w:val="cs-CZ"/>
        </w:rPr>
      </w:pPr>
      <w:r w:rsidRPr="007759EE">
        <w:rPr>
          <w:rFonts w:ascii="Garamond" w:hAnsi="Garamond" w:cs="Times New Roman"/>
          <w:lang w:val="cs-CZ"/>
        </w:rPr>
        <w:t>ESLP odkazem na svou předchozí judikaturu potvrdil, že povinnost smluvních států dle článku 2 odst. 1 Úmluvy zahrnuje, jak závazek zdržet se úmyslného a nezákonného zbavení života, tak závazek přijmout vhodná opatření k ochraně těchto životů v rámci svých jurisdikcí. Tato povinnost může v určitých případech zahrnovat pozitivní povinnost státu přijmout preventivní opatření k ochraně jednotlivce, jehož život je ohrožen trestnými činy jiných.</w:t>
      </w:r>
      <w:r w:rsidR="00426FA1">
        <w:rPr>
          <w:rStyle w:val="FootnoteReference"/>
          <w:rFonts w:ascii="Garamond" w:hAnsi="Garamond" w:cs="Times New Roman"/>
          <w:lang w:val="cs-CZ"/>
        </w:rPr>
        <w:footnoteReference w:id="95"/>
      </w:r>
      <w:r w:rsidRPr="007759EE">
        <w:rPr>
          <w:rFonts w:ascii="Garamond" w:hAnsi="Garamond" w:cs="Times New Roman"/>
          <w:lang w:val="cs-CZ"/>
        </w:rPr>
        <w:t xml:space="preserve"> </w:t>
      </w:r>
      <w:r w:rsidR="0065633F" w:rsidRPr="007759EE">
        <w:rPr>
          <w:rFonts w:ascii="Garamond" w:hAnsi="Garamond" w:cs="Times New Roman"/>
          <w:lang w:val="cs-CZ"/>
        </w:rPr>
        <w:t xml:space="preserve">Stěžovatelka argumentovala, že článek 2 Úmluvy chrání právo na život, nikoli život samotný, přičemž ustanovení zakazující zbavení života chrání jednotlivce před zásahy třetích stran, a ne před sebou samými. Článek 2 měl </w:t>
      </w:r>
      <w:r w:rsidR="00322E73">
        <w:rPr>
          <w:rFonts w:ascii="Garamond" w:hAnsi="Garamond" w:cs="Times New Roman"/>
          <w:lang w:val="cs-CZ"/>
        </w:rPr>
        <w:t xml:space="preserve">tak </w:t>
      </w:r>
      <w:r w:rsidR="0065633F" w:rsidRPr="007759EE">
        <w:rPr>
          <w:rFonts w:ascii="Garamond" w:hAnsi="Garamond" w:cs="Times New Roman"/>
          <w:lang w:val="cs-CZ"/>
        </w:rPr>
        <w:t xml:space="preserve">podle stěžovatelky zahrnovat i právo </w:t>
      </w:r>
      <w:r w:rsidR="005F51CF" w:rsidRPr="007759EE">
        <w:rPr>
          <w:rFonts w:ascii="Garamond" w:hAnsi="Garamond" w:cs="Times New Roman"/>
          <w:lang w:val="cs-CZ"/>
        </w:rPr>
        <w:t>na smrt</w:t>
      </w:r>
      <w:r w:rsidR="00DB38BD" w:rsidRPr="007759EE">
        <w:rPr>
          <w:rFonts w:ascii="Garamond" w:hAnsi="Garamond" w:cs="Times New Roman"/>
          <w:lang w:val="cs-CZ"/>
        </w:rPr>
        <w:t xml:space="preserve">. ESLP však odmítl připustit interpretaci, že právo na život, chráněné dle článku 2, obsahuje i negativní aspekt, tedy právo </w:t>
      </w:r>
      <w:r w:rsidR="005F51CF" w:rsidRPr="007759EE">
        <w:rPr>
          <w:rFonts w:ascii="Garamond" w:hAnsi="Garamond" w:cs="Times New Roman"/>
          <w:lang w:val="cs-CZ"/>
        </w:rPr>
        <w:t>na smrt</w:t>
      </w:r>
      <w:r w:rsidR="00DB38BD" w:rsidRPr="007759EE">
        <w:rPr>
          <w:rFonts w:ascii="Garamond" w:hAnsi="Garamond" w:cs="Times New Roman"/>
          <w:lang w:val="cs-CZ"/>
        </w:rPr>
        <w:t xml:space="preserve">. Zatímco svoboda sdružování dle článku 11 Úmluvy je vykládána tak, že zahrnuje právo vstupovat do sdružení a zároveň i tomu odpovídající právo nebýt nucen ke vstupu do sdružení, článek 2 je zformulován odlišným způsobem. </w:t>
      </w:r>
      <w:r w:rsidR="00F61157" w:rsidRPr="007759EE">
        <w:rPr>
          <w:rFonts w:ascii="Garamond" w:hAnsi="Garamond" w:cs="Times New Roman"/>
          <w:lang w:val="cs-CZ"/>
        </w:rPr>
        <w:t xml:space="preserve">Nezabývá se kvalitou života či rozhodnutím osob, jak naložit s jejich životem. Bez komolení jazyka tak nemůže být dle ESLP článek 2 interpretován způsobem, že zahrnuje diametrálně </w:t>
      </w:r>
      <w:r w:rsidR="00790C21" w:rsidRPr="007759EE">
        <w:rPr>
          <w:rFonts w:ascii="Garamond" w:hAnsi="Garamond" w:cs="Times New Roman"/>
          <w:lang w:val="cs-CZ"/>
        </w:rPr>
        <w:t>opačné</w:t>
      </w:r>
      <w:r w:rsidR="00F61157" w:rsidRPr="007759EE">
        <w:rPr>
          <w:rFonts w:ascii="Garamond" w:hAnsi="Garamond" w:cs="Times New Roman"/>
          <w:lang w:val="cs-CZ"/>
        </w:rPr>
        <w:t xml:space="preserve"> práv</w:t>
      </w:r>
      <w:r w:rsidR="00790C21" w:rsidRPr="007759EE">
        <w:rPr>
          <w:rFonts w:ascii="Garamond" w:hAnsi="Garamond" w:cs="Times New Roman"/>
          <w:lang w:val="cs-CZ"/>
        </w:rPr>
        <w:t>o</w:t>
      </w:r>
      <w:r w:rsidR="00F61157" w:rsidRPr="007759EE">
        <w:rPr>
          <w:rFonts w:ascii="Garamond" w:hAnsi="Garamond" w:cs="Times New Roman"/>
          <w:lang w:val="cs-CZ"/>
        </w:rPr>
        <w:t xml:space="preserve">, konkrétně právo </w:t>
      </w:r>
      <w:r w:rsidR="005F51CF" w:rsidRPr="007759EE">
        <w:rPr>
          <w:rFonts w:ascii="Garamond" w:hAnsi="Garamond" w:cs="Times New Roman"/>
          <w:lang w:val="cs-CZ"/>
        </w:rPr>
        <w:t>na smrt</w:t>
      </w:r>
      <w:r w:rsidR="00F61157" w:rsidRPr="007759EE">
        <w:rPr>
          <w:rFonts w:ascii="Garamond" w:hAnsi="Garamond" w:cs="Times New Roman"/>
          <w:lang w:val="cs-CZ"/>
        </w:rPr>
        <w:t>.</w:t>
      </w:r>
      <w:r w:rsidR="00426FA1">
        <w:rPr>
          <w:rStyle w:val="FootnoteReference"/>
          <w:rFonts w:ascii="Garamond" w:hAnsi="Garamond" w:cs="Times New Roman"/>
          <w:lang w:val="cs-CZ"/>
        </w:rPr>
        <w:footnoteReference w:id="96"/>
      </w:r>
      <w:r w:rsidR="00F61157" w:rsidRPr="007759EE">
        <w:rPr>
          <w:rFonts w:ascii="Garamond" w:hAnsi="Garamond" w:cs="Times New Roman"/>
          <w:lang w:val="cs-CZ"/>
        </w:rPr>
        <w:t xml:space="preserve"> Soud tak neshledal, že by právo </w:t>
      </w:r>
      <w:r w:rsidR="005F51CF" w:rsidRPr="007759EE">
        <w:rPr>
          <w:rFonts w:ascii="Garamond" w:hAnsi="Garamond" w:cs="Times New Roman"/>
          <w:lang w:val="cs-CZ"/>
        </w:rPr>
        <w:t>na smrt</w:t>
      </w:r>
      <w:r w:rsidR="00F61157" w:rsidRPr="007759EE">
        <w:rPr>
          <w:rFonts w:ascii="Garamond" w:hAnsi="Garamond" w:cs="Times New Roman"/>
          <w:lang w:val="cs-CZ"/>
        </w:rPr>
        <w:t>, ať už pomocí třetí osoby nebo veřejného orgánu, mohlo být odvozováno z článku 2 Úmluvy.</w:t>
      </w:r>
      <w:r w:rsidR="00426FA1">
        <w:rPr>
          <w:rStyle w:val="FootnoteReference"/>
          <w:rFonts w:ascii="Garamond" w:hAnsi="Garamond" w:cs="Times New Roman"/>
          <w:lang w:val="cs-CZ"/>
        </w:rPr>
        <w:footnoteReference w:id="97"/>
      </w:r>
    </w:p>
    <w:p w14:paraId="625F080C" w14:textId="75B665A3" w:rsidR="00132C6C" w:rsidRPr="007759EE" w:rsidRDefault="00F61157" w:rsidP="003F3660">
      <w:pPr>
        <w:spacing w:line="360" w:lineRule="auto"/>
        <w:ind w:firstLine="720"/>
        <w:jc w:val="both"/>
        <w:rPr>
          <w:rFonts w:ascii="Garamond" w:hAnsi="Garamond" w:cs="Times New Roman"/>
          <w:lang w:val="cs-CZ"/>
        </w:rPr>
      </w:pPr>
      <w:r w:rsidRPr="007759EE">
        <w:rPr>
          <w:rFonts w:ascii="Garamond" w:hAnsi="Garamond" w:cs="Times New Roman"/>
          <w:lang w:val="cs-CZ"/>
        </w:rPr>
        <w:t>S</w:t>
      </w:r>
      <w:r w:rsidR="00063A69" w:rsidRPr="007759EE">
        <w:rPr>
          <w:rFonts w:ascii="Garamond" w:hAnsi="Garamond" w:cs="Times New Roman"/>
          <w:lang w:val="cs-CZ"/>
        </w:rPr>
        <w:t xml:space="preserve">oud </w:t>
      </w:r>
      <w:r w:rsidR="00322E73">
        <w:rPr>
          <w:rFonts w:ascii="Garamond" w:hAnsi="Garamond" w:cs="Times New Roman"/>
          <w:lang w:val="cs-CZ"/>
        </w:rPr>
        <w:t>zjistil</w:t>
      </w:r>
      <w:r w:rsidR="00063A69" w:rsidRPr="007759EE">
        <w:rPr>
          <w:rFonts w:ascii="Garamond" w:hAnsi="Garamond" w:cs="Times New Roman"/>
          <w:lang w:val="cs-CZ"/>
        </w:rPr>
        <w:t xml:space="preserve">, že se stěžovatelkou nebylo jakkoli špatně zacházeno, ani, že by jí nebyla poskytnuta dostatečná péče ze strany lékařských zařízení. </w:t>
      </w:r>
      <w:r w:rsidR="00322E73">
        <w:rPr>
          <w:rFonts w:ascii="Garamond" w:hAnsi="Garamond" w:cs="Times New Roman"/>
          <w:lang w:val="cs-CZ"/>
        </w:rPr>
        <w:t>S</w:t>
      </w:r>
      <w:r w:rsidR="00063A69" w:rsidRPr="007759EE">
        <w:rPr>
          <w:rFonts w:ascii="Garamond" w:hAnsi="Garamond" w:cs="Times New Roman"/>
          <w:lang w:val="cs-CZ"/>
        </w:rPr>
        <w:t xml:space="preserve">těžovatelka </w:t>
      </w:r>
      <w:r w:rsidR="00322E73">
        <w:rPr>
          <w:rFonts w:ascii="Garamond" w:hAnsi="Garamond" w:cs="Times New Roman"/>
          <w:lang w:val="cs-CZ"/>
        </w:rPr>
        <w:t>ovšem namítala</w:t>
      </w:r>
      <w:r w:rsidR="00063A69" w:rsidRPr="007759EE">
        <w:rPr>
          <w:rFonts w:ascii="Garamond" w:hAnsi="Garamond" w:cs="Times New Roman"/>
          <w:lang w:val="cs-CZ"/>
        </w:rPr>
        <w:t xml:space="preserve">, že </w:t>
      </w:r>
      <w:r w:rsidR="00063A69" w:rsidRPr="007759EE">
        <w:rPr>
          <w:rFonts w:ascii="Garamond" w:hAnsi="Garamond" w:cs="Times New Roman"/>
          <w:lang w:val="cs-CZ"/>
        </w:rPr>
        <w:lastRenderedPageBreak/>
        <w:t>odmítnutím zajistit nestíhatelnost jejího manžela za účast na sebevraždě představuje nelidské a ponižující zacházení, které je zakázáno podle článku 3 Úmluvy. Podle ESLP musí být článek 3 vykládán v souladu se základními účely Úmluvy a zejména pak s článkem 2.</w:t>
      </w:r>
      <w:r w:rsidR="00426FA1">
        <w:rPr>
          <w:rStyle w:val="FootnoteReference"/>
          <w:rFonts w:ascii="Garamond" w:hAnsi="Garamond" w:cs="Times New Roman"/>
          <w:lang w:val="cs-CZ"/>
        </w:rPr>
        <w:footnoteReference w:id="98"/>
      </w:r>
      <w:r w:rsidR="00063A69" w:rsidRPr="007759EE">
        <w:rPr>
          <w:rFonts w:ascii="Garamond" w:hAnsi="Garamond" w:cs="Times New Roman"/>
          <w:lang w:val="cs-CZ"/>
        </w:rPr>
        <w:t xml:space="preserve"> Článek 2 v první řadě chrání osoby před smrtícími zásahy a neposkytuje jednotlivci žádný nárok požadovat </w:t>
      </w:r>
      <w:r w:rsidR="00132C6C" w:rsidRPr="007759EE">
        <w:rPr>
          <w:rFonts w:ascii="Garamond" w:hAnsi="Garamond" w:cs="Times New Roman"/>
          <w:lang w:val="cs-CZ"/>
        </w:rPr>
        <w:t xml:space="preserve">po smluvním státu povolení či zprostředkování ukončení jeho života. Soud vyjádřil politování nad </w:t>
      </w:r>
      <w:r w:rsidR="004F28C8">
        <w:rPr>
          <w:rFonts w:ascii="Garamond" w:hAnsi="Garamond" w:cs="Times New Roman"/>
          <w:lang w:val="cs-CZ"/>
        </w:rPr>
        <w:t xml:space="preserve">fyzickými útrapami </w:t>
      </w:r>
      <w:r w:rsidR="00132C6C" w:rsidRPr="007759EE">
        <w:rPr>
          <w:rFonts w:ascii="Garamond" w:hAnsi="Garamond" w:cs="Times New Roman"/>
          <w:lang w:val="cs-CZ"/>
        </w:rPr>
        <w:t xml:space="preserve">stěžovatelky a skutečností, že sama není schopna sebevraždy, přičemž její manžel by byl stíhán v případě účasti na této sebevraždě. Nicméně, pozitivní povinnost smluvního státu, která je stěžovatelkou vyžadována, </w:t>
      </w:r>
      <w:r w:rsidR="00322E73">
        <w:rPr>
          <w:rFonts w:ascii="Garamond" w:hAnsi="Garamond" w:cs="Times New Roman"/>
          <w:lang w:val="cs-CZ"/>
        </w:rPr>
        <w:t xml:space="preserve">nedovodil, neboť by </w:t>
      </w:r>
      <w:r w:rsidR="00322E73" w:rsidRPr="007759EE">
        <w:rPr>
          <w:rFonts w:ascii="Garamond" w:hAnsi="Garamond" w:cs="Times New Roman"/>
          <w:lang w:val="cs-CZ"/>
        </w:rPr>
        <w:t>nezahrnovala</w:t>
      </w:r>
      <w:r w:rsidR="00132C6C" w:rsidRPr="007759EE">
        <w:rPr>
          <w:rFonts w:ascii="Garamond" w:hAnsi="Garamond" w:cs="Times New Roman"/>
          <w:lang w:val="cs-CZ"/>
        </w:rPr>
        <w:t xml:space="preserve"> odstranění či zmírnění působené újmy, například </w:t>
      </w:r>
      <w:r w:rsidR="00082BD1" w:rsidRPr="007759EE">
        <w:rPr>
          <w:rFonts w:ascii="Garamond" w:hAnsi="Garamond" w:cs="Times New Roman"/>
          <w:lang w:val="cs-CZ"/>
        </w:rPr>
        <w:t>předejitím</w:t>
      </w:r>
      <w:r w:rsidR="00132C6C" w:rsidRPr="007759EE">
        <w:rPr>
          <w:rFonts w:ascii="Garamond" w:hAnsi="Garamond" w:cs="Times New Roman"/>
          <w:lang w:val="cs-CZ"/>
        </w:rPr>
        <w:t xml:space="preserve"> </w:t>
      </w:r>
      <w:r w:rsidR="00082BD1" w:rsidRPr="007759EE">
        <w:rPr>
          <w:rFonts w:ascii="Garamond" w:hAnsi="Garamond" w:cs="Times New Roman"/>
          <w:lang w:val="cs-CZ"/>
        </w:rPr>
        <w:t>špatnému</w:t>
      </w:r>
      <w:r w:rsidR="00132C6C" w:rsidRPr="007759EE">
        <w:rPr>
          <w:rFonts w:ascii="Garamond" w:hAnsi="Garamond" w:cs="Times New Roman"/>
          <w:lang w:val="cs-CZ"/>
        </w:rPr>
        <w:t xml:space="preserve"> zacházení ze strany veřejných orgánů či třetích stran. Zahrnovala by opatření smluvního státu k samotnému ukončení života stěžovatelky. Takto interpretovaná povinnost </w:t>
      </w:r>
      <w:r w:rsidR="00322E73">
        <w:rPr>
          <w:rFonts w:ascii="Garamond" w:hAnsi="Garamond" w:cs="Times New Roman"/>
          <w:lang w:val="cs-CZ"/>
        </w:rPr>
        <w:t xml:space="preserve">však </w:t>
      </w:r>
      <w:r w:rsidR="00132C6C" w:rsidRPr="007759EE">
        <w:rPr>
          <w:rFonts w:ascii="Garamond" w:hAnsi="Garamond" w:cs="Times New Roman"/>
          <w:lang w:val="cs-CZ"/>
        </w:rPr>
        <w:t xml:space="preserve">dle ESLP </w:t>
      </w:r>
      <w:r w:rsidR="00247EF3">
        <w:rPr>
          <w:rFonts w:ascii="Garamond" w:hAnsi="Garamond" w:cs="Times New Roman"/>
          <w:lang w:val="cs-CZ"/>
        </w:rPr>
        <w:t xml:space="preserve">nemůže být </w:t>
      </w:r>
      <w:r w:rsidR="00132C6C" w:rsidRPr="007759EE">
        <w:rPr>
          <w:rFonts w:ascii="Garamond" w:hAnsi="Garamond" w:cs="Times New Roman"/>
          <w:lang w:val="cs-CZ"/>
        </w:rPr>
        <w:t>z článku 3 Úmluvy</w:t>
      </w:r>
      <w:r w:rsidR="00322E73">
        <w:rPr>
          <w:rFonts w:ascii="Garamond" w:hAnsi="Garamond" w:cs="Times New Roman"/>
          <w:lang w:val="cs-CZ"/>
        </w:rPr>
        <w:t xml:space="preserve"> odvozena</w:t>
      </w:r>
      <w:r w:rsidR="00132C6C" w:rsidRPr="007759EE">
        <w:rPr>
          <w:rFonts w:ascii="Garamond" w:hAnsi="Garamond" w:cs="Times New Roman"/>
          <w:lang w:val="cs-CZ"/>
        </w:rPr>
        <w:t>.</w:t>
      </w:r>
      <w:r w:rsidR="004F28C8">
        <w:rPr>
          <w:rStyle w:val="FootnoteReference"/>
          <w:rFonts w:ascii="Garamond" w:hAnsi="Garamond" w:cs="Times New Roman"/>
          <w:lang w:val="cs-CZ"/>
        </w:rPr>
        <w:footnoteReference w:id="99"/>
      </w:r>
    </w:p>
    <w:p w14:paraId="72C48CEC" w14:textId="1C445EF1" w:rsidR="00F61157" w:rsidRPr="007759EE" w:rsidRDefault="003616BC" w:rsidP="003F3660">
      <w:pPr>
        <w:spacing w:line="360" w:lineRule="auto"/>
        <w:ind w:firstLine="720"/>
        <w:jc w:val="both"/>
        <w:rPr>
          <w:rFonts w:ascii="Garamond" w:hAnsi="Garamond" w:cs="Times New Roman"/>
          <w:lang w:val="cs-CZ"/>
        </w:rPr>
      </w:pPr>
      <w:r w:rsidRPr="007759EE">
        <w:rPr>
          <w:rFonts w:ascii="Garamond" w:hAnsi="Garamond" w:cs="Times New Roman"/>
          <w:lang w:val="cs-CZ"/>
        </w:rPr>
        <w:t xml:space="preserve">Stěžovatelka dále argumentovala ochranou svého práva na sebeurčení, které se podle ní vyskytuje v celé Úmluvě, nicméně článek 8 Úmluvy jej explicitně uznává a garantuje. Podle článku 8 </w:t>
      </w:r>
      <w:r w:rsidR="00247EF3">
        <w:rPr>
          <w:rFonts w:ascii="Garamond" w:hAnsi="Garamond" w:cs="Times New Roman"/>
          <w:lang w:val="cs-CZ"/>
        </w:rPr>
        <w:t xml:space="preserve">Úmluvy </w:t>
      </w:r>
      <w:r w:rsidRPr="007759EE">
        <w:rPr>
          <w:rFonts w:ascii="Garamond" w:hAnsi="Garamond" w:cs="Times New Roman"/>
          <w:lang w:val="cs-CZ"/>
        </w:rPr>
        <w:t xml:space="preserve">může státní orgán zasahovat do práva na respektování soukromého života jen v případech, kdy je to v souladu se zákonem a nezbytné v demokratické společnosti, a to jen na základě taxativně vyjmenovaných </w:t>
      </w:r>
      <w:r w:rsidR="0040426C" w:rsidRPr="007759EE">
        <w:rPr>
          <w:rFonts w:ascii="Garamond" w:hAnsi="Garamond" w:cs="Times New Roman"/>
          <w:lang w:val="cs-CZ"/>
        </w:rPr>
        <w:t xml:space="preserve">legitimních </w:t>
      </w:r>
      <w:r w:rsidRPr="007759EE">
        <w:rPr>
          <w:rFonts w:ascii="Garamond" w:hAnsi="Garamond" w:cs="Times New Roman"/>
          <w:lang w:val="cs-CZ"/>
        </w:rPr>
        <w:t xml:space="preserve">zájmů. </w:t>
      </w:r>
      <w:r w:rsidR="0040426C" w:rsidRPr="007759EE">
        <w:rPr>
          <w:rFonts w:ascii="Garamond" w:hAnsi="Garamond" w:cs="Times New Roman"/>
          <w:lang w:val="cs-CZ"/>
        </w:rPr>
        <w:t>ESLP došel k závěru, že smluvní státy jsou oprávněny prostřednictvím trestního práva regulovat některé činnosti, které by mohly ohrozit život a bezpečí osob.</w:t>
      </w:r>
      <w:r w:rsidR="004F28C8">
        <w:rPr>
          <w:rStyle w:val="FootnoteReference"/>
          <w:rFonts w:ascii="Garamond" w:hAnsi="Garamond" w:cs="Times New Roman"/>
          <w:lang w:val="cs-CZ"/>
        </w:rPr>
        <w:footnoteReference w:id="100"/>
      </w:r>
      <w:r w:rsidR="0040426C" w:rsidRPr="007759EE">
        <w:rPr>
          <w:rFonts w:ascii="Garamond" w:hAnsi="Garamond" w:cs="Times New Roman"/>
          <w:lang w:val="cs-CZ"/>
        </w:rPr>
        <w:t xml:space="preserve"> </w:t>
      </w:r>
      <w:r w:rsidR="00247EF3">
        <w:rPr>
          <w:rFonts w:ascii="Garamond" w:hAnsi="Garamond" w:cs="Times New Roman"/>
          <w:lang w:val="cs-CZ"/>
        </w:rPr>
        <w:t>Britský z</w:t>
      </w:r>
      <w:r w:rsidR="0040426C" w:rsidRPr="007759EE">
        <w:rPr>
          <w:rFonts w:ascii="Garamond" w:hAnsi="Garamond" w:cs="Times New Roman"/>
          <w:lang w:val="cs-CZ"/>
        </w:rPr>
        <w:t>ákon o sebevraždě</w:t>
      </w:r>
      <w:r w:rsidR="00E01D3C" w:rsidRPr="007759EE">
        <w:rPr>
          <w:rFonts w:ascii="Garamond" w:hAnsi="Garamond" w:cs="Times New Roman"/>
          <w:lang w:val="cs-CZ"/>
        </w:rPr>
        <w:t xml:space="preserve"> byl navržen tak, aby ochránil zranitelné osoby, zejména ty, které z důvodu svého zdravotního stavu nemohou udělit patřičný informovaný souhlas s ukončením života</w:t>
      </w:r>
      <w:r w:rsidR="006F15C8" w:rsidRPr="007759EE">
        <w:rPr>
          <w:rFonts w:ascii="Garamond" w:hAnsi="Garamond" w:cs="Times New Roman"/>
          <w:lang w:val="cs-CZ"/>
        </w:rPr>
        <w:t xml:space="preserve"> a je tak v souladu s požadavky článku 8 Úmluvy</w:t>
      </w:r>
      <w:r w:rsidR="0018620F">
        <w:rPr>
          <w:rFonts w:ascii="Garamond" w:hAnsi="Garamond" w:cs="Times New Roman"/>
          <w:lang w:val="cs-CZ"/>
        </w:rPr>
        <w:t>, neboť naplňuje požadavky proporcionality</w:t>
      </w:r>
      <w:r w:rsidR="006F15C8" w:rsidRPr="007759EE">
        <w:rPr>
          <w:rFonts w:ascii="Garamond" w:hAnsi="Garamond" w:cs="Times New Roman"/>
          <w:lang w:val="cs-CZ"/>
        </w:rPr>
        <w:t>.</w:t>
      </w:r>
      <w:r w:rsidR="004F28C8">
        <w:rPr>
          <w:rStyle w:val="FootnoteReference"/>
          <w:rFonts w:ascii="Garamond" w:hAnsi="Garamond" w:cs="Times New Roman"/>
          <w:lang w:val="cs-CZ"/>
        </w:rPr>
        <w:footnoteReference w:id="101"/>
      </w:r>
    </w:p>
    <w:p w14:paraId="795F2E65" w14:textId="73098DFA" w:rsidR="00E01D3C" w:rsidRPr="007759EE" w:rsidRDefault="00E01D3C" w:rsidP="003F3660">
      <w:pPr>
        <w:spacing w:line="360" w:lineRule="auto"/>
        <w:ind w:firstLine="720"/>
        <w:jc w:val="both"/>
        <w:rPr>
          <w:rFonts w:ascii="Garamond" w:hAnsi="Garamond" w:cs="Times New Roman"/>
          <w:lang w:val="cs-CZ"/>
        </w:rPr>
      </w:pPr>
      <w:r w:rsidRPr="007759EE">
        <w:rPr>
          <w:rFonts w:ascii="Garamond" w:hAnsi="Garamond" w:cs="Times New Roman"/>
          <w:lang w:val="cs-CZ"/>
        </w:rPr>
        <w:t>ESLP neshledal zákaz asistované sebevraždy disproporcionálním. Zákon o sebevraždě umožňoval určitou míru diskrece v individuálních případech, zejména s ohledem na to, že k zahájení trestního stíhání bylo zapotřebí souhlasu Úřadu pro veřejné trestní stíhání.</w:t>
      </w:r>
      <w:r w:rsidR="004F28C8">
        <w:rPr>
          <w:rStyle w:val="FootnoteReference"/>
          <w:rFonts w:ascii="Garamond" w:hAnsi="Garamond" w:cs="Times New Roman"/>
          <w:lang w:val="cs-CZ"/>
        </w:rPr>
        <w:footnoteReference w:id="102"/>
      </w:r>
      <w:r w:rsidRPr="007759EE">
        <w:rPr>
          <w:rFonts w:ascii="Garamond" w:hAnsi="Garamond" w:cs="Times New Roman"/>
          <w:lang w:val="cs-CZ"/>
        </w:rPr>
        <w:t xml:space="preserve"> Svůj závěr ESLP podložil i zprávou </w:t>
      </w:r>
      <w:r w:rsidR="002B4F91">
        <w:rPr>
          <w:rFonts w:ascii="Garamond" w:hAnsi="Garamond" w:cs="Times New Roman"/>
          <w:lang w:val="cs-CZ"/>
        </w:rPr>
        <w:t xml:space="preserve">britské </w:t>
      </w:r>
      <w:r w:rsidR="00DD121E">
        <w:rPr>
          <w:rFonts w:ascii="Garamond" w:hAnsi="Garamond" w:cs="Times New Roman"/>
          <w:lang w:val="cs-CZ"/>
        </w:rPr>
        <w:t>sněmovní komise</w:t>
      </w:r>
      <w:r w:rsidR="002B4F91">
        <w:rPr>
          <w:rStyle w:val="FootnoteReference"/>
          <w:rFonts w:ascii="Garamond" w:hAnsi="Garamond" w:cs="Times New Roman"/>
          <w:lang w:val="cs-CZ"/>
        </w:rPr>
        <w:footnoteReference w:id="103"/>
      </w:r>
      <w:r w:rsidR="00DD121E">
        <w:rPr>
          <w:rFonts w:ascii="Garamond" w:hAnsi="Garamond" w:cs="Times New Roman"/>
          <w:lang w:val="cs-CZ"/>
        </w:rPr>
        <w:t xml:space="preserve">, </w:t>
      </w:r>
      <w:r w:rsidRPr="007759EE">
        <w:rPr>
          <w:rFonts w:ascii="Garamond" w:hAnsi="Garamond" w:cs="Times New Roman"/>
          <w:lang w:val="cs-CZ"/>
        </w:rPr>
        <w:t>podle které v celkově dvaceti dvou případech „usmrcení z milosti“ mezi lety 1981 až 1992, byl pouze jediný případ, kdy došlo k odsouzení za vraždu s trestem odnětí svobody na doživotí</w:t>
      </w:r>
      <w:r w:rsidR="007448A0" w:rsidRPr="007759EE">
        <w:rPr>
          <w:rFonts w:ascii="Garamond" w:hAnsi="Garamond" w:cs="Times New Roman"/>
          <w:lang w:val="cs-CZ"/>
        </w:rPr>
        <w:t xml:space="preserve"> a ve zbytku byla udělena podmínka nebo podmíněný trest. </w:t>
      </w:r>
      <w:r w:rsidR="00082BD1" w:rsidRPr="007759EE">
        <w:rPr>
          <w:rFonts w:ascii="Garamond" w:hAnsi="Garamond" w:cs="Times New Roman"/>
          <w:lang w:val="cs-CZ"/>
        </w:rPr>
        <w:t>S ohledem na výše uvedené k</w:t>
      </w:r>
      <w:r w:rsidR="007448A0" w:rsidRPr="007759EE">
        <w:rPr>
          <w:rFonts w:ascii="Garamond" w:hAnsi="Garamond" w:cs="Times New Roman"/>
          <w:lang w:val="cs-CZ"/>
        </w:rPr>
        <w:t> porušení článku 8 podle soudu nedošlo.</w:t>
      </w:r>
    </w:p>
    <w:p w14:paraId="03166719" w14:textId="74E85DAA" w:rsidR="0035507A" w:rsidRPr="007759EE" w:rsidRDefault="00622FF6" w:rsidP="00330C8D">
      <w:pPr>
        <w:spacing w:line="360" w:lineRule="auto"/>
        <w:ind w:firstLine="720"/>
        <w:jc w:val="both"/>
        <w:rPr>
          <w:rFonts w:ascii="Garamond" w:hAnsi="Garamond" w:cs="Times New Roman"/>
          <w:lang w:val="cs-CZ"/>
        </w:rPr>
      </w:pPr>
      <w:r w:rsidRPr="007759EE">
        <w:rPr>
          <w:rFonts w:ascii="Garamond" w:hAnsi="Garamond" w:cs="Times New Roman"/>
          <w:lang w:val="cs-CZ"/>
        </w:rPr>
        <w:lastRenderedPageBreak/>
        <w:t>O diskriminační úpravu ve smyslu článku 14 Úmluvy by dle ESLP šlo v případě, že by úprava postrádala objektivní a přiměřené odůvodnění, tedy taková, která by nesledovala legitimní cíl nebo jejíž vztah mezi prostředky k dosažení cíle a cílem samotným by byl neproporcionální. Podle názoru ESLP však nerozlišování mezi těmi, kteří jsou a kteří nejsou fyzicky schopni sebevraždy je objektivně a patřičně odůvodněné.</w:t>
      </w:r>
      <w:r w:rsidR="004F28C8">
        <w:rPr>
          <w:rStyle w:val="FootnoteReference"/>
          <w:rFonts w:ascii="Garamond" w:hAnsi="Garamond" w:cs="Times New Roman"/>
          <w:lang w:val="cs-CZ"/>
        </w:rPr>
        <w:footnoteReference w:id="104"/>
      </w:r>
      <w:r w:rsidRPr="007759EE">
        <w:rPr>
          <w:rFonts w:ascii="Garamond" w:hAnsi="Garamond" w:cs="Times New Roman"/>
          <w:lang w:val="cs-CZ"/>
        </w:rPr>
        <w:t xml:space="preserve"> Hranice mezi těmito kategoriemi osob by byla často velmi tenká</w:t>
      </w:r>
      <w:r w:rsidR="0035507A" w:rsidRPr="007759EE">
        <w:rPr>
          <w:rFonts w:ascii="Garamond" w:hAnsi="Garamond" w:cs="Times New Roman"/>
          <w:lang w:val="cs-CZ"/>
        </w:rPr>
        <w:t xml:space="preserve"> a uzákonit výjimku pro osoby, které by byly prohlášeny jako neschopné sebevraždy, by dle soudu významně ohrozilo sledovanou ochranu života.</w:t>
      </w:r>
      <w:r w:rsidR="004F28C8">
        <w:rPr>
          <w:rStyle w:val="FootnoteReference"/>
          <w:rFonts w:ascii="Garamond" w:hAnsi="Garamond" w:cs="Times New Roman"/>
          <w:lang w:val="cs-CZ"/>
        </w:rPr>
        <w:footnoteReference w:id="105"/>
      </w:r>
      <w:r w:rsidR="0035507A" w:rsidRPr="007759EE">
        <w:rPr>
          <w:rFonts w:ascii="Garamond" w:hAnsi="Garamond" w:cs="Times New Roman"/>
          <w:lang w:val="cs-CZ"/>
        </w:rPr>
        <w:t xml:space="preserve"> ESLP ani v tomto případě tak neshledal porušení Úmluvy.</w:t>
      </w:r>
    </w:p>
    <w:p w14:paraId="1B850D4D" w14:textId="60D3C731" w:rsidR="00954930" w:rsidRPr="007759EE" w:rsidRDefault="00954930" w:rsidP="00954930">
      <w:pPr>
        <w:spacing w:line="360" w:lineRule="auto"/>
        <w:jc w:val="both"/>
        <w:rPr>
          <w:rFonts w:ascii="Garamond" w:hAnsi="Garamond" w:cs="Times New Roman"/>
          <w:lang w:val="cs-CZ"/>
        </w:rPr>
      </w:pPr>
      <w:r w:rsidRPr="007759EE">
        <w:rPr>
          <w:rFonts w:ascii="Garamond" w:hAnsi="Garamond" w:cs="Times New Roman"/>
          <w:lang w:val="cs-CZ"/>
        </w:rPr>
        <w:tab/>
      </w:r>
      <w:r w:rsidR="005F51CF" w:rsidRPr="007759EE">
        <w:rPr>
          <w:rFonts w:ascii="Garamond" w:hAnsi="Garamond" w:cs="Times New Roman"/>
          <w:lang w:val="cs-CZ"/>
        </w:rPr>
        <w:t xml:space="preserve">ESLP sice námitce stěžovatelky nevyhověl a neuznal, že právo na život obsahuje i svou odlišnou složku, a to právo na smrt. Nicméně, určitý právní podklad pro právo na smrt založil odkazem na právo na respektování soukromého života podle článku 8 Úmluvy již v projednávaném případě a následně jej rozvedl v rozsudku </w:t>
      </w:r>
      <w:r w:rsidR="005F51CF" w:rsidRPr="007759EE">
        <w:rPr>
          <w:rFonts w:ascii="Garamond" w:hAnsi="Garamond" w:cs="Times New Roman"/>
          <w:i/>
          <w:lang w:val="cs-CZ"/>
        </w:rPr>
        <w:t>Haas proti Švýcarsku</w:t>
      </w:r>
      <w:r w:rsidR="005F51CF" w:rsidRPr="007759EE">
        <w:rPr>
          <w:rFonts w:ascii="Garamond" w:hAnsi="Garamond" w:cs="Times New Roman"/>
          <w:lang w:val="cs-CZ"/>
        </w:rPr>
        <w:t>.</w:t>
      </w:r>
      <w:r w:rsidR="00BE4735">
        <w:rPr>
          <w:rStyle w:val="FootnoteReference"/>
          <w:rFonts w:ascii="Garamond" w:hAnsi="Garamond" w:cs="Times New Roman"/>
          <w:lang w:val="cs-CZ"/>
        </w:rPr>
        <w:footnoteReference w:id="106"/>
      </w:r>
      <w:r w:rsidR="005F51CF" w:rsidRPr="007759EE">
        <w:rPr>
          <w:rFonts w:ascii="Garamond" w:hAnsi="Garamond" w:cs="Times New Roman"/>
          <w:lang w:val="cs-CZ"/>
        </w:rPr>
        <w:t xml:space="preserve"> </w:t>
      </w:r>
      <w:r w:rsidR="0018620F">
        <w:rPr>
          <w:rFonts w:ascii="Garamond" w:hAnsi="Garamond" w:cs="Times New Roman"/>
          <w:lang w:val="cs-CZ"/>
        </w:rPr>
        <w:t xml:space="preserve">Ačkoli soud neshledal porušení Úmluvy (odkazem na proporcionalitu zákona o sebevraždě), </w:t>
      </w:r>
      <w:r w:rsidR="00024586">
        <w:rPr>
          <w:rFonts w:ascii="Garamond" w:hAnsi="Garamond" w:cs="Times New Roman"/>
          <w:lang w:val="cs-CZ"/>
        </w:rPr>
        <w:t>v</w:t>
      </w:r>
      <w:r w:rsidR="005F51CF" w:rsidRPr="007759EE">
        <w:rPr>
          <w:rFonts w:ascii="Garamond" w:hAnsi="Garamond" w:cs="Times New Roman"/>
          <w:lang w:val="cs-CZ"/>
        </w:rPr>
        <w:t> projednávaném případě se</w:t>
      </w:r>
      <w:r w:rsidR="00F1297A" w:rsidRPr="007759EE">
        <w:rPr>
          <w:rFonts w:ascii="Garamond" w:hAnsi="Garamond" w:cs="Times New Roman"/>
          <w:lang w:val="cs-CZ"/>
        </w:rPr>
        <w:t xml:space="preserve"> </w:t>
      </w:r>
      <w:r w:rsidR="005F51CF" w:rsidRPr="007759EE">
        <w:rPr>
          <w:rFonts w:ascii="Garamond" w:hAnsi="Garamond" w:cs="Times New Roman"/>
          <w:lang w:val="cs-CZ"/>
        </w:rPr>
        <w:t>vyslovil, že osobní autonomie</w:t>
      </w:r>
      <w:r w:rsidR="00F1297A" w:rsidRPr="007759EE">
        <w:rPr>
          <w:rFonts w:ascii="Garamond" w:hAnsi="Garamond" w:cs="Times New Roman"/>
          <w:lang w:val="cs-CZ"/>
        </w:rPr>
        <w:t xml:space="preserve"> představuje důležitý princip pro výklad garantovaných práv podle článku 8 a nevyloučil, že pokud je takto stěžovateli právní úpravou zabráněno učinit svou volbu a vyhnout se nedůstojné smrti, neporušuje tato úprava právo na respekt k soukromému životu ve smyslu článku 8 Úmluvy.</w:t>
      </w:r>
      <w:r w:rsidR="00F1297A" w:rsidRPr="007759EE">
        <w:rPr>
          <w:rStyle w:val="FootnoteReference"/>
          <w:rFonts w:ascii="Garamond" w:hAnsi="Garamond" w:cs="Times New Roman"/>
          <w:lang w:val="cs-CZ"/>
        </w:rPr>
        <w:footnoteReference w:id="107"/>
      </w:r>
      <w:r w:rsidR="00F1297A" w:rsidRPr="007759EE">
        <w:rPr>
          <w:rFonts w:ascii="Garamond" w:hAnsi="Garamond" w:cs="Times New Roman"/>
          <w:lang w:val="cs-CZ"/>
        </w:rPr>
        <w:t xml:space="preserve"> Tento výklad pak ESLP explicitně potvrdil ve své pozdější judikatuře. To však nutně neznamená, že každý zásah do tohoto práva automaticky představuje porušení článku 8 Úmluvy. Právo na respektování rodinného a soukromého</w:t>
      </w:r>
      <w:r w:rsidR="00222D08">
        <w:rPr>
          <w:rFonts w:ascii="Garamond" w:hAnsi="Garamond" w:cs="Times New Roman"/>
          <w:lang w:val="cs-CZ"/>
        </w:rPr>
        <w:t xml:space="preserve"> života</w:t>
      </w:r>
      <w:r w:rsidR="00F1297A" w:rsidRPr="007759EE">
        <w:rPr>
          <w:rFonts w:ascii="Garamond" w:hAnsi="Garamond" w:cs="Times New Roman"/>
          <w:lang w:val="cs-CZ"/>
        </w:rPr>
        <w:t xml:space="preserve"> podle tohoto článku je totiž tzv. právem </w:t>
      </w:r>
      <w:r w:rsidR="008D5519" w:rsidRPr="007759EE">
        <w:rPr>
          <w:rFonts w:ascii="Garamond" w:hAnsi="Garamond" w:cs="Times New Roman"/>
          <w:lang w:val="cs-CZ"/>
        </w:rPr>
        <w:t>kvalifikovaným</w:t>
      </w:r>
      <w:r w:rsidR="00F1297A" w:rsidRPr="007759EE">
        <w:rPr>
          <w:rStyle w:val="FootnoteReference"/>
          <w:rFonts w:ascii="Garamond" w:hAnsi="Garamond" w:cs="Times New Roman"/>
          <w:lang w:val="cs-CZ"/>
        </w:rPr>
        <w:footnoteReference w:id="108"/>
      </w:r>
      <w:r w:rsidR="008D5519" w:rsidRPr="007759EE">
        <w:rPr>
          <w:rFonts w:ascii="Garamond" w:hAnsi="Garamond" w:cs="Times New Roman"/>
          <w:lang w:val="cs-CZ"/>
        </w:rPr>
        <w:t xml:space="preserve">, jenž lze omezit na základě podmínek stanovených článkem 8 odst. 2 Úmluvy. </w:t>
      </w:r>
    </w:p>
    <w:p w14:paraId="3797C64F" w14:textId="06AF7D25" w:rsidR="008D5519" w:rsidRPr="007759EE" w:rsidRDefault="008D5519" w:rsidP="00954930">
      <w:pPr>
        <w:spacing w:line="360" w:lineRule="auto"/>
        <w:jc w:val="both"/>
        <w:rPr>
          <w:rFonts w:ascii="Garamond" w:hAnsi="Garamond" w:cs="Times New Roman"/>
          <w:lang w:val="cs-CZ"/>
        </w:rPr>
      </w:pPr>
      <w:r w:rsidRPr="007759EE">
        <w:rPr>
          <w:rFonts w:ascii="Garamond" w:hAnsi="Garamond" w:cs="Times New Roman"/>
          <w:lang w:val="cs-CZ"/>
        </w:rPr>
        <w:tab/>
      </w:r>
      <w:r w:rsidR="008A50CE" w:rsidRPr="007759EE">
        <w:rPr>
          <w:rFonts w:ascii="Garamond" w:hAnsi="Garamond" w:cs="Times New Roman"/>
          <w:lang w:val="cs-CZ"/>
        </w:rPr>
        <w:t>Nicméně, někteří autoři z práva podle článku 8 Úmluvy dovozují plnohodnotné právo odmítnout život udržující léčbu.</w:t>
      </w:r>
      <w:r w:rsidR="008A50CE" w:rsidRPr="007759EE">
        <w:rPr>
          <w:rStyle w:val="FootnoteReference"/>
          <w:rFonts w:ascii="Garamond" w:hAnsi="Garamond" w:cs="Times New Roman"/>
          <w:lang w:val="cs-CZ"/>
        </w:rPr>
        <w:footnoteReference w:id="109"/>
      </w:r>
      <w:r w:rsidR="008A50CE" w:rsidRPr="007759EE">
        <w:rPr>
          <w:rFonts w:ascii="Garamond" w:hAnsi="Garamond" w:cs="Times New Roman"/>
          <w:lang w:val="cs-CZ"/>
        </w:rPr>
        <w:t xml:space="preserve"> </w:t>
      </w:r>
      <w:r w:rsidR="00475B21" w:rsidRPr="007759EE">
        <w:rPr>
          <w:rFonts w:ascii="Garamond" w:hAnsi="Garamond" w:cs="Times New Roman"/>
          <w:lang w:val="cs-CZ"/>
        </w:rPr>
        <w:t>Black</w:t>
      </w:r>
      <w:r w:rsidR="00802732">
        <w:rPr>
          <w:rStyle w:val="FootnoteReference"/>
          <w:rFonts w:ascii="Garamond" w:hAnsi="Garamond" w:cs="Times New Roman"/>
          <w:lang w:val="cs-CZ"/>
        </w:rPr>
        <w:footnoteReference w:id="110"/>
      </w:r>
      <w:r w:rsidR="00475B21" w:rsidRPr="007759EE">
        <w:rPr>
          <w:rFonts w:ascii="Garamond" w:hAnsi="Garamond" w:cs="Times New Roman"/>
          <w:lang w:val="cs-CZ"/>
        </w:rPr>
        <w:t xml:space="preserve"> pak zejména odkazem na to, že je třeba rozlišovat mezi konsensem smluvních států nad lékařsky asistovanou sebevraždou a odmítnutím pokračování v život udržující léčbě. </w:t>
      </w:r>
      <w:r w:rsidR="001B4D57">
        <w:rPr>
          <w:rFonts w:ascii="Garamond" w:hAnsi="Garamond" w:cs="Times New Roman"/>
          <w:lang w:val="cs-CZ"/>
        </w:rPr>
        <w:t xml:space="preserve">První z nich ESLP doposud meritorně odmítal řešit a vždy odkázal na prostor pro uvážení, neboť zde dostatečný konsensus mezi smluvními státy neexistuje. Avšak obecně garantované právo na odmítnutí život udržující léčby by zde podle Blacka existovat mohlo. </w:t>
      </w:r>
      <w:r w:rsidR="00475B21" w:rsidRPr="007759EE">
        <w:rPr>
          <w:rFonts w:ascii="Garamond" w:hAnsi="Garamond" w:cs="Times New Roman"/>
          <w:lang w:val="cs-CZ"/>
        </w:rPr>
        <w:t>Staví tak zejména na článku 5 Úmluvy o lidských právech a biomedicíně</w:t>
      </w:r>
      <w:r w:rsidR="00475B21" w:rsidRPr="007759EE">
        <w:rPr>
          <w:rStyle w:val="FootnoteReference"/>
          <w:rFonts w:ascii="Garamond" w:hAnsi="Garamond" w:cs="Times New Roman"/>
          <w:lang w:val="cs-CZ"/>
        </w:rPr>
        <w:footnoteReference w:id="111"/>
      </w:r>
      <w:r w:rsidR="00475B21" w:rsidRPr="007759EE">
        <w:rPr>
          <w:rFonts w:ascii="Garamond" w:hAnsi="Garamond" w:cs="Times New Roman"/>
          <w:lang w:val="cs-CZ"/>
        </w:rPr>
        <w:t xml:space="preserve">, který může být omezen pouze </w:t>
      </w:r>
      <w:r w:rsidR="00475B21" w:rsidRPr="007759EE">
        <w:rPr>
          <w:rFonts w:ascii="Garamond" w:hAnsi="Garamond" w:cs="Times New Roman"/>
          <w:lang w:val="cs-CZ"/>
        </w:rPr>
        <w:lastRenderedPageBreak/>
        <w:t>články 7</w:t>
      </w:r>
      <w:r w:rsidR="00EE1F29">
        <w:rPr>
          <w:rFonts w:ascii="Garamond" w:hAnsi="Garamond" w:cs="Times New Roman"/>
          <w:lang w:val="cs-CZ"/>
        </w:rPr>
        <w:t xml:space="preserve"> (ochrana osob s duševní poruchou)</w:t>
      </w:r>
      <w:r w:rsidR="00475B21" w:rsidRPr="007759EE">
        <w:rPr>
          <w:rFonts w:ascii="Garamond" w:hAnsi="Garamond" w:cs="Times New Roman"/>
          <w:lang w:val="cs-CZ"/>
        </w:rPr>
        <w:t>, 8</w:t>
      </w:r>
      <w:r w:rsidR="00EE1F29">
        <w:rPr>
          <w:rFonts w:ascii="Garamond" w:hAnsi="Garamond" w:cs="Times New Roman"/>
          <w:lang w:val="cs-CZ"/>
        </w:rPr>
        <w:t xml:space="preserve"> (stav nouze vyžadující neodkladná řešení)</w:t>
      </w:r>
      <w:r w:rsidR="00475B21" w:rsidRPr="007759EE">
        <w:rPr>
          <w:rFonts w:ascii="Garamond" w:hAnsi="Garamond" w:cs="Times New Roman"/>
          <w:lang w:val="cs-CZ"/>
        </w:rPr>
        <w:t xml:space="preserve"> a 26</w:t>
      </w:r>
      <w:r w:rsidR="00EE1F29">
        <w:rPr>
          <w:rFonts w:ascii="Garamond" w:hAnsi="Garamond" w:cs="Times New Roman"/>
          <w:lang w:val="cs-CZ"/>
        </w:rPr>
        <w:t xml:space="preserve"> (omezení výkonu práv zákonem, která jsou nezbytná v demokratické společnosti v zájmu bezpečnosti veřejnosti, předcházení trestné činnosti, ochrany veřejného zdraví nebo ochrany práv a svobod jiných)</w:t>
      </w:r>
      <w:r w:rsidR="00B24F86" w:rsidRPr="007759EE">
        <w:rPr>
          <w:rFonts w:ascii="Garamond" w:hAnsi="Garamond" w:cs="Times New Roman"/>
          <w:lang w:val="cs-CZ"/>
        </w:rPr>
        <w:t xml:space="preserve">, s tím že Úmluva o lidských právech a biomedicíně byla přijata a ratifikována </w:t>
      </w:r>
      <w:r w:rsidR="00EE1F29">
        <w:rPr>
          <w:rFonts w:ascii="Garamond" w:hAnsi="Garamond" w:cs="Times New Roman"/>
          <w:lang w:val="cs-CZ"/>
        </w:rPr>
        <w:t xml:space="preserve">celkově </w:t>
      </w:r>
      <w:r w:rsidR="00B24F86" w:rsidRPr="007759EE">
        <w:rPr>
          <w:rFonts w:ascii="Garamond" w:hAnsi="Garamond" w:cs="Times New Roman"/>
          <w:lang w:val="cs-CZ"/>
        </w:rPr>
        <w:t>29 evropskými smluvními státy</w:t>
      </w:r>
      <w:r w:rsidR="00EE1F29">
        <w:rPr>
          <w:rFonts w:ascii="Garamond" w:hAnsi="Garamond" w:cs="Times New Roman"/>
          <w:lang w:val="cs-CZ"/>
        </w:rPr>
        <w:t>, což by mohlo představovat onu nezbytnou podmínku pro garanci takového práva</w:t>
      </w:r>
      <w:r w:rsidR="00B24F86" w:rsidRPr="007759EE">
        <w:rPr>
          <w:rFonts w:ascii="Garamond" w:hAnsi="Garamond" w:cs="Times New Roman"/>
          <w:lang w:val="cs-CZ"/>
        </w:rPr>
        <w:t>.</w:t>
      </w:r>
      <w:r w:rsidR="00B24F86" w:rsidRPr="007759EE">
        <w:rPr>
          <w:rStyle w:val="FootnoteReference"/>
          <w:rFonts w:ascii="Garamond" w:hAnsi="Garamond" w:cs="Times New Roman"/>
          <w:lang w:val="cs-CZ"/>
        </w:rPr>
        <w:footnoteReference w:id="112"/>
      </w:r>
      <w:r w:rsidR="00B24F86" w:rsidRPr="007759EE">
        <w:rPr>
          <w:rFonts w:ascii="Garamond" w:hAnsi="Garamond" w:cs="Times New Roman"/>
          <w:lang w:val="cs-CZ"/>
        </w:rPr>
        <w:t xml:space="preserve"> I vzhledem k tomuto si tak lze představit, že cesta vůči pasivní eutanazii by mohla být otevřena, přestože takto pojatá argumentace před ESLP řešena ještě nebyla.</w:t>
      </w:r>
    </w:p>
    <w:p w14:paraId="7C864DCD" w14:textId="47688857" w:rsidR="002A788F" w:rsidRPr="007759EE" w:rsidRDefault="00247EF3" w:rsidP="00247EF3">
      <w:pPr>
        <w:spacing w:line="360" w:lineRule="auto"/>
        <w:ind w:firstLine="720"/>
        <w:jc w:val="both"/>
        <w:rPr>
          <w:rFonts w:ascii="Garamond" w:hAnsi="Garamond" w:cs="Times New Roman"/>
          <w:lang w:val="cs-CZ"/>
        </w:rPr>
      </w:pPr>
      <w:r>
        <w:rPr>
          <w:rFonts w:ascii="Garamond" w:hAnsi="Garamond" w:cs="Times New Roman"/>
          <w:lang w:val="cs-CZ"/>
        </w:rPr>
        <w:t xml:space="preserve">K potvrzení koncepce autonomie došlo v případě </w:t>
      </w:r>
      <w:r>
        <w:rPr>
          <w:rFonts w:ascii="Garamond" w:hAnsi="Garamond" w:cs="Times New Roman"/>
          <w:i/>
          <w:lang w:val="cs-CZ"/>
        </w:rPr>
        <w:t>Haas proti Švýcarsku.</w:t>
      </w:r>
      <w:r w:rsidR="008A7D0F">
        <w:rPr>
          <w:rStyle w:val="FootnoteReference"/>
          <w:rFonts w:ascii="Garamond" w:hAnsi="Garamond" w:cs="Times New Roman"/>
          <w:i/>
          <w:lang w:val="cs-CZ"/>
        </w:rPr>
        <w:footnoteReference w:id="113"/>
      </w:r>
      <w:r>
        <w:rPr>
          <w:rFonts w:ascii="Garamond" w:hAnsi="Garamond" w:cs="Times New Roman"/>
          <w:lang w:val="cs-CZ"/>
        </w:rPr>
        <w:t xml:space="preserve">  </w:t>
      </w:r>
      <w:r w:rsidR="008D6498" w:rsidRPr="007759EE">
        <w:rPr>
          <w:rFonts w:ascii="Garamond" w:hAnsi="Garamond" w:cs="Times New Roman"/>
          <w:lang w:val="cs-CZ"/>
        </w:rPr>
        <w:t xml:space="preserve">Stěžovatel Ernst G. Haas </w:t>
      </w:r>
      <w:r>
        <w:rPr>
          <w:rFonts w:ascii="Garamond" w:hAnsi="Garamond" w:cs="Times New Roman"/>
          <w:lang w:val="cs-CZ"/>
        </w:rPr>
        <w:t>p</w:t>
      </w:r>
      <w:r w:rsidR="008D6498" w:rsidRPr="007759EE">
        <w:rPr>
          <w:rFonts w:ascii="Garamond" w:hAnsi="Garamond" w:cs="Times New Roman"/>
          <w:lang w:val="cs-CZ"/>
        </w:rPr>
        <w:t xml:space="preserve">o dobu takřka 20 let trpěl bipolární afektivní poruchou. Po několika neúspěšných pokusech o sebevraždu se rozhodl obstarat si látku </w:t>
      </w:r>
      <w:r w:rsidR="00D528B6" w:rsidRPr="007759EE">
        <w:rPr>
          <w:rFonts w:ascii="Garamond" w:hAnsi="Garamond" w:cs="Times New Roman"/>
          <w:lang w:val="cs-CZ"/>
        </w:rPr>
        <w:t>p</w:t>
      </w:r>
      <w:r w:rsidR="008D6498" w:rsidRPr="007759EE">
        <w:rPr>
          <w:rFonts w:ascii="Garamond" w:hAnsi="Garamond" w:cs="Times New Roman"/>
          <w:lang w:val="cs-CZ"/>
        </w:rPr>
        <w:t>entobarbital</w:t>
      </w:r>
      <w:r w:rsidR="00D528B6" w:rsidRPr="007759EE">
        <w:rPr>
          <w:rFonts w:ascii="Garamond" w:hAnsi="Garamond" w:cs="Times New Roman"/>
          <w:lang w:val="cs-CZ"/>
        </w:rPr>
        <w:t xml:space="preserve"> sodný</w:t>
      </w:r>
      <w:r w:rsidR="008D6498" w:rsidRPr="007759EE">
        <w:rPr>
          <w:rFonts w:ascii="Garamond" w:hAnsi="Garamond" w:cs="Times New Roman"/>
          <w:lang w:val="cs-CZ"/>
        </w:rPr>
        <w:t xml:space="preserve">, jenž </w:t>
      </w:r>
      <w:r w:rsidR="00F52C48" w:rsidRPr="007759EE">
        <w:rPr>
          <w:rFonts w:ascii="Garamond" w:hAnsi="Garamond" w:cs="Times New Roman"/>
          <w:lang w:val="cs-CZ"/>
        </w:rPr>
        <w:t xml:space="preserve">by mu podána v dostatečném množství umožnila kýženou </w:t>
      </w:r>
      <w:r w:rsidR="00D528B6" w:rsidRPr="007759EE">
        <w:rPr>
          <w:rFonts w:ascii="Garamond" w:hAnsi="Garamond" w:cs="Times New Roman"/>
          <w:lang w:val="cs-CZ"/>
        </w:rPr>
        <w:t xml:space="preserve">a </w:t>
      </w:r>
      <w:r w:rsidR="00F52C48" w:rsidRPr="007759EE">
        <w:rPr>
          <w:rFonts w:ascii="Garamond" w:hAnsi="Garamond" w:cs="Times New Roman"/>
          <w:lang w:val="cs-CZ"/>
        </w:rPr>
        <w:t>důstojnou smrt. Jelikož lze tuto látku vydat pouze na předpis, obrátil se na několik lékařů, avšak se svou žádostí neuspěl. Následně se obrátil hned na několik federálních orgánů, jakož i na orgány příslušného kantonu, se žádostí o přístup k </w:t>
      </w:r>
      <w:r>
        <w:rPr>
          <w:rFonts w:ascii="Garamond" w:hAnsi="Garamond" w:cs="Times New Roman"/>
          <w:lang w:val="cs-CZ"/>
        </w:rPr>
        <w:t>p</w:t>
      </w:r>
      <w:r w:rsidR="00F52C48" w:rsidRPr="007759EE">
        <w:rPr>
          <w:rFonts w:ascii="Garamond" w:hAnsi="Garamond" w:cs="Times New Roman"/>
          <w:lang w:val="cs-CZ"/>
        </w:rPr>
        <w:t xml:space="preserve">entobarbitalu bez předpisu. </w:t>
      </w:r>
      <w:r w:rsidR="002A788F" w:rsidRPr="007759EE">
        <w:rPr>
          <w:rFonts w:ascii="Garamond" w:hAnsi="Garamond" w:cs="Times New Roman"/>
          <w:lang w:val="cs-CZ"/>
        </w:rPr>
        <w:t>Stěžovatel tak podal stížnost k ESLP postavenou na porušení článku 8, ve které tvrdil, že jeho právo ukončit život bezpečným a důstojným způsobem bylo Švýcarskem porušeno.</w:t>
      </w:r>
    </w:p>
    <w:p w14:paraId="01FC3C32" w14:textId="58FB12EC" w:rsidR="00B0144E" w:rsidRDefault="002A788F" w:rsidP="003F3660">
      <w:pPr>
        <w:spacing w:line="360" w:lineRule="auto"/>
        <w:jc w:val="both"/>
        <w:rPr>
          <w:rFonts w:ascii="Garamond" w:hAnsi="Garamond" w:cs="Times New Roman"/>
          <w:lang w:val="cs-CZ"/>
        </w:rPr>
      </w:pPr>
      <w:r w:rsidRPr="007759EE">
        <w:rPr>
          <w:rFonts w:ascii="Garamond" w:hAnsi="Garamond" w:cs="Times New Roman"/>
          <w:lang w:val="cs-CZ"/>
        </w:rPr>
        <w:tab/>
      </w:r>
      <w:r w:rsidR="00247EF3">
        <w:rPr>
          <w:rFonts w:ascii="Garamond" w:hAnsi="Garamond" w:cs="Times New Roman"/>
          <w:lang w:val="cs-CZ"/>
        </w:rPr>
        <w:t xml:space="preserve">Jak již bylo výše naznačeno, </w:t>
      </w:r>
      <w:r w:rsidRPr="007759EE">
        <w:rPr>
          <w:rFonts w:ascii="Garamond" w:hAnsi="Garamond" w:cs="Times New Roman"/>
          <w:lang w:val="cs-CZ"/>
        </w:rPr>
        <w:t>ESLP potvrdil, že právo rozhodnout se kdy a jak osoba ukončí svůj život, je součástí práva na respektování soukromého života, jak stanoví článek 8.</w:t>
      </w:r>
      <w:r w:rsidR="004C67A8">
        <w:rPr>
          <w:rStyle w:val="FootnoteReference"/>
          <w:rFonts w:ascii="Garamond" w:hAnsi="Garamond" w:cs="Times New Roman"/>
          <w:lang w:val="cs-CZ"/>
        </w:rPr>
        <w:footnoteReference w:id="114"/>
      </w:r>
      <w:r w:rsidRPr="007759EE">
        <w:rPr>
          <w:rFonts w:ascii="Garamond" w:hAnsi="Garamond" w:cs="Times New Roman"/>
          <w:lang w:val="cs-CZ"/>
        </w:rPr>
        <w:t xml:space="preserve"> Předmětem</w:t>
      </w:r>
      <w:r w:rsidR="00247EF3">
        <w:rPr>
          <w:rFonts w:ascii="Garamond" w:hAnsi="Garamond" w:cs="Times New Roman"/>
          <w:lang w:val="cs-CZ"/>
        </w:rPr>
        <w:t xml:space="preserve"> tohoto</w:t>
      </w:r>
      <w:r w:rsidRPr="007759EE">
        <w:rPr>
          <w:rFonts w:ascii="Garamond" w:hAnsi="Garamond" w:cs="Times New Roman"/>
          <w:lang w:val="cs-CZ"/>
        </w:rPr>
        <w:t xml:space="preserve"> sporu však bylo posouzení, zda má smluvní stát pozitivní povinnost obstarat osobě prostředky k ukončení jejího života. ESLP konstatoval, že smluvní státy požívají široké míry diskrece při poměřování práva na život ve smyslu článku 2 Úmluvy a práva na respektování soukromého života podle článku 8 Úmluvy.</w:t>
      </w:r>
      <w:r w:rsidR="004C67A8">
        <w:rPr>
          <w:rStyle w:val="FootnoteReference"/>
          <w:rFonts w:ascii="Garamond" w:hAnsi="Garamond" w:cs="Times New Roman"/>
          <w:lang w:val="cs-CZ"/>
        </w:rPr>
        <w:footnoteReference w:id="115"/>
      </w:r>
      <w:r w:rsidRPr="007759EE">
        <w:rPr>
          <w:rFonts w:ascii="Garamond" w:hAnsi="Garamond" w:cs="Times New Roman"/>
          <w:lang w:val="cs-CZ"/>
        </w:rPr>
        <w:t xml:space="preserve"> </w:t>
      </w:r>
      <w:r w:rsidR="006A2F0D" w:rsidRPr="007759EE">
        <w:rPr>
          <w:rFonts w:ascii="Garamond" w:hAnsi="Garamond" w:cs="Times New Roman"/>
          <w:lang w:val="cs-CZ"/>
        </w:rPr>
        <w:t xml:space="preserve">Ačkoli soud vyjádřil vůči stěžovatelovi situaci </w:t>
      </w:r>
      <w:r w:rsidR="00CE3E6B" w:rsidRPr="007759EE">
        <w:rPr>
          <w:rFonts w:ascii="Garamond" w:hAnsi="Garamond" w:cs="Times New Roman"/>
          <w:lang w:val="cs-CZ"/>
        </w:rPr>
        <w:t xml:space="preserve">své </w:t>
      </w:r>
      <w:r w:rsidR="006A2F0D" w:rsidRPr="007759EE">
        <w:rPr>
          <w:rFonts w:ascii="Garamond" w:hAnsi="Garamond" w:cs="Times New Roman"/>
          <w:lang w:val="cs-CZ"/>
        </w:rPr>
        <w:t>sympatie, švýcarskou regulaci, zejména požadavek obstarat si potřebný lékařský předpis, shledal bezrozpornou, neboť sleduje legitimní cíl spočívající v ochraně osob před unáhleným rozhodnutím a předcházení zneužívání.</w:t>
      </w:r>
      <w:r w:rsidR="004C67A8">
        <w:rPr>
          <w:rStyle w:val="FootnoteReference"/>
          <w:rFonts w:ascii="Garamond" w:hAnsi="Garamond" w:cs="Times New Roman"/>
          <w:lang w:val="cs-CZ"/>
        </w:rPr>
        <w:footnoteReference w:id="116"/>
      </w:r>
      <w:r w:rsidR="00247EF3">
        <w:rPr>
          <w:rFonts w:ascii="Garamond" w:hAnsi="Garamond" w:cs="Times New Roman"/>
          <w:lang w:val="cs-CZ"/>
        </w:rPr>
        <w:t xml:space="preserve"> </w:t>
      </w:r>
      <w:r w:rsidR="006A2F0D" w:rsidRPr="007759EE">
        <w:rPr>
          <w:rFonts w:ascii="Garamond" w:hAnsi="Garamond" w:cs="Times New Roman"/>
          <w:lang w:val="cs-CZ"/>
        </w:rPr>
        <w:t xml:space="preserve">Tato úprava je dle soudu </w:t>
      </w:r>
      <w:r w:rsidR="0068176A">
        <w:rPr>
          <w:rFonts w:ascii="Garamond" w:hAnsi="Garamond" w:cs="Times New Roman"/>
          <w:lang w:val="cs-CZ"/>
        </w:rPr>
        <w:t>je o to</w:t>
      </w:r>
      <w:r w:rsidR="006A2F0D" w:rsidRPr="007759EE">
        <w:rPr>
          <w:rFonts w:ascii="Garamond" w:hAnsi="Garamond" w:cs="Times New Roman"/>
          <w:lang w:val="cs-CZ"/>
        </w:rPr>
        <w:t xml:space="preserve"> více důležitější v</w:t>
      </w:r>
      <w:r w:rsidR="005F51CF" w:rsidRPr="007759EE">
        <w:rPr>
          <w:rFonts w:ascii="Garamond" w:hAnsi="Garamond" w:cs="Times New Roman"/>
          <w:lang w:val="cs-CZ"/>
        </w:rPr>
        <w:t>e státě</w:t>
      </w:r>
      <w:r w:rsidR="006A2F0D" w:rsidRPr="007759EE">
        <w:rPr>
          <w:rFonts w:ascii="Garamond" w:hAnsi="Garamond" w:cs="Times New Roman"/>
          <w:lang w:val="cs-CZ"/>
        </w:rPr>
        <w:t xml:space="preserve"> jako </w:t>
      </w:r>
      <w:r w:rsidR="005F51CF" w:rsidRPr="007759EE">
        <w:rPr>
          <w:rFonts w:ascii="Garamond" w:hAnsi="Garamond" w:cs="Times New Roman"/>
          <w:lang w:val="cs-CZ"/>
        </w:rPr>
        <w:t xml:space="preserve">je </w:t>
      </w:r>
      <w:r w:rsidR="006A2F0D" w:rsidRPr="007759EE">
        <w:rPr>
          <w:rFonts w:ascii="Garamond" w:hAnsi="Garamond" w:cs="Times New Roman"/>
          <w:lang w:val="cs-CZ"/>
        </w:rPr>
        <w:t>Švýcarsko, kde legislativa, jakož i praxe poskytuje relativně snadný přístup k asistované sebevraždě. V případech takto liberálního státu v této oblasti jsou dle ESLP preventivní opatření přímo nezbytné.</w:t>
      </w:r>
      <w:r w:rsidR="004C67A8">
        <w:rPr>
          <w:rStyle w:val="FootnoteReference"/>
          <w:rFonts w:ascii="Garamond" w:hAnsi="Garamond" w:cs="Times New Roman"/>
          <w:lang w:val="cs-CZ"/>
        </w:rPr>
        <w:footnoteReference w:id="117"/>
      </w:r>
    </w:p>
    <w:p w14:paraId="7E2FA5FC" w14:textId="5A96D78C" w:rsidR="004C5035" w:rsidRDefault="004A1F53" w:rsidP="003F3660">
      <w:pPr>
        <w:spacing w:line="360" w:lineRule="auto"/>
        <w:jc w:val="both"/>
        <w:rPr>
          <w:rFonts w:ascii="Garamond" w:hAnsi="Garamond" w:cs="Times New Roman"/>
          <w:lang w:val="cs-CZ"/>
        </w:rPr>
      </w:pPr>
      <w:r>
        <w:rPr>
          <w:rFonts w:ascii="Garamond" w:hAnsi="Garamond" w:cs="Times New Roman"/>
          <w:lang w:val="cs-CZ"/>
        </w:rPr>
        <w:tab/>
      </w:r>
      <w:r w:rsidR="00827780">
        <w:rPr>
          <w:rFonts w:ascii="Garamond" w:hAnsi="Garamond" w:cs="Times New Roman"/>
          <w:lang w:val="cs-CZ"/>
        </w:rPr>
        <w:t xml:space="preserve">Oproti předchozímu případu ve věci </w:t>
      </w:r>
      <w:proofErr w:type="spellStart"/>
      <w:r w:rsidR="00827780">
        <w:rPr>
          <w:rFonts w:ascii="Garamond" w:hAnsi="Garamond" w:cs="Times New Roman"/>
          <w:i/>
          <w:lang w:val="cs-CZ"/>
        </w:rPr>
        <w:t>Pretty</w:t>
      </w:r>
      <w:proofErr w:type="spellEnd"/>
      <w:r w:rsidR="00827780">
        <w:rPr>
          <w:rFonts w:ascii="Garamond" w:hAnsi="Garamond" w:cs="Times New Roman"/>
          <w:i/>
          <w:lang w:val="cs-CZ"/>
        </w:rPr>
        <w:t xml:space="preserve"> proti Spojenému </w:t>
      </w:r>
      <w:r w:rsidR="00827780" w:rsidRPr="00827780">
        <w:rPr>
          <w:rFonts w:ascii="Garamond" w:hAnsi="Garamond" w:cs="Times New Roman"/>
          <w:lang w:val="cs-CZ"/>
        </w:rPr>
        <w:t>království</w:t>
      </w:r>
      <w:r w:rsidR="00827780">
        <w:rPr>
          <w:rFonts w:ascii="Garamond" w:hAnsi="Garamond" w:cs="Times New Roman"/>
          <w:lang w:val="cs-CZ"/>
        </w:rPr>
        <w:t>, kde se stěžovatelka snažila získat záruku určité nečinnosti státu v tom smyslu, že její manžel nebude za asistovanou sebevraždu</w:t>
      </w:r>
      <w:r w:rsidR="00247EF3">
        <w:rPr>
          <w:rFonts w:ascii="Garamond" w:hAnsi="Garamond" w:cs="Times New Roman"/>
          <w:lang w:val="cs-CZ"/>
        </w:rPr>
        <w:t xml:space="preserve"> trestně</w:t>
      </w:r>
      <w:r w:rsidR="00827780">
        <w:rPr>
          <w:rFonts w:ascii="Garamond" w:hAnsi="Garamond" w:cs="Times New Roman"/>
          <w:lang w:val="cs-CZ"/>
        </w:rPr>
        <w:t xml:space="preserve"> stíhán, Haas se naopak ze strany státu domáhal jeho činnosti. Stěžovatel po </w:t>
      </w:r>
      <w:r w:rsidR="00827780">
        <w:rPr>
          <w:rFonts w:ascii="Garamond" w:hAnsi="Garamond" w:cs="Times New Roman"/>
          <w:lang w:val="cs-CZ"/>
        </w:rPr>
        <w:lastRenderedPageBreak/>
        <w:t>státu vlastně požadoval, aby ignoroval vlastní stanovené legislativní omezení na obstarání si kontrolované látky.</w:t>
      </w:r>
      <w:r w:rsidR="00827780">
        <w:rPr>
          <w:rStyle w:val="FootnoteReference"/>
          <w:rFonts w:ascii="Garamond" w:hAnsi="Garamond" w:cs="Times New Roman"/>
          <w:lang w:val="cs-CZ"/>
        </w:rPr>
        <w:footnoteReference w:id="118"/>
      </w:r>
      <w:r w:rsidR="00827780">
        <w:rPr>
          <w:rFonts w:ascii="Garamond" w:hAnsi="Garamond" w:cs="Times New Roman"/>
          <w:lang w:val="cs-CZ"/>
        </w:rPr>
        <w:t xml:space="preserve"> </w:t>
      </w:r>
      <w:r w:rsidR="00493BF9">
        <w:rPr>
          <w:rFonts w:ascii="Garamond" w:hAnsi="Garamond" w:cs="Times New Roman"/>
          <w:lang w:val="cs-CZ"/>
        </w:rPr>
        <w:t>Ačkoli soud potvrdil, že článek 8 Úmluvy zahrnuje právo rozhodovat o své smrti, toto právo nemůže stanovovat státu povinnost, aby nerespektoval svou vlastní legislativu, která byla v dané situaci navíc shledána jako zcela legitimní, neboť sleduje legitimní cíl veřejného zdraví.</w:t>
      </w:r>
      <w:r w:rsidR="004C67A8">
        <w:rPr>
          <w:rStyle w:val="FootnoteReference"/>
          <w:rFonts w:ascii="Garamond" w:hAnsi="Garamond" w:cs="Times New Roman"/>
          <w:lang w:val="cs-CZ"/>
        </w:rPr>
        <w:footnoteReference w:id="119"/>
      </w:r>
      <w:r w:rsidR="00827780">
        <w:rPr>
          <w:rFonts w:ascii="Garamond" w:hAnsi="Garamond" w:cs="Times New Roman"/>
          <w:lang w:val="cs-CZ"/>
        </w:rPr>
        <w:t xml:space="preserve"> </w:t>
      </w:r>
      <w:r w:rsidR="00827780" w:rsidRPr="00827780">
        <w:rPr>
          <w:rFonts w:ascii="Garamond" w:hAnsi="Garamond" w:cs="Times New Roman"/>
          <w:lang w:val="cs-CZ"/>
        </w:rPr>
        <w:t>Haasové</w:t>
      </w:r>
      <w:r w:rsidR="00827780">
        <w:rPr>
          <w:rFonts w:ascii="Garamond" w:hAnsi="Garamond" w:cs="Times New Roman"/>
          <w:lang w:val="cs-CZ"/>
        </w:rPr>
        <w:t xml:space="preserve"> požadavky</w:t>
      </w:r>
      <w:r w:rsidR="00493BF9">
        <w:rPr>
          <w:rFonts w:ascii="Garamond" w:hAnsi="Garamond" w:cs="Times New Roman"/>
          <w:lang w:val="cs-CZ"/>
        </w:rPr>
        <w:t xml:space="preserve"> po přímé asistenci státu při jeho sebevraždě</w:t>
      </w:r>
      <w:r w:rsidR="00827780">
        <w:rPr>
          <w:rFonts w:ascii="Garamond" w:hAnsi="Garamond" w:cs="Times New Roman"/>
          <w:lang w:val="cs-CZ"/>
        </w:rPr>
        <w:t xml:space="preserve"> jsou tak vnímány až za moc ambiciózní</w:t>
      </w:r>
      <w:r w:rsidR="00493BF9">
        <w:rPr>
          <w:rFonts w:ascii="Garamond" w:hAnsi="Garamond" w:cs="Times New Roman"/>
          <w:lang w:val="cs-CZ"/>
        </w:rPr>
        <w:t>, zejména s ohledem na to, že přílišná angažovanost státu v oblasti rozhodování o smrti se nejeví jako žádoucí</w:t>
      </w:r>
      <w:r w:rsidR="00827780">
        <w:rPr>
          <w:rFonts w:ascii="Garamond" w:hAnsi="Garamond" w:cs="Times New Roman"/>
          <w:lang w:val="cs-CZ"/>
        </w:rPr>
        <w:t>.</w:t>
      </w:r>
      <w:r w:rsidR="00827780">
        <w:rPr>
          <w:rStyle w:val="FootnoteReference"/>
          <w:rFonts w:ascii="Garamond" w:hAnsi="Garamond" w:cs="Times New Roman"/>
          <w:lang w:val="cs-CZ"/>
        </w:rPr>
        <w:footnoteReference w:id="120"/>
      </w:r>
    </w:p>
    <w:p w14:paraId="2E5196E1" w14:textId="2B0461B6" w:rsidR="004A1F53" w:rsidRPr="004A1F53" w:rsidRDefault="00B5374B" w:rsidP="003F3660">
      <w:pPr>
        <w:spacing w:line="360" w:lineRule="auto"/>
        <w:jc w:val="both"/>
        <w:rPr>
          <w:rFonts w:ascii="Garamond" w:hAnsi="Garamond" w:cs="Times New Roman"/>
          <w:lang w:val="cs-CZ"/>
        </w:rPr>
      </w:pPr>
      <w:r>
        <w:rPr>
          <w:rFonts w:ascii="Garamond" w:hAnsi="Garamond" w:cs="Times New Roman"/>
          <w:lang w:val="cs-CZ"/>
        </w:rPr>
        <w:tab/>
        <w:t>Tak jako u všech případů eutanazie jsou efektivní a široké záruky ochrany osob zcela stěžejní. V této oblasti i nejliberálnější státy jako Belgie a Nizozemsko mají uzákoněn podrobný systém výkonu eutanazie, její proces a podmínky, jakož i její následnou evaluaci, aby nedocházelo k jakýmkoli excesům. V tomto směru nebylo rozhodnutí ESLP ani nijak překvapivé, neboť vezmeme-li v</w:t>
      </w:r>
      <w:r w:rsidR="00B4300D">
        <w:rPr>
          <w:rFonts w:ascii="Garamond" w:hAnsi="Garamond" w:cs="Times New Roman"/>
          <w:lang w:val="cs-CZ"/>
        </w:rPr>
        <w:t> </w:t>
      </w:r>
      <w:r>
        <w:rPr>
          <w:rFonts w:ascii="Garamond" w:hAnsi="Garamond" w:cs="Times New Roman"/>
          <w:lang w:val="cs-CZ"/>
        </w:rPr>
        <w:t>úvahu</w:t>
      </w:r>
      <w:r w:rsidR="00B4300D">
        <w:rPr>
          <w:rFonts w:ascii="Garamond" w:hAnsi="Garamond" w:cs="Times New Roman"/>
          <w:lang w:val="cs-CZ"/>
        </w:rPr>
        <w:t>,</w:t>
      </w:r>
      <w:r>
        <w:rPr>
          <w:rFonts w:ascii="Garamond" w:hAnsi="Garamond" w:cs="Times New Roman"/>
          <w:lang w:val="cs-CZ"/>
        </w:rPr>
        <w:t xml:space="preserve"> jak širokou míru diskrece požívají státy v rámci eutanazie a jak zdrženlivé jsou vůči eutanazii státy obecně, nelze si moc představit, že by soud ještě dále možnost výkonu eutanazie rozšiřoval.</w:t>
      </w:r>
    </w:p>
    <w:p w14:paraId="6D7A51BA" w14:textId="51E73C43" w:rsidR="00BF0473" w:rsidRPr="007759EE" w:rsidRDefault="001023AB" w:rsidP="00C26A5C">
      <w:pPr>
        <w:spacing w:line="360" w:lineRule="auto"/>
        <w:ind w:firstLine="720"/>
        <w:jc w:val="both"/>
        <w:rPr>
          <w:rFonts w:ascii="Garamond" w:hAnsi="Garamond" w:cs="Times New Roman"/>
          <w:lang w:val="cs-CZ"/>
        </w:rPr>
      </w:pPr>
      <w:r>
        <w:rPr>
          <w:rFonts w:ascii="Garamond" w:hAnsi="Garamond" w:cs="Times New Roman"/>
          <w:lang w:val="cs-CZ"/>
        </w:rPr>
        <w:t xml:space="preserve">K dalšímu rozvoji judikatury došlo v případě </w:t>
      </w:r>
      <w:r>
        <w:rPr>
          <w:rFonts w:ascii="Garamond" w:hAnsi="Garamond" w:cs="Times New Roman"/>
          <w:i/>
          <w:lang w:val="cs-CZ"/>
        </w:rPr>
        <w:t xml:space="preserve">Koch proti </w:t>
      </w:r>
      <w:r w:rsidRPr="001023AB">
        <w:rPr>
          <w:rFonts w:ascii="Garamond" w:hAnsi="Garamond" w:cs="Times New Roman"/>
          <w:i/>
          <w:lang w:val="cs-CZ"/>
        </w:rPr>
        <w:t>Německu</w:t>
      </w:r>
      <w:r>
        <w:rPr>
          <w:rFonts w:ascii="Garamond" w:hAnsi="Garamond" w:cs="Times New Roman"/>
          <w:lang w:val="cs-CZ"/>
        </w:rPr>
        <w:t>. V daném případě m</w:t>
      </w:r>
      <w:r w:rsidR="00D528B6" w:rsidRPr="001023AB">
        <w:rPr>
          <w:rFonts w:ascii="Garamond" w:hAnsi="Garamond" w:cs="Times New Roman"/>
          <w:lang w:val="cs-CZ"/>
        </w:rPr>
        <w:t>anželka</w:t>
      </w:r>
      <w:r w:rsidR="00D528B6" w:rsidRPr="007759EE">
        <w:rPr>
          <w:rFonts w:ascii="Garamond" w:hAnsi="Garamond" w:cs="Times New Roman"/>
          <w:lang w:val="cs-CZ"/>
        </w:rPr>
        <w:t xml:space="preserve"> n</w:t>
      </w:r>
      <w:r w:rsidR="00082BD1" w:rsidRPr="007759EE">
        <w:rPr>
          <w:rFonts w:ascii="Garamond" w:hAnsi="Garamond" w:cs="Times New Roman"/>
          <w:lang w:val="cs-CZ"/>
        </w:rPr>
        <w:t>ěmeck</w:t>
      </w:r>
      <w:r w:rsidR="00D528B6" w:rsidRPr="007759EE">
        <w:rPr>
          <w:rFonts w:ascii="Garamond" w:hAnsi="Garamond" w:cs="Times New Roman"/>
          <w:lang w:val="cs-CZ"/>
        </w:rPr>
        <w:t>ého</w:t>
      </w:r>
      <w:r w:rsidR="00082BD1" w:rsidRPr="007759EE">
        <w:rPr>
          <w:rFonts w:ascii="Garamond" w:hAnsi="Garamond" w:cs="Times New Roman"/>
          <w:lang w:val="cs-CZ"/>
        </w:rPr>
        <w:t xml:space="preserve"> stěžovatel</w:t>
      </w:r>
      <w:r w:rsidR="00D528B6" w:rsidRPr="007759EE">
        <w:rPr>
          <w:rFonts w:ascii="Garamond" w:hAnsi="Garamond" w:cs="Times New Roman"/>
          <w:lang w:val="cs-CZ"/>
        </w:rPr>
        <w:t>e</w:t>
      </w:r>
      <w:r w:rsidR="00082BD1" w:rsidRPr="007759EE">
        <w:rPr>
          <w:rFonts w:ascii="Garamond" w:hAnsi="Garamond" w:cs="Times New Roman"/>
          <w:lang w:val="cs-CZ"/>
        </w:rPr>
        <w:t xml:space="preserve"> Ulrich</w:t>
      </w:r>
      <w:r w:rsidR="00D528B6" w:rsidRPr="007759EE">
        <w:rPr>
          <w:rFonts w:ascii="Garamond" w:hAnsi="Garamond" w:cs="Times New Roman"/>
          <w:lang w:val="cs-CZ"/>
        </w:rPr>
        <w:t>a</w:t>
      </w:r>
      <w:r w:rsidR="00082BD1" w:rsidRPr="007759EE">
        <w:rPr>
          <w:rFonts w:ascii="Garamond" w:hAnsi="Garamond" w:cs="Times New Roman"/>
          <w:lang w:val="cs-CZ"/>
        </w:rPr>
        <w:t xml:space="preserve"> Koch</w:t>
      </w:r>
      <w:r w:rsidR="00D528B6" w:rsidRPr="007759EE">
        <w:rPr>
          <w:rFonts w:ascii="Garamond" w:hAnsi="Garamond" w:cs="Times New Roman"/>
          <w:lang w:val="cs-CZ"/>
        </w:rPr>
        <w:t xml:space="preserve">a po svém úrazu z roku 2002 trpěla úplnou paralýzou a potřebovala umělé dýchání a neustálou péči ze strany zdravotního personálu. V roce 2004 zažádala </w:t>
      </w:r>
      <w:r w:rsidR="008843DA" w:rsidRPr="007759EE">
        <w:rPr>
          <w:rFonts w:ascii="Garamond" w:hAnsi="Garamond" w:cs="Times New Roman"/>
          <w:lang w:val="cs-CZ"/>
        </w:rPr>
        <w:t>F</w:t>
      </w:r>
      <w:r w:rsidR="00D528B6" w:rsidRPr="007759EE">
        <w:rPr>
          <w:rFonts w:ascii="Garamond" w:hAnsi="Garamond" w:cs="Times New Roman"/>
          <w:lang w:val="cs-CZ"/>
        </w:rPr>
        <w:t>ederální ústav pro léčiva a zdravotnické prostředky</w:t>
      </w:r>
      <w:r w:rsidR="008843DA" w:rsidRPr="007759EE">
        <w:rPr>
          <w:rFonts w:ascii="Garamond" w:hAnsi="Garamond" w:cs="Times New Roman"/>
          <w:lang w:val="cs-CZ"/>
        </w:rPr>
        <w:t xml:space="preserve"> </w:t>
      </w:r>
      <w:r w:rsidR="00D528B6" w:rsidRPr="007759EE">
        <w:rPr>
          <w:rFonts w:ascii="Garamond" w:hAnsi="Garamond" w:cs="Times New Roman"/>
          <w:lang w:val="cs-CZ"/>
        </w:rPr>
        <w:t xml:space="preserve">o smrtící dávku pentobarbitalu. Ústav její žádost zamítl s odkazem na německý zákon o narkoticích, jelikož spáchání sebevraždy mělo být diametrálně odlišné účelu tohoto zákona. Povolení mohlo být uděleno jen pro léky k zachování života a nikoli k jeho ukončení. Následující rok manželka stěžovatele spáchala za pomoci organizace </w:t>
      </w:r>
      <w:proofErr w:type="spellStart"/>
      <w:r w:rsidR="00D528B6" w:rsidRPr="007759EE">
        <w:rPr>
          <w:rFonts w:ascii="Garamond" w:hAnsi="Garamond" w:cs="Times New Roman"/>
          <w:lang w:val="cs-CZ"/>
        </w:rPr>
        <w:t>Dignitas</w:t>
      </w:r>
      <w:proofErr w:type="spellEnd"/>
      <w:r w:rsidR="00D528B6" w:rsidRPr="007759EE">
        <w:rPr>
          <w:rFonts w:ascii="Garamond" w:hAnsi="Garamond" w:cs="Times New Roman"/>
          <w:lang w:val="cs-CZ"/>
        </w:rPr>
        <w:t xml:space="preserve"> sebevraždu ve Švýcarsku.</w:t>
      </w:r>
      <w:r w:rsidR="00C26A5C">
        <w:rPr>
          <w:rFonts w:ascii="Garamond" w:hAnsi="Garamond" w:cs="Times New Roman"/>
          <w:lang w:val="cs-CZ"/>
        </w:rPr>
        <w:t xml:space="preserve"> </w:t>
      </w:r>
      <w:r w:rsidR="00BF0473" w:rsidRPr="007759EE">
        <w:rPr>
          <w:rFonts w:ascii="Garamond" w:hAnsi="Garamond" w:cs="Times New Roman"/>
          <w:lang w:val="cs-CZ"/>
        </w:rPr>
        <w:t>Ve své stížnosti k ESLP stěžovatel argumentoval, že zamítavé rozhodnutí porušilo právo jeho ženy podle článku 8 Úmluvy, zejména její právo na důstojnou smrt a právo na respekt k soukromému životu. Dále namítal, že německé soudy porušily jeho právo na účinné opravné prostředky ve smyslu článku 13 Úmluvy, jelikož jeho podání byla odmítnut</w:t>
      </w:r>
      <w:r w:rsidR="0082477B" w:rsidRPr="007759EE">
        <w:rPr>
          <w:rFonts w:ascii="Garamond" w:hAnsi="Garamond" w:cs="Times New Roman"/>
          <w:lang w:val="cs-CZ"/>
        </w:rPr>
        <w:t xml:space="preserve">a. </w:t>
      </w:r>
    </w:p>
    <w:p w14:paraId="44E3BE33" w14:textId="0ADA19DA" w:rsidR="00111F2D" w:rsidRPr="007759EE" w:rsidRDefault="00BF0473" w:rsidP="003F3660">
      <w:pPr>
        <w:spacing w:line="360" w:lineRule="auto"/>
        <w:jc w:val="both"/>
        <w:rPr>
          <w:rFonts w:ascii="Garamond" w:hAnsi="Garamond" w:cs="Times New Roman"/>
          <w:lang w:val="cs-CZ"/>
        </w:rPr>
      </w:pPr>
      <w:r w:rsidRPr="007759EE">
        <w:rPr>
          <w:rFonts w:ascii="Garamond" w:hAnsi="Garamond" w:cs="Times New Roman"/>
          <w:lang w:val="cs-CZ"/>
        </w:rPr>
        <w:tab/>
      </w:r>
      <w:r w:rsidR="00C26A5C">
        <w:rPr>
          <w:rFonts w:ascii="Garamond" w:hAnsi="Garamond" w:cs="Times New Roman"/>
          <w:lang w:val="cs-CZ"/>
        </w:rPr>
        <w:t>Ačkoli stěžovatel nebyl přímým nositelem namítaného práva, v</w:t>
      </w:r>
      <w:r w:rsidR="00BB342A" w:rsidRPr="007759EE">
        <w:rPr>
          <w:rFonts w:ascii="Garamond" w:hAnsi="Garamond" w:cs="Times New Roman"/>
          <w:lang w:val="cs-CZ"/>
        </w:rPr>
        <w:t>zhledem k dlouhotrvajícímu manželství a vysoké osobní angažovanosti stěžovatele soud nakonec stížnost povolil, neboť stěžovatel prokázal, že má silný a trvající zájem na tom, aby soudy v původní věci meritorně rozhodly.</w:t>
      </w:r>
      <w:r w:rsidR="00F165B8">
        <w:rPr>
          <w:rStyle w:val="FootnoteReference"/>
          <w:rFonts w:ascii="Garamond" w:hAnsi="Garamond" w:cs="Times New Roman"/>
          <w:lang w:val="cs-CZ"/>
        </w:rPr>
        <w:footnoteReference w:id="121"/>
      </w:r>
      <w:r w:rsidR="00BB342A" w:rsidRPr="007759EE">
        <w:rPr>
          <w:rFonts w:ascii="Garamond" w:hAnsi="Garamond" w:cs="Times New Roman"/>
          <w:lang w:val="cs-CZ"/>
        </w:rPr>
        <w:t xml:space="preserve"> Vzhledem k</w:t>
      </w:r>
      <w:r w:rsidR="00111F2D" w:rsidRPr="007759EE">
        <w:rPr>
          <w:rFonts w:ascii="Garamond" w:hAnsi="Garamond" w:cs="Times New Roman"/>
          <w:lang w:val="cs-CZ"/>
        </w:rPr>
        <w:t xml:space="preserve"> délce celého soudního řízení, které skončilo až tři roky a devět měsíců po smrti manželky stěžovatele, závažnosti případu a nezvratným následkům meritorního rozhodnutí soud </w:t>
      </w:r>
      <w:r w:rsidR="00111F2D" w:rsidRPr="007759EE">
        <w:rPr>
          <w:rFonts w:ascii="Garamond" w:hAnsi="Garamond" w:cs="Times New Roman"/>
          <w:lang w:val="cs-CZ"/>
        </w:rPr>
        <w:lastRenderedPageBreak/>
        <w:t>přiznal stěžovateli oprávněnost podat stížnost, neboť mohl být přímo dotčen na svých právech.</w:t>
      </w:r>
      <w:r w:rsidR="00F165B8">
        <w:rPr>
          <w:rStyle w:val="FootnoteReference"/>
          <w:rFonts w:ascii="Garamond" w:hAnsi="Garamond" w:cs="Times New Roman"/>
          <w:lang w:val="cs-CZ"/>
        </w:rPr>
        <w:footnoteReference w:id="122"/>
      </w:r>
      <w:r w:rsidR="00111F2D" w:rsidRPr="007759EE">
        <w:rPr>
          <w:rFonts w:ascii="Garamond" w:hAnsi="Garamond" w:cs="Times New Roman"/>
          <w:lang w:val="cs-CZ"/>
        </w:rPr>
        <w:t xml:space="preserve"> Německé soudy se odmítly zabývat meritem věci, neboť dle jejich posouzení stěžovatel nebyl poškozen na svých právech ani neměl právní titul v pokračování tvrzených nároků jeho ženy.</w:t>
      </w:r>
      <w:r w:rsidR="00F165B8">
        <w:rPr>
          <w:rStyle w:val="FootnoteReference"/>
          <w:rFonts w:ascii="Garamond" w:hAnsi="Garamond" w:cs="Times New Roman"/>
          <w:lang w:val="cs-CZ"/>
        </w:rPr>
        <w:footnoteReference w:id="123"/>
      </w:r>
      <w:r w:rsidR="00111F2D" w:rsidRPr="007759EE">
        <w:rPr>
          <w:rFonts w:ascii="Garamond" w:hAnsi="Garamond" w:cs="Times New Roman"/>
          <w:lang w:val="cs-CZ"/>
        </w:rPr>
        <w:t xml:space="preserve"> ESLP neshledal, že by takovéto porušení práv stěžovatele sledovalo nějaký legitimní cíl a konstatoval, že nevydáním meritorního rozhodnutí německé soudy porušily právo stěžovatele podle článku 8 Úmluvy.</w:t>
      </w:r>
      <w:r w:rsidR="00F165B8">
        <w:rPr>
          <w:rStyle w:val="FootnoteReference"/>
          <w:rFonts w:ascii="Garamond" w:hAnsi="Garamond" w:cs="Times New Roman"/>
          <w:lang w:val="cs-CZ"/>
        </w:rPr>
        <w:footnoteReference w:id="124"/>
      </w:r>
    </w:p>
    <w:p w14:paraId="5BD8316E" w14:textId="49F4C2D4" w:rsidR="00954930" w:rsidRPr="00C26A5C" w:rsidRDefault="00111F2D" w:rsidP="003F3660">
      <w:pPr>
        <w:spacing w:line="360" w:lineRule="auto"/>
        <w:jc w:val="both"/>
        <w:rPr>
          <w:rFonts w:ascii="Garamond" w:hAnsi="Garamond" w:cs="Times New Roman"/>
          <w:lang w:val="cs-CZ"/>
        </w:rPr>
      </w:pPr>
      <w:r w:rsidRPr="007759EE">
        <w:rPr>
          <w:rFonts w:ascii="Garamond" w:hAnsi="Garamond" w:cs="Times New Roman"/>
          <w:lang w:val="cs-CZ"/>
        </w:rPr>
        <w:tab/>
        <w:t xml:space="preserve">Co se týče samotného předmětu stížnosti, soud zopakoval, že vzhledem k rozdílnosti právních úprav asistované sebevraždy v jednotlivých smluvních státech, </w:t>
      </w:r>
      <w:r w:rsidR="00751097" w:rsidRPr="007759EE">
        <w:rPr>
          <w:rFonts w:ascii="Garamond" w:hAnsi="Garamond" w:cs="Times New Roman"/>
          <w:lang w:val="cs-CZ"/>
        </w:rPr>
        <w:t>zůstává posouzení věci samé na německých soudech</w:t>
      </w:r>
      <w:r w:rsidR="00C26A5C">
        <w:rPr>
          <w:rFonts w:ascii="Garamond" w:hAnsi="Garamond" w:cs="Times New Roman"/>
          <w:lang w:val="cs-CZ"/>
        </w:rPr>
        <w:t xml:space="preserve"> a meritem věci se odmítl zabývat</w:t>
      </w:r>
      <w:r w:rsidR="00751097" w:rsidRPr="007759EE">
        <w:rPr>
          <w:rFonts w:ascii="Garamond" w:hAnsi="Garamond" w:cs="Times New Roman"/>
          <w:lang w:val="cs-CZ"/>
        </w:rPr>
        <w:t>.</w:t>
      </w:r>
      <w:r w:rsidR="00F165B8">
        <w:rPr>
          <w:rStyle w:val="FootnoteReference"/>
          <w:rFonts w:ascii="Garamond" w:hAnsi="Garamond" w:cs="Times New Roman"/>
          <w:lang w:val="cs-CZ"/>
        </w:rPr>
        <w:footnoteReference w:id="125"/>
      </w:r>
      <w:r w:rsidR="00751097" w:rsidRPr="007759EE">
        <w:rPr>
          <w:rFonts w:ascii="Garamond" w:hAnsi="Garamond" w:cs="Times New Roman"/>
          <w:lang w:val="cs-CZ"/>
        </w:rPr>
        <w:t xml:space="preserve"> Vzhledem k těmto závěrům se soud dále nezabýval namítaným porušením článku 13 Úmluvy.</w:t>
      </w:r>
      <w:r w:rsidR="00C26A5C">
        <w:rPr>
          <w:rFonts w:ascii="Garamond" w:hAnsi="Garamond" w:cs="Times New Roman"/>
          <w:lang w:val="cs-CZ"/>
        </w:rPr>
        <w:t xml:space="preserve"> </w:t>
      </w:r>
      <w:r w:rsidR="007B10FF" w:rsidRPr="007759EE">
        <w:rPr>
          <w:rFonts w:ascii="Garamond" w:hAnsi="Garamond" w:cs="Times New Roman"/>
          <w:lang w:val="cs-CZ"/>
        </w:rPr>
        <w:t xml:space="preserve">Celý případ měl nakonec ještě vnitrostátní dohru, když se stěžovatel obrátil na německý </w:t>
      </w:r>
      <w:r w:rsidR="00F16186" w:rsidRPr="007759EE">
        <w:rPr>
          <w:rFonts w:ascii="Garamond" w:hAnsi="Garamond" w:cs="Times New Roman"/>
          <w:lang w:val="cs-CZ"/>
        </w:rPr>
        <w:t>Spolkový správní soud</w:t>
      </w:r>
      <w:r w:rsidR="007B10FF" w:rsidRPr="007759EE">
        <w:rPr>
          <w:rFonts w:ascii="Garamond" w:hAnsi="Garamond" w:cs="Times New Roman"/>
          <w:lang w:val="cs-CZ"/>
        </w:rPr>
        <w:t>. Německý soud se vyslovil, že ústavně zaručené právo na ochranu osobnosti obsahuje právo závažně a nevyléčitelně nemocných osob rozhodnout se jak a kdy ukončí svůj život.</w:t>
      </w:r>
      <w:r w:rsidR="00102A34">
        <w:rPr>
          <w:rStyle w:val="FootnoteReference"/>
          <w:rFonts w:ascii="Garamond" w:hAnsi="Garamond" w:cs="Times New Roman"/>
          <w:lang w:val="cs-CZ"/>
        </w:rPr>
        <w:footnoteReference w:id="126"/>
      </w:r>
      <w:r w:rsidR="007B10FF" w:rsidRPr="007759EE">
        <w:rPr>
          <w:rFonts w:ascii="Garamond" w:hAnsi="Garamond" w:cs="Times New Roman"/>
          <w:lang w:val="cs-CZ"/>
        </w:rPr>
        <w:t xml:space="preserve"> Podle soudu v extrémně výjimečných případech toto právo může zahrnovat povinnost státu povolit pacientovi koupi narkotik, které umožní bezbolestnou a důstojnou smrt. To vše za předpokladu, že půjde o svobodné a informované rozhodnutí pacienta v již pro něj nesnesitelné situaci</w:t>
      </w:r>
      <w:r w:rsidR="00F16186" w:rsidRPr="007759EE">
        <w:rPr>
          <w:rFonts w:ascii="Garamond" w:hAnsi="Garamond" w:cs="Times New Roman"/>
          <w:lang w:val="cs-CZ"/>
        </w:rPr>
        <w:t xml:space="preserve"> a za podmínky, že zde nebude dostupná rozumná paliativní péč</w:t>
      </w:r>
      <w:r w:rsidR="0082477B" w:rsidRPr="007759EE">
        <w:rPr>
          <w:rFonts w:ascii="Garamond" w:hAnsi="Garamond" w:cs="Times New Roman"/>
          <w:lang w:val="cs-CZ"/>
        </w:rPr>
        <w:t>e.</w:t>
      </w:r>
      <w:r w:rsidR="00361F19">
        <w:rPr>
          <w:rStyle w:val="FootnoteReference"/>
          <w:rFonts w:ascii="Garamond" w:hAnsi="Garamond" w:cs="Times New Roman"/>
          <w:lang w:val="cs-CZ"/>
        </w:rPr>
        <w:footnoteReference w:id="127"/>
      </w:r>
      <w:r w:rsidR="0082477B" w:rsidRPr="007759EE">
        <w:rPr>
          <w:rFonts w:ascii="Garamond" w:hAnsi="Garamond" w:cs="Times New Roman"/>
          <w:lang w:val="cs-CZ"/>
        </w:rPr>
        <w:t xml:space="preserve"> O</w:t>
      </w:r>
      <w:r w:rsidR="007B10FF" w:rsidRPr="007759EE">
        <w:rPr>
          <w:rFonts w:ascii="Garamond" w:hAnsi="Garamond" w:cs="Times New Roman"/>
          <w:lang w:val="cs-CZ"/>
        </w:rPr>
        <w:t>dmítnutí Ústavu tak bylo shledáno jako protiprávní, protože se</w:t>
      </w:r>
      <w:r w:rsidR="00906E21" w:rsidRPr="007759EE">
        <w:rPr>
          <w:rFonts w:ascii="Garamond" w:hAnsi="Garamond" w:cs="Times New Roman"/>
          <w:lang w:val="cs-CZ"/>
        </w:rPr>
        <w:t xml:space="preserve"> vůbec</w:t>
      </w:r>
      <w:r w:rsidR="007B10FF" w:rsidRPr="007759EE">
        <w:rPr>
          <w:rFonts w:ascii="Garamond" w:hAnsi="Garamond" w:cs="Times New Roman"/>
          <w:lang w:val="cs-CZ"/>
        </w:rPr>
        <w:t xml:space="preserve"> nezabývalo skutečnostmi, které by mohly ovlivnit </w:t>
      </w:r>
      <w:r w:rsidR="004F3761" w:rsidRPr="007759EE">
        <w:rPr>
          <w:rFonts w:ascii="Garamond" w:hAnsi="Garamond" w:cs="Times New Roman"/>
          <w:lang w:val="cs-CZ"/>
        </w:rPr>
        <w:t>obecně platný</w:t>
      </w:r>
      <w:r w:rsidR="007B10FF" w:rsidRPr="007759EE">
        <w:rPr>
          <w:rFonts w:ascii="Garamond" w:hAnsi="Garamond" w:cs="Times New Roman"/>
          <w:lang w:val="cs-CZ"/>
        </w:rPr>
        <w:t xml:space="preserve"> zákaz obstarávání si narkotik za účelem sebevraždy.</w:t>
      </w:r>
      <w:r w:rsidR="00361F19">
        <w:rPr>
          <w:rStyle w:val="FootnoteReference"/>
          <w:rFonts w:ascii="Garamond" w:hAnsi="Garamond" w:cs="Times New Roman"/>
          <w:lang w:val="cs-CZ"/>
        </w:rPr>
        <w:footnoteReference w:id="128"/>
      </w:r>
    </w:p>
    <w:p w14:paraId="4E5DC34D" w14:textId="2D39D08D" w:rsidR="006F15C8" w:rsidRPr="007759EE" w:rsidRDefault="00954930" w:rsidP="003F3660">
      <w:pPr>
        <w:spacing w:line="360" w:lineRule="auto"/>
        <w:jc w:val="both"/>
        <w:rPr>
          <w:rFonts w:ascii="Garamond" w:hAnsi="Garamond" w:cs="Times New Roman"/>
          <w:lang w:val="cs-CZ"/>
        </w:rPr>
      </w:pPr>
      <w:r w:rsidRPr="007759EE">
        <w:rPr>
          <w:rFonts w:ascii="Garamond" w:hAnsi="Garamond" w:cs="Times New Roman"/>
          <w:lang w:val="cs-CZ"/>
        </w:rPr>
        <w:tab/>
      </w:r>
      <w:r w:rsidR="00B12423" w:rsidRPr="007759EE">
        <w:rPr>
          <w:rFonts w:ascii="Garamond" w:hAnsi="Garamond" w:cs="Times New Roman"/>
          <w:lang w:val="cs-CZ"/>
        </w:rPr>
        <w:t xml:space="preserve">Rozhodnutí </w:t>
      </w:r>
      <w:r w:rsidR="006964F1" w:rsidRPr="007759EE">
        <w:rPr>
          <w:rFonts w:ascii="Garamond" w:hAnsi="Garamond" w:cs="Times New Roman"/>
          <w:lang w:val="cs-CZ"/>
        </w:rPr>
        <w:t xml:space="preserve">Spolkového správního soudu v projednávané věci představuje </w:t>
      </w:r>
      <w:r w:rsidR="00E52DE9">
        <w:rPr>
          <w:rFonts w:ascii="Garamond" w:hAnsi="Garamond" w:cs="Times New Roman"/>
          <w:lang w:val="cs-CZ"/>
        </w:rPr>
        <w:t>významný</w:t>
      </w:r>
      <w:r w:rsidR="006964F1" w:rsidRPr="007759EE">
        <w:rPr>
          <w:rFonts w:ascii="Garamond" w:hAnsi="Garamond" w:cs="Times New Roman"/>
          <w:lang w:val="cs-CZ"/>
        </w:rPr>
        <w:t xml:space="preserve"> </w:t>
      </w:r>
      <w:r w:rsidR="00E52DE9">
        <w:rPr>
          <w:rFonts w:ascii="Garamond" w:hAnsi="Garamond" w:cs="Times New Roman"/>
          <w:lang w:val="cs-CZ"/>
        </w:rPr>
        <w:t>milník</w:t>
      </w:r>
      <w:r w:rsidR="006964F1" w:rsidRPr="007759EE">
        <w:rPr>
          <w:rFonts w:ascii="Garamond" w:hAnsi="Garamond" w:cs="Times New Roman"/>
          <w:lang w:val="cs-CZ"/>
        </w:rPr>
        <w:t xml:space="preserve">. </w:t>
      </w:r>
      <w:r w:rsidR="00163CAB" w:rsidRPr="007759EE">
        <w:rPr>
          <w:rFonts w:ascii="Garamond" w:hAnsi="Garamond" w:cs="Times New Roman"/>
          <w:lang w:val="cs-CZ"/>
        </w:rPr>
        <w:t>Přestože soud v první řadě potvrdil, že německá právní úprava zakazuje nákup</w:t>
      </w:r>
      <w:r w:rsidR="00906E21" w:rsidRPr="007759EE">
        <w:rPr>
          <w:rFonts w:ascii="Garamond" w:hAnsi="Garamond" w:cs="Times New Roman"/>
          <w:lang w:val="cs-CZ"/>
        </w:rPr>
        <w:t xml:space="preserve"> narkotik za účelem sebevraždy, stanovil, že z tohoto pravidla musí existovat výjimky. Podle článku 2 odst. 1 (právo na život) ve spojení s článkem 1 odst. 1 (ochrana lidské důstojnosti) Základního zákona</w:t>
      </w:r>
      <w:r w:rsidR="00906E21" w:rsidRPr="007759EE">
        <w:rPr>
          <w:rStyle w:val="FootnoteReference"/>
          <w:rFonts w:ascii="Garamond" w:hAnsi="Garamond" w:cs="Times New Roman"/>
          <w:lang w:val="cs-CZ"/>
        </w:rPr>
        <w:footnoteReference w:id="129"/>
      </w:r>
      <w:r w:rsidR="00906E21" w:rsidRPr="007759EE">
        <w:rPr>
          <w:rFonts w:ascii="Garamond" w:hAnsi="Garamond" w:cs="Times New Roman"/>
          <w:lang w:val="cs-CZ"/>
        </w:rPr>
        <w:t xml:space="preserve"> má za splnění výše uvedených umožňovat tuto výjimku a takovýmto pacientům by nemělo být v umožnění důstojné a bezbolestné smrti bráněno.</w:t>
      </w:r>
      <w:r w:rsidR="00906E21" w:rsidRPr="007759EE">
        <w:rPr>
          <w:rStyle w:val="FootnoteReference"/>
          <w:rFonts w:ascii="Garamond" w:hAnsi="Garamond" w:cs="Times New Roman"/>
          <w:lang w:val="cs-CZ"/>
        </w:rPr>
        <w:footnoteReference w:id="130"/>
      </w:r>
      <w:r w:rsidR="00295B16">
        <w:rPr>
          <w:rFonts w:ascii="Garamond" w:hAnsi="Garamond" w:cs="Times New Roman"/>
          <w:lang w:val="cs-CZ"/>
        </w:rPr>
        <w:t xml:space="preserve"> </w:t>
      </w:r>
      <w:r w:rsidR="0004098B" w:rsidRPr="007759EE">
        <w:rPr>
          <w:rFonts w:ascii="Garamond" w:hAnsi="Garamond" w:cs="Times New Roman"/>
          <w:lang w:val="cs-CZ"/>
        </w:rPr>
        <w:t>Na druhou stranu je však nutno zmínit, že německ</w:t>
      </w:r>
      <w:r w:rsidR="00295B16">
        <w:rPr>
          <w:rFonts w:ascii="Garamond" w:hAnsi="Garamond" w:cs="Times New Roman"/>
          <w:lang w:val="cs-CZ"/>
        </w:rPr>
        <w:t>ou</w:t>
      </w:r>
      <w:r w:rsidR="0004098B" w:rsidRPr="007759EE">
        <w:rPr>
          <w:rFonts w:ascii="Garamond" w:hAnsi="Garamond" w:cs="Times New Roman"/>
          <w:lang w:val="cs-CZ"/>
        </w:rPr>
        <w:t xml:space="preserve"> legislativ</w:t>
      </w:r>
      <w:r w:rsidR="00295B16">
        <w:rPr>
          <w:rFonts w:ascii="Garamond" w:hAnsi="Garamond" w:cs="Times New Roman"/>
          <w:lang w:val="cs-CZ"/>
        </w:rPr>
        <w:t>u</w:t>
      </w:r>
      <w:r w:rsidR="0004098B" w:rsidRPr="007759EE">
        <w:rPr>
          <w:rFonts w:ascii="Garamond" w:hAnsi="Garamond" w:cs="Times New Roman"/>
          <w:lang w:val="cs-CZ"/>
        </w:rPr>
        <w:t xml:space="preserve"> je třeba v oblasti eutanazie a asistované sebevraždy považovat za liberálnější. Přestože aktivní eutanazie může být postihnuta trestem odnětí svobody v délce až pěti let</w:t>
      </w:r>
      <w:r w:rsidR="0004098B" w:rsidRPr="007759EE">
        <w:rPr>
          <w:rStyle w:val="FootnoteReference"/>
          <w:rFonts w:ascii="Garamond" w:hAnsi="Garamond" w:cs="Times New Roman"/>
          <w:lang w:val="cs-CZ"/>
        </w:rPr>
        <w:footnoteReference w:id="131"/>
      </w:r>
      <w:r w:rsidR="0004098B" w:rsidRPr="007759EE">
        <w:rPr>
          <w:rFonts w:ascii="Garamond" w:hAnsi="Garamond" w:cs="Times New Roman"/>
          <w:lang w:val="cs-CZ"/>
        </w:rPr>
        <w:t xml:space="preserve">, účast </w:t>
      </w:r>
      <w:r w:rsidR="0004098B" w:rsidRPr="007759EE">
        <w:rPr>
          <w:rFonts w:ascii="Garamond" w:hAnsi="Garamond" w:cs="Times New Roman"/>
          <w:lang w:val="cs-CZ"/>
        </w:rPr>
        <w:lastRenderedPageBreak/>
        <w:t>na asistované sebevraždě z důvodu absence protiprávního úmyslu trestněprávně postihována není.</w:t>
      </w:r>
      <w:r w:rsidR="0004098B" w:rsidRPr="007759EE">
        <w:rPr>
          <w:rStyle w:val="FootnoteReference"/>
          <w:rFonts w:ascii="Garamond" w:hAnsi="Garamond" w:cs="Times New Roman"/>
          <w:lang w:val="cs-CZ"/>
        </w:rPr>
        <w:footnoteReference w:id="132"/>
      </w:r>
    </w:p>
    <w:p w14:paraId="768A9BED" w14:textId="321EBDD3" w:rsidR="003B50EE" w:rsidRPr="007759EE" w:rsidRDefault="004E412D" w:rsidP="003F3660">
      <w:pPr>
        <w:spacing w:line="360" w:lineRule="auto"/>
        <w:jc w:val="both"/>
        <w:rPr>
          <w:rFonts w:ascii="Garamond" w:hAnsi="Garamond" w:cs="Times New Roman"/>
          <w:lang w:val="cs-CZ"/>
        </w:rPr>
      </w:pPr>
      <w:r w:rsidRPr="007759EE">
        <w:rPr>
          <w:rFonts w:ascii="Garamond" w:hAnsi="Garamond" w:cs="Times New Roman"/>
          <w:lang w:val="cs-CZ"/>
        </w:rPr>
        <w:tab/>
      </w:r>
      <w:r w:rsidR="00295B16">
        <w:rPr>
          <w:rFonts w:ascii="Garamond" w:hAnsi="Garamond" w:cs="Times New Roman"/>
          <w:lang w:val="cs-CZ"/>
        </w:rPr>
        <w:t xml:space="preserve">V nastaveném směru práva na smrt ve smyslu článku 8 Úmluvy ESLP pokračoval i v případě </w:t>
      </w:r>
      <w:r w:rsidR="00295B16">
        <w:rPr>
          <w:rFonts w:ascii="Garamond" w:hAnsi="Garamond" w:cs="Times New Roman"/>
          <w:i/>
          <w:lang w:val="cs-CZ"/>
        </w:rPr>
        <w:t xml:space="preserve">Gross proti </w:t>
      </w:r>
      <w:r w:rsidR="00295B16" w:rsidRPr="00295B16">
        <w:rPr>
          <w:rFonts w:ascii="Garamond" w:hAnsi="Garamond" w:cs="Times New Roman"/>
          <w:i/>
          <w:lang w:val="cs-CZ"/>
        </w:rPr>
        <w:t>Švýcarsku</w:t>
      </w:r>
      <w:r w:rsidR="00295B16">
        <w:rPr>
          <w:rFonts w:ascii="Garamond" w:hAnsi="Garamond" w:cs="Times New Roman"/>
          <w:lang w:val="cs-CZ"/>
        </w:rPr>
        <w:t>.</w:t>
      </w:r>
      <w:r w:rsidR="000971D4">
        <w:rPr>
          <w:rStyle w:val="FootnoteReference"/>
          <w:rFonts w:ascii="Garamond" w:hAnsi="Garamond" w:cs="Times New Roman"/>
          <w:lang w:val="cs-CZ"/>
        </w:rPr>
        <w:footnoteReference w:id="133"/>
      </w:r>
      <w:r w:rsidR="00295B16">
        <w:rPr>
          <w:rFonts w:ascii="Garamond" w:hAnsi="Garamond" w:cs="Times New Roman"/>
          <w:lang w:val="cs-CZ"/>
        </w:rPr>
        <w:t xml:space="preserve"> Tento případ byl rozdílný zejména v tom, že stěžovatelka netrpěla nevyléčitelnou nemocí a chtěla ji urychlit, ale odmítala</w:t>
      </w:r>
      <w:r w:rsidR="00A71492" w:rsidRPr="007759EE">
        <w:rPr>
          <w:rFonts w:ascii="Garamond" w:hAnsi="Garamond" w:cs="Times New Roman"/>
          <w:lang w:val="cs-CZ"/>
        </w:rPr>
        <w:t xml:space="preserve"> dále prožívat postupné snižování jejích fyzických a psychických schopností</w:t>
      </w:r>
      <w:r w:rsidR="00295B16">
        <w:rPr>
          <w:rFonts w:ascii="Garamond" w:hAnsi="Garamond" w:cs="Times New Roman"/>
          <w:lang w:val="cs-CZ"/>
        </w:rPr>
        <w:t xml:space="preserve"> v souvislosti s jejím pokročilým věkem</w:t>
      </w:r>
      <w:r w:rsidR="00A71492" w:rsidRPr="007759EE">
        <w:rPr>
          <w:rFonts w:ascii="Garamond" w:hAnsi="Garamond" w:cs="Times New Roman"/>
          <w:lang w:val="cs-CZ"/>
        </w:rPr>
        <w:t xml:space="preserve">. Proto se obrátila na několik lékařů a následně na Zdravotní komisi kantonu Curych se žádostí o poskytnutí smrtelné dávky </w:t>
      </w:r>
      <w:proofErr w:type="spellStart"/>
      <w:r w:rsidR="00A71492" w:rsidRPr="007759EE">
        <w:rPr>
          <w:rFonts w:ascii="Garamond" w:hAnsi="Garamond" w:cs="Times New Roman"/>
          <w:lang w:val="cs-CZ"/>
        </w:rPr>
        <w:t>pentobarbitolu</w:t>
      </w:r>
      <w:proofErr w:type="spellEnd"/>
      <w:r w:rsidR="00A71492" w:rsidRPr="007759EE">
        <w:rPr>
          <w:rFonts w:ascii="Garamond" w:hAnsi="Garamond" w:cs="Times New Roman"/>
          <w:lang w:val="cs-CZ"/>
        </w:rPr>
        <w:t xml:space="preserve"> sodného, které však nebylo vyhověno.</w:t>
      </w:r>
      <w:r w:rsidR="00CE4784" w:rsidRPr="007759EE">
        <w:rPr>
          <w:rFonts w:ascii="Garamond" w:hAnsi="Garamond" w:cs="Times New Roman"/>
          <w:lang w:val="cs-CZ"/>
        </w:rPr>
        <w:t xml:space="preserve"> Švýcarská </w:t>
      </w:r>
      <w:r w:rsidR="00773374" w:rsidRPr="007759EE">
        <w:rPr>
          <w:rFonts w:ascii="Garamond" w:hAnsi="Garamond" w:cs="Times New Roman"/>
          <w:lang w:val="cs-CZ"/>
        </w:rPr>
        <w:t>„</w:t>
      </w:r>
      <w:r w:rsidR="00CE4784" w:rsidRPr="007759EE">
        <w:rPr>
          <w:rFonts w:ascii="Garamond" w:hAnsi="Garamond" w:cs="Times New Roman"/>
          <w:lang w:val="cs-CZ"/>
        </w:rPr>
        <w:t>právní úprava</w:t>
      </w:r>
      <w:r w:rsidR="00773374" w:rsidRPr="007759EE">
        <w:rPr>
          <w:rFonts w:ascii="Garamond" w:hAnsi="Garamond" w:cs="Times New Roman"/>
          <w:lang w:val="cs-CZ"/>
        </w:rPr>
        <w:t>“</w:t>
      </w:r>
      <w:r w:rsidR="00773374" w:rsidRPr="007759EE">
        <w:rPr>
          <w:rStyle w:val="FootnoteReference"/>
          <w:rFonts w:ascii="Garamond" w:hAnsi="Garamond" w:cs="Times New Roman"/>
          <w:lang w:val="cs-CZ"/>
        </w:rPr>
        <w:footnoteReference w:id="134"/>
      </w:r>
      <w:r w:rsidR="00CE4784" w:rsidRPr="007759EE">
        <w:rPr>
          <w:rFonts w:ascii="Garamond" w:hAnsi="Garamond" w:cs="Times New Roman"/>
          <w:lang w:val="cs-CZ"/>
        </w:rPr>
        <w:t xml:space="preserve"> však umožňovala vydání takového lékařského předpisu pouze osobám s</w:t>
      </w:r>
      <w:r w:rsidR="00613549">
        <w:rPr>
          <w:rFonts w:ascii="Garamond" w:hAnsi="Garamond" w:cs="Times New Roman"/>
          <w:lang w:val="cs-CZ"/>
        </w:rPr>
        <w:t xml:space="preserve"> nevyléčitelnou</w:t>
      </w:r>
      <w:r w:rsidR="00CE4784" w:rsidRPr="007759EE">
        <w:rPr>
          <w:rFonts w:ascii="Garamond" w:hAnsi="Garamond" w:cs="Times New Roman"/>
          <w:lang w:val="cs-CZ"/>
        </w:rPr>
        <w:t xml:space="preserve"> nemocí, což pro stěžovatelku neplatilo.</w:t>
      </w:r>
      <w:r w:rsidR="00A71492" w:rsidRPr="007759EE">
        <w:rPr>
          <w:rFonts w:ascii="Garamond" w:hAnsi="Garamond" w:cs="Times New Roman"/>
          <w:lang w:val="cs-CZ"/>
        </w:rPr>
        <w:t xml:space="preserve"> </w:t>
      </w:r>
      <w:r w:rsidR="003B50EE" w:rsidRPr="007759EE">
        <w:rPr>
          <w:rFonts w:ascii="Garamond" w:hAnsi="Garamond" w:cs="Times New Roman"/>
          <w:lang w:val="cs-CZ"/>
        </w:rPr>
        <w:t>Dne 14. května 2013 vydal senát ESLP rozsudek, ve kterém konstatoval, že bylo porušeno právo stěžovatelky ve smyslu článku 8 Úmluvy. Konkrétně pak, že švýcarské právo, které umožňuje možnost obstarat si smrtící látku na základě lékařského předpisu, neobsahuje dostatečnou úpravu, která by zajišťovala jasný výklad rozsahu tohoto práva.</w:t>
      </w:r>
      <w:r w:rsidR="003E2198">
        <w:rPr>
          <w:rStyle w:val="FootnoteReference"/>
          <w:rFonts w:ascii="Garamond" w:hAnsi="Garamond" w:cs="Times New Roman"/>
          <w:lang w:val="cs-CZ"/>
        </w:rPr>
        <w:footnoteReference w:id="135"/>
      </w:r>
      <w:r w:rsidR="003B50EE" w:rsidRPr="007759EE">
        <w:rPr>
          <w:rFonts w:ascii="Garamond" w:hAnsi="Garamond" w:cs="Times New Roman"/>
          <w:lang w:val="cs-CZ"/>
        </w:rPr>
        <w:t xml:space="preserve"> </w:t>
      </w:r>
      <w:r w:rsidR="00F06696" w:rsidRPr="007759EE">
        <w:rPr>
          <w:rFonts w:ascii="Garamond" w:hAnsi="Garamond" w:cs="Times New Roman"/>
          <w:lang w:val="cs-CZ"/>
        </w:rPr>
        <w:t>V tom smyslu, že</w:t>
      </w:r>
      <w:r w:rsidR="00F426B9" w:rsidRPr="007759EE">
        <w:rPr>
          <w:rFonts w:ascii="Garamond" w:hAnsi="Garamond" w:cs="Times New Roman"/>
          <w:lang w:val="cs-CZ"/>
        </w:rPr>
        <w:t xml:space="preserve"> zde nebyla upravena výkladová pravidla, která by stanovila, zda a za jakých podmínek je doktor oprávněn lékařský předpis na smrtící látku vydat pacientovi, který netrpí </w:t>
      </w:r>
      <w:r w:rsidR="00613549">
        <w:rPr>
          <w:rFonts w:ascii="Garamond" w:hAnsi="Garamond" w:cs="Times New Roman"/>
          <w:lang w:val="cs-CZ"/>
        </w:rPr>
        <w:t>nevyléčitelnou nemocí</w:t>
      </w:r>
      <w:r w:rsidR="00F426B9" w:rsidRPr="007759EE">
        <w:rPr>
          <w:rFonts w:ascii="Garamond" w:hAnsi="Garamond" w:cs="Times New Roman"/>
          <w:lang w:val="cs-CZ"/>
        </w:rPr>
        <w:t xml:space="preserve">. </w:t>
      </w:r>
      <w:r w:rsidR="003B50EE" w:rsidRPr="007759EE">
        <w:rPr>
          <w:rFonts w:ascii="Garamond" w:hAnsi="Garamond" w:cs="Times New Roman"/>
          <w:lang w:val="cs-CZ"/>
        </w:rPr>
        <w:t>Tato nejistá situace</w:t>
      </w:r>
      <w:r w:rsidR="00505905" w:rsidRPr="007759EE">
        <w:rPr>
          <w:rFonts w:ascii="Garamond" w:hAnsi="Garamond" w:cs="Times New Roman"/>
          <w:lang w:val="cs-CZ"/>
        </w:rPr>
        <w:t xml:space="preserve"> pravděpodobně pak stěžovatelce způsobila významné útrapy.</w:t>
      </w:r>
      <w:r w:rsidR="003E2198">
        <w:rPr>
          <w:rStyle w:val="FootnoteReference"/>
          <w:rFonts w:ascii="Garamond" w:hAnsi="Garamond" w:cs="Times New Roman"/>
          <w:lang w:val="cs-CZ"/>
        </w:rPr>
        <w:footnoteReference w:id="136"/>
      </w:r>
      <w:r w:rsidR="00505905" w:rsidRPr="007759EE">
        <w:rPr>
          <w:rFonts w:ascii="Garamond" w:hAnsi="Garamond" w:cs="Times New Roman"/>
          <w:lang w:val="cs-CZ"/>
        </w:rPr>
        <w:t xml:space="preserve"> K meritu věci, tedy zda stěžovatelka měla nárok na lékařský předpis či nikoli, se však senát nevyslovil. </w:t>
      </w:r>
    </w:p>
    <w:p w14:paraId="025D73DD" w14:textId="663F8756" w:rsidR="00954930" w:rsidRPr="00295B16" w:rsidRDefault="00505905" w:rsidP="003F3660">
      <w:pPr>
        <w:spacing w:line="360" w:lineRule="auto"/>
        <w:jc w:val="both"/>
        <w:rPr>
          <w:rFonts w:ascii="Garamond" w:hAnsi="Garamond" w:cs="Times New Roman"/>
          <w:lang w:val="cs-CZ"/>
        </w:rPr>
      </w:pPr>
      <w:r w:rsidRPr="007759EE">
        <w:rPr>
          <w:rFonts w:ascii="Garamond" w:hAnsi="Garamond" w:cs="Times New Roman"/>
          <w:lang w:val="cs-CZ"/>
        </w:rPr>
        <w:tab/>
        <w:t>Švýcarsko se následně odvolalo a případ byl postoupen velkému senátu ESLP. Ten však nakonec meritorně nerozhodl, neboť v mezidobí si stěžovatelka lékařský předpis obstarala a v roce 2011 ukončila svůj život. Toho si však ESLP nebyl vědom až do 7. ledna 2014, kdy byl o této skutečnosti informován ze strany Švýcarska. S ohledem na úmyslné zamlčení smrti stěžovatelky jejím zástupcem pak ESLP řízení zastavil</w:t>
      </w:r>
      <w:r w:rsidR="00295B16">
        <w:rPr>
          <w:rFonts w:ascii="Garamond" w:hAnsi="Garamond" w:cs="Times New Roman"/>
          <w:lang w:val="cs-CZ"/>
        </w:rPr>
        <w:t xml:space="preserve"> a k meritornímu řešení věci se bohužel nedostal.</w:t>
      </w:r>
    </w:p>
    <w:p w14:paraId="187E6C6B" w14:textId="77EB2BEC" w:rsidR="000E3926" w:rsidRPr="000E3926" w:rsidRDefault="00954930" w:rsidP="003F3660">
      <w:pPr>
        <w:spacing w:line="360" w:lineRule="auto"/>
        <w:jc w:val="both"/>
        <w:rPr>
          <w:rFonts w:ascii="Garamond" w:hAnsi="Garamond" w:cs="Times New Roman"/>
          <w:lang w:val="cs-CZ"/>
        </w:rPr>
      </w:pPr>
      <w:r w:rsidRPr="007759EE">
        <w:rPr>
          <w:rFonts w:ascii="Garamond" w:hAnsi="Garamond" w:cs="Times New Roman"/>
          <w:lang w:val="cs-CZ"/>
        </w:rPr>
        <w:tab/>
      </w:r>
      <w:r w:rsidR="003606FE" w:rsidRPr="007759EE">
        <w:rPr>
          <w:rFonts w:ascii="Garamond" w:hAnsi="Garamond" w:cs="Times New Roman"/>
          <w:lang w:val="cs-CZ"/>
        </w:rPr>
        <w:t>Problematickým bodem celého případu byla skutečnost, že vnitrostátní soudy založily své rozhodnutí na základě lékařsko-etických pravidel Švýcarské akademie lékařských věd, které ačkoli dle judikatury Federálního nejvyššího soudu nemají povahu právního předpisu</w:t>
      </w:r>
      <w:r w:rsidR="003606FE" w:rsidRPr="007759EE">
        <w:rPr>
          <w:rStyle w:val="FootnoteReference"/>
          <w:rFonts w:ascii="Garamond" w:hAnsi="Garamond" w:cs="Times New Roman"/>
          <w:lang w:val="cs-CZ"/>
        </w:rPr>
        <w:footnoteReference w:id="137"/>
      </w:r>
      <w:r w:rsidR="003606FE" w:rsidRPr="007759EE">
        <w:rPr>
          <w:rFonts w:ascii="Garamond" w:hAnsi="Garamond" w:cs="Times New Roman"/>
          <w:lang w:val="cs-CZ"/>
        </w:rPr>
        <w:t>, jsou obecně přijímána a lékaři jsou jimi vázáni.</w:t>
      </w:r>
      <w:r w:rsidR="005900FF" w:rsidRPr="007759EE">
        <w:rPr>
          <w:rFonts w:ascii="Garamond" w:hAnsi="Garamond" w:cs="Times New Roman"/>
          <w:lang w:val="cs-CZ"/>
        </w:rPr>
        <w:t xml:space="preserve"> Neurčitost těchto pravidel pak mohla mít dle soudu odrazující efekt pro lékaře, kteří by jinak pacientovi v situaci stěžovatelky lékařský předpis poskytli.</w:t>
      </w:r>
      <w:r w:rsidR="005900FF" w:rsidRPr="007759EE">
        <w:rPr>
          <w:rStyle w:val="FootnoteReference"/>
          <w:rFonts w:ascii="Garamond" w:hAnsi="Garamond" w:cs="Times New Roman"/>
          <w:lang w:val="cs-CZ"/>
        </w:rPr>
        <w:footnoteReference w:id="138"/>
      </w:r>
      <w:r w:rsidR="005900FF" w:rsidRPr="007759EE">
        <w:rPr>
          <w:rFonts w:ascii="Garamond" w:hAnsi="Garamond" w:cs="Times New Roman"/>
          <w:lang w:val="cs-CZ"/>
        </w:rPr>
        <w:t xml:space="preserve"> ESLP se však znovu zdržel zasahování do merita věci a jeho rozhodnutí tak pouze představovalo pokyn </w:t>
      </w:r>
      <w:r w:rsidR="005900FF" w:rsidRPr="007759EE">
        <w:rPr>
          <w:rFonts w:ascii="Garamond" w:hAnsi="Garamond" w:cs="Times New Roman"/>
          <w:lang w:val="cs-CZ"/>
        </w:rPr>
        <w:lastRenderedPageBreak/>
        <w:t>švýcarské legislativě.</w:t>
      </w:r>
      <w:r w:rsidR="00295B16">
        <w:rPr>
          <w:rFonts w:ascii="Garamond" w:hAnsi="Garamond" w:cs="Times New Roman"/>
          <w:lang w:val="cs-CZ"/>
        </w:rPr>
        <w:t xml:space="preserve"> </w:t>
      </w:r>
      <w:r w:rsidR="000E3926">
        <w:rPr>
          <w:rFonts w:ascii="Garamond" w:hAnsi="Garamond" w:cs="Times New Roman"/>
          <w:lang w:val="cs-CZ"/>
        </w:rPr>
        <w:t xml:space="preserve">Přesto však tento případ považuji za velice významný. ESLP zůstal v mezích svých předchozích rozsudků ve věci </w:t>
      </w:r>
      <w:proofErr w:type="spellStart"/>
      <w:r w:rsidR="000E3926">
        <w:rPr>
          <w:rFonts w:ascii="Garamond" w:hAnsi="Garamond" w:cs="Times New Roman"/>
          <w:i/>
          <w:lang w:val="cs-CZ"/>
        </w:rPr>
        <w:t>Pretty</w:t>
      </w:r>
      <w:proofErr w:type="spellEnd"/>
      <w:r w:rsidR="000E3926">
        <w:rPr>
          <w:rFonts w:ascii="Garamond" w:hAnsi="Garamond" w:cs="Times New Roman"/>
          <w:i/>
          <w:lang w:val="cs-CZ"/>
        </w:rPr>
        <w:t xml:space="preserve"> proti Spojenému království </w:t>
      </w:r>
      <w:r w:rsidR="000E3926">
        <w:rPr>
          <w:rFonts w:ascii="Garamond" w:hAnsi="Garamond" w:cs="Times New Roman"/>
          <w:lang w:val="cs-CZ"/>
        </w:rPr>
        <w:t xml:space="preserve">a </w:t>
      </w:r>
      <w:r w:rsidR="000E3926">
        <w:rPr>
          <w:rFonts w:ascii="Garamond" w:hAnsi="Garamond" w:cs="Times New Roman"/>
          <w:i/>
          <w:lang w:val="cs-CZ"/>
        </w:rPr>
        <w:t>Haas proti Švýcarsku</w:t>
      </w:r>
      <w:r w:rsidR="000E3926">
        <w:rPr>
          <w:rFonts w:ascii="Garamond" w:hAnsi="Garamond" w:cs="Times New Roman"/>
          <w:lang w:val="cs-CZ"/>
        </w:rPr>
        <w:t xml:space="preserve">, tedy, že v daném případě došlo k zásahu do autonomie ve smyslu článku 8 Úmluvy, který může být ospravedlnitelný jen ve smyslu článku 8 odst. 2 Úmluvy. Nedostatek předpokladů, v daném případě nedostatečnost zákonné úpravy omezení </w:t>
      </w:r>
      <w:r w:rsidR="009258CA">
        <w:rPr>
          <w:rFonts w:ascii="Garamond" w:hAnsi="Garamond" w:cs="Times New Roman"/>
          <w:lang w:val="cs-CZ"/>
        </w:rPr>
        <w:t>práva na respektování soukromého života</w:t>
      </w:r>
      <w:r w:rsidR="00D16054">
        <w:rPr>
          <w:rFonts w:ascii="Garamond" w:hAnsi="Garamond" w:cs="Times New Roman"/>
          <w:lang w:val="cs-CZ"/>
        </w:rPr>
        <w:t>,</w:t>
      </w:r>
      <w:r w:rsidR="009258CA">
        <w:rPr>
          <w:rFonts w:ascii="Garamond" w:hAnsi="Garamond" w:cs="Times New Roman"/>
          <w:lang w:val="cs-CZ"/>
        </w:rPr>
        <w:t xml:space="preserve"> pak jasně dovedlo ESLP k závěru, že došlo k porušení práv garantovaných Úmluvou.</w:t>
      </w:r>
      <w:r w:rsidR="003E2198">
        <w:rPr>
          <w:rStyle w:val="FootnoteReference"/>
          <w:rFonts w:ascii="Garamond" w:hAnsi="Garamond" w:cs="Times New Roman"/>
          <w:lang w:val="cs-CZ"/>
        </w:rPr>
        <w:footnoteReference w:id="139"/>
      </w:r>
      <w:r w:rsidR="009258CA">
        <w:rPr>
          <w:rFonts w:ascii="Garamond" w:hAnsi="Garamond" w:cs="Times New Roman"/>
          <w:lang w:val="cs-CZ"/>
        </w:rPr>
        <w:t xml:space="preserve"> </w:t>
      </w:r>
    </w:p>
    <w:p w14:paraId="60F8084C" w14:textId="68DE518B" w:rsidR="005900FF" w:rsidRPr="007759EE" w:rsidRDefault="005900FF" w:rsidP="003F3660">
      <w:pPr>
        <w:spacing w:line="360" w:lineRule="auto"/>
        <w:jc w:val="both"/>
        <w:rPr>
          <w:rFonts w:ascii="Garamond" w:hAnsi="Garamond" w:cs="Times New Roman"/>
          <w:lang w:val="cs-CZ"/>
        </w:rPr>
      </w:pPr>
      <w:r w:rsidRPr="007759EE">
        <w:rPr>
          <w:rFonts w:ascii="Garamond" w:hAnsi="Garamond" w:cs="Times New Roman"/>
          <w:lang w:val="cs-CZ"/>
        </w:rPr>
        <w:tab/>
      </w:r>
      <w:r w:rsidR="005E3C08" w:rsidRPr="007759EE">
        <w:rPr>
          <w:rFonts w:ascii="Garamond" w:hAnsi="Garamond" w:cs="Times New Roman"/>
          <w:lang w:val="cs-CZ"/>
        </w:rPr>
        <w:t>V důsledku tohoto vývoje se původní pravidla SAMS z roku 2013 novelizovaly a jejich působnost byla rozšířena i na pacienty, kteří nečelí bezprostřední smrti.</w:t>
      </w:r>
      <w:r w:rsidR="005E3C08" w:rsidRPr="007759EE">
        <w:rPr>
          <w:rStyle w:val="FootnoteReference"/>
          <w:rFonts w:ascii="Garamond" w:hAnsi="Garamond" w:cs="Times New Roman"/>
          <w:lang w:val="cs-CZ"/>
        </w:rPr>
        <w:footnoteReference w:id="140"/>
      </w:r>
      <w:r w:rsidR="005E3C08" w:rsidRPr="007759EE">
        <w:rPr>
          <w:rFonts w:ascii="Garamond" w:hAnsi="Garamond" w:cs="Times New Roman"/>
          <w:lang w:val="cs-CZ"/>
        </w:rPr>
        <w:t xml:space="preserve"> Předchozí podmínky asistované sebevraždy zahrnovaly: (i) pacientova nemoc naznačuje, že se pacient blíží ke konci života; (</w:t>
      </w:r>
      <w:proofErr w:type="spellStart"/>
      <w:r w:rsidR="005E3C08" w:rsidRPr="007759EE">
        <w:rPr>
          <w:rFonts w:ascii="Garamond" w:hAnsi="Garamond" w:cs="Times New Roman"/>
          <w:lang w:val="cs-CZ"/>
        </w:rPr>
        <w:t>ii</w:t>
      </w:r>
      <w:proofErr w:type="spellEnd"/>
      <w:r w:rsidR="005E3C08" w:rsidRPr="007759EE">
        <w:rPr>
          <w:rFonts w:ascii="Garamond" w:hAnsi="Garamond" w:cs="Times New Roman"/>
          <w:lang w:val="cs-CZ"/>
        </w:rPr>
        <w:t>) alternativní způsoby pomoci byly prodiskutovány a případně poskytnuty; (</w:t>
      </w:r>
      <w:proofErr w:type="spellStart"/>
      <w:r w:rsidR="005E3C08" w:rsidRPr="007759EE">
        <w:rPr>
          <w:rFonts w:ascii="Garamond" w:hAnsi="Garamond" w:cs="Times New Roman"/>
          <w:lang w:val="cs-CZ"/>
        </w:rPr>
        <w:t>iii</w:t>
      </w:r>
      <w:proofErr w:type="spellEnd"/>
      <w:r w:rsidR="005E3C08" w:rsidRPr="007759EE">
        <w:rPr>
          <w:rFonts w:ascii="Garamond" w:hAnsi="Garamond" w:cs="Times New Roman"/>
          <w:lang w:val="cs-CZ"/>
        </w:rPr>
        <w:t>) pacient je schopen takové rozhodnutí učinit, jeho přání bylo dobře zváženo</w:t>
      </w:r>
      <w:r w:rsidR="00306B11" w:rsidRPr="007759EE">
        <w:rPr>
          <w:rFonts w:ascii="Garamond" w:hAnsi="Garamond" w:cs="Times New Roman"/>
          <w:lang w:val="cs-CZ"/>
        </w:rPr>
        <w:t xml:space="preserve"> bez vnějšího nátlaku a nadále trvá – tato podmínka byla potvrzena třetí osobou, ne nutně lékařem; (</w:t>
      </w:r>
      <w:proofErr w:type="spellStart"/>
      <w:r w:rsidR="00306B11" w:rsidRPr="007759EE">
        <w:rPr>
          <w:rFonts w:ascii="Garamond" w:hAnsi="Garamond" w:cs="Times New Roman"/>
          <w:lang w:val="cs-CZ"/>
        </w:rPr>
        <w:t>iv</w:t>
      </w:r>
      <w:proofErr w:type="spellEnd"/>
      <w:r w:rsidR="00306B11" w:rsidRPr="007759EE">
        <w:rPr>
          <w:rFonts w:ascii="Garamond" w:hAnsi="Garamond" w:cs="Times New Roman"/>
          <w:lang w:val="cs-CZ"/>
        </w:rPr>
        <w:t>) konečný akt vedoucí ke smrti pacienta musí být učiněn pacientem samotným.</w:t>
      </w:r>
      <w:r w:rsidR="00306B11" w:rsidRPr="007759EE">
        <w:rPr>
          <w:rStyle w:val="FootnoteReference"/>
          <w:rFonts w:ascii="Garamond" w:hAnsi="Garamond" w:cs="Times New Roman"/>
          <w:lang w:val="cs-CZ"/>
        </w:rPr>
        <w:footnoteReference w:id="141"/>
      </w:r>
    </w:p>
    <w:p w14:paraId="3B56E994" w14:textId="44AAEEAB" w:rsidR="00FA235B" w:rsidRDefault="00306B11" w:rsidP="003F3660">
      <w:pPr>
        <w:spacing w:line="360" w:lineRule="auto"/>
        <w:jc w:val="both"/>
        <w:rPr>
          <w:rFonts w:ascii="Garamond" w:hAnsi="Garamond" w:cs="Times New Roman"/>
          <w:lang w:val="cs-CZ"/>
        </w:rPr>
      </w:pPr>
      <w:r w:rsidRPr="007759EE">
        <w:rPr>
          <w:rFonts w:ascii="Garamond" w:hAnsi="Garamond" w:cs="Times New Roman"/>
          <w:lang w:val="cs-CZ"/>
        </w:rPr>
        <w:tab/>
        <w:t>Pro srovnání nové pravidla obsahují následující podmínky: (i) pacient je schopen takové rozhodnutí učinit – případná neschopnost musí být lékařem důkladně vyloučena, přičemž případy psychické poruchy, demence nebo jiné podobné nemoci potenciálně ovlivňující schopnost rozhodovat musí být posouzeny příslušným odborníkem; (</w:t>
      </w:r>
      <w:proofErr w:type="spellStart"/>
      <w:r w:rsidRPr="007759EE">
        <w:rPr>
          <w:rFonts w:ascii="Garamond" w:hAnsi="Garamond" w:cs="Times New Roman"/>
          <w:lang w:val="cs-CZ"/>
        </w:rPr>
        <w:t>ii</w:t>
      </w:r>
      <w:proofErr w:type="spellEnd"/>
      <w:r w:rsidRPr="007759EE">
        <w:rPr>
          <w:rFonts w:ascii="Garamond" w:hAnsi="Garamond" w:cs="Times New Roman"/>
          <w:lang w:val="cs-CZ"/>
        </w:rPr>
        <w:t>) pacientovo přání bylo dobře zváženo bez vnějšího nátlaku a stále trvá; (</w:t>
      </w:r>
      <w:proofErr w:type="spellStart"/>
      <w:r w:rsidRPr="007759EE">
        <w:rPr>
          <w:rFonts w:ascii="Garamond" w:hAnsi="Garamond" w:cs="Times New Roman"/>
          <w:lang w:val="cs-CZ"/>
        </w:rPr>
        <w:t>iii</w:t>
      </w:r>
      <w:proofErr w:type="spellEnd"/>
      <w:r w:rsidRPr="007759EE">
        <w:rPr>
          <w:rFonts w:ascii="Garamond" w:hAnsi="Garamond" w:cs="Times New Roman"/>
          <w:lang w:val="cs-CZ"/>
        </w:rPr>
        <w:t>) symptomy nemoci nebo funkční poruchy představují neúnosné utrpení pro pacienta; (</w:t>
      </w:r>
      <w:proofErr w:type="spellStart"/>
      <w:r w:rsidRPr="007759EE">
        <w:rPr>
          <w:rFonts w:ascii="Garamond" w:hAnsi="Garamond" w:cs="Times New Roman"/>
          <w:lang w:val="cs-CZ"/>
        </w:rPr>
        <w:t>iv</w:t>
      </w:r>
      <w:proofErr w:type="spellEnd"/>
      <w:r w:rsidRPr="007759EE">
        <w:rPr>
          <w:rFonts w:ascii="Garamond" w:hAnsi="Garamond" w:cs="Times New Roman"/>
          <w:lang w:val="cs-CZ"/>
        </w:rPr>
        <w:t xml:space="preserve">) alternativní způsoby léčby a další formy pomoci byly prokázány jako neefektivní nebo pacientem odmítnuty, za předpokladu, že je takového rozhodnutí schopen; (v) pacientovo přání </w:t>
      </w:r>
      <w:r w:rsidR="00BB4696" w:rsidRPr="007759EE">
        <w:rPr>
          <w:rFonts w:ascii="Garamond" w:hAnsi="Garamond" w:cs="Times New Roman"/>
          <w:lang w:val="cs-CZ"/>
        </w:rPr>
        <w:t>nepokračovat v takovém utrpení je pro lékaře pochopitelné s ohledem na dosavadní průběh a předchozí rozhovory a lékař v tomto případě shledal asistovanou sebevraždu jako ospravedlnitelnou.</w:t>
      </w:r>
      <w:r w:rsidR="00BB4696" w:rsidRPr="007759EE">
        <w:rPr>
          <w:rStyle w:val="FootnoteReference"/>
          <w:rFonts w:ascii="Garamond" w:hAnsi="Garamond" w:cs="Times New Roman"/>
          <w:lang w:val="cs-CZ"/>
        </w:rPr>
        <w:footnoteReference w:id="142"/>
      </w:r>
      <w:r w:rsidR="00BB4696" w:rsidRPr="007759EE">
        <w:rPr>
          <w:rFonts w:ascii="Garamond" w:hAnsi="Garamond" w:cs="Times New Roman"/>
          <w:lang w:val="cs-CZ"/>
        </w:rPr>
        <w:t xml:space="preserve"> Je zcela zjevné, že se v tomto případě pravidla dostatečně vyjasnila a navíc teď obsahují možnost i pro jiné osoby než </w:t>
      </w:r>
      <w:r w:rsidR="00613549">
        <w:rPr>
          <w:rFonts w:ascii="Garamond" w:hAnsi="Garamond" w:cs="Times New Roman"/>
          <w:lang w:val="cs-CZ"/>
        </w:rPr>
        <w:t>nevyléčitelně</w:t>
      </w:r>
      <w:r w:rsidR="00BB4696" w:rsidRPr="007759EE">
        <w:rPr>
          <w:rFonts w:ascii="Garamond" w:hAnsi="Garamond" w:cs="Times New Roman"/>
          <w:lang w:val="cs-CZ"/>
        </w:rPr>
        <w:t xml:space="preserve"> nemocné, což </w:t>
      </w:r>
      <w:r w:rsidR="00FA235B" w:rsidRPr="007759EE">
        <w:rPr>
          <w:rFonts w:ascii="Garamond" w:hAnsi="Garamond" w:cs="Times New Roman"/>
          <w:lang w:val="cs-CZ"/>
        </w:rPr>
        <w:t>ze strany</w:t>
      </w:r>
      <w:r w:rsidR="00BB4696" w:rsidRPr="007759EE">
        <w:rPr>
          <w:rFonts w:ascii="Garamond" w:hAnsi="Garamond" w:cs="Times New Roman"/>
          <w:lang w:val="cs-CZ"/>
        </w:rPr>
        <w:t xml:space="preserve"> ESLP vyžadováno ani nebylo.</w:t>
      </w:r>
    </w:p>
    <w:p w14:paraId="6C92FCD8" w14:textId="063363EE" w:rsidR="00426FA1" w:rsidRPr="007759EE" w:rsidRDefault="00426FA1" w:rsidP="00426FA1">
      <w:pPr>
        <w:pStyle w:val="Heading2"/>
        <w:numPr>
          <w:ilvl w:val="0"/>
          <w:numId w:val="23"/>
        </w:numPr>
        <w:spacing w:line="360" w:lineRule="auto"/>
        <w:ind w:left="720" w:hanging="720"/>
        <w:rPr>
          <w:rFonts w:cs="Times New Roman"/>
          <w:lang w:val="cs-CZ"/>
        </w:rPr>
      </w:pPr>
      <w:bookmarkStart w:id="8" w:name="_Toc11919774"/>
      <w:r>
        <w:rPr>
          <w:rFonts w:cs="Times New Roman"/>
          <w:lang w:val="cs-CZ"/>
        </w:rPr>
        <w:t>Pasivní eutanazie</w:t>
      </w:r>
      <w:bookmarkEnd w:id="8"/>
    </w:p>
    <w:p w14:paraId="5A4A493A" w14:textId="5E4493CA" w:rsidR="002046EC" w:rsidRDefault="00505905" w:rsidP="003F3660">
      <w:pPr>
        <w:spacing w:line="360" w:lineRule="auto"/>
        <w:jc w:val="both"/>
        <w:rPr>
          <w:rFonts w:ascii="Garamond" w:hAnsi="Garamond" w:cs="Times New Roman"/>
          <w:lang w:val="cs-CZ"/>
        </w:rPr>
      </w:pPr>
      <w:r w:rsidRPr="007759EE">
        <w:rPr>
          <w:rFonts w:ascii="Garamond" w:hAnsi="Garamond" w:cs="Times New Roman"/>
          <w:lang w:val="cs-CZ"/>
        </w:rPr>
        <w:tab/>
      </w:r>
      <w:r w:rsidR="00F76B5F">
        <w:rPr>
          <w:rFonts w:ascii="Garamond" w:hAnsi="Garamond" w:cs="Times New Roman"/>
          <w:lang w:val="cs-CZ"/>
        </w:rPr>
        <w:t xml:space="preserve">Stěžejním případem v rámci pasivní eutanazie </w:t>
      </w:r>
      <w:r w:rsidR="002046EC">
        <w:rPr>
          <w:rFonts w:ascii="Garamond" w:hAnsi="Garamond" w:cs="Times New Roman"/>
          <w:lang w:val="cs-CZ"/>
        </w:rPr>
        <w:t xml:space="preserve">se stal případ </w:t>
      </w:r>
      <w:r w:rsidR="002046EC">
        <w:rPr>
          <w:rFonts w:ascii="Garamond" w:hAnsi="Garamond" w:cs="Times New Roman"/>
          <w:i/>
          <w:lang w:val="cs-CZ"/>
        </w:rPr>
        <w:t xml:space="preserve">Lambert a další proti </w:t>
      </w:r>
      <w:r w:rsidR="002046EC" w:rsidRPr="002046EC">
        <w:rPr>
          <w:rFonts w:ascii="Garamond" w:hAnsi="Garamond" w:cs="Times New Roman"/>
          <w:i/>
          <w:lang w:val="cs-CZ"/>
        </w:rPr>
        <w:t>Francii</w:t>
      </w:r>
      <w:r w:rsidR="002046EC">
        <w:rPr>
          <w:rFonts w:ascii="Garamond" w:hAnsi="Garamond" w:cs="Times New Roman"/>
          <w:lang w:val="cs-CZ"/>
        </w:rPr>
        <w:t xml:space="preserve">. </w:t>
      </w:r>
      <w:r w:rsidR="008843DA" w:rsidRPr="002046EC">
        <w:rPr>
          <w:rFonts w:ascii="Garamond" w:hAnsi="Garamond" w:cs="Times New Roman"/>
          <w:lang w:val="cs-CZ"/>
        </w:rPr>
        <w:t>Stížnost</w:t>
      </w:r>
      <w:r w:rsidR="008843DA" w:rsidRPr="007759EE">
        <w:rPr>
          <w:rFonts w:ascii="Garamond" w:hAnsi="Garamond" w:cs="Times New Roman"/>
          <w:lang w:val="cs-CZ"/>
        </w:rPr>
        <w:t xml:space="preserve"> k ESLP </w:t>
      </w:r>
      <w:r w:rsidR="002046EC">
        <w:rPr>
          <w:rFonts w:ascii="Garamond" w:hAnsi="Garamond" w:cs="Times New Roman"/>
          <w:lang w:val="cs-CZ"/>
        </w:rPr>
        <w:t>podala část</w:t>
      </w:r>
      <w:r w:rsidR="00BF3C48" w:rsidRPr="007759EE">
        <w:rPr>
          <w:rFonts w:ascii="Garamond" w:hAnsi="Garamond" w:cs="Times New Roman"/>
          <w:lang w:val="cs-CZ"/>
        </w:rPr>
        <w:t xml:space="preserve"> rodiny </w:t>
      </w:r>
      <w:r w:rsidR="008843DA" w:rsidRPr="007759EE">
        <w:rPr>
          <w:rFonts w:ascii="Garamond" w:hAnsi="Garamond" w:cs="Times New Roman"/>
          <w:lang w:val="cs-CZ"/>
        </w:rPr>
        <w:t xml:space="preserve">Vincenta Lamberta, který se v důsledku dopravní nehody nacházel v chronickém vegetativním stavu v nemocnici. Lambertovi byla podávána umělá strava a </w:t>
      </w:r>
      <w:r w:rsidR="008843DA" w:rsidRPr="007759EE">
        <w:rPr>
          <w:rFonts w:ascii="Garamond" w:hAnsi="Garamond" w:cs="Times New Roman"/>
          <w:lang w:val="cs-CZ"/>
        </w:rPr>
        <w:lastRenderedPageBreak/>
        <w:t xml:space="preserve">hydratace. Zkraje roku 2013 se rozhodl lékařský tým ukončit pacientovu výživu a omezit jeho hydrataci, a to s odůvodněním, že u pacienta došlo k nezvratnému poškození mozku a další péče měla být v tomto případě zbytečná a nepřiměřená. </w:t>
      </w:r>
      <w:r w:rsidR="002046EC">
        <w:rPr>
          <w:rFonts w:ascii="Garamond" w:hAnsi="Garamond" w:cs="Times New Roman"/>
          <w:lang w:val="cs-CZ"/>
        </w:rPr>
        <w:t>Případ došel až k odvolacímu orgánu</w:t>
      </w:r>
      <w:r w:rsidR="00A4536A" w:rsidRPr="007759EE">
        <w:rPr>
          <w:rFonts w:ascii="Garamond" w:hAnsi="Garamond" w:cs="Times New Roman"/>
          <w:lang w:val="cs-CZ"/>
        </w:rPr>
        <w:t xml:space="preserve"> Státní radě. Státní rada dospěla k závěru, že umělá výživa a hydratace spadá do kategorie léčby, která může být zastavena v případě </w:t>
      </w:r>
      <w:r w:rsidR="00F860F5" w:rsidRPr="007759EE">
        <w:rPr>
          <w:rFonts w:ascii="Garamond" w:hAnsi="Garamond" w:cs="Times New Roman"/>
          <w:lang w:val="cs-CZ"/>
        </w:rPr>
        <w:t>„</w:t>
      </w:r>
      <w:r w:rsidR="000F7FD1">
        <w:rPr>
          <w:rFonts w:ascii="Garamond" w:hAnsi="Garamond" w:cs="Times New Roman"/>
          <w:lang w:val="cs-CZ"/>
        </w:rPr>
        <w:t>nerozumné</w:t>
      </w:r>
      <w:r w:rsidR="00CE717F" w:rsidRPr="007759EE">
        <w:rPr>
          <w:rFonts w:ascii="Garamond" w:hAnsi="Garamond" w:cs="Times New Roman"/>
          <w:lang w:val="cs-CZ"/>
        </w:rPr>
        <w:t xml:space="preserve"> </w:t>
      </w:r>
      <w:r w:rsidR="000F7FD1">
        <w:rPr>
          <w:rFonts w:ascii="Garamond" w:hAnsi="Garamond" w:cs="Times New Roman"/>
          <w:lang w:val="cs-CZ"/>
        </w:rPr>
        <w:t>neústupnosti</w:t>
      </w:r>
      <w:r w:rsidR="00F860F5" w:rsidRPr="007759EE">
        <w:rPr>
          <w:rFonts w:ascii="Garamond" w:hAnsi="Garamond" w:cs="Times New Roman"/>
          <w:lang w:val="cs-CZ"/>
        </w:rPr>
        <w:t>“</w:t>
      </w:r>
      <w:r w:rsidR="005B00C8" w:rsidRPr="007759EE">
        <w:rPr>
          <w:rStyle w:val="FootnoteReference"/>
          <w:rFonts w:ascii="Garamond" w:hAnsi="Garamond" w:cs="Times New Roman"/>
          <w:lang w:val="cs-CZ"/>
        </w:rPr>
        <w:footnoteReference w:id="143"/>
      </w:r>
      <w:r w:rsidR="00A4536A" w:rsidRPr="007759EE">
        <w:rPr>
          <w:rFonts w:ascii="Garamond" w:hAnsi="Garamond" w:cs="Times New Roman"/>
          <w:lang w:val="cs-CZ"/>
        </w:rPr>
        <w:t xml:space="preserve"> této léčby. Přičemž ošetřující lékař musí zvážit několik lékařských i nelékařských faktorů ad hoc a vzít v úvahu i předchozí přání pacienta. Lékař také musí zvážit názor členů rodiny, případně jiné blízké osoby pacienta. Z lékařského hlediska Státní rada potvrdila, že poškození pacienta je nezvratné</w:t>
      </w:r>
      <w:r w:rsidR="00BF3C48" w:rsidRPr="007759EE">
        <w:rPr>
          <w:rFonts w:ascii="Garamond" w:hAnsi="Garamond" w:cs="Times New Roman"/>
          <w:lang w:val="cs-CZ"/>
        </w:rPr>
        <w:t>. Na základě výpovědi manželky a jednoho z bratrů pacienta, podle níž měl pacient vyjádřit přání nebýt udržován uměle při životě, Státní rada rozhodla, že ošetřující lékař získal potřebný názor pacientovy rodiny a jeho rozhodnutí tak bylo v souladu se zákonem. Vůči tomuto rozhodnutí byla podána stížnost rodiči a dvěma sourozenci pacienta k ESLP, založená na porušení článku 2, 3, 6 a 8 Úmluvy.</w:t>
      </w:r>
    </w:p>
    <w:p w14:paraId="09BF1E50" w14:textId="0822FA6B" w:rsidR="001857A1" w:rsidRPr="007759EE" w:rsidRDefault="001857A1" w:rsidP="003F3660">
      <w:pPr>
        <w:spacing w:line="360" w:lineRule="auto"/>
        <w:jc w:val="both"/>
        <w:rPr>
          <w:rFonts w:ascii="Garamond" w:hAnsi="Garamond" w:cs="Times New Roman"/>
          <w:lang w:val="cs-CZ"/>
        </w:rPr>
      </w:pPr>
      <w:r w:rsidRPr="007759EE">
        <w:rPr>
          <w:rFonts w:ascii="Garamond" w:hAnsi="Garamond" w:cs="Times New Roman"/>
          <w:lang w:val="cs-CZ"/>
        </w:rPr>
        <w:tab/>
        <w:t>Soud se prvně zabýval oprávněností stěžovatelů podat stížnost jménem jiné zranitelné osoby. Zopakoval v této věci svou předchozí judikaturu a dovodil dvě hlavní kritéria, a to, že zde musí být riziko, že přímo dotčená osoba by byla zbavena účinné ochrany svých práv a zároveň zde nesmí být střet zájmů mezi stěžovateli a dotčenou osobou.</w:t>
      </w:r>
      <w:r w:rsidR="003E2198">
        <w:rPr>
          <w:rStyle w:val="FootnoteReference"/>
          <w:rFonts w:ascii="Garamond" w:hAnsi="Garamond" w:cs="Times New Roman"/>
          <w:lang w:val="cs-CZ"/>
        </w:rPr>
        <w:footnoteReference w:id="144"/>
      </w:r>
      <w:r w:rsidRPr="007759EE">
        <w:rPr>
          <w:rFonts w:ascii="Garamond" w:hAnsi="Garamond" w:cs="Times New Roman"/>
          <w:lang w:val="cs-CZ"/>
        </w:rPr>
        <w:t xml:space="preserve"> V projednávané věci však soud shledal, že zde riziko nedostatku účinné ochrany není, neboť příbuzní této osoby mohou namítat porušení článku 2 Úmluvy vlastním jménem a zároveň zde není dán jasný soulad zájmů pacienta a stěžovatelů.</w:t>
      </w:r>
      <w:r w:rsidR="003E2198">
        <w:rPr>
          <w:rStyle w:val="FootnoteReference"/>
          <w:rFonts w:ascii="Garamond" w:hAnsi="Garamond" w:cs="Times New Roman"/>
          <w:lang w:val="cs-CZ"/>
        </w:rPr>
        <w:footnoteReference w:id="145"/>
      </w:r>
      <w:r w:rsidRPr="007759EE">
        <w:rPr>
          <w:rFonts w:ascii="Garamond" w:hAnsi="Garamond" w:cs="Times New Roman"/>
          <w:lang w:val="cs-CZ"/>
        </w:rPr>
        <w:t xml:space="preserve"> </w:t>
      </w:r>
    </w:p>
    <w:p w14:paraId="76A16F00" w14:textId="74EDC4E0" w:rsidR="001857A1" w:rsidRPr="007759EE" w:rsidRDefault="001857A1" w:rsidP="003F3660">
      <w:pPr>
        <w:spacing w:line="360" w:lineRule="auto"/>
        <w:jc w:val="both"/>
        <w:rPr>
          <w:rFonts w:ascii="Garamond" w:hAnsi="Garamond" w:cs="Times New Roman"/>
          <w:lang w:val="cs-CZ"/>
        </w:rPr>
      </w:pPr>
      <w:r w:rsidRPr="007759EE">
        <w:rPr>
          <w:rFonts w:ascii="Garamond" w:hAnsi="Garamond" w:cs="Times New Roman"/>
          <w:lang w:val="cs-CZ"/>
        </w:rPr>
        <w:tab/>
        <w:t>Nicméně i přesto se soud rozhodl zabývat meritem věci</w:t>
      </w:r>
      <w:r w:rsidR="00E64CB6" w:rsidRPr="007759EE">
        <w:rPr>
          <w:rFonts w:ascii="Garamond" w:hAnsi="Garamond" w:cs="Times New Roman"/>
          <w:lang w:val="cs-CZ"/>
        </w:rPr>
        <w:t>, neboť uznal, že pacientova rodina má možnost namítat porušení článku 2 Úmluvy vlastním jménem.</w:t>
      </w:r>
      <w:r w:rsidR="003E2198">
        <w:rPr>
          <w:rStyle w:val="FootnoteReference"/>
          <w:rFonts w:ascii="Garamond" w:hAnsi="Garamond" w:cs="Times New Roman"/>
          <w:lang w:val="cs-CZ"/>
        </w:rPr>
        <w:footnoteReference w:id="146"/>
      </w:r>
      <w:r w:rsidR="00E64CB6" w:rsidRPr="007759EE">
        <w:rPr>
          <w:rFonts w:ascii="Garamond" w:hAnsi="Garamond" w:cs="Times New Roman"/>
          <w:lang w:val="cs-CZ"/>
        </w:rPr>
        <w:t xml:space="preserve"> Soud znovu zopakoval, že z článku 2 </w:t>
      </w:r>
      <w:r w:rsidR="0082477B" w:rsidRPr="007759EE">
        <w:rPr>
          <w:rFonts w:ascii="Garamond" w:hAnsi="Garamond" w:cs="Times New Roman"/>
          <w:lang w:val="cs-CZ"/>
        </w:rPr>
        <w:t>vyplývá</w:t>
      </w:r>
      <w:r w:rsidR="00E64CB6" w:rsidRPr="007759EE">
        <w:rPr>
          <w:rFonts w:ascii="Garamond" w:hAnsi="Garamond" w:cs="Times New Roman"/>
          <w:lang w:val="cs-CZ"/>
        </w:rPr>
        <w:t xml:space="preserve"> </w:t>
      </w:r>
      <w:r w:rsidR="0082477B" w:rsidRPr="007759EE">
        <w:rPr>
          <w:rFonts w:ascii="Garamond" w:hAnsi="Garamond" w:cs="Times New Roman"/>
          <w:lang w:val="cs-CZ"/>
        </w:rPr>
        <w:t>pro stát</w:t>
      </w:r>
      <w:r w:rsidR="00E64CB6" w:rsidRPr="007759EE">
        <w:rPr>
          <w:rFonts w:ascii="Garamond" w:hAnsi="Garamond" w:cs="Times New Roman"/>
          <w:lang w:val="cs-CZ"/>
        </w:rPr>
        <w:t xml:space="preserve"> jak negativní povinnost zdržet se zásahu do práva na život, tak povinnost pozitivní, a to přijmout nezbytná opatření k ochraně života.</w:t>
      </w:r>
      <w:r w:rsidR="003E2198">
        <w:rPr>
          <w:rStyle w:val="FootnoteReference"/>
          <w:rFonts w:ascii="Garamond" w:hAnsi="Garamond" w:cs="Times New Roman"/>
          <w:lang w:val="cs-CZ"/>
        </w:rPr>
        <w:footnoteReference w:id="147"/>
      </w:r>
      <w:r w:rsidR="00E64CB6" w:rsidRPr="007759EE">
        <w:rPr>
          <w:rFonts w:ascii="Garamond" w:hAnsi="Garamond" w:cs="Times New Roman"/>
          <w:lang w:val="cs-CZ"/>
        </w:rPr>
        <w:t xml:space="preserve"> </w:t>
      </w:r>
      <w:r w:rsidR="00CE717F" w:rsidRPr="007759EE">
        <w:rPr>
          <w:rFonts w:ascii="Garamond" w:hAnsi="Garamond" w:cs="Times New Roman"/>
          <w:lang w:val="cs-CZ"/>
        </w:rPr>
        <w:t xml:space="preserve">Vzhledem k tomu, že francouzská legislativa zakazovala úmyslné zbavení života, ale </w:t>
      </w:r>
      <w:r w:rsidR="006528DC" w:rsidRPr="007759EE">
        <w:rPr>
          <w:rFonts w:ascii="Garamond" w:hAnsi="Garamond" w:cs="Times New Roman"/>
          <w:lang w:val="cs-CZ"/>
        </w:rPr>
        <w:t>ukončení</w:t>
      </w:r>
      <w:r w:rsidR="00CE717F" w:rsidRPr="007759EE">
        <w:rPr>
          <w:rFonts w:ascii="Garamond" w:hAnsi="Garamond" w:cs="Times New Roman"/>
          <w:lang w:val="cs-CZ"/>
        </w:rPr>
        <w:t xml:space="preserve"> života udržující léčby bylo povoleno, soud přezkoumával v této věci pouze pozitivní povinnost státu.</w:t>
      </w:r>
    </w:p>
    <w:p w14:paraId="292A8C82" w14:textId="44857732" w:rsidR="00CE717F" w:rsidRPr="007759EE" w:rsidRDefault="00CE717F" w:rsidP="003F3660">
      <w:pPr>
        <w:spacing w:line="360" w:lineRule="auto"/>
        <w:jc w:val="both"/>
        <w:rPr>
          <w:rFonts w:ascii="Garamond" w:hAnsi="Garamond" w:cs="Times New Roman"/>
          <w:lang w:val="cs-CZ"/>
        </w:rPr>
      </w:pPr>
      <w:r w:rsidRPr="007759EE">
        <w:rPr>
          <w:rFonts w:ascii="Garamond" w:hAnsi="Garamond" w:cs="Times New Roman"/>
          <w:lang w:val="cs-CZ"/>
        </w:rPr>
        <w:tab/>
        <w:t>Soud zdůraznil, že při rozhodování o ukončení léčby musí být zváženy následující faktory</w:t>
      </w:r>
      <w:r w:rsidR="00F860F5" w:rsidRPr="007759EE">
        <w:rPr>
          <w:rStyle w:val="FootnoteReference"/>
          <w:rFonts w:ascii="Garamond" w:hAnsi="Garamond" w:cs="Times New Roman"/>
          <w:lang w:val="cs-CZ"/>
        </w:rPr>
        <w:footnoteReference w:id="148"/>
      </w:r>
      <w:r w:rsidRPr="007759EE">
        <w:rPr>
          <w:rFonts w:ascii="Garamond" w:hAnsi="Garamond" w:cs="Times New Roman"/>
          <w:lang w:val="cs-CZ"/>
        </w:rPr>
        <w:t xml:space="preserve">: existence právní úpravy slučitelné s požadavky článku 2 Úmluvy; zda byl vzat v úvahu názor pacienta, blízkých osob, jakož i lékařského personálu; </w:t>
      </w:r>
      <w:r w:rsidR="00AA00C3" w:rsidRPr="007759EE">
        <w:rPr>
          <w:rFonts w:ascii="Garamond" w:hAnsi="Garamond" w:cs="Times New Roman"/>
          <w:lang w:val="cs-CZ"/>
        </w:rPr>
        <w:t>a zda je možné obrátit se na soud v případě vzniku pochybností o tom, jaké je nejlepší řešení v zájmu pacienta.</w:t>
      </w:r>
      <w:r w:rsidR="00F9708E">
        <w:rPr>
          <w:rStyle w:val="FootnoteReference"/>
          <w:rFonts w:ascii="Garamond" w:hAnsi="Garamond" w:cs="Times New Roman"/>
          <w:lang w:val="cs-CZ"/>
        </w:rPr>
        <w:footnoteReference w:id="149"/>
      </w:r>
      <w:r w:rsidR="00AA00C3" w:rsidRPr="007759EE">
        <w:rPr>
          <w:rFonts w:ascii="Garamond" w:hAnsi="Garamond" w:cs="Times New Roman"/>
          <w:lang w:val="cs-CZ"/>
        </w:rPr>
        <w:t xml:space="preserve"> Vzhledem k rozdílné úpravě </w:t>
      </w:r>
      <w:r w:rsidR="00AA00C3" w:rsidRPr="007759EE">
        <w:rPr>
          <w:rFonts w:ascii="Garamond" w:hAnsi="Garamond" w:cs="Times New Roman"/>
          <w:lang w:val="cs-CZ"/>
        </w:rPr>
        <w:lastRenderedPageBreak/>
        <w:t>v jednotlivých smluvních státech soud státům přiznal prostor pro uvážení, nejen ve smyslu rozhodnutí, zda umožnit ukončení umělé výživy, ale také ve smyslu stanovení hranice mezi ochranou pacientova práva na život a práva na respektování soukromého života.</w:t>
      </w:r>
      <w:r w:rsidR="00F9708E">
        <w:rPr>
          <w:rStyle w:val="FootnoteReference"/>
          <w:rFonts w:ascii="Garamond" w:hAnsi="Garamond" w:cs="Times New Roman"/>
          <w:lang w:val="cs-CZ"/>
        </w:rPr>
        <w:footnoteReference w:id="150"/>
      </w:r>
    </w:p>
    <w:p w14:paraId="7ED7360F" w14:textId="7EA4D1B9" w:rsidR="00AA00C3" w:rsidRPr="007759EE" w:rsidRDefault="00AA00C3" w:rsidP="003F3660">
      <w:pPr>
        <w:spacing w:line="360" w:lineRule="auto"/>
        <w:jc w:val="both"/>
        <w:rPr>
          <w:rFonts w:ascii="Garamond" w:hAnsi="Garamond" w:cs="Times New Roman"/>
          <w:lang w:val="cs-CZ"/>
        </w:rPr>
      </w:pPr>
      <w:r w:rsidRPr="007759EE">
        <w:rPr>
          <w:rFonts w:ascii="Garamond" w:hAnsi="Garamond" w:cs="Times New Roman"/>
          <w:lang w:val="cs-CZ"/>
        </w:rPr>
        <w:tab/>
        <w:t xml:space="preserve">Co se týče vytyčených </w:t>
      </w:r>
      <w:proofErr w:type="spellStart"/>
      <w:r w:rsidR="00F860F5" w:rsidRPr="007759EE">
        <w:rPr>
          <w:rFonts w:ascii="Garamond" w:hAnsi="Garamond" w:cs="Times New Roman"/>
          <w:lang w:val="cs-CZ"/>
        </w:rPr>
        <w:t>Lambertových</w:t>
      </w:r>
      <w:proofErr w:type="spellEnd"/>
      <w:r w:rsidRPr="007759EE">
        <w:rPr>
          <w:rFonts w:ascii="Garamond" w:hAnsi="Garamond" w:cs="Times New Roman"/>
          <w:lang w:val="cs-CZ"/>
        </w:rPr>
        <w:t xml:space="preserve"> kritérií, ESLP došel k závěru, že právní úprava je dostatečně jasná, neboť i Státní rada v napadeném rozhodnutí přesně interpretovala formu léčby, která může být zastavena či omezena. </w:t>
      </w:r>
      <w:r w:rsidR="00F860F5" w:rsidRPr="007759EE">
        <w:rPr>
          <w:rFonts w:ascii="Garamond" w:hAnsi="Garamond" w:cs="Times New Roman"/>
          <w:lang w:val="cs-CZ"/>
        </w:rPr>
        <w:t>„</w:t>
      </w:r>
      <w:r w:rsidR="000F7FD1">
        <w:rPr>
          <w:rFonts w:ascii="Garamond" w:hAnsi="Garamond" w:cs="Times New Roman"/>
          <w:lang w:val="cs-CZ"/>
        </w:rPr>
        <w:t>Nerozumná</w:t>
      </w:r>
      <w:r w:rsidRPr="007759EE">
        <w:rPr>
          <w:rFonts w:ascii="Garamond" w:hAnsi="Garamond" w:cs="Times New Roman"/>
          <w:lang w:val="cs-CZ"/>
        </w:rPr>
        <w:t xml:space="preserve"> </w:t>
      </w:r>
      <w:r w:rsidR="000F7FD1">
        <w:rPr>
          <w:rFonts w:ascii="Garamond" w:hAnsi="Garamond" w:cs="Times New Roman"/>
          <w:lang w:val="cs-CZ"/>
        </w:rPr>
        <w:t>neústupnost</w:t>
      </w:r>
      <w:r w:rsidR="00F860F5" w:rsidRPr="007759EE">
        <w:rPr>
          <w:rFonts w:ascii="Garamond" w:hAnsi="Garamond" w:cs="Times New Roman"/>
          <w:lang w:val="cs-CZ"/>
        </w:rPr>
        <w:t>“</w:t>
      </w:r>
      <w:r w:rsidRPr="007759EE">
        <w:rPr>
          <w:rFonts w:ascii="Garamond" w:hAnsi="Garamond" w:cs="Times New Roman"/>
          <w:lang w:val="cs-CZ"/>
        </w:rPr>
        <w:t xml:space="preserve"> léčby byla zákonem definována jakožto léčba zbytečná či disproporcionální nebo která nemá jiný efekt než umělé udržování života. Státní rada ve svém rozhodnutí dále tento pojem rozvinula tak, že samotný fakt</w:t>
      </w:r>
      <w:r w:rsidR="00384642" w:rsidRPr="007759EE">
        <w:rPr>
          <w:rFonts w:ascii="Garamond" w:hAnsi="Garamond" w:cs="Times New Roman"/>
          <w:lang w:val="cs-CZ"/>
        </w:rPr>
        <w:t xml:space="preserve">, že se osoba nachází v nezvratném stavu bezvědomí, sám o sobě nezakládá </w:t>
      </w:r>
      <w:r w:rsidR="00F860F5" w:rsidRPr="007759EE">
        <w:rPr>
          <w:rFonts w:ascii="Garamond" w:hAnsi="Garamond" w:cs="Times New Roman"/>
          <w:lang w:val="cs-CZ"/>
        </w:rPr>
        <w:t>„</w:t>
      </w:r>
      <w:r w:rsidR="000F7FD1">
        <w:rPr>
          <w:rFonts w:ascii="Garamond" w:hAnsi="Garamond" w:cs="Times New Roman"/>
          <w:lang w:val="cs-CZ"/>
        </w:rPr>
        <w:t>nerozumnou</w:t>
      </w:r>
      <w:r w:rsidR="00384642" w:rsidRPr="007759EE">
        <w:rPr>
          <w:rFonts w:ascii="Garamond" w:hAnsi="Garamond" w:cs="Times New Roman"/>
          <w:lang w:val="cs-CZ"/>
        </w:rPr>
        <w:t xml:space="preserve"> </w:t>
      </w:r>
      <w:r w:rsidR="000F7FD1">
        <w:rPr>
          <w:rFonts w:ascii="Garamond" w:hAnsi="Garamond" w:cs="Times New Roman"/>
          <w:lang w:val="cs-CZ"/>
        </w:rPr>
        <w:t>neústupnost</w:t>
      </w:r>
      <w:r w:rsidR="00F860F5" w:rsidRPr="007759EE">
        <w:rPr>
          <w:rFonts w:ascii="Garamond" w:hAnsi="Garamond" w:cs="Times New Roman"/>
          <w:lang w:val="cs-CZ"/>
        </w:rPr>
        <w:t>“</w:t>
      </w:r>
      <w:r w:rsidR="00384642" w:rsidRPr="007759EE">
        <w:rPr>
          <w:rFonts w:ascii="Garamond" w:hAnsi="Garamond" w:cs="Times New Roman"/>
          <w:lang w:val="cs-CZ"/>
        </w:rPr>
        <w:t xml:space="preserve">. Taktéž, že v případech, kdy názor pacienta není znám, nelze automaticky dovozovat jeho odmítnutí </w:t>
      </w:r>
      <w:r w:rsidR="00213195">
        <w:rPr>
          <w:rFonts w:ascii="Garamond" w:hAnsi="Garamond" w:cs="Times New Roman"/>
          <w:lang w:val="cs-CZ"/>
        </w:rPr>
        <w:t>být udržován</w:t>
      </w:r>
      <w:r w:rsidR="00384642" w:rsidRPr="007759EE">
        <w:rPr>
          <w:rFonts w:ascii="Garamond" w:hAnsi="Garamond" w:cs="Times New Roman"/>
          <w:lang w:val="cs-CZ"/>
        </w:rPr>
        <w:t xml:space="preserve"> </w:t>
      </w:r>
      <w:r w:rsidR="00213195">
        <w:rPr>
          <w:rFonts w:ascii="Garamond" w:hAnsi="Garamond" w:cs="Times New Roman"/>
          <w:lang w:val="cs-CZ"/>
        </w:rPr>
        <w:t>při životě</w:t>
      </w:r>
      <w:r w:rsidR="00384642" w:rsidRPr="007759EE">
        <w:rPr>
          <w:rFonts w:ascii="Garamond" w:hAnsi="Garamond" w:cs="Times New Roman"/>
          <w:lang w:val="cs-CZ"/>
        </w:rPr>
        <w:t>.</w:t>
      </w:r>
      <w:r w:rsidR="00F9708E">
        <w:rPr>
          <w:rStyle w:val="FootnoteReference"/>
          <w:rFonts w:ascii="Garamond" w:hAnsi="Garamond" w:cs="Times New Roman"/>
          <w:lang w:val="cs-CZ"/>
        </w:rPr>
        <w:footnoteReference w:id="151"/>
      </w:r>
    </w:p>
    <w:p w14:paraId="2EB94254" w14:textId="6840910C" w:rsidR="00384642" w:rsidRPr="007759EE" w:rsidRDefault="00384642" w:rsidP="003F3660">
      <w:pPr>
        <w:spacing w:line="360" w:lineRule="auto"/>
        <w:jc w:val="both"/>
        <w:rPr>
          <w:rFonts w:ascii="Garamond" w:hAnsi="Garamond" w:cs="Times New Roman"/>
          <w:lang w:val="cs-CZ"/>
        </w:rPr>
      </w:pPr>
      <w:r w:rsidRPr="007759EE">
        <w:rPr>
          <w:rFonts w:ascii="Garamond" w:hAnsi="Garamond" w:cs="Times New Roman"/>
          <w:lang w:val="cs-CZ"/>
        </w:rPr>
        <w:tab/>
        <w:t xml:space="preserve">Pokud jde o zohlednění přání pacienta a dalších osob, soud konstatoval, že vzhledem k tomu, že konzultační proces o ukončení výživy trval přes čtyři měsíce a přesáhl i požadavky kladené zákonem, byl proces získání potřebných názorů </w:t>
      </w:r>
      <w:r w:rsidR="002046EC">
        <w:rPr>
          <w:rFonts w:ascii="Garamond" w:hAnsi="Garamond" w:cs="Times New Roman"/>
          <w:lang w:val="cs-CZ"/>
        </w:rPr>
        <w:t xml:space="preserve">dostatečně </w:t>
      </w:r>
      <w:r w:rsidRPr="007759EE">
        <w:rPr>
          <w:rFonts w:ascii="Garamond" w:hAnsi="Garamond" w:cs="Times New Roman"/>
          <w:lang w:val="cs-CZ"/>
        </w:rPr>
        <w:t>dlouhý, poctivý, v souladu se zákonem a splňující tak požadavky článku 2 Úmluvy.</w:t>
      </w:r>
      <w:r w:rsidR="00F9708E">
        <w:rPr>
          <w:rStyle w:val="FootnoteReference"/>
          <w:rFonts w:ascii="Garamond" w:hAnsi="Garamond" w:cs="Times New Roman"/>
          <w:lang w:val="cs-CZ"/>
        </w:rPr>
        <w:footnoteReference w:id="152"/>
      </w:r>
      <w:r w:rsidRPr="007759EE">
        <w:rPr>
          <w:rFonts w:ascii="Garamond" w:hAnsi="Garamond" w:cs="Times New Roman"/>
          <w:lang w:val="cs-CZ"/>
        </w:rPr>
        <w:t xml:space="preserve"> Soudní přezkum sestával z podané </w:t>
      </w:r>
      <w:r w:rsidR="000F7FD1">
        <w:rPr>
          <w:rFonts w:ascii="Garamond" w:hAnsi="Garamond" w:cs="Times New Roman"/>
          <w:lang w:val="cs-CZ"/>
        </w:rPr>
        <w:t>neodkladné</w:t>
      </w:r>
      <w:r w:rsidRPr="007759EE">
        <w:rPr>
          <w:rFonts w:ascii="Garamond" w:hAnsi="Garamond" w:cs="Times New Roman"/>
          <w:lang w:val="cs-CZ"/>
        </w:rPr>
        <w:t xml:space="preserve"> stížnosti ke správnímu soudu, kde mohl soud pozastavit výkon rozhodnutí. Státní rada jako odvolací orgán rozhodovala v neobvyklém rozšířeném </w:t>
      </w:r>
      <w:r w:rsidR="00954930" w:rsidRPr="007759EE">
        <w:rPr>
          <w:rFonts w:ascii="Garamond" w:hAnsi="Garamond" w:cs="Times New Roman"/>
          <w:lang w:val="cs-CZ"/>
        </w:rPr>
        <w:t>plénu,</w:t>
      </w:r>
      <w:r w:rsidR="0085324F" w:rsidRPr="007759EE">
        <w:rPr>
          <w:rFonts w:ascii="Garamond" w:hAnsi="Garamond" w:cs="Times New Roman"/>
          <w:lang w:val="cs-CZ"/>
        </w:rPr>
        <w:t xml:space="preserve"> a navíc si vyžádala tři nezávislé posudky. Dále se Státní rada pokusila zjistit názor pacienta, vyslechla </w:t>
      </w:r>
      <w:r w:rsidR="002046EC">
        <w:rPr>
          <w:rFonts w:ascii="Garamond" w:hAnsi="Garamond" w:cs="Times New Roman"/>
          <w:lang w:val="cs-CZ"/>
        </w:rPr>
        <w:t>jeho</w:t>
      </w:r>
      <w:r w:rsidR="0085324F" w:rsidRPr="007759EE">
        <w:rPr>
          <w:rFonts w:ascii="Garamond" w:hAnsi="Garamond" w:cs="Times New Roman"/>
          <w:lang w:val="cs-CZ"/>
        </w:rPr>
        <w:t xml:space="preserve"> manželku a další členy rodiny. Vzhledem k tomuto širokému přezkumu ESLP konstatoval, že stát tak dodržel svůj pozitivní závazek plynoucí z článku 2 Úmluvy.</w:t>
      </w:r>
      <w:r w:rsidR="00F9708E">
        <w:rPr>
          <w:rStyle w:val="FootnoteReference"/>
          <w:rFonts w:ascii="Garamond" w:hAnsi="Garamond" w:cs="Times New Roman"/>
          <w:lang w:val="cs-CZ"/>
        </w:rPr>
        <w:footnoteReference w:id="153"/>
      </w:r>
      <w:r w:rsidR="0085324F" w:rsidRPr="007759EE">
        <w:rPr>
          <w:rFonts w:ascii="Garamond" w:hAnsi="Garamond" w:cs="Times New Roman"/>
          <w:lang w:val="cs-CZ"/>
        </w:rPr>
        <w:t xml:space="preserve"> </w:t>
      </w:r>
    </w:p>
    <w:p w14:paraId="6E6879FA" w14:textId="2D2E0DCA" w:rsidR="00D450AF" w:rsidRPr="007759EE" w:rsidRDefault="0085324F" w:rsidP="003F3660">
      <w:pPr>
        <w:spacing w:line="360" w:lineRule="auto"/>
        <w:jc w:val="both"/>
        <w:rPr>
          <w:rFonts w:ascii="Garamond" w:hAnsi="Garamond" w:cs="Times New Roman"/>
          <w:lang w:val="cs-CZ"/>
        </w:rPr>
      </w:pPr>
      <w:r w:rsidRPr="007759EE">
        <w:rPr>
          <w:rFonts w:ascii="Garamond" w:hAnsi="Garamond" w:cs="Times New Roman"/>
          <w:lang w:val="cs-CZ"/>
        </w:rPr>
        <w:tab/>
        <w:t>K rozhodnutí bylo vydáno zajímavé oddělené stanovisko, ve kterém nesouhlasící soudci podotkli, že pacient není napojen na žádné přístroje na podporu života a poskytování umělé výživy a hydratace by mohl</w:t>
      </w:r>
      <w:r w:rsidR="002116CD">
        <w:rPr>
          <w:rFonts w:ascii="Garamond" w:hAnsi="Garamond" w:cs="Times New Roman"/>
          <w:lang w:val="cs-CZ"/>
        </w:rPr>
        <w:t>y</w:t>
      </w:r>
      <w:r w:rsidRPr="007759EE">
        <w:rPr>
          <w:rFonts w:ascii="Garamond" w:hAnsi="Garamond" w:cs="Times New Roman"/>
          <w:lang w:val="cs-CZ"/>
        </w:rPr>
        <w:t xml:space="preserve"> být po zaškolení uskutečňováno i příbuznými pacienta.</w:t>
      </w:r>
      <w:r w:rsidR="00F9708E">
        <w:rPr>
          <w:rStyle w:val="FootnoteReference"/>
          <w:rFonts w:ascii="Garamond" w:hAnsi="Garamond" w:cs="Times New Roman"/>
          <w:lang w:val="cs-CZ"/>
        </w:rPr>
        <w:footnoteReference w:id="154"/>
      </w:r>
      <w:r w:rsidRPr="007759EE">
        <w:rPr>
          <w:rFonts w:ascii="Garamond" w:hAnsi="Garamond" w:cs="Times New Roman"/>
          <w:lang w:val="cs-CZ"/>
        </w:rPr>
        <w:t xml:space="preserve"> Podle tohoto disentu nelze v projednávané věci pochybovat o tom, že jde o lidský život a </w:t>
      </w:r>
      <w:r w:rsidR="00954930" w:rsidRPr="007759EE">
        <w:rPr>
          <w:rFonts w:ascii="Garamond" w:hAnsi="Garamond" w:cs="Times New Roman"/>
          <w:lang w:val="cs-CZ"/>
        </w:rPr>
        <w:t>pacientovi měla</w:t>
      </w:r>
      <w:r w:rsidRPr="007759EE">
        <w:rPr>
          <w:rFonts w:ascii="Garamond" w:hAnsi="Garamond" w:cs="Times New Roman"/>
          <w:lang w:val="cs-CZ"/>
        </w:rPr>
        <w:t xml:space="preserve"> </w:t>
      </w:r>
      <w:r w:rsidR="00954930" w:rsidRPr="007759EE">
        <w:rPr>
          <w:rFonts w:ascii="Garamond" w:hAnsi="Garamond" w:cs="Times New Roman"/>
          <w:lang w:val="cs-CZ"/>
        </w:rPr>
        <w:t xml:space="preserve">být </w:t>
      </w:r>
      <w:r w:rsidR="006528DC" w:rsidRPr="007759EE">
        <w:rPr>
          <w:rFonts w:ascii="Garamond" w:hAnsi="Garamond" w:cs="Times New Roman"/>
          <w:lang w:val="cs-CZ"/>
        </w:rPr>
        <w:t xml:space="preserve">poskytnuta </w:t>
      </w:r>
      <w:r w:rsidRPr="007759EE">
        <w:rPr>
          <w:rFonts w:ascii="Garamond" w:hAnsi="Garamond" w:cs="Times New Roman"/>
          <w:lang w:val="cs-CZ"/>
        </w:rPr>
        <w:t>běžná a přiměřená péče, která zahrnuje i poskytování výživy a hydratace. Ohledně získání názoru pacienta se disent vyjádřil tak, že v takto závažných záležitostech je nutné získat absolutní jistotu. Pokud se vykládá to, co osoba řekla dříve při plném zdraví a v rámci běžné konverzace, což bylo použito jako podklad v projednávaném případě, vystavuje to systém riziku závažného zneužití. I kdyby pacient dříve vyjádřil přání nebýt udržován na živu, neznamená to dle disentujících soudců automaticky přání být zbaven výživy a hydratace.</w:t>
      </w:r>
      <w:r w:rsidR="00F9708E">
        <w:rPr>
          <w:rStyle w:val="FootnoteReference"/>
          <w:rFonts w:ascii="Garamond" w:hAnsi="Garamond" w:cs="Times New Roman"/>
          <w:lang w:val="cs-CZ"/>
        </w:rPr>
        <w:footnoteReference w:id="155"/>
      </w:r>
    </w:p>
    <w:p w14:paraId="225EE751" w14:textId="16F82B4A" w:rsidR="00B1793F" w:rsidRPr="007759EE" w:rsidRDefault="006528DC" w:rsidP="003F3660">
      <w:pPr>
        <w:spacing w:line="360" w:lineRule="auto"/>
        <w:jc w:val="both"/>
        <w:rPr>
          <w:rFonts w:ascii="Garamond" w:hAnsi="Garamond" w:cs="Times New Roman"/>
          <w:lang w:val="cs-CZ"/>
        </w:rPr>
      </w:pPr>
      <w:r w:rsidRPr="007759EE">
        <w:rPr>
          <w:rFonts w:ascii="Garamond" w:hAnsi="Garamond" w:cs="Times New Roman"/>
          <w:lang w:val="cs-CZ"/>
        </w:rPr>
        <w:lastRenderedPageBreak/>
        <w:tab/>
        <w:t xml:space="preserve">V projednávaném případě je velmi problematický bod zjišťování </w:t>
      </w:r>
      <w:r w:rsidR="00F6050E" w:rsidRPr="007759EE">
        <w:rPr>
          <w:rFonts w:ascii="Garamond" w:hAnsi="Garamond" w:cs="Times New Roman"/>
          <w:lang w:val="cs-CZ"/>
        </w:rPr>
        <w:t xml:space="preserve">přání pacienta, který se z důvodu svého zdravotního stavu nemůže vyjádřit. </w:t>
      </w:r>
      <w:r w:rsidR="00B308D3" w:rsidRPr="007759EE">
        <w:rPr>
          <w:rFonts w:ascii="Garamond" w:hAnsi="Garamond" w:cs="Times New Roman"/>
          <w:lang w:val="cs-CZ"/>
        </w:rPr>
        <w:t>Tento</w:t>
      </w:r>
      <w:r w:rsidR="00F6050E" w:rsidRPr="007759EE">
        <w:rPr>
          <w:rFonts w:ascii="Garamond" w:hAnsi="Garamond" w:cs="Times New Roman"/>
          <w:lang w:val="cs-CZ"/>
        </w:rPr>
        <w:t xml:space="preserve"> bod spadá do kategorie</w:t>
      </w:r>
      <w:r w:rsidR="00B308D3" w:rsidRPr="007759EE">
        <w:rPr>
          <w:rFonts w:ascii="Garamond" w:hAnsi="Garamond" w:cs="Times New Roman"/>
          <w:lang w:val="cs-CZ"/>
        </w:rPr>
        <w:t xml:space="preserve"> </w:t>
      </w:r>
      <w:r w:rsidR="00F6050E" w:rsidRPr="007759EE">
        <w:rPr>
          <w:rFonts w:ascii="Garamond" w:hAnsi="Garamond" w:cs="Times New Roman"/>
          <w:lang w:val="cs-CZ"/>
        </w:rPr>
        <w:t>dříve vyslovených přání a jako jeden z</w:t>
      </w:r>
      <w:r w:rsidR="00B308D3" w:rsidRPr="007759EE">
        <w:rPr>
          <w:rFonts w:ascii="Garamond" w:hAnsi="Garamond" w:cs="Times New Roman"/>
          <w:lang w:val="cs-CZ"/>
        </w:rPr>
        <w:t xml:space="preserve"> jeho </w:t>
      </w:r>
      <w:r w:rsidR="00F6050E" w:rsidRPr="007759EE">
        <w:rPr>
          <w:rFonts w:ascii="Garamond" w:hAnsi="Garamond" w:cs="Times New Roman"/>
          <w:lang w:val="cs-CZ"/>
        </w:rPr>
        <w:t>hlavních problémů považuji tzv. prospektivní autonomii</w:t>
      </w:r>
      <w:r w:rsidR="006E54BD" w:rsidRPr="007759EE">
        <w:rPr>
          <w:rFonts w:ascii="Garamond" w:hAnsi="Garamond" w:cs="Times New Roman"/>
          <w:lang w:val="cs-CZ"/>
        </w:rPr>
        <w:t xml:space="preserve"> dříve vysloveného přání</w:t>
      </w:r>
      <w:r w:rsidR="00F6050E" w:rsidRPr="007759EE">
        <w:rPr>
          <w:rFonts w:ascii="Garamond" w:hAnsi="Garamond" w:cs="Times New Roman"/>
          <w:lang w:val="cs-CZ"/>
        </w:rPr>
        <w:t>.</w:t>
      </w:r>
      <w:r w:rsidR="00F6050E" w:rsidRPr="007759EE">
        <w:rPr>
          <w:rStyle w:val="FootnoteReference"/>
          <w:rFonts w:ascii="Garamond" w:hAnsi="Garamond" w:cs="Times New Roman"/>
          <w:lang w:val="cs-CZ"/>
        </w:rPr>
        <w:footnoteReference w:id="156"/>
      </w:r>
      <w:r w:rsidR="00F6050E" w:rsidRPr="007759EE">
        <w:rPr>
          <w:rFonts w:ascii="Garamond" w:hAnsi="Garamond" w:cs="Times New Roman"/>
          <w:lang w:val="cs-CZ"/>
        </w:rPr>
        <w:t xml:space="preserve"> </w:t>
      </w:r>
      <w:r w:rsidR="006E54BD" w:rsidRPr="007759EE">
        <w:rPr>
          <w:rFonts w:ascii="Garamond" w:hAnsi="Garamond" w:cs="Times New Roman"/>
          <w:lang w:val="cs-CZ"/>
        </w:rPr>
        <w:t xml:space="preserve"> </w:t>
      </w:r>
      <w:r w:rsidR="00B308D3" w:rsidRPr="007759EE">
        <w:rPr>
          <w:rFonts w:ascii="Garamond" w:hAnsi="Garamond" w:cs="Times New Roman"/>
          <w:lang w:val="cs-CZ"/>
        </w:rPr>
        <w:t>Doležal</w:t>
      </w:r>
      <w:r w:rsidR="003C6DBA">
        <w:rPr>
          <w:rStyle w:val="FootnoteReference"/>
          <w:rFonts w:ascii="Garamond" w:hAnsi="Garamond" w:cs="Times New Roman"/>
          <w:lang w:val="cs-CZ"/>
        </w:rPr>
        <w:footnoteReference w:id="157"/>
      </w:r>
      <w:r w:rsidR="00B308D3" w:rsidRPr="007759EE">
        <w:rPr>
          <w:rFonts w:ascii="Garamond" w:hAnsi="Garamond" w:cs="Times New Roman"/>
          <w:lang w:val="cs-CZ"/>
        </w:rPr>
        <w:t xml:space="preserve"> poukazuje zejména na fakt, že člověk se v časovém horizontu vyvíjí a mění a není tak zcela jisté, zda dokáže správně posoudit budoucí situaci. </w:t>
      </w:r>
      <w:r w:rsidR="00F6050E" w:rsidRPr="007759EE">
        <w:rPr>
          <w:rFonts w:ascii="Garamond" w:hAnsi="Garamond" w:cs="Times New Roman"/>
          <w:lang w:val="cs-CZ"/>
        </w:rPr>
        <w:t>Institut dříve vysloveného přání upravuje čl. 9 Úmluvy o lidských právech a biomedicíně, který stanoví</w:t>
      </w:r>
      <w:r w:rsidR="00DE7B54" w:rsidRPr="007759EE">
        <w:rPr>
          <w:rFonts w:ascii="Garamond" w:hAnsi="Garamond" w:cs="Times New Roman"/>
          <w:lang w:val="cs-CZ"/>
        </w:rPr>
        <w:t xml:space="preserve">, že </w:t>
      </w:r>
      <w:r w:rsidR="00B308D3" w:rsidRPr="007759EE">
        <w:rPr>
          <w:rFonts w:ascii="Garamond" w:hAnsi="Garamond" w:cs="Times New Roman"/>
          <w:lang w:val="cs-CZ"/>
        </w:rPr>
        <w:t>je nutné vzít v úvahu dříve vyslovená přání pacienta ohledně lékařského zákroku, pokud pacient v době tohoto zákroku není ve stavu, kdy může své přání vyjádřit.</w:t>
      </w:r>
      <w:r w:rsidR="00790C21" w:rsidRPr="007759EE">
        <w:rPr>
          <w:rStyle w:val="FootnoteReference"/>
          <w:rFonts w:ascii="Garamond" w:hAnsi="Garamond" w:cs="Times New Roman"/>
          <w:lang w:val="cs-CZ"/>
        </w:rPr>
        <w:footnoteReference w:id="158"/>
      </w:r>
    </w:p>
    <w:p w14:paraId="4860D3C2" w14:textId="43E46099" w:rsidR="00B308D3" w:rsidRPr="007759EE" w:rsidRDefault="00B1793F" w:rsidP="003F3660">
      <w:pPr>
        <w:spacing w:line="360" w:lineRule="auto"/>
        <w:jc w:val="both"/>
        <w:rPr>
          <w:rFonts w:ascii="Garamond" w:hAnsi="Garamond" w:cs="Times New Roman"/>
          <w:lang w:val="cs-CZ"/>
        </w:rPr>
      </w:pPr>
      <w:r w:rsidRPr="007759EE">
        <w:rPr>
          <w:rFonts w:ascii="Garamond" w:hAnsi="Garamond" w:cs="Times New Roman"/>
          <w:lang w:val="cs-CZ"/>
        </w:rPr>
        <w:tab/>
        <w:t>Vůč</w:t>
      </w:r>
      <w:r w:rsidR="0082477B" w:rsidRPr="007759EE">
        <w:rPr>
          <w:rFonts w:ascii="Garamond" w:hAnsi="Garamond" w:cs="Times New Roman"/>
          <w:lang w:val="cs-CZ"/>
        </w:rPr>
        <w:t xml:space="preserve">i </w:t>
      </w:r>
      <w:r w:rsidR="0085197E" w:rsidRPr="007759EE">
        <w:rPr>
          <w:rFonts w:ascii="Garamond" w:hAnsi="Garamond" w:cs="Times New Roman"/>
          <w:lang w:val="cs-CZ"/>
        </w:rPr>
        <w:t>této kritice je však důležité zmínit výsledky nizozemské studie na téma stability preferencí k ukončení života ve vztahu ke zdravotnímu stavu a dalším životním událostem.</w:t>
      </w:r>
      <w:r w:rsidR="0085197E" w:rsidRPr="007759EE">
        <w:rPr>
          <w:rStyle w:val="FootnoteReference"/>
          <w:rFonts w:ascii="Garamond" w:hAnsi="Garamond" w:cs="Times New Roman"/>
          <w:lang w:val="cs-CZ"/>
        </w:rPr>
        <w:footnoteReference w:id="159"/>
      </w:r>
      <w:r w:rsidR="0095770A" w:rsidRPr="007759EE">
        <w:rPr>
          <w:rFonts w:ascii="Garamond" w:hAnsi="Garamond" w:cs="Times New Roman"/>
          <w:lang w:val="cs-CZ"/>
        </w:rPr>
        <w:t xml:space="preserve"> Tato studie porovnávala dříve vyslovená přání respondentů k lékařské péči v případě změn </w:t>
      </w:r>
      <w:r w:rsidR="00E82DC7" w:rsidRPr="007759EE">
        <w:rPr>
          <w:rFonts w:ascii="Garamond" w:hAnsi="Garamond" w:cs="Times New Roman"/>
          <w:lang w:val="cs-CZ"/>
        </w:rPr>
        <w:t xml:space="preserve">jejich </w:t>
      </w:r>
      <w:r w:rsidR="0095770A" w:rsidRPr="007759EE">
        <w:rPr>
          <w:rFonts w:ascii="Garamond" w:hAnsi="Garamond" w:cs="Times New Roman"/>
          <w:lang w:val="cs-CZ"/>
        </w:rPr>
        <w:t>zdravotního stavu</w:t>
      </w:r>
      <w:r w:rsidR="00E82DC7" w:rsidRPr="007759EE">
        <w:rPr>
          <w:rFonts w:ascii="Garamond" w:hAnsi="Garamond" w:cs="Times New Roman"/>
          <w:lang w:val="cs-CZ"/>
        </w:rPr>
        <w:t xml:space="preserve">. </w:t>
      </w:r>
      <w:r w:rsidR="0095770A" w:rsidRPr="007759EE">
        <w:rPr>
          <w:rFonts w:ascii="Garamond" w:hAnsi="Garamond" w:cs="Times New Roman"/>
          <w:lang w:val="cs-CZ"/>
        </w:rPr>
        <w:t xml:space="preserve">Institut dříve vyslovených přání </w:t>
      </w:r>
      <w:r w:rsidR="00E82DC7" w:rsidRPr="007759EE">
        <w:rPr>
          <w:rFonts w:ascii="Garamond" w:hAnsi="Garamond" w:cs="Times New Roman"/>
          <w:lang w:val="cs-CZ"/>
        </w:rPr>
        <w:t xml:space="preserve">se </w:t>
      </w:r>
      <w:r w:rsidR="0095770A" w:rsidRPr="007759EE">
        <w:rPr>
          <w:rFonts w:ascii="Garamond" w:hAnsi="Garamond" w:cs="Times New Roman"/>
          <w:lang w:val="cs-CZ"/>
        </w:rPr>
        <w:t xml:space="preserve">v Nizozemsku užívá v případě poskytování </w:t>
      </w:r>
      <w:r w:rsidR="00E82DC7" w:rsidRPr="007759EE">
        <w:rPr>
          <w:rFonts w:ascii="Garamond" w:hAnsi="Garamond" w:cs="Times New Roman"/>
          <w:lang w:val="cs-CZ"/>
        </w:rPr>
        <w:t xml:space="preserve">paliativní </w:t>
      </w:r>
      <w:r w:rsidR="0095770A" w:rsidRPr="007759EE">
        <w:rPr>
          <w:rFonts w:ascii="Garamond" w:hAnsi="Garamond" w:cs="Times New Roman"/>
          <w:lang w:val="cs-CZ"/>
        </w:rPr>
        <w:t xml:space="preserve">péče osobám, které v důsledku svého zdravotního stavu nejsou schopny </w:t>
      </w:r>
      <w:r w:rsidR="00E82DC7" w:rsidRPr="007759EE">
        <w:rPr>
          <w:rFonts w:ascii="Garamond" w:hAnsi="Garamond" w:cs="Times New Roman"/>
          <w:lang w:val="cs-CZ"/>
        </w:rPr>
        <w:t xml:space="preserve">nadále </w:t>
      </w:r>
      <w:r w:rsidR="0095770A" w:rsidRPr="007759EE">
        <w:rPr>
          <w:rFonts w:ascii="Garamond" w:hAnsi="Garamond" w:cs="Times New Roman"/>
          <w:lang w:val="cs-CZ"/>
        </w:rPr>
        <w:t xml:space="preserve">vyjádřit svá přání. </w:t>
      </w:r>
      <w:r w:rsidR="00E82DC7" w:rsidRPr="007759EE">
        <w:rPr>
          <w:rFonts w:ascii="Garamond" w:hAnsi="Garamond" w:cs="Times New Roman"/>
          <w:lang w:val="cs-CZ"/>
        </w:rPr>
        <w:t>Cílem studie bylo zjistit, zda se názory na paliativní péči</w:t>
      </w:r>
      <w:r w:rsidR="0095770A" w:rsidRPr="007759EE">
        <w:rPr>
          <w:rFonts w:ascii="Garamond" w:hAnsi="Garamond" w:cs="Times New Roman"/>
          <w:lang w:val="cs-CZ"/>
        </w:rPr>
        <w:t xml:space="preserve"> </w:t>
      </w:r>
      <w:r w:rsidR="00E82DC7" w:rsidRPr="007759EE">
        <w:rPr>
          <w:rFonts w:ascii="Garamond" w:hAnsi="Garamond" w:cs="Times New Roman"/>
          <w:lang w:val="cs-CZ"/>
        </w:rPr>
        <w:t xml:space="preserve">osob, které sepsaly svá dříve vyslovená přání, změní po prožití významné životní události. Podle </w:t>
      </w:r>
      <w:r w:rsidR="0095770A" w:rsidRPr="007759EE">
        <w:rPr>
          <w:rFonts w:ascii="Garamond" w:hAnsi="Garamond" w:cs="Times New Roman"/>
          <w:lang w:val="cs-CZ"/>
        </w:rPr>
        <w:t>této šestileté studie 96.9-98.1</w:t>
      </w:r>
      <w:r w:rsidR="00025EBF" w:rsidRPr="007759EE">
        <w:rPr>
          <w:rFonts w:ascii="Garamond" w:hAnsi="Garamond" w:cs="Times New Roman"/>
          <w:lang w:val="cs-CZ"/>
        </w:rPr>
        <w:t xml:space="preserve"> </w:t>
      </w:r>
      <w:r w:rsidR="0095770A" w:rsidRPr="007759EE">
        <w:rPr>
          <w:rFonts w:ascii="Garamond" w:hAnsi="Garamond" w:cs="Times New Roman"/>
          <w:lang w:val="cs-CZ"/>
        </w:rPr>
        <w:t>% respondentů, kteří prožili určitou významnou životní událost, mělo stejné či silnější preference</w:t>
      </w:r>
      <w:r w:rsidR="00E82DC7" w:rsidRPr="007759EE">
        <w:rPr>
          <w:rFonts w:ascii="Garamond" w:hAnsi="Garamond" w:cs="Times New Roman"/>
          <w:lang w:val="cs-CZ"/>
        </w:rPr>
        <w:t xml:space="preserve"> k otázkám následné péče.</w:t>
      </w:r>
      <w:r w:rsidR="00E82DC7" w:rsidRPr="007759EE">
        <w:rPr>
          <w:rStyle w:val="FootnoteReference"/>
          <w:rFonts w:ascii="Garamond" w:hAnsi="Garamond" w:cs="Times New Roman"/>
          <w:lang w:val="cs-CZ"/>
        </w:rPr>
        <w:footnoteReference w:id="160"/>
      </w:r>
      <w:r w:rsidR="00E82DC7" w:rsidRPr="007759EE">
        <w:rPr>
          <w:rFonts w:ascii="Garamond" w:hAnsi="Garamond" w:cs="Times New Roman"/>
          <w:lang w:val="cs-CZ"/>
        </w:rPr>
        <w:t xml:space="preserve"> Tyto výsledky tak významně vyvrací hypotézu </w:t>
      </w:r>
      <w:r w:rsidR="00A6396B" w:rsidRPr="007759EE">
        <w:rPr>
          <w:rFonts w:ascii="Garamond" w:hAnsi="Garamond" w:cs="Times New Roman"/>
          <w:lang w:val="cs-CZ"/>
        </w:rPr>
        <w:t>nestability názorů a potvrzují, že institut dříve vyslovených přání může fungovat.</w:t>
      </w:r>
    </w:p>
    <w:p w14:paraId="6F670419" w14:textId="2DA4A02B" w:rsidR="00A6396B" w:rsidRPr="007759EE" w:rsidRDefault="00A6396B" w:rsidP="003F3660">
      <w:pPr>
        <w:spacing w:line="360" w:lineRule="auto"/>
        <w:jc w:val="both"/>
        <w:rPr>
          <w:rFonts w:ascii="Garamond" w:hAnsi="Garamond" w:cs="Times New Roman"/>
          <w:lang w:val="cs-CZ"/>
        </w:rPr>
      </w:pPr>
      <w:r w:rsidRPr="007759EE">
        <w:rPr>
          <w:rFonts w:ascii="Garamond" w:hAnsi="Garamond" w:cs="Times New Roman"/>
          <w:lang w:val="cs-CZ"/>
        </w:rPr>
        <w:tab/>
      </w:r>
      <w:r w:rsidR="0076600A" w:rsidRPr="007759EE">
        <w:rPr>
          <w:rFonts w:ascii="Garamond" w:hAnsi="Garamond" w:cs="Times New Roman"/>
          <w:lang w:val="cs-CZ"/>
        </w:rPr>
        <w:t xml:space="preserve">Rodinný spor </w:t>
      </w:r>
      <w:r w:rsidR="00800369" w:rsidRPr="007759EE">
        <w:rPr>
          <w:rFonts w:ascii="Garamond" w:hAnsi="Garamond" w:cs="Times New Roman"/>
          <w:lang w:val="cs-CZ"/>
        </w:rPr>
        <w:t xml:space="preserve">o tom, jaké by bylo rozhodnutí pacienta, který se nemůže vyjádřit, o otázce života a smrti se objevuje i v jiných jurisdikcích. Významným v tomto směru pak byl případ </w:t>
      </w:r>
      <w:proofErr w:type="spellStart"/>
      <w:r w:rsidR="00800369" w:rsidRPr="007759EE">
        <w:rPr>
          <w:rFonts w:ascii="Garamond" w:hAnsi="Garamond" w:cs="Times New Roman"/>
          <w:lang w:val="cs-CZ"/>
        </w:rPr>
        <w:t>Terri</w:t>
      </w:r>
      <w:proofErr w:type="spellEnd"/>
      <w:r w:rsidR="00800369" w:rsidRPr="007759EE">
        <w:rPr>
          <w:rFonts w:ascii="Garamond" w:hAnsi="Garamond" w:cs="Times New Roman"/>
          <w:lang w:val="cs-CZ"/>
        </w:rPr>
        <w:t xml:space="preserve"> </w:t>
      </w:r>
      <w:proofErr w:type="spellStart"/>
      <w:r w:rsidR="00800369" w:rsidRPr="007759EE">
        <w:rPr>
          <w:rFonts w:ascii="Garamond" w:hAnsi="Garamond" w:cs="Times New Roman"/>
          <w:lang w:val="cs-CZ"/>
        </w:rPr>
        <w:t>Schiavo</w:t>
      </w:r>
      <w:proofErr w:type="spellEnd"/>
      <w:r w:rsidR="001E2909" w:rsidRPr="007759EE">
        <w:rPr>
          <w:rStyle w:val="FootnoteReference"/>
          <w:rFonts w:ascii="Garamond" w:hAnsi="Garamond" w:cs="Times New Roman"/>
          <w:lang w:val="cs-CZ"/>
        </w:rPr>
        <w:footnoteReference w:id="161"/>
      </w:r>
      <w:r w:rsidR="001E2909" w:rsidRPr="007759EE">
        <w:rPr>
          <w:rFonts w:ascii="Garamond" w:hAnsi="Garamond" w:cs="Times New Roman"/>
          <w:lang w:val="cs-CZ"/>
        </w:rPr>
        <w:t xml:space="preserve">. </w:t>
      </w:r>
      <w:r w:rsidR="00A74470" w:rsidRPr="007759EE">
        <w:rPr>
          <w:rFonts w:ascii="Garamond" w:hAnsi="Garamond" w:cs="Times New Roman"/>
          <w:lang w:val="cs-CZ"/>
        </w:rPr>
        <w:t xml:space="preserve">V tomto případě soud své rozhodnutí založil taktéž na předchozích vyjádření pacientky. Při návštěvě své babičky na jednotce intenzivní péče se měla pacientka vyjádřit, že pokud by měla někdy ona sama představovat „zátěž“, nechtěla by ve svém životě pokračovat. Taktéž při všední konverzaci se svým manželem nad televizním programem měla uvést, že by nechtěla být uměle udržována při životě. </w:t>
      </w:r>
      <w:r w:rsidR="007E1CAF" w:rsidRPr="007759EE">
        <w:rPr>
          <w:rFonts w:ascii="Garamond" w:hAnsi="Garamond" w:cs="Times New Roman"/>
          <w:lang w:val="cs-CZ"/>
        </w:rPr>
        <w:t>Prvostupňový</w:t>
      </w:r>
      <w:r w:rsidR="00A74470" w:rsidRPr="007759EE">
        <w:rPr>
          <w:rFonts w:ascii="Garamond" w:hAnsi="Garamond" w:cs="Times New Roman"/>
          <w:lang w:val="cs-CZ"/>
        </w:rPr>
        <w:t xml:space="preserve"> soud na základě těchto předchozích verbálních vyjádření </w:t>
      </w:r>
      <w:r w:rsidR="00A74470" w:rsidRPr="007759EE">
        <w:rPr>
          <w:rFonts w:ascii="Garamond" w:hAnsi="Garamond" w:cs="Times New Roman"/>
          <w:lang w:val="cs-CZ"/>
        </w:rPr>
        <w:lastRenderedPageBreak/>
        <w:t xml:space="preserve">potvrdil, že </w:t>
      </w:r>
      <w:r w:rsidR="007E1CAF" w:rsidRPr="007759EE">
        <w:rPr>
          <w:rFonts w:ascii="Garamond" w:hAnsi="Garamond" w:cs="Times New Roman"/>
          <w:lang w:val="cs-CZ"/>
        </w:rPr>
        <w:t>se jedná o</w:t>
      </w:r>
      <w:r w:rsidR="00A74470" w:rsidRPr="007759EE">
        <w:rPr>
          <w:rFonts w:ascii="Garamond" w:hAnsi="Garamond" w:cs="Times New Roman"/>
          <w:lang w:val="cs-CZ"/>
        </w:rPr>
        <w:t xml:space="preserve"> spolehliv</w:t>
      </w:r>
      <w:r w:rsidR="007E1CAF" w:rsidRPr="007759EE">
        <w:rPr>
          <w:rFonts w:ascii="Garamond" w:hAnsi="Garamond" w:cs="Times New Roman"/>
          <w:lang w:val="cs-CZ"/>
        </w:rPr>
        <w:t xml:space="preserve">ou a věrohodnou výpověď a </w:t>
      </w:r>
      <w:r w:rsidR="008C60F5">
        <w:rPr>
          <w:rFonts w:ascii="Garamond" w:hAnsi="Garamond" w:cs="Times New Roman"/>
          <w:lang w:val="cs-CZ"/>
        </w:rPr>
        <w:t xml:space="preserve">tato vyjádření </w:t>
      </w:r>
      <w:r w:rsidR="007E1CAF" w:rsidRPr="007759EE">
        <w:rPr>
          <w:rFonts w:ascii="Garamond" w:hAnsi="Garamond" w:cs="Times New Roman"/>
          <w:lang w:val="cs-CZ"/>
        </w:rPr>
        <w:t>představují jasný a přesvědčivý důkaz soudu.</w:t>
      </w:r>
      <w:r w:rsidR="007E1CAF" w:rsidRPr="007759EE">
        <w:rPr>
          <w:rStyle w:val="FootnoteReference"/>
          <w:rFonts w:ascii="Garamond" w:hAnsi="Garamond" w:cs="Times New Roman"/>
          <w:lang w:val="cs-CZ"/>
        </w:rPr>
        <w:footnoteReference w:id="162"/>
      </w:r>
    </w:p>
    <w:p w14:paraId="73C5BC88" w14:textId="6190CADB" w:rsidR="0029081F" w:rsidRPr="007759EE" w:rsidRDefault="00D450AF" w:rsidP="003F3660">
      <w:pPr>
        <w:spacing w:line="360" w:lineRule="auto"/>
        <w:jc w:val="both"/>
        <w:rPr>
          <w:rFonts w:ascii="Garamond" w:hAnsi="Garamond" w:cs="Times New Roman"/>
          <w:lang w:val="cs-CZ"/>
        </w:rPr>
      </w:pPr>
      <w:r w:rsidRPr="007759EE">
        <w:rPr>
          <w:rFonts w:ascii="Garamond" w:hAnsi="Garamond" w:cs="Times New Roman"/>
          <w:lang w:val="cs-CZ"/>
        </w:rPr>
        <w:tab/>
      </w:r>
      <w:r w:rsidR="002046EC">
        <w:rPr>
          <w:rFonts w:ascii="Garamond" w:hAnsi="Garamond" w:cs="Times New Roman"/>
          <w:lang w:val="cs-CZ"/>
        </w:rPr>
        <w:t xml:space="preserve">Velice medializovaným případem pasivní eutanazie byl případ </w:t>
      </w:r>
      <w:r w:rsidR="002046EC">
        <w:rPr>
          <w:rFonts w:ascii="Garamond" w:hAnsi="Garamond" w:cs="Times New Roman"/>
          <w:i/>
          <w:lang w:val="cs-CZ"/>
        </w:rPr>
        <w:t xml:space="preserve">Gard a další proti Spojenému </w:t>
      </w:r>
      <w:r w:rsidR="002046EC" w:rsidRPr="002046EC">
        <w:rPr>
          <w:rFonts w:ascii="Garamond" w:hAnsi="Garamond" w:cs="Times New Roman"/>
          <w:i/>
          <w:lang w:val="cs-CZ"/>
        </w:rPr>
        <w:t>království</w:t>
      </w:r>
      <w:r w:rsidR="002046EC">
        <w:rPr>
          <w:rFonts w:ascii="Garamond" w:hAnsi="Garamond" w:cs="Times New Roman"/>
          <w:lang w:val="cs-CZ"/>
        </w:rPr>
        <w:t xml:space="preserve">. </w:t>
      </w:r>
      <w:r w:rsidR="00F93179" w:rsidRPr="002046EC">
        <w:rPr>
          <w:rFonts w:ascii="Garamond" w:hAnsi="Garamond" w:cs="Times New Roman"/>
          <w:lang w:val="cs-CZ"/>
        </w:rPr>
        <w:t>Několikaměsíční</w:t>
      </w:r>
      <w:r w:rsidR="00F93179" w:rsidRPr="007759EE">
        <w:rPr>
          <w:rFonts w:ascii="Garamond" w:hAnsi="Garamond" w:cs="Times New Roman"/>
          <w:lang w:val="cs-CZ"/>
        </w:rPr>
        <w:t xml:space="preserve"> pacient Charlie Gard trpěl od narození nevyléčitelnou nemocí způsobenou mutací genů. Pacient musel být udržován na umělé plicní ventilaci a výživě. </w:t>
      </w:r>
      <w:r w:rsidR="0029081F" w:rsidRPr="007759EE">
        <w:rPr>
          <w:rFonts w:ascii="Garamond" w:hAnsi="Garamond" w:cs="Times New Roman"/>
          <w:lang w:val="cs-CZ"/>
        </w:rPr>
        <w:t xml:space="preserve">Jeho rodiče se dozvěděli </w:t>
      </w:r>
      <w:r w:rsidR="002046EC">
        <w:rPr>
          <w:rFonts w:ascii="Garamond" w:hAnsi="Garamond" w:cs="Times New Roman"/>
          <w:lang w:val="cs-CZ"/>
        </w:rPr>
        <w:t>o</w:t>
      </w:r>
      <w:r w:rsidR="0029081F" w:rsidRPr="007759EE">
        <w:rPr>
          <w:rFonts w:ascii="Garamond" w:hAnsi="Garamond" w:cs="Times New Roman"/>
          <w:lang w:val="cs-CZ"/>
        </w:rPr>
        <w:t xml:space="preserve"> formě experimentální léčby, která sice dosud nebyla na lidech vyzkoušena, ale po konzultaci s americkým profesorem neurologie zde teoretická možnost byla. Jelikož se však jednalo o experimentální léčbu, musela být autorizována Etickou komisí. Bohužel předtím</w:t>
      </w:r>
      <w:r w:rsidR="00A6396B" w:rsidRPr="007759EE">
        <w:rPr>
          <w:rFonts w:ascii="Garamond" w:hAnsi="Garamond" w:cs="Times New Roman"/>
          <w:lang w:val="cs-CZ"/>
        </w:rPr>
        <w:t>,</w:t>
      </w:r>
      <w:r w:rsidR="0029081F" w:rsidRPr="007759EE">
        <w:rPr>
          <w:rFonts w:ascii="Garamond" w:hAnsi="Garamond" w:cs="Times New Roman"/>
          <w:lang w:val="cs-CZ"/>
        </w:rPr>
        <w:t xml:space="preserve"> než mohla být léčba projednána, pacient prodělal další epileptický záchvat a ošetřující lékaři dovodili, že experimentální léčba </w:t>
      </w:r>
      <w:r w:rsidR="002046EC">
        <w:rPr>
          <w:rFonts w:ascii="Garamond" w:hAnsi="Garamond" w:cs="Times New Roman"/>
          <w:lang w:val="cs-CZ"/>
        </w:rPr>
        <w:t>by byla</w:t>
      </w:r>
      <w:r w:rsidR="0029081F" w:rsidRPr="007759EE">
        <w:rPr>
          <w:rFonts w:ascii="Garamond" w:hAnsi="Garamond" w:cs="Times New Roman"/>
          <w:lang w:val="cs-CZ"/>
        </w:rPr>
        <w:t xml:space="preserve"> marná a pouze by prodloužila pacientovo utrpení. </w:t>
      </w:r>
    </w:p>
    <w:p w14:paraId="704FF064" w14:textId="42D8FFC5" w:rsidR="00500C9D" w:rsidRPr="007759EE" w:rsidRDefault="00500C9D" w:rsidP="003F3660">
      <w:pPr>
        <w:spacing w:line="360" w:lineRule="auto"/>
        <w:jc w:val="both"/>
        <w:rPr>
          <w:rFonts w:ascii="Garamond" w:hAnsi="Garamond" w:cs="Times New Roman"/>
          <w:lang w:val="cs-CZ"/>
        </w:rPr>
      </w:pPr>
      <w:r w:rsidRPr="007759EE">
        <w:rPr>
          <w:rFonts w:ascii="Garamond" w:hAnsi="Garamond" w:cs="Times New Roman"/>
          <w:lang w:val="cs-CZ"/>
        </w:rPr>
        <w:tab/>
        <w:t xml:space="preserve">V únoru 2017 podala dotčená nemocnice žádost k vrchnímu soudu, aby vydal rozhodnutí o </w:t>
      </w:r>
      <w:r w:rsidR="000A410E" w:rsidRPr="007759EE">
        <w:rPr>
          <w:rFonts w:ascii="Garamond" w:hAnsi="Garamond" w:cs="Times New Roman"/>
          <w:lang w:val="cs-CZ"/>
        </w:rPr>
        <w:t>ne</w:t>
      </w:r>
      <w:r w:rsidRPr="007759EE">
        <w:rPr>
          <w:rFonts w:ascii="Garamond" w:hAnsi="Garamond" w:cs="Times New Roman"/>
          <w:lang w:val="cs-CZ"/>
        </w:rPr>
        <w:t>zákonnosti ukončení umělé plicní ventilace a namísto ní poskytnutí paliativní péče. Pacientovi rodiče oponovali s tvrzením, zda by nebylo v nejlepším zájmu pacienta, aby absolvova</w:t>
      </w:r>
      <w:r w:rsidR="00536B45" w:rsidRPr="007759EE">
        <w:rPr>
          <w:rFonts w:ascii="Garamond" w:hAnsi="Garamond" w:cs="Times New Roman"/>
          <w:lang w:val="cs-CZ"/>
        </w:rPr>
        <w:t>l</w:t>
      </w:r>
      <w:r w:rsidRPr="007759EE">
        <w:rPr>
          <w:rFonts w:ascii="Garamond" w:hAnsi="Garamond" w:cs="Times New Roman"/>
          <w:lang w:val="cs-CZ"/>
        </w:rPr>
        <w:t xml:space="preserve"> experimentální léčbu ve Spojených státech. </w:t>
      </w:r>
      <w:r w:rsidR="00536B45" w:rsidRPr="007759EE">
        <w:rPr>
          <w:rFonts w:ascii="Garamond" w:hAnsi="Garamond" w:cs="Times New Roman"/>
          <w:lang w:val="cs-CZ"/>
        </w:rPr>
        <w:t>Soud prvního stupně konstatoval, že ačkoli pacientovým rodičům náleží rodičovská odpovědnost, pravomoc rozhodnout v této věci náleží ze zákona soudu, který tak činí na základě nezávislého a objektivního úsudku, a to v nejlepším zájmu dítěte.</w:t>
      </w:r>
      <w:r w:rsidR="00536B45" w:rsidRPr="007759EE">
        <w:rPr>
          <w:rStyle w:val="FootnoteReference"/>
          <w:rFonts w:ascii="Garamond" w:hAnsi="Garamond" w:cs="Times New Roman"/>
          <w:lang w:val="cs-CZ"/>
        </w:rPr>
        <w:footnoteReference w:id="163"/>
      </w:r>
      <w:r w:rsidR="00536B45" w:rsidRPr="007759EE">
        <w:rPr>
          <w:rFonts w:ascii="Garamond" w:hAnsi="Garamond" w:cs="Times New Roman"/>
          <w:lang w:val="cs-CZ"/>
        </w:rPr>
        <w:t xml:space="preserve"> Dále pak odkázal na judikaturu Nejvyššího soudu</w:t>
      </w:r>
      <w:r w:rsidR="00536B45" w:rsidRPr="007759EE">
        <w:rPr>
          <w:rStyle w:val="FootnoteReference"/>
          <w:rFonts w:ascii="Garamond" w:hAnsi="Garamond" w:cs="Times New Roman"/>
          <w:lang w:val="cs-CZ"/>
        </w:rPr>
        <w:footnoteReference w:id="164"/>
      </w:r>
      <w:r w:rsidR="002058D1" w:rsidRPr="007759EE">
        <w:rPr>
          <w:rFonts w:ascii="Garamond" w:hAnsi="Garamond" w:cs="Times New Roman"/>
          <w:lang w:val="cs-CZ"/>
        </w:rPr>
        <w:t xml:space="preserve">, kde se soud vyslovil, že pokud není další léčba v pacientově nejlepším zájmu, pak je podle práva nepřípustná a lékařský tým tak neporuší své povinnosti, pokud se rozhodne od léčby upustit. </w:t>
      </w:r>
      <w:r w:rsidR="0043451C">
        <w:rPr>
          <w:rFonts w:ascii="Garamond" w:hAnsi="Garamond" w:cs="Times New Roman"/>
          <w:lang w:val="cs-CZ"/>
        </w:rPr>
        <w:t>Britský s</w:t>
      </w:r>
      <w:r w:rsidR="002058D1" w:rsidRPr="007759EE">
        <w:rPr>
          <w:rFonts w:ascii="Garamond" w:hAnsi="Garamond" w:cs="Times New Roman"/>
          <w:lang w:val="cs-CZ"/>
        </w:rPr>
        <w:t>oud</w:t>
      </w:r>
      <w:r w:rsidRPr="007759EE">
        <w:rPr>
          <w:rFonts w:ascii="Garamond" w:hAnsi="Garamond" w:cs="Times New Roman"/>
          <w:lang w:val="cs-CZ"/>
        </w:rPr>
        <w:t xml:space="preserve"> dospěl</w:t>
      </w:r>
      <w:r w:rsidR="007B171A">
        <w:rPr>
          <w:rFonts w:ascii="Garamond" w:hAnsi="Garamond" w:cs="Times New Roman"/>
          <w:lang w:val="cs-CZ"/>
        </w:rPr>
        <w:t xml:space="preserve"> k závěru</w:t>
      </w:r>
      <w:r w:rsidR="002058D1" w:rsidRPr="007759EE">
        <w:rPr>
          <w:rFonts w:ascii="Garamond" w:hAnsi="Garamond" w:cs="Times New Roman"/>
          <w:lang w:val="cs-CZ"/>
        </w:rPr>
        <w:t>, že pacient z důvodu svého věku není schopen rozhodnout o své léčbě</w:t>
      </w:r>
      <w:r w:rsidRPr="007759EE">
        <w:rPr>
          <w:rFonts w:ascii="Garamond" w:hAnsi="Garamond" w:cs="Times New Roman"/>
          <w:lang w:val="cs-CZ"/>
        </w:rPr>
        <w:t xml:space="preserve"> </w:t>
      </w:r>
      <w:r w:rsidR="002058D1" w:rsidRPr="007759EE">
        <w:rPr>
          <w:rFonts w:ascii="Garamond" w:hAnsi="Garamond" w:cs="Times New Roman"/>
          <w:lang w:val="cs-CZ"/>
        </w:rPr>
        <w:t>a</w:t>
      </w:r>
      <w:r w:rsidRPr="007759EE">
        <w:rPr>
          <w:rFonts w:ascii="Garamond" w:hAnsi="Garamond" w:cs="Times New Roman"/>
          <w:lang w:val="cs-CZ"/>
        </w:rPr>
        <w:t xml:space="preserve"> ukončení života udržující léčby je </w:t>
      </w:r>
      <w:r w:rsidR="002058D1" w:rsidRPr="007759EE">
        <w:rPr>
          <w:rFonts w:ascii="Garamond" w:hAnsi="Garamond" w:cs="Times New Roman"/>
          <w:lang w:val="cs-CZ"/>
        </w:rPr>
        <w:t>tak v souladu se zákonem</w:t>
      </w:r>
      <w:r w:rsidR="002B64D9" w:rsidRPr="007759EE">
        <w:rPr>
          <w:rFonts w:ascii="Garamond" w:hAnsi="Garamond" w:cs="Times New Roman"/>
          <w:lang w:val="cs-CZ"/>
        </w:rPr>
        <w:t xml:space="preserve"> a v nejlepším zájmu pacienta</w:t>
      </w:r>
      <w:r w:rsidRPr="007759EE">
        <w:rPr>
          <w:rFonts w:ascii="Garamond" w:hAnsi="Garamond" w:cs="Times New Roman"/>
          <w:lang w:val="cs-CZ"/>
        </w:rPr>
        <w:t xml:space="preserve">, neboť se jevilo jako pravděpodobné, že by pacient utrpěl významnou újmu, pokud by jeho trápení bylo prodlužováno </w:t>
      </w:r>
      <w:r w:rsidR="002B64D9" w:rsidRPr="007759EE">
        <w:rPr>
          <w:rFonts w:ascii="Garamond" w:hAnsi="Garamond" w:cs="Times New Roman"/>
          <w:lang w:val="cs-CZ"/>
        </w:rPr>
        <w:t xml:space="preserve">experimentální léčbou </w:t>
      </w:r>
      <w:r w:rsidRPr="007759EE">
        <w:rPr>
          <w:rFonts w:ascii="Garamond" w:hAnsi="Garamond" w:cs="Times New Roman"/>
          <w:lang w:val="cs-CZ"/>
        </w:rPr>
        <w:t>bez žádné realistické naděje na zlepšení</w:t>
      </w:r>
      <w:r w:rsidR="002B64D9" w:rsidRPr="007759EE">
        <w:rPr>
          <w:rFonts w:ascii="Garamond" w:hAnsi="Garamond" w:cs="Times New Roman"/>
          <w:lang w:val="cs-CZ"/>
        </w:rPr>
        <w:t xml:space="preserve"> a</w:t>
      </w:r>
      <w:r w:rsidRPr="007759EE">
        <w:rPr>
          <w:rFonts w:ascii="Garamond" w:hAnsi="Garamond" w:cs="Times New Roman"/>
          <w:lang w:val="cs-CZ"/>
        </w:rPr>
        <w:t xml:space="preserve"> nenabízející žádné efektivní účinky.</w:t>
      </w:r>
      <w:r w:rsidR="00866FB4">
        <w:rPr>
          <w:rStyle w:val="FootnoteReference"/>
          <w:rFonts w:ascii="Garamond" w:hAnsi="Garamond" w:cs="Times New Roman"/>
          <w:lang w:val="cs-CZ"/>
        </w:rPr>
        <w:footnoteReference w:id="165"/>
      </w:r>
      <w:r w:rsidR="002B64D9" w:rsidRPr="007759EE">
        <w:rPr>
          <w:rFonts w:ascii="Garamond" w:hAnsi="Garamond" w:cs="Times New Roman"/>
          <w:lang w:val="cs-CZ"/>
        </w:rPr>
        <w:t xml:space="preserve"> Odvolací soudy pak předešlé závěry potvrdily.</w:t>
      </w:r>
      <w:r w:rsidR="002B64D9" w:rsidRPr="007759EE">
        <w:rPr>
          <w:rStyle w:val="FootnoteReference"/>
          <w:rFonts w:ascii="Garamond" w:hAnsi="Garamond" w:cs="Times New Roman"/>
          <w:lang w:val="cs-CZ"/>
        </w:rPr>
        <w:footnoteReference w:id="166"/>
      </w:r>
      <w:r w:rsidRPr="007759EE">
        <w:rPr>
          <w:rFonts w:ascii="Garamond" w:hAnsi="Garamond" w:cs="Times New Roman"/>
          <w:lang w:val="cs-CZ"/>
        </w:rPr>
        <w:t xml:space="preserve"> </w:t>
      </w:r>
    </w:p>
    <w:p w14:paraId="2515C722" w14:textId="144371EF" w:rsidR="009B0069" w:rsidRPr="007759EE" w:rsidRDefault="009B0069" w:rsidP="003F3660">
      <w:pPr>
        <w:spacing w:line="360" w:lineRule="auto"/>
        <w:jc w:val="both"/>
        <w:rPr>
          <w:rFonts w:ascii="Garamond" w:hAnsi="Garamond" w:cs="Times New Roman"/>
          <w:lang w:val="cs-CZ"/>
        </w:rPr>
      </w:pPr>
      <w:r w:rsidRPr="007759EE">
        <w:rPr>
          <w:rFonts w:ascii="Garamond" w:hAnsi="Garamond" w:cs="Times New Roman"/>
          <w:lang w:val="cs-CZ"/>
        </w:rPr>
        <w:tab/>
        <w:t>Stížnost byla ESLP odmítnuta jako nepřípustná pro zjevnou neopodstatněnost. Soud zopakoval široký prostor pro uvážení pro státy v oblasti přístupu k experimentální léčbě pro nevyléčitelně nemocné s tím, že není jeho úkolem nahrazovat příslušné vnitrostátní orgány.</w:t>
      </w:r>
      <w:r w:rsidR="0043451C">
        <w:rPr>
          <w:rStyle w:val="FootnoteReference"/>
          <w:rFonts w:ascii="Garamond" w:hAnsi="Garamond" w:cs="Times New Roman"/>
          <w:lang w:val="cs-CZ"/>
        </w:rPr>
        <w:footnoteReference w:id="167"/>
      </w:r>
      <w:r w:rsidRPr="007759EE">
        <w:rPr>
          <w:rFonts w:ascii="Garamond" w:hAnsi="Garamond" w:cs="Times New Roman"/>
          <w:lang w:val="cs-CZ"/>
        </w:rPr>
        <w:t xml:space="preserve"> Dále </w:t>
      </w:r>
      <w:r w:rsidR="00F860F5" w:rsidRPr="007759EE">
        <w:rPr>
          <w:rFonts w:ascii="Garamond" w:hAnsi="Garamond" w:cs="Times New Roman"/>
          <w:lang w:val="cs-CZ"/>
        </w:rPr>
        <w:t xml:space="preserve">soud </w:t>
      </w:r>
      <w:r w:rsidRPr="007759EE">
        <w:rPr>
          <w:rFonts w:ascii="Garamond" w:hAnsi="Garamond" w:cs="Times New Roman"/>
          <w:lang w:val="cs-CZ"/>
        </w:rPr>
        <w:lastRenderedPageBreak/>
        <w:t xml:space="preserve">potvrdil </w:t>
      </w:r>
      <w:proofErr w:type="spellStart"/>
      <w:r w:rsidR="00F860F5" w:rsidRPr="007759EE">
        <w:rPr>
          <w:rFonts w:ascii="Garamond" w:hAnsi="Garamond" w:cs="Times New Roman"/>
          <w:lang w:val="cs-CZ"/>
        </w:rPr>
        <w:t>Lambertov</w:t>
      </w:r>
      <w:r w:rsidR="00F871A9">
        <w:rPr>
          <w:rFonts w:ascii="Garamond" w:hAnsi="Garamond" w:cs="Times New Roman"/>
          <w:lang w:val="cs-CZ"/>
        </w:rPr>
        <w:t>a</w:t>
      </w:r>
      <w:proofErr w:type="spellEnd"/>
      <w:r w:rsidR="002859B6" w:rsidRPr="007759EE">
        <w:rPr>
          <w:rFonts w:ascii="Garamond" w:hAnsi="Garamond" w:cs="Times New Roman"/>
          <w:lang w:val="cs-CZ"/>
        </w:rPr>
        <w:t xml:space="preserve"> </w:t>
      </w:r>
      <w:r w:rsidR="00F860F5" w:rsidRPr="007759EE">
        <w:rPr>
          <w:rFonts w:ascii="Garamond" w:hAnsi="Garamond" w:cs="Times New Roman"/>
          <w:lang w:val="cs-CZ"/>
        </w:rPr>
        <w:t>kritéria</w:t>
      </w:r>
      <w:r w:rsidRPr="007759EE">
        <w:rPr>
          <w:rFonts w:ascii="Garamond" w:hAnsi="Garamond" w:cs="Times New Roman"/>
          <w:lang w:val="cs-CZ"/>
        </w:rPr>
        <w:t xml:space="preserve"> pro ukončení péče.</w:t>
      </w:r>
      <w:r w:rsidRPr="007759EE">
        <w:rPr>
          <w:rStyle w:val="CommentReference"/>
          <w:rFonts w:ascii="Garamond" w:hAnsi="Garamond"/>
        </w:rPr>
        <w:t xml:space="preserve"> </w:t>
      </w:r>
      <w:r w:rsidRPr="007759EE">
        <w:rPr>
          <w:rFonts w:ascii="Garamond" w:hAnsi="Garamond" w:cs="Times New Roman"/>
          <w:lang w:val="cs-CZ"/>
        </w:rPr>
        <w:t>V projednávané věci soud shledal, že věc byla důkladně projednána celkově na třech stupních s jasným a extenzivním odůvodněním. Pacientovy zájmy byly řádně zohledněny prostřednictvím ustanoveného opatrovníka a názory lékařských odborníků.</w:t>
      </w:r>
      <w:r w:rsidR="0043451C">
        <w:rPr>
          <w:rStyle w:val="FootnoteReference"/>
          <w:rFonts w:ascii="Garamond" w:hAnsi="Garamond" w:cs="Times New Roman"/>
          <w:lang w:val="cs-CZ"/>
        </w:rPr>
        <w:footnoteReference w:id="168"/>
      </w:r>
    </w:p>
    <w:p w14:paraId="58319B9D" w14:textId="6F6A412F" w:rsidR="00A274E0" w:rsidRPr="007759EE" w:rsidRDefault="00A6396B" w:rsidP="00A6396B">
      <w:pPr>
        <w:spacing w:line="360" w:lineRule="auto"/>
        <w:jc w:val="both"/>
        <w:rPr>
          <w:rFonts w:ascii="Garamond" w:hAnsi="Garamond" w:cs="Times New Roman"/>
          <w:lang w:val="cs-CZ"/>
        </w:rPr>
      </w:pPr>
      <w:r w:rsidRPr="007759EE">
        <w:rPr>
          <w:rFonts w:ascii="Garamond" w:hAnsi="Garamond" w:cs="Times New Roman"/>
          <w:lang w:val="cs-CZ"/>
        </w:rPr>
        <w:tab/>
      </w:r>
      <w:r w:rsidR="008865D2" w:rsidRPr="007759EE">
        <w:rPr>
          <w:rFonts w:ascii="Garamond" w:hAnsi="Garamond" w:cs="Times New Roman"/>
          <w:lang w:val="cs-CZ"/>
        </w:rPr>
        <w:t xml:space="preserve">Britská judikatura již dříve potvrdila pravomoc soudu rozhodnout o ukončení života udržující léčby, a to i v případě nesouhlasu </w:t>
      </w:r>
      <w:r w:rsidR="00C539C5" w:rsidRPr="007759EE">
        <w:rPr>
          <w:rFonts w:ascii="Garamond" w:hAnsi="Garamond" w:cs="Times New Roman"/>
          <w:lang w:val="cs-CZ"/>
        </w:rPr>
        <w:t xml:space="preserve">zákonných </w:t>
      </w:r>
      <w:r w:rsidR="008865D2" w:rsidRPr="007759EE">
        <w:rPr>
          <w:rFonts w:ascii="Garamond" w:hAnsi="Garamond" w:cs="Times New Roman"/>
          <w:lang w:val="cs-CZ"/>
        </w:rPr>
        <w:t>zástupců pacienta, v případě, že tak bude rozhodnuto v pacientově nejlepším zájmu jako úleva od utrpení.</w:t>
      </w:r>
      <w:r w:rsidR="008865D2" w:rsidRPr="007759EE">
        <w:rPr>
          <w:rStyle w:val="FootnoteReference"/>
          <w:rFonts w:ascii="Garamond" w:hAnsi="Garamond" w:cs="Times New Roman"/>
          <w:lang w:val="cs-CZ"/>
        </w:rPr>
        <w:footnoteReference w:id="169"/>
      </w:r>
      <w:r w:rsidR="008865D2" w:rsidRPr="007759EE">
        <w:rPr>
          <w:rFonts w:ascii="Garamond" w:hAnsi="Garamond" w:cs="Times New Roman"/>
          <w:lang w:val="cs-CZ"/>
        </w:rPr>
        <w:t xml:space="preserve"> </w:t>
      </w:r>
      <w:r w:rsidR="00C539C5" w:rsidRPr="007759EE">
        <w:rPr>
          <w:rFonts w:ascii="Garamond" w:hAnsi="Garamond" w:cs="Times New Roman"/>
          <w:lang w:val="cs-CZ"/>
        </w:rPr>
        <w:t>Autonomie zákonných zástupců</w:t>
      </w:r>
      <w:r w:rsidR="00B61252" w:rsidRPr="007759EE">
        <w:rPr>
          <w:rFonts w:ascii="Garamond" w:hAnsi="Garamond" w:cs="Times New Roman"/>
          <w:lang w:val="cs-CZ"/>
        </w:rPr>
        <w:t xml:space="preserve"> pacienta</w:t>
      </w:r>
      <w:r w:rsidR="00C539C5" w:rsidRPr="007759EE">
        <w:rPr>
          <w:rFonts w:ascii="Garamond" w:hAnsi="Garamond" w:cs="Times New Roman"/>
          <w:lang w:val="cs-CZ"/>
        </w:rPr>
        <w:t xml:space="preserve"> v</w:t>
      </w:r>
      <w:r w:rsidR="00B61252" w:rsidRPr="007759EE">
        <w:rPr>
          <w:rFonts w:ascii="Garamond" w:hAnsi="Garamond" w:cs="Times New Roman"/>
          <w:lang w:val="cs-CZ"/>
        </w:rPr>
        <w:t> </w:t>
      </w:r>
      <w:r w:rsidR="00C539C5" w:rsidRPr="007759EE">
        <w:rPr>
          <w:rFonts w:ascii="Garamond" w:hAnsi="Garamond" w:cs="Times New Roman"/>
          <w:lang w:val="cs-CZ"/>
        </w:rPr>
        <w:t>Británii</w:t>
      </w:r>
      <w:r w:rsidR="00B61252" w:rsidRPr="007759EE">
        <w:rPr>
          <w:rFonts w:ascii="Garamond" w:hAnsi="Garamond" w:cs="Times New Roman"/>
          <w:lang w:val="cs-CZ"/>
        </w:rPr>
        <w:t xml:space="preserve"> totiž automaticky nevylučuje možnost oprávněných orgánů rozhodnout o tom, že smrt je v nejlepším zájmu pacienta a autonomie tak není vnímána jako princip, který je plně upřednostňován před jinými.</w:t>
      </w:r>
      <w:r w:rsidR="00B61252" w:rsidRPr="007759EE">
        <w:rPr>
          <w:rStyle w:val="FootnoteReference"/>
          <w:rFonts w:ascii="Garamond" w:hAnsi="Garamond" w:cs="Times New Roman"/>
          <w:lang w:val="cs-CZ"/>
        </w:rPr>
        <w:footnoteReference w:id="170"/>
      </w:r>
      <w:r w:rsidR="00A274E0">
        <w:rPr>
          <w:rFonts w:ascii="Garamond" w:hAnsi="Garamond" w:cs="Times New Roman"/>
          <w:lang w:val="cs-CZ"/>
        </w:rPr>
        <w:t xml:space="preserve"> </w:t>
      </w:r>
    </w:p>
    <w:p w14:paraId="2C9D60CE" w14:textId="5A53958B" w:rsidR="006912DA" w:rsidRDefault="006912DA" w:rsidP="00A6396B">
      <w:pPr>
        <w:spacing w:line="360" w:lineRule="auto"/>
        <w:jc w:val="both"/>
        <w:rPr>
          <w:rFonts w:ascii="Garamond" w:hAnsi="Garamond" w:cs="Times New Roman"/>
          <w:lang w:val="cs-CZ"/>
        </w:rPr>
      </w:pPr>
      <w:r w:rsidRPr="007759EE">
        <w:rPr>
          <w:rFonts w:ascii="Garamond" w:hAnsi="Garamond" w:cs="Times New Roman"/>
          <w:lang w:val="cs-CZ"/>
        </w:rPr>
        <w:tab/>
      </w:r>
      <w:r w:rsidR="001D5147">
        <w:rPr>
          <w:rFonts w:ascii="Garamond" w:hAnsi="Garamond" w:cs="Times New Roman"/>
          <w:lang w:val="cs-CZ"/>
        </w:rPr>
        <w:t>Ačkoli je na takto judikovanou pravomoc některými autory nahlíženo jako na drastický precedent, zejména pak americkými autory je upřednostnění názoru soudu před názorem rodičů považováno za velmi problematické</w:t>
      </w:r>
      <w:r w:rsidR="00B60EE0">
        <w:rPr>
          <w:rFonts w:ascii="Garamond" w:hAnsi="Garamond" w:cs="Times New Roman"/>
          <w:lang w:val="cs-CZ"/>
        </w:rPr>
        <w:t>,</w:t>
      </w:r>
      <w:r w:rsidR="001D5147">
        <w:rPr>
          <w:rStyle w:val="FootnoteReference"/>
          <w:rFonts w:ascii="Garamond" w:hAnsi="Garamond" w:cs="Times New Roman"/>
          <w:lang w:val="cs-CZ"/>
        </w:rPr>
        <w:footnoteReference w:id="171"/>
      </w:r>
      <w:r w:rsidR="001D5147">
        <w:rPr>
          <w:rFonts w:ascii="Garamond" w:hAnsi="Garamond" w:cs="Times New Roman"/>
          <w:lang w:val="cs-CZ"/>
        </w:rPr>
        <w:t xml:space="preserve"> d</w:t>
      </w:r>
      <w:r w:rsidRPr="007759EE">
        <w:rPr>
          <w:rFonts w:ascii="Garamond" w:hAnsi="Garamond" w:cs="Times New Roman"/>
          <w:lang w:val="cs-CZ"/>
        </w:rPr>
        <w:t>omnívám se, že je tento systém zcela validní</w:t>
      </w:r>
      <w:r w:rsidR="001D5147">
        <w:rPr>
          <w:rFonts w:ascii="Garamond" w:hAnsi="Garamond" w:cs="Times New Roman"/>
          <w:lang w:val="cs-CZ"/>
        </w:rPr>
        <w:t>.</w:t>
      </w:r>
      <w:r w:rsidRPr="007759EE">
        <w:rPr>
          <w:rFonts w:ascii="Garamond" w:hAnsi="Garamond" w:cs="Times New Roman"/>
          <w:lang w:val="cs-CZ"/>
        </w:rPr>
        <w:t xml:space="preserve"> </w:t>
      </w:r>
      <w:r w:rsidR="001D5147">
        <w:rPr>
          <w:rFonts w:ascii="Garamond" w:hAnsi="Garamond" w:cs="Times New Roman"/>
          <w:lang w:val="cs-CZ"/>
        </w:rPr>
        <w:t>P</w:t>
      </w:r>
      <w:r w:rsidRPr="007759EE">
        <w:rPr>
          <w:rFonts w:ascii="Garamond" w:hAnsi="Garamond" w:cs="Times New Roman"/>
          <w:lang w:val="cs-CZ"/>
        </w:rPr>
        <w:t>řání rodičů či jiných zákonných zástupců pokračovat v léčbě nemohou být zcela z jasných důvodů objektivní. Některé studie naznačují</w:t>
      </w:r>
      <w:r w:rsidR="00025EBF" w:rsidRPr="007759EE">
        <w:rPr>
          <w:rFonts w:ascii="Garamond" w:hAnsi="Garamond" w:cs="Times New Roman"/>
          <w:lang w:val="cs-CZ"/>
        </w:rPr>
        <w:t>, že rozhodování zákonných zástupců neodpovídá přesným přáním pacienta v 70 % případů závažné léčby.</w:t>
      </w:r>
      <w:r w:rsidR="00025EBF" w:rsidRPr="007759EE">
        <w:rPr>
          <w:rStyle w:val="FootnoteReference"/>
          <w:rFonts w:ascii="Garamond" w:hAnsi="Garamond" w:cs="Times New Roman"/>
          <w:lang w:val="cs-CZ"/>
        </w:rPr>
        <w:footnoteReference w:id="172"/>
      </w:r>
      <w:r w:rsidR="00CA7D6C" w:rsidRPr="007759EE">
        <w:rPr>
          <w:rFonts w:ascii="Garamond" w:hAnsi="Garamond" w:cs="Times New Roman"/>
          <w:lang w:val="cs-CZ"/>
        </w:rPr>
        <w:t xml:space="preserve"> </w:t>
      </w:r>
      <w:r w:rsidR="00F3078E" w:rsidRPr="007759EE">
        <w:rPr>
          <w:rFonts w:ascii="Garamond" w:hAnsi="Garamond" w:cs="Times New Roman"/>
          <w:lang w:val="cs-CZ"/>
        </w:rPr>
        <w:t>Vzhledem i k těmto výsledkům není možné považovat názor zástupců pacienta vždy za absolutní, koneckonců i v projednávaném případě rodiče nakonec souhlasili s ukončením léčby</w:t>
      </w:r>
      <w:r w:rsidR="0076600A" w:rsidRPr="007759EE">
        <w:rPr>
          <w:rFonts w:ascii="Garamond" w:hAnsi="Garamond" w:cs="Times New Roman"/>
          <w:lang w:val="cs-CZ"/>
        </w:rPr>
        <w:t xml:space="preserve"> a přijali fakt, že by pacient z experimentální léčby neměl prospěch a žádná další léčba nebyla možná</w:t>
      </w:r>
      <w:r w:rsidR="00F3078E" w:rsidRPr="007759EE">
        <w:rPr>
          <w:rFonts w:ascii="Garamond" w:hAnsi="Garamond" w:cs="Times New Roman"/>
          <w:lang w:val="cs-CZ"/>
        </w:rPr>
        <w:t>.</w:t>
      </w:r>
      <w:r w:rsidR="00F3078E" w:rsidRPr="007759EE">
        <w:rPr>
          <w:rStyle w:val="FootnoteReference"/>
          <w:rFonts w:ascii="Garamond" w:hAnsi="Garamond" w:cs="Times New Roman"/>
          <w:lang w:val="cs-CZ"/>
        </w:rPr>
        <w:footnoteReference w:id="173"/>
      </w:r>
    </w:p>
    <w:p w14:paraId="3B289298" w14:textId="0E890C70" w:rsidR="00B60EE0" w:rsidRPr="00F13AFF" w:rsidRDefault="00A274E0" w:rsidP="00A6396B">
      <w:pPr>
        <w:spacing w:line="360" w:lineRule="auto"/>
        <w:jc w:val="both"/>
        <w:rPr>
          <w:rFonts w:ascii="Garamond" w:hAnsi="Garamond" w:cs="Times New Roman"/>
          <w:lang w:val="cs-CZ"/>
        </w:rPr>
      </w:pPr>
      <w:r>
        <w:rPr>
          <w:rFonts w:ascii="Garamond" w:hAnsi="Garamond" w:cs="Times New Roman"/>
          <w:lang w:val="cs-CZ"/>
        </w:rPr>
        <w:tab/>
      </w:r>
      <w:r w:rsidR="00B26DC4">
        <w:rPr>
          <w:rFonts w:ascii="Garamond" w:hAnsi="Garamond" w:cs="Times New Roman"/>
          <w:lang w:val="cs-CZ"/>
        </w:rPr>
        <w:t xml:space="preserve">K obdobnému závěru dochází i </w:t>
      </w:r>
      <w:proofErr w:type="spellStart"/>
      <w:r w:rsidR="00B26DC4">
        <w:rPr>
          <w:rFonts w:ascii="Garamond" w:hAnsi="Garamond" w:cs="Times New Roman"/>
          <w:lang w:val="cs-CZ"/>
        </w:rPr>
        <w:t>Cave</w:t>
      </w:r>
      <w:proofErr w:type="spellEnd"/>
      <w:r w:rsidR="00B26DC4">
        <w:rPr>
          <w:rFonts w:ascii="Garamond" w:hAnsi="Garamond" w:cs="Times New Roman"/>
          <w:lang w:val="cs-CZ"/>
        </w:rPr>
        <w:t xml:space="preserve"> a </w:t>
      </w:r>
      <w:proofErr w:type="spellStart"/>
      <w:r w:rsidR="00B26DC4">
        <w:rPr>
          <w:rFonts w:ascii="Garamond" w:hAnsi="Garamond" w:cs="Times New Roman"/>
          <w:lang w:val="cs-CZ"/>
        </w:rPr>
        <w:t>Nottingham</w:t>
      </w:r>
      <w:proofErr w:type="spellEnd"/>
      <w:r w:rsidR="00EB34C0">
        <w:rPr>
          <w:rStyle w:val="FootnoteReference"/>
          <w:rFonts w:ascii="Garamond" w:hAnsi="Garamond" w:cs="Times New Roman"/>
          <w:lang w:val="cs-CZ"/>
        </w:rPr>
        <w:footnoteReference w:id="174"/>
      </w:r>
      <w:r w:rsidR="00B26DC4">
        <w:rPr>
          <w:rFonts w:ascii="Garamond" w:hAnsi="Garamond" w:cs="Times New Roman"/>
          <w:lang w:val="cs-CZ"/>
        </w:rPr>
        <w:t xml:space="preserve">, podle nichž </w:t>
      </w:r>
      <w:r w:rsidR="007B171A">
        <w:rPr>
          <w:rFonts w:ascii="Garamond" w:hAnsi="Garamond" w:cs="Times New Roman"/>
          <w:lang w:val="cs-CZ"/>
        </w:rPr>
        <w:t xml:space="preserve">při </w:t>
      </w:r>
      <w:r w:rsidR="00B26DC4">
        <w:rPr>
          <w:rFonts w:ascii="Garamond" w:hAnsi="Garamond" w:cs="Times New Roman"/>
          <w:lang w:val="cs-CZ"/>
        </w:rPr>
        <w:t xml:space="preserve">rozhodování o ukončení života udržující léčby mladého dítěte nemůže být jeho nejlepší zájem určen rodiči nebo lékaři, ale buď lékařským postupem kombinujícím kompromis a mediaci nebo rozhodnutím soudu. Zcela jasně dovozují, že sice rodiče své děti mohou znát nejlépe a jejich rozhodnutí bude motivováno láskou a nadějí, ale snad právě i proto může být toto rozhodnutí v rozporu s nejlepším </w:t>
      </w:r>
      <w:r w:rsidR="00B26DC4">
        <w:rPr>
          <w:rFonts w:ascii="Garamond" w:hAnsi="Garamond" w:cs="Times New Roman"/>
          <w:lang w:val="cs-CZ"/>
        </w:rPr>
        <w:lastRenderedPageBreak/>
        <w:t>zájmem dítěte, který je však nutné upřednostnit před zájmy rodičů.</w:t>
      </w:r>
      <w:r w:rsidR="00B26DC4">
        <w:rPr>
          <w:rStyle w:val="FootnoteReference"/>
          <w:rFonts w:ascii="Garamond" w:hAnsi="Garamond" w:cs="Times New Roman"/>
          <w:lang w:val="cs-CZ"/>
        </w:rPr>
        <w:footnoteReference w:id="175"/>
      </w:r>
      <w:r w:rsidR="00F13AFF">
        <w:rPr>
          <w:rFonts w:ascii="Garamond" w:hAnsi="Garamond" w:cs="Times New Roman"/>
          <w:lang w:val="cs-CZ"/>
        </w:rPr>
        <w:t xml:space="preserve"> Nezbývá než souhlasit, že rozhodování rodičů musí mít své jasné limity a minimálně odmítnout ty požadavky na léčbu, která bude představovat pro dané dítě pouze významnou zátěž bez žádného užitku.</w:t>
      </w:r>
      <w:r w:rsidR="00F13AFF">
        <w:rPr>
          <w:rStyle w:val="FootnoteReference"/>
          <w:rFonts w:ascii="Garamond" w:hAnsi="Garamond" w:cs="Times New Roman"/>
          <w:lang w:val="cs-CZ"/>
        </w:rPr>
        <w:footnoteReference w:id="176"/>
      </w:r>
    </w:p>
    <w:p w14:paraId="1F9D574E" w14:textId="7A276F0A" w:rsidR="00CC17A3" w:rsidRPr="007759EE" w:rsidRDefault="007B171A" w:rsidP="0043451C">
      <w:pPr>
        <w:spacing w:line="360" w:lineRule="auto"/>
        <w:ind w:firstLine="720"/>
        <w:jc w:val="both"/>
        <w:rPr>
          <w:rFonts w:ascii="Garamond" w:eastAsia="Times New Roman" w:hAnsi="Garamond" w:cs="Times New Roman"/>
          <w:lang w:val="cs-CZ"/>
        </w:rPr>
      </w:pPr>
      <w:r>
        <w:rPr>
          <w:rFonts w:ascii="Garamond" w:hAnsi="Garamond" w:cs="Times New Roman"/>
          <w:lang w:val="cs-CZ"/>
        </w:rPr>
        <w:t xml:space="preserve">Nejčerstvějším případem v rámci judikatury ESLP je pak případ </w:t>
      </w:r>
      <w:proofErr w:type="spellStart"/>
      <w:r>
        <w:rPr>
          <w:rFonts w:ascii="Garamond" w:hAnsi="Garamond" w:cs="Times New Roman"/>
          <w:i/>
          <w:lang w:val="cs-CZ"/>
        </w:rPr>
        <w:t>Afiri</w:t>
      </w:r>
      <w:proofErr w:type="spellEnd"/>
      <w:r>
        <w:rPr>
          <w:rFonts w:ascii="Garamond" w:hAnsi="Garamond" w:cs="Times New Roman"/>
          <w:i/>
          <w:lang w:val="cs-CZ"/>
        </w:rPr>
        <w:t xml:space="preserve"> a </w:t>
      </w:r>
      <w:proofErr w:type="spellStart"/>
      <w:r>
        <w:rPr>
          <w:rFonts w:ascii="Garamond" w:hAnsi="Garamond" w:cs="Times New Roman"/>
          <w:i/>
          <w:lang w:val="cs-CZ"/>
        </w:rPr>
        <w:t>Biddarri</w:t>
      </w:r>
      <w:proofErr w:type="spellEnd"/>
      <w:r>
        <w:rPr>
          <w:rFonts w:ascii="Garamond" w:hAnsi="Garamond" w:cs="Times New Roman"/>
          <w:i/>
          <w:lang w:val="cs-CZ"/>
        </w:rPr>
        <w:t xml:space="preserve"> proti </w:t>
      </w:r>
      <w:r w:rsidRPr="007B171A">
        <w:rPr>
          <w:rFonts w:ascii="Garamond" w:hAnsi="Garamond" w:cs="Times New Roman"/>
          <w:i/>
          <w:lang w:val="cs-CZ"/>
        </w:rPr>
        <w:t>Francii</w:t>
      </w:r>
      <w:r>
        <w:rPr>
          <w:rFonts w:ascii="Garamond" w:hAnsi="Garamond" w:cs="Times New Roman"/>
          <w:lang w:val="cs-CZ"/>
        </w:rPr>
        <w:t xml:space="preserve"> z</w:t>
      </w:r>
      <w:r w:rsidR="0043451C">
        <w:rPr>
          <w:rFonts w:ascii="Garamond" w:hAnsi="Garamond" w:cs="Times New Roman"/>
          <w:lang w:val="cs-CZ"/>
        </w:rPr>
        <w:t> </w:t>
      </w:r>
      <w:r>
        <w:rPr>
          <w:rFonts w:ascii="Garamond" w:hAnsi="Garamond" w:cs="Times New Roman"/>
          <w:lang w:val="cs-CZ"/>
        </w:rPr>
        <w:t>roku</w:t>
      </w:r>
      <w:r w:rsidR="0043451C">
        <w:rPr>
          <w:rFonts w:ascii="Garamond" w:hAnsi="Garamond" w:cs="Times New Roman"/>
          <w:lang w:val="cs-CZ"/>
        </w:rPr>
        <w:t xml:space="preserve"> </w:t>
      </w:r>
      <w:r>
        <w:rPr>
          <w:rFonts w:ascii="Garamond" w:hAnsi="Garamond" w:cs="Times New Roman"/>
          <w:lang w:val="cs-CZ"/>
        </w:rPr>
        <w:t xml:space="preserve">2018. Případ se týkal dcery stěžovatelů, </w:t>
      </w:r>
      <w:r w:rsidR="00B92C3C" w:rsidRPr="007759EE">
        <w:rPr>
          <w:rFonts w:ascii="Garamond" w:hAnsi="Garamond" w:cs="Times New Roman"/>
          <w:lang w:val="cs-CZ"/>
        </w:rPr>
        <w:t xml:space="preserve">14leté </w:t>
      </w:r>
      <w:proofErr w:type="spellStart"/>
      <w:r w:rsidR="00B92C3C" w:rsidRPr="007759EE">
        <w:rPr>
          <w:rFonts w:ascii="Garamond" w:hAnsi="Garamond" w:cs="Times New Roman"/>
          <w:lang w:val="cs-CZ"/>
        </w:rPr>
        <w:t>In</w:t>
      </w:r>
      <w:r w:rsidR="00B92C3C" w:rsidRPr="007759EE">
        <w:rPr>
          <w:rFonts w:ascii="Garamond" w:eastAsia="Times New Roman" w:hAnsi="Garamond" w:cs="Times New Roman"/>
          <w:lang w:val="cs-CZ"/>
        </w:rPr>
        <w:t>ès</w:t>
      </w:r>
      <w:proofErr w:type="spellEnd"/>
      <w:r w:rsidR="00B92C3C" w:rsidRPr="007759EE">
        <w:rPr>
          <w:rFonts w:ascii="Garamond" w:eastAsia="Times New Roman" w:hAnsi="Garamond" w:cs="Times New Roman"/>
          <w:lang w:val="cs-CZ"/>
        </w:rPr>
        <w:t xml:space="preserve">, která v důsledku autoimunní nemoci musela být při životě udržována umělou plicní ventilací. Vzhledem ke zdravotnímu stavu pacientky ošetřující lékař zahájil mezioborový konzultační proces s cílem ukončit léčbu pacientky. Lékaři, jakož i další osoby účastnící se konzultačního procesu došli k závěru, že je ukončení léčby pacientky na místě, neboť pacientka utrpěla závažnou neurologickou újmu, naděje na zlepšení nebo uzdravení byla takřka neexistující a </w:t>
      </w:r>
      <w:r>
        <w:rPr>
          <w:rFonts w:ascii="Garamond" w:eastAsia="Times New Roman" w:hAnsi="Garamond" w:cs="Times New Roman"/>
          <w:lang w:val="cs-CZ"/>
        </w:rPr>
        <w:t xml:space="preserve">pacientka se </w:t>
      </w:r>
      <w:r w:rsidR="00207636" w:rsidRPr="007759EE">
        <w:rPr>
          <w:rFonts w:ascii="Garamond" w:eastAsia="Times New Roman" w:hAnsi="Garamond" w:cs="Times New Roman"/>
          <w:lang w:val="cs-CZ"/>
        </w:rPr>
        <w:t>nacházela ve stavu hlubokého bezvědomí. Stěžovatelé se vůči rozhodnutí obrátili na správní soud. Ten po vyžádání lékařských posudků došel ke stejnému závěru jako ošetřující lékaři, neboť pacientka se měla nacházet v trvalém vegetativním stavu bez nadějné prognózy a její další léčba</w:t>
      </w:r>
      <w:r w:rsidR="00CC17A3" w:rsidRPr="007759EE">
        <w:rPr>
          <w:rFonts w:ascii="Garamond" w:eastAsia="Times New Roman" w:hAnsi="Garamond" w:cs="Times New Roman"/>
          <w:lang w:val="cs-CZ"/>
        </w:rPr>
        <w:t xml:space="preserve"> by byla</w:t>
      </w:r>
      <w:r w:rsidR="00207636" w:rsidRPr="007759EE">
        <w:rPr>
          <w:rFonts w:ascii="Garamond" w:eastAsia="Times New Roman" w:hAnsi="Garamond" w:cs="Times New Roman"/>
          <w:lang w:val="cs-CZ"/>
        </w:rPr>
        <w:t xml:space="preserve"> nerozumná.</w:t>
      </w:r>
      <w:r>
        <w:rPr>
          <w:rFonts w:ascii="Garamond" w:eastAsia="Times New Roman" w:hAnsi="Garamond" w:cs="Times New Roman"/>
          <w:lang w:val="cs-CZ"/>
        </w:rPr>
        <w:t xml:space="preserve"> </w:t>
      </w:r>
      <w:r w:rsidR="00207636" w:rsidRPr="007759EE">
        <w:rPr>
          <w:rFonts w:ascii="Garamond" w:eastAsia="Times New Roman" w:hAnsi="Garamond" w:cs="Times New Roman"/>
          <w:lang w:val="cs-CZ"/>
        </w:rPr>
        <w:t xml:space="preserve">Tento závěr byl podložen také </w:t>
      </w:r>
      <w:r w:rsidR="00374E33" w:rsidRPr="007759EE">
        <w:rPr>
          <w:rFonts w:ascii="Garamond" w:eastAsia="Times New Roman" w:hAnsi="Garamond" w:cs="Times New Roman"/>
          <w:lang w:val="cs-CZ"/>
        </w:rPr>
        <w:t xml:space="preserve">znaleckým </w:t>
      </w:r>
      <w:r w:rsidR="00207636" w:rsidRPr="007759EE">
        <w:rPr>
          <w:rFonts w:ascii="Garamond" w:eastAsia="Times New Roman" w:hAnsi="Garamond" w:cs="Times New Roman"/>
          <w:lang w:val="cs-CZ"/>
        </w:rPr>
        <w:t>zjištěním, že se sama pacientka dříve, ještě v domácí péči, vyjádřila, že v takovém životě</w:t>
      </w:r>
      <w:r w:rsidR="00CC17A3" w:rsidRPr="007759EE">
        <w:rPr>
          <w:rFonts w:ascii="Garamond" w:eastAsia="Times New Roman" w:hAnsi="Garamond" w:cs="Times New Roman"/>
          <w:lang w:val="cs-CZ"/>
        </w:rPr>
        <w:t xml:space="preserve"> nechce pokračovat</w:t>
      </w:r>
      <w:r w:rsidR="00207636" w:rsidRPr="007759EE">
        <w:rPr>
          <w:rFonts w:ascii="Garamond" w:eastAsia="Times New Roman" w:hAnsi="Garamond" w:cs="Times New Roman"/>
          <w:lang w:val="cs-CZ"/>
        </w:rPr>
        <w:t>.</w:t>
      </w:r>
      <w:r w:rsidR="00CC17A3" w:rsidRPr="007759EE">
        <w:rPr>
          <w:rFonts w:ascii="Garamond" w:eastAsia="Times New Roman" w:hAnsi="Garamond" w:cs="Times New Roman"/>
          <w:lang w:val="cs-CZ"/>
        </w:rPr>
        <w:t xml:space="preserve"> Navzdory námitkám rodičů soud rozhodl, že pokračování v léčbě by představovalo </w:t>
      </w:r>
      <w:r w:rsidR="00F860F5" w:rsidRPr="007759EE">
        <w:rPr>
          <w:rFonts w:ascii="Garamond" w:eastAsia="Times New Roman" w:hAnsi="Garamond" w:cs="Times New Roman"/>
          <w:lang w:val="cs-CZ"/>
        </w:rPr>
        <w:t>„</w:t>
      </w:r>
      <w:r w:rsidR="000F7FD1">
        <w:rPr>
          <w:rFonts w:ascii="Garamond" w:eastAsia="Times New Roman" w:hAnsi="Garamond" w:cs="Times New Roman"/>
          <w:lang w:val="cs-CZ"/>
        </w:rPr>
        <w:t>nerozumnou</w:t>
      </w:r>
      <w:r w:rsidR="00CC17A3" w:rsidRPr="007759EE">
        <w:rPr>
          <w:rFonts w:ascii="Garamond" w:eastAsia="Times New Roman" w:hAnsi="Garamond" w:cs="Times New Roman"/>
          <w:lang w:val="cs-CZ"/>
        </w:rPr>
        <w:t xml:space="preserve"> </w:t>
      </w:r>
      <w:r w:rsidR="000F7FD1">
        <w:rPr>
          <w:rFonts w:ascii="Garamond" w:eastAsia="Times New Roman" w:hAnsi="Garamond" w:cs="Times New Roman"/>
          <w:lang w:val="cs-CZ"/>
        </w:rPr>
        <w:t>neústupnost</w:t>
      </w:r>
      <w:r w:rsidR="00F860F5" w:rsidRPr="007759EE">
        <w:rPr>
          <w:rFonts w:ascii="Garamond" w:eastAsia="Times New Roman" w:hAnsi="Garamond" w:cs="Times New Roman"/>
          <w:lang w:val="cs-CZ"/>
        </w:rPr>
        <w:t>“</w:t>
      </w:r>
      <w:r w:rsidR="00CC17A3" w:rsidRPr="007759EE">
        <w:rPr>
          <w:rFonts w:ascii="Garamond" w:eastAsia="Times New Roman" w:hAnsi="Garamond" w:cs="Times New Roman"/>
          <w:lang w:val="cs-CZ"/>
        </w:rPr>
        <w:t xml:space="preserve">. </w:t>
      </w:r>
    </w:p>
    <w:p w14:paraId="1BCE1B60" w14:textId="4819D762" w:rsidR="00CC17A3" w:rsidRPr="007759EE" w:rsidRDefault="00AC4791" w:rsidP="003F3660">
      <w:pPr>
        <w:spacing w:line="360" w:lineRule="auto"/>
        <w:jc w:val="both"/>
        <w:rPr>
          <w:rFonts w:ascii="Garamond" w:eastAsia="Times New Roman" w:hAnsi="Garamond" w:cs="Times New Roman"/>
          <w:lang w:val="cs-CZ"/>
        </w:rPr>
      </w:pPr>
      <w:r w:rsidRPr="007759EE">
        <w:rPr>
          <w:rFonts w:ascii="Garamond" w:eastAsia="Times New Roman" w:hAnsi="Garamond" w:cs="Times New Roman"/>
          <w:lang w:val="cs-CZ"/>
        </w:rPr>
        <w:tab/>
        <w:t xml:space="preserve">ESLP zopakoval odkazem na předchozí judikaturu svá kvalifikační </w:t>
      </w:r>
      <w:proofErr w:type="spellStart"/>
      <w:r w:rsidR="00F860F5" w:rsidRPr="007759EE">
        <w:rPr>
          <w:rFonts w:ascii="Garamond" w:eastAsia="Times New Roman" w:hAnsi="Garamond" w:cs="Times New Roman"/>
          <w:lang w:val="cs-CZ"/>
        </w:rPr>
        <w:t>Lambertova</w:t>
      </w:r>
      <w:proofErr w:type="spellEnd"/>
      <w:r w:rsidR="00F860F5" w:rsidRPr="007759EE">
        <w:rPr>
          <w:rFonts w:ascii="Garamond" w:eastAsia="Times New Roman" w:hAnsi="Garamond" w:cs="Times New Roman"/>
          <w:lang w:val="cs-CZ"/>
        </w:rPr>
        <w:t xml:space="preserve"> </w:t>
      </w:r>
      <w:r w:rsidRPr="007759EE">
        <w:rPr>
          <w:rFonts w:ascii="Garamond" w:eastAsia="Times New Roman" w:hAnsi="Garamond" w:cs="Times New Roman"/>
          <w:lang w:val="cs-CZ"/>
        </w:rPr>
        <w:t>kritéria. Soud tak potvrdil, že francouzská úprava je dostatečně jasná.</w:t>
      </w:r>
      <w:r w:rsidR="000F4F1D">
        <w:rPr>
          <w:rStyle w:val="FootnoteReference"/>
          <w:rFonts w:ascii="Garamond" w:eastAsia="Times New Roman" w:hAnsi="Garamond" w:cs="Times New Roman"/>
          <w:lang w:val="cs-CZ"/>
        </w:rPr>
        <w:footnoteReference w:id="177"/>
      </w:r>
      <w:r w:rsidRPr="007759EE">
        <w:rPr>
          <w:rFonts w:ascii="Garamond" w:eastAsia="Times New Roman" w:hAnsi="Garamond" w:cs="Times New Roman"/>
          <w:lang w:val="cs-CZ"/>
        </w:rPr>
        <w:t xml:space="preserve"> Dále zdůraznil, že ačkoli právní rámec kvalifikuje konzultační proces jako kolektivní, konečné rozhodnutí náleží ošetřujícímu lékaři.</w:t>
      </w:r>
      <w:r w:rsidR="000F4F1D">
        <w:rPr>
          <w:rStyle w:val="FootnoteReference"/>
          <w:rFonts w:ascii="Garamond" w:eastAsia="Times New Roman" w:hAnsi="Garamond" w:cs="Times New Roman"/>
          <w:lang w:val="cs-CZ"/>
        </w:rPr>
        <w:footnoteReference w:id="178"/>
      </w:r>
      <w:r w:rsidRPr="007759EE">
        <w:rPr>
          <w:rFonts w:ascii="Garamond" w:eastAsia="Times New Roman" w:hAnsi="Garamond" w:cs="Times New Roman"/>
          <w:lang w:val="cs-CZ"/>
        </w:rPr>
        <w:t xml:space="preserve"> V projednávaném případě byl konzultační proces proveden v souladu se zákonem a stěžovatelé se účastnili minimálně šesti konzultací a byli přítomni ve všech případech rozhodování.</w:t>
      </w:r>
      <w:r w:rsidR="000F4F1D">
        <w:rPr>
          <w:rStyle w:val="FootnoteReference"/>
          <w:rFonts w:ascii="Garamond" w:eastAsia="Times New Roman" w:hAnsi="Garamond" w:cs="Times New Roman"/>
          <w:lang w:val="cs-CZ"/>
        </w:rPr>
        <w:footnoteReference w:id="179"/>
      </w:r>
      <w:r w:rsidRPr="007759EE">
        <w:rPr>
          <w:rFonts w:ascii="Garamond" w:eastAsia="Times New Roman" w:hAnsi="Garamond" w:cs="Times New Roman"/>
          <w:lang w:val="cs-CZ"/>
        </w:rPr>
        <w:t xml:space="preserve"> Vzhledem k nedostatku konsensu mezi smluvními státy na tom, komu náleží konečné rozhodnutí o ukončení léčby, ESLP </w:t>
      </w:r>
      <w:r w:rsidR="007B171A">
        <w:rPr>
          <w:rFonts w:ascii="Garamond" w:eastAsia="Times New Roman" w:hAnsi="Garamond" w:cs="Times New Roman"/>
          <w:lang w:val="cs-CZ"/>
        </w:rPr>
        <w:t>znovu potvrdil</w:t>
      </w:r>
      <w:r w:rsidRPr="007759EE">
        <w:rPr>
          <w:rFonts w:ascii="Garamond" w:eastAsia="Times New Roman" w:hAnsi="Garamond" w:cs="Times New Roman"/>
          <w:lang w:val="cs-CZ"/>
        </w:rPr>
        <w:t>, že státům v této oblasti náleží prostor pro uvážení.</w:t>
      </w:r>
      <w:r w:rsidR="000F4F1D">
        <w:rPr>
          <w:rStyle w:val="FootnoteReference"/>
          <w:rFonts w:ascii="Garamond" w:eastAsia="Times New Roman" w:hAnsi="Garamond" w:cs="Times New Roman"/>
          <w:lang w:val="cs-CZ"/>
        </w:rPr>
        <w:footnoteReference w:id="180"/>
      </w:r>
      <w:r w:rsidRPr="007759EE">
        <w:rPr>
          <w:rFonts w:ascii="Garamond" w:eastAsia="Times New Roman" w:hAnsi="Garamond" w:cs="Times New Roman"/>
          <w:lang w:val="cs-CZ"/>
        </w:rPr>
        <w:t xml:space="preserve"> Konzultační proces byl tedy shledán v souladu s požadavky Úmluvy. Konečně pak ESLP rozhodl, že francouzská úprava poskytuje dostatečné záruky práva na účinné právní prostředky.</w:t>
      </w:r>
      <w:r w:rsidR="000F4F1D">
        <w:rPr>
          <w:rStyle w:val="FootnoteReference"/>
          <w:rFonts w:ascii="Garamond" w:eastAsia="Times New Roman" w:hAnsi="Garamond" w:cs="Times New Roman"/>
          <w:lang w:val="cs-CZ"/>
        </w:rPr>
        <w:footnoteReference w:id="181"/>
      </w:r>
      <w:r w:rsidRPr="007759EE">
        <w:rPr>
          <w:rFonts w:ascii="Garamond" w:eastAsia="Times New Roman" w:hAnsi="Garamond" w:cs="Times New Roman"/>
          <w:lang w:val="cs-CZ"/>
        </w:rPr>
        <w:t xml:space="preserve"> Ohledně porušení Úmluvy o lidských právech a medicíně ESLP konstatoval, že </w:t>
      </w:r>
      <w:r w:rsidR="00D0469B" w:rsidRPr="007759EE">
        <w:rPr>
          <w:rFonts w:ascii="Garamond" w:eastAsia="Times New Roman" w:hAnsi="Garamond" w:cs="Times New Roman"/>
          <w:lang w:val="cs-CZ"/>
        </w:rPr>
        <w:t>mu v této oblasti pravomoc nenáleží. Stížnost tak byla zamítnuta.</w:t>
      </w:r>
      <w:r w:rsidR="000F4F1D">
        <w:rPr>
          <w:rStyle w:val="FootnoteReference"/>
          <w:rFonts w:ascii="Garamond" w:eastAsia="Times New Roman" w:hAnsi="Garamond" w:cs="Times New Roman"/>
          <w:lang w:val="cs-CZ"/>
        </w:rPr>
        <w:footnoteReference w:id="182"/>
      </w:r>
    </w:p>
    <w:p w14:paraId="53568066" w14:textId="3C480BAA" w:rsidR="006A7C58" w:rsidRDefault="00F860F5" w:rsidP="007B171A">
      <w:pPr>
        <w:spacing w:line="360" w:lineRule="auto"/>
        <w:ind w:firstLine="720"/>
        <w:jc w:val="both"/>
        <w:rPr>
          <w:rFonts w:ascii="Garamond" w:eastAsia="Times New Roman" w:hAnsi="Garamond" w:cs="Times New Roman"/>
          <w:lang w:val="cs-CZ"/>
        </w:rPr>
      </w:pPr>
      <w:r w:rsidRPr="007759EE">
        <w:rPr>
          <w:rFonts w:ascii="Garamond" w:eastAsia="Times New Roman" w:hAnsi="Garamond" w:cs="Times New Roman"/>
          <w:lang w:val="cs-CZ"/>
        </w:rPr>
        <w:lastRenderedPageBreak/>
        <w:t xml:space="preserve">Případ Charlieho Garda byl ESLP odmítnut jako zjevně neopodstatněný na základě </w:t>
      </w:r>
      <w:proofErr w:type="spellStart"/>
      <w:r w:rsidRPr="007759EE">
        <w:rPr>
          <w:rFonts w:ascii="Garamond" w:eastAsia="Times New Roman" w:hAnsi="Garamond" w:cs="Times New Roman"/>
          <w:lang w:val="cs-CZ"/>
        </w:rPr>
        <w:t>Lambertových</w:t>
      </w:r>
      <w:proofErr w:type="spellEnd"/>
      <w:r w:rsidRPr="007759EE">
        <w:rPr>
          <w:rFonts w:ascii="Garamond" w:eastAsia="Times New Roman" w:hAnsi="Garamond" w:cs="Times New Roman"/>
          <w:lang w:val="cs-CZ"/>
        </w:rPr>
        <w:t xml:space="preserve"> kritérií. V projednávaném případě byla nepřípustnost stížnosti vyslovena tříčlenným </w:t>
      </w:r>
      <w:r w:rsidR="00BD09A8" w:rsidRPr="007759EE">
        <w:rPr>
          <w:rFonts w:ascii="Garamond" w:eastAsia="Times New Roman" w:hAnsi="Garamond" w:cs="Times New Roman"/>
          <w:lang w:val="cs-CZ"/>
        </w:rPr>
        <w:t>výborem, což podle Úmluvy</w:t>
      </w:r>
      <w:r w:rsidR="00BD09A8" w:rsidRPr="007759EE">
        <w:rPr>
          <w:rStyle w:val="FootnoteReference"/>
          <w:rFonts w:ascii="Garamond" w:eastAsia="Times New Roman" w:hAnsi="Garamond" w:cs="Times New Roman"/>
          <w:lang w:val="cs-CZ"/>
        </w:rPr>
        <w:footnoteReference w:id="183"/>
      </w:r>
      <w:r w:rsidR="00BD09A8" w:rsidRPr="007759EE">
        <w:rPr>
          <w:rFonts w:ascii="Garamond" w:eastAsia="Times New Roman" w:hAnsi="Garamond" w:cs="Times New Roman"/>
          <w:lang w:val="cs-CZ"/>
        </w:rPr>
        <w:t xml:space="preserve"> znamená, že se jednalo o stížnost, která může být jednomyslně prohlášena za nepřijatelnou bez dalšího přezkoumávání. Toto směřování naznačuje, že </w:t>
      </w:r>
      <w:proofErr w:type="spellStart"/>
      <w:r w:rsidR="00BD09A8" w:rsidRPr="007759EE">
        <w:rPr>
          <w:rFonts w:ascii="Garamond" w:eastAsia="Times New Roman" w:hAnsi="Garamond" w:cs="Times New Roman"/>
          <w:lang w:val="cs-CZ"/>
        </w:rPr>
        <w:t>Lambertova</w:t>
      </w:r>
      <w:proofErr w:type="spellEnd"/>
      <w:r w:rsidR="00BD09A8" w:rsidRPr="007759EE">
        <w:rPr>
          <w:rFonts w:ascii="Garamond" w:eastAsia="Times New Roman" w:hAnsi="Garamond" w:cs="Times New Roman"/>
          <w:lang w:val="cs-CZ"/>
        </w:rPr>
        <w:t xml:space="preserve"> kritéria mají být jakýmsi pravidlem obecné povahy, která můžou být dostatečným podkladem pro budoucí rozhodování v obdobných případech.</w:t>
      </w:r>
      <w:r w:rsidR="00BD09A8" w:rsidRPr="007759EE">
        <w:rPr>
          <w:rStyle w:val="FootnoteReference"/>
          <w:rFonts w:ascii="Garamond" w:eastAsia="Times New Roman" w:hAnsi="Garamond" w:cs="Times New Roman"/>
          <w:lang w:val="cs-CZ"/>
        </w:rPr>
        <w:footnoteReference w:id="184"/>
      </w:r>
      <w:r w:rsidR="00BC1D77" w:rsidRPr="007759EE">
        <w:rPr>
          <w:rFonts w:ascii="Garamond" w:eastAsia="Times New Roman" w:hAnsi="Garamond" w:cs="Times New Roman"/>
          <w:lang w:val="cs-CZ"/>
        </w:rPr>
        <w:t xml:space="preserve"> </w:t>
      </w:r>
      <w:proofErr w:type="spellStart"/>
      <w:r w:rsidR="00BC1D77" w:rsidRPr="007759EE">
        <w:rPr>
          <w:rFonts w:ascii="Garamond" w:eastAsia="Times New Roman" w:hAnsi="Garamond" w:cs="Times New Roman"/>
          <w:lang w:val="cs-CZ"/>
        </w:rPr>
        <w:t>Sartori</w:t>
      </w:r>
      <w:proofErr w:type="spellEnd"/>
      <w:r w:rsidR="00BC1D77" w:rsidRPr="007759EE">
        <w:rPr>
          <w:rFonts w:ascii="Garamond" w:eastAsia="Times New Roman" w:hAnsi="Garamond" w:cs="Times New Roman"/>
          <w:lang w:val="cs-CZ"/>
        </w:rPr>
        <w:t xml:space="preserve"> dále dovozuje, že autonomie má v rozhodování o konci života stěžejní význam a přístupy výkladu nezjistitelné vůle pak budou slučitelné s Úmluvou, pokud splní právě </w:t>
      </w:r>
      <w:proofErr w:type="spellStart"/>
      <w:r w:rsidR="00BC1D77" w:rsidRPr="007759EE">
        <w:rPr>
          <w:rFonts w:ascii="Garamond" w:eastAsia="Times New Roman" w:hAnsi="Garamond" w:cs="Times New Roman"/>
          <w:lang w:val="cs-CZ"/>
        </w:rPr>
        <w:t>Lambertova</w:t>
      </w:r>
      <w:proofErr w:type="spellEnd"/>
      <w:r w:rsidR="00BC1D77" w:rsidRPr="007759EE">
        <w:rPr>
          <w:rFonts w:ascii="Garamond" w:eastAsia="Times New Roman" w:hAnsi="Garamond" w:cs="Times New Roman"/>
          <w:lang w:val="cs-CZ"/>
        </w:rPr>
        <w:t xml:space="preserve"> kritéria.</w:t>
      </w:r>
      <w:r w:rsidR="00BC1D77" w:rsidRPr="007759EE">
        <w:rPr>
          <w:rStyle w:val="FootnoteReference"/>
          <w:rFonts w:ascii="Garamond" w:eastAsia="Times New Roman" w:hAnsi="Garamond" w:cs="Times New Roman"/>
          <w:lang w:val="cs-CZ"/>
        </w:rPr>
        <w:footnoteReference w:id="185"/>
      </w:r>
    </w:p>
    <w:p w14:paraId="01EE44F4" w14:textId="77777777" w:rsidR="006A7C58" w:rsidRPr="006A7C58" w:rsidRDefault="006A7C58" w:rsidP="00426FA1">
      <w:pPr>
        <w:pStyle w:val="Heading2"/>
        <w:numPr>
          <w:ilvl w:val="0"/>
          <w:numId w:val="23"/>
        </w:numPr>
        <w:spacing w:line="360" w:lineRule="auto"/>
        <w:ind w:left="720" w:hanging="720"/>
        <w:rPr>
          <w:rFonts w:eastAsia="Times New Roman" w:cs="Times New Roman"/>
          <w:lang w:val="cs-CZ"/>
        </w:rPr>
      </w:pPr>
      <w:bookmarkStart w:id="9" w:name="_Toc11919775"/>
      <w:r w:rsidRPr="00426FA1">
        <w:rPr>
          <w:rFonts w:cs="Times New Roman"/>
          <w:lang w:val="cs-CZ"/>
        </w:rPr>
        <w:t>Shrnutí</w:t>
      </w:r>
      <w:bookmarkEnd w:id="9"/>
    </w:p>
    <w:p w14:paraId="166D292A" w14:textId="46ED0AB8" w:rsidR="00D7176D" w:rsidRDefault="00192384" w:rsidP="004E46A2">
      <w:pPr>
        <w:spacing w:line="360" w:lineRule="auto"/>
        <w:ind w:firstLine="720"/>
        <w:jc w:val="both"/>
        <w:rPr>
          <w:rFonts w:ascii="Garamond" w:hAnsi="Garamond"/>
          <w:lang w:val="cs-CZ"/>
        </w:rPr>
      </w:pPr>
      <w:r>
        <w:rPr>
          <w:rFonts w:ascii="Garamond" w:hAnsi="Garamond"/>
          <w:lang w:val="cs-CZ"/>
        </w:rPr>
        <w:t>Jak dovozuje Doležal,</w:t>
      </w:r>
      <w:r w:rsidR="00D7176D">
        <w:rPr>
          <w:rFonts w:ascii="Garamond" w:hAnsi="Garamond"/>
          <w:lang w:val="cs-CZ"/>
        </w:rPr>
        <w:t xml:space="preserve"> ESLP ve své ustálené judikatuře dochází k tomu, že jednotlivec požívá práva volby, zda se podrobí určitému lékařskému zákroku a jakému, a to zásadně bez ohledu na závažnost tohoto zákroku.</w:t>
      </w:r>
      <w:r w:rsidR="00D7176D">
        <w:rPr>
          <w:rStyle w:val="FootnoteReference"/>
          <w:rFonts w:ascii="Garamond" w:hAnsi="Garamond"/>
          <w:lang w:val="cs-CZ"/>
        </w:rPr>
        <w:footnoteReference w:id="186"/>
      </w:r>
      <w:r>
        <w:rPr>
          <w:rFonts w:ascii="Garamond" w:hAnsi="Garamond"/>
          <w:lang w:val="cs-CZ"/>
        </w:rPr>
        <w:t xml:space="preserve"> Staví tak na rozhodnutí ve věci </w:t>
      </w:r>
      <w:proofErr w:type="spellStart"/>
      <w:r>
        <w:rPr>
          <w:rFonts w:ascii="Garamond" w:hAnsi="Garamond"/>
          <w:i/>
          <w:lang w:val="cs-CZ"/>
        </w:rPr>
        <w:t>Pretty</w:t>
      </w:r>
      <w:proofErr w:type="spellEnd"/>
      <w:r>
        <w:rPr>
          <w:rFonts w:ascii="Garamond" w:hAnsi="Garamond"/>
          <w:i/>
          <w:lang w:val="cs-CZ"/>
        </w:rPr>
        <w:t xml:space="preserve"> proti Spojenému království</w:t>
      </w:r>
      <w:r>
        <w:rPr>
          <w:rFonts w:ascii="Garamond" w:hAnsi="Garamond"/>
          <w:lang w:val="cs-CZ"/>
        </w:rPr>
        <w:t xml:space="preserve">, zejména pak na část, kde ESLP uvedl, že </w:t>
      </w:r>
      <w:r w:rsidRPr="00192384">
        <w:rPr>
          <w:rFonts w:ascii="Garamond" w:hAnsi="Garamond"/>
          <w:i/>
          <w:lang w:val="cs-CZ"/>
        </w:rPr>
        <w:t>ve sféře lékařské léčby může odmítnutí podrobit se určitému způsobu léčby nevyhnutelně vést k fatálním důsledkům, přesto léčení prováděné bez souhlasu ... pacienta by zasáhlo do tělesné integrity způsobem, který by byl s to dotknout se práv chráněných podle čl. 8 odst. 1 Úmluvy</w:t>
      </w:r>
      <w:r>
        <w:rPr>
          <w:rFonts w:ascii="Garamond" w:hAnsi="Garamond"/>
          <w:lang w:val="cs-CZ"/>
        </w:rPr>
        <w:t>.</w:t>
      </w:r>
      <w:r>
        <w:rPr>
          <w:rStyle w:val="FootnoteReference"/>
          <w:rFonts w:ascii="Garamond" w:hAnsi="Garamond"/>
          <w:lang w:val="cs-CZ"/>
        </w:rPr>
        <w:footnoteReference w:id="187"/>
      </w:r>
      <w:r>
        <w:rPr>
          <w:rFonts w:ascii="Garamond" w:hAnsi="Garamond"/>
          <w:lang w:val="cs-CZ"/>
        </w:rPr>
        <w:t xml:space="preserve"> </w:t>
      </w:r>
      <w:r w:rsidR="00B12A1E">
        <w:rPr>
          <w:rFonts w:ascii="Garamond" w:hAnsi="Garamond"/>
          <w:lang w:val="cs-CZ"/>
        </w:rPr>
        <w:t xml:space="preserve">Garanci práva volby v lékařských otázkách rozvedl ELSP dále v rozsudku ve věci </w:t>
      </w:r>
      <w:r w:rsidR="00B12A1E">
        <w:rPr>
          <w:rFonts w:ascii="Garamond" w:hAnsi="Garamond"/>
          <w:i/>
          <w:lang w:val="cs-CZ"/>
        </w:rPr>
        <w:t>Moskevští Svědci Jehovovi</w:t>
      </w:r>
      <w:r w:rsidR="00210C26">
        <w:rPr>
          <w:rStyle w:val="FootnoteReference"/>
          <w:rFonts w:ascii="Garamond" w:hAnsi="Garamond"/>
          <w:i/>
          <w:lang w:val="cs-CZ"/>
        </w:rPr>
        <w:footnoteReference w:id="188"/>
      </w:r>
      <w:r w:rsidR="00B12A1E">
        <w:rPr>
          <w:rFonts w:ascii="Garamond" w:hAnsi="Garamond"/>
          <w:i/>
          <w:lang w:val="cs-CZ"/>
        </w:rPr>
        <w:t xml:space="preserve"> a další proti Rusku</w:t>
      </w:r>
      <w:r w:rsidR="00B12A1E">
        <w:rPr>
          <w:rFonts w:ascii="Garamond" w:hAnsi="Garamond"/>
          <w:lang w:val="cs-CZ"/>
        </w:rPr>
        <w:t>, kde uvedl, že pacienti musí mít právo volby bez ohledu na to, jak iracionální nebo neopatrné takové volby připadají druhým, přičemž jediným rozhodujícím faktorem je, zda byla tato volba výsledkem vlastní vůle osoby.</w:t>
      </w:r>
      <w:r w:rsidR="00B12A1E">
        <w:rPr>
          <w:rStyle w:val="FootnoteReference"/>
          <w:rFonts w:ascii="Garamond" w:hAnsi="Garamond"/>
          <w:lang w:val="cs-CZ"/>
        </w:rPr>
        <w:footnoteReference w:id="189"/>
      </w:r>
    </w:p>
    <w:p w14:paraId="48C1DCFE" w14:textId="629E1E48" w:rsidR="00790E91" w:rsidRDefault="009258CA" w:rsidP="00790E91">
      <w:pPr>
        <w:spacing w:line="360" w:lineRule="auto"/>
        <w:ind w:firstLine="720"/>
        <w:jc w:val="both"/>
        <w:rPr>
          <w:rFonts w:ascii="Garamond" w:hAnsi="Garamond"/>
          <w:lang w:val="cs-CZ"/>
        </w:rPr>
      </w:pPr>
      <w:r>
        <w:rPr>
          <w:rFonts w:ascii="Garamond" w:hAnsi="Garamond"/>
          <w:lang w:val="cs-CZ"/>
        </w:rPr>
        <w:t xml:space="preserve">Ačkoli takto judikována autonomie jednotlivce není právem absolutním, její omezení musí řádně splňovat všechny předpoklady omezení a státy se s jejím potlačením musí dostatečně vypořádat, jak tomu bylo dovozeno i v případě </w:t>
      </w:r>
      <w:r>
        <w:rPr>
          <w:rFonts w:ascii="Garamond" w:hAnsi="Garamond"/>
          <w:i/>
          <w:lang w:val="cs-CZ"/>
        </w:rPr>
        <w:t xml:space="preserve">Gross proti </w:t>
      </w:r>
      <w:r w:rsidRPr="009258CA">
        <w:rPr>
          <w:rFonts w:ascii="Garamond" w:hAnsi="Garamond"/>
          <w:i/>
          <w:lang w:val="cs-CZ"/>
        </w:rPr>
        <w:t>Švýcarsku</w:t>
      </w:r>
      <w:r>
        <w:rPr>
          <w:rFonts w:ascii="Garamond" w:hAnsi="Garamond"/>
          <w:lang w:val="cs-CZ"/>
        </w:rPr>
        <w:t xml:space="preserve">. </w:t>
      </w:r>
      <w:r w:rsidR="00B12A1E" w:rsidRPr="009258CA">
        <w:rPr>
          <w:rFonts w:ascii="Garamond" w:hAnsi="Garamond"/>
          <w:lang w:val="cs-CZ"/>
        </w:rPr>
        <w:t>Základní</w:t>
      </w:r>
      <w:r w:rsidR="00B12A1E">
        <w:rPr>
          <w:rFonts w:ascii="Garamond" w:hAnsi="Garamond"/>
          <w:lang w:val="cs-CZ"/>
        </w:rPr>
        <w:t xml:space="preserve"> důsledek pak vidí Doležal v tom, že dle judikatury ESLP, závisí za obvyklých okolností rozhodnutí, zda se bude osoba léčit, pouze na této osobě, příp. zákonných zástupcích, přičemž tato osoba má právo léčbu odmítnout, a to i v případě, že jí to ohrozí na životě.</w:t>
      </w:r>
      <w:r w:rsidR="00B12A1E">
        <w:rPr>
          <w:rStyle w:val="FootnoteReference"/>
          <w:rFonts w:ascii="Garamond" w:hAnsi="Garamond"/>
          <w:lang w:val="cs-CZ"/>
        </w:rPr>
        <w:footnoteReference w:id="190"/>
      </w:r>
      <w:r w:rsidR="00B12A1E">
        <w:rPr>
          <w:rFonts w:ascii="Garamond" w:hAnsi="Garamond"/>
          <w:lang w:val="cs-CZ"/>
        </w:rPr>
        <w:t xml:space="preserve"> </w:t>
      </w:r>
      <w:r w:rsidR="0005177B">
        <w:rPr>
          <w:rFonts w:ascii="Garamond" w:hAnsi="Garamond"/>
          <w:lang w:val="cs-CZ"/>
        </w:rPr>
        <w:t xml:space="preserve">Dovodíme-li takto z článku 8 Úmluvy právo rozhodovat o svém vlastním životě, nespatřuji zde žádný relevantní důvod, který by odůvodňoval omezení </w:t>
      </w:r>
      <w:r w:rsidR="0005177B">
        <w:rPr>
          <w:rFonts w:ascii="Garamond" w:hAnsi="Garamond"/>
          <w:lang w:val="cs-CZ"/>
        </w:rPr>
        <w:lastRenderedPageBreak/>
        <w:t xml:space="preserve">tohoto práva </w:t>
      </w:r>
      <w:r w:rsidR="005E559D">
        <w:rPr>
          <w:rFonts w:ascii="Garamond" w:hAnsi="Garamond"/>
          <w:lang w:val="cs-CZ"/>
        </w:rPr>
        <w:t>vůči</w:t>
      </w:r>
      <w:r w:rsidR="0005177B">
        <w:rPr>
          <w:rFonts w:ascii="Garamond" w:hAnsi="Garamond"/>
          <w:lang w:val="cs-CZ"/>
        </w:rPr>
        <w:t xml:space="preserve"> </w:t>
      </w:r>
      <w:r w:rsidR="005E559D">
        <w:rPr>
          <w:rFonts w:ascii="Garamond" w:hAnsi="Garamond"/>
          <w:lang w:val="cs-CZ"/>
        </w:rPr>
        <w:t>nezletilým</w:t>
      </w:r>
      <w:r w:rsidR="003712AF">
        <w:rPr>
          <w:rFonts w:ascii="Garamond" w:hAnsi="Garamond"/>
          <w:lang w:val="cs-CZ"/>
        </w:rPr>
        <w:t xml:space="preserve">, zejména pak, že článek 1 Úmluvy práva přiznaná Úmluvou garantuje každému, kdo podléhá jurisdikci smluvních států. </w:t>
      </w:r>
      <w:r w:rsidR="00790E91">
        <w:rPr>
          <w:rFonts w:ascii="Garamond" w:hAnsi="Garamond"/>
          <w:lang w:val="cs-CZ"/>
        </w:rPr>
        <w:t xml:space="preserve">Vezmeme-li v úvahu, že ani v případě </w:t>
      </w:r>
      <w:r w:rsidR="00790E91">
        <w:rPr>
          <w:rFonts w:ascii="Garamond" w:hAnsi="Garamond"/>
          <w:i/>
          <w:lang w:val="cs-CZ"/>
        </w:rPr>
        <w:t>Gard a další proti Spojenému království</w:t>
      </w:r>
      <w:r w:rsidR="00790E91">
        <w:rPr>
          <w:rFonts w:ascii="Garamond" w:hAnsi="Garamond"/>
          <w:lang w:val="cs-CZ"/>
        </w:rPr>
        <w:t xml:space="preserve">, ani </w:t>
      </w:r>
      <w:proofErr w:type="spellStart"/>
      <w:r w:rsidR="00790E91">
        <w:rPr>
          <w:rFonts w:ascii="Garamond" w:hAnsi="Garamond"/>
          <w:i/>
          <w:lang w:val="cs-CZ"/>
        </w:rPr>
        <w:t>Afiri</w:t>
      </w:r>
      <w:proofErr w:type="spellEnd"/>
      <w:r w:rsidR="00790E91">
        <w:rPr>
          <w:rFonts w:ascii="Garamond" w:hAnsi="Garamond"/>
          <w:i/>
          <w:lang w:val="cs-CZ"/>
        </w:rPr>
        <w:t xml:space="preserve"> a </w:t>
      </w:r>
      <w:proofErr w:type="spellStart"/>
      <w:r w:rsidR="00790E91">
        <w:rPr>
          <w:rFonts w:ascii="Garamond" w:hAnsi="Garamond"/>
          <w:i/>
          <w:lang w:val="cs-CZ"/>
        </w:rPr>
        <w:t>Biddarri</w:t>
      </w:r>
      <w:proofErr w:type="spellEnd"/>
      <w:r w:rsidR="00790E91">
        <w:rPr>
          <w:rFonts w:ascii="Garamond" w:hAnsi="Garamond"/>
          <w:i/>
          <w:lang w:val="cs-CZ"/>
        </w:rPr>
        <w:t xml:space="preserve"> proti Francii</w:t>
      </w:r>
      <w:r w:rsidR="00790E91">
        <w:rPr>
          <w:rFonts w:ascii="Garamond" w:hAnsi="Garamond"/>
          <w:lang w:val="cs-CZ"/>
        </w:rPr>
        <w:t xml:space="preserve"> se ve své podstatě blíže neřešila otázka věku, ale spíše, co je v nejlepším zájmu pacienta, který nemůže vyjádřit svou vůli, </w:t>
      </w:r>
      <w:r w:rsidR="005E559D">
        <w:rPr>
          <w:rFonts w:ascii="Garamond" w:hAnsi="Garamond"/>
          <w:lang w:val="cs-CZ"/>
        </w:rPr>
        <w:t>naznačuje</w:t>
      </w:r>
      <w:r w:rsidR="00790E91">
        <w:rPr>
          <w:rFonts w:ascii="Garamond" w:hAnsi="Garamond"/>
          <w:lang w:val="cs-CZ"/>
        </w:rPr>
        <w:t xml:space="preserve"> to k závěru, že ani ESLP nekategorizuje případy eutanazie podle biologického věku dotčené osoby, </w:t>
      </w:r>
      <w:r w:rsidR="005E559D">
        <w:rPr>
          <w:rFonts w:ascii="Garamond" w:hAnsi="Garamond"/>
          <w:lang w:val="cs-CZ"/>
        </w:rPr>
        <w:t>které tak mají požívat stejných práv bez ohledu na věk.</w:t>
      </w:r>
    </w:p>
    <w:p w14:paraId="66FCA903" w14:textId="371E48F0" w:rsidR="0026071C" w:rsidRPr="00790E91" w:rsidRDefault="0026071C" w:rsidP="00790E91">
      <w:pPr>
        <w:spacing w:line="360" w:lineRule="auto"/>
        <w:ind w:firstLine="720"/>
        <w:jc w:val="both"/>
        <w:rPr>
          <w:rFonts w:ascii="Garamond" w:hAnsi="Garamond"/>
          <w:lang w:val="cs-CZ"/>
        </w:rPr>
      </w:pPr>
      <w:r>
        <w:rPr>
          <w:rFonts w:ascii="Garamond" w:hAnsi="Garamond"/>
          <w:lang w:val="cs-CZ"/>
        </w:rPr>
        <w:t xml:space="preserve">Pro rozvoj judikatury je však škoda, že se ESLP zatím neodvážil explicitně potvrdit pozitivní povinnost státu garantovat právo na smrt, jakožto součást osobní autonomie. Jak podotýká </w:t>
      </w:r>
      <w:proofErr w:type="spellStart"/>
      <w:r>
        <w:rPr>
          <w:rFonts w:ascii="Garamond" w:hAnsi="Garamond"/>
          <w:lang w:val="cs-CZ"/>
        </w:rPr>
        <w:t>Sartori</w:t>
      </w:r>
      <w:proofErr w:type="spellEnd"/>
      <w:r>
        <w:rPr>
          <w:rStyle w:val="FootnoteReference"/>
          <w:rFonts w:ascii="Garamond" w:hAnsi="Garamond"/>
          <w:lang w:val="cs-CZ"/>
        </w:rPr>
        <w:footnoteReference w:id="191"/>
      </w:r>
      <w:r>
        <w:rPr>
          <w:rFonts w:ascii="Garamond" w:hAnsi="Garamond"/>
          <w:lang w:val="cs-CZ"/>
        </w:rPr>
        <w:t>, ESLP by měl jednou pro vždy takové právo potvrdit, neboť jak i soud sám dříve konstatoval, lidská důstojnost a svoboda tvoří samou podstatu Úmluvy.</w:t>
      </w:r>
      <w:r>
        <w:rPr>
          <w:rStyle w:val="FootnoteReference"/>
          <w:rFonts w:ascii="Garamond" w:hAnsi="Garamond"/>
          <w:lang w:val="cs-CZ"/>
        </w:rPr>
        <w:footnoteReference w:id="192"/>
      </w:r>
    </w:p>
    <w:p w14:paraId="07127F37" w14:textId="3039838D" w:rsidR="00DE0F40" w:rsidRDefault="005E1AA0" w:rsidP="00DE0F40">
      <w:pPr>
        <w:spacing w:line="360" w:lineRule="auto"/>
        <w:ind w:firstLine="720"/>
        <w:jc w:val="both"/>
        <w:rPr>
          <w:rFonts w:ascii="Garamond" w:hAnsi="Garamond"/>
          <w:lang w:val="cs-CZ"/>
        </w:rPr>
      </w:pPr>
      <w:r w:rsidRPr="004E46A2">
        <w:rPr>
          <w:rFonts w:ascii="Garamond" w:hAnsi="Garamond"/>
          <w:lang w:val="cs-CZ"/>
        </w:rPr>
        <w:t>S ohledem na judikaturu ESLP</w:t>
      </w:r>
      <w:r w:rsidR="002C1BA1">
        <w:rPr>
          <w:rFonts w:ascii="Garamond" w:hAnsi="Garamond"/>
          <w:lang w:val="cs-CZ"/>
        </w:rPr>
        <w:t>,</w:t>
      </w:r>
      <w:r w:rsidRPr="004E46A2">
        <w:rPr>
          <w:rFonts w:ascii="Garamond" w:hAnsi="Garamond"/>
          <w:lang w:val="cs-CZ"/>
        </w:rPr>
        <w:t xml:space="preserve"> profesor </w:t>
      </w:r>
      <w:proofErr w:type="spellStart"/>
      <w:r w:rsidRPr="004E46A2">
        <w:rPr>
          <w:rFonts w:ascii="Garamond" w:hAnsi="Garamond"/>
          <w:lang w:val="cs-CZ"/>
        </w:rPr>
        <w:t>Hendriks</w:t>
      </w:r>
      <w:proofErr w:type="spellEnd"/>
      <w:r w:rsidR="00EB34C0">
        <w:rPr>
          <w:rStyle w:val="FootnoteReference"/>
          <w:rFonts w:ascii="Garamond" w:hAnsi="Garamond"/>
          <w:lang w:val="cs-CZ"/>
        </w:rPr>
        <w:footnoteReference w:id="193"/>
      </w:r>
      <w:r w:rsidRPr="004E46A2">
        <w:rPr>
          <w:rFonts w:ascii="Garamond" w:hAnsi="Garamond"/>
          <w:lang w:val="cs-CZ"/>
        </w:rPr>
        <w:t xml:space="preserve"> poukazuje na nedostatky ve vztahu k Úmluvě o lidských právech a biomedicíně. Zejména s ohledem na fakt, že Úmluva o lidských právech</w:t>
      </w:r>
      <w:r w:rsidR="00085BE5" w:rsidRPr="004E46A2">
        <w:rPr>
          <w:rFonts w:ascii="Garamond" w:hAnsi="Garamond"/>
          <w:lang w:val="cs-CZ"/>
        </w:rPr>
        <w:t xml:space="preserve"> a biomedicíně</w:t>
      </w:r>
      <w:r w:rsidRPr="004E46A2">
        <w:rPr>
          <w:rFonts w:ascii="Garamond" w:hAnsi="Garamond"/>
          <w:lang w:val="cs-CZ"/>
        </w:rPr>
        <w:t xml:space="preserve">, která byla přijata již v roce 1987, zdůrazňuje význam individuálního </w:t>
      </w:r>
      <w:r w:rsidR="00EB34C0" w:rsidRPr="004E46A2">
        <w:rPr>
          <w:rFonts w:ascii="Garamond" w:hAnsi="Garamond"/>
          <w:lang w:val="cs-CZ"/>
        </w:rPr>
        <w:t>souhlasu,</w:t>
      </w:r>
      <w:r w:rsidR="00085BE5" w:rsidRPr="004E46A2">
        <w:rPr>
          <w:rFonts w:ascii="Garamond" w:hAnsi="Garamond"/>
          <w:lang w:val="cs-CZ"/>
        </w:rPr>
        <w:t xml:space="preserve"> a přitom jí ESLP ve svém odůvodnění nevzal v úvahu ani v jednom z těchto případů.</w:t>
      </w:r>
      <w:r w:rsidR="00625AB3" w:rsidRPr="004E46A2">
        <w:rPr>
          <w:rFonts w:ascii="Garamond" w:hAnsi="Garamond"/>
          <w:lang w:val="cs-CZ"/>
        </w:rPr>
        <w:t xml:space="preserve"> Rozvedeme-li to pak na respektování práv dětí, jak Úmluva o právech dítěte, ratifikována mimo jiné všemi členskými státy EU, tak i další mezinárodní dokumenty podtrhující práva dětí a respektování jejich názoru by mohly ESLP sloužit alespoň jako inspirační zdroj.</w:t>
      </w:r>
    </w:p>
    <w:p w14:paraId="0202729D" w14:textId="77777777" w:rsidR="00DE0F40" w:rsidRDefault="00DE0F40">
      <w:pPr>
        <w:rPr>
          <w:rFonts w:ascii="Garamond" w:hAnsi="Garamond"/>
          <w:lang w:val="cs-CZ"/>
        </w:rPr>
      </w:pPr>
      <w:r>
        <w:rPr>
          <w:rFonts w:ascii="Garamond" w:hAnsi="Garamond"/>
          <w:lang w:val="cs-CZ"/>
        </w:rPr>
        <w:br w:type="page"/>
      </w:r>
    </w:p>
    <w:p w14:paraId="729D68A2" w14:textId="62248D26" w:rsidR="00DE0F40" w:rsidRDefault="00DE0F40" w:rsidP="00DE0F40">
      <w:pPr>
        <w:pStyle w:val="Heading1"/>
        <w:numPr>
          <w:ilvl w:val="0"/>
          <w:numId w:val="2"/>
        </w:numPr>
        <w:spacing w:line="360" w:lineRule="auto"/>
        <w:ind w:left="720" w:hanging="720"/>
        <w:rPr>
          <w:lang w:val="cs-CZ"/>
        </w:rPr>
      </w:pPr>
      <w:bookmarkStart w:id="10" w:name="_Toc11919776"/>
      <w:r>
        <w:rPr>
          <w:lang w:val="cs-CZ"/>
        </w:rPr>
        <w:lastRenderedPageBreak/>
        <w:t>Diskuse</w:t>
      </w:r>
      <w:bookmarkEnd w:id="10"/>
    </w:p>
    <w:p w14:paraId="2F47DA4D" w14:textId="0AE0C3D7" w:rsidR="00D5601C" w:rsidRPr="00D5601C" w:rsidRDefault="00D5601C" w:rsidP="00D5601C">
      <w:pPr>
        <w:spacing w:line="360" w:lineRule="auto"/>
        <w:ind w:firstLine="720"/>
        <w:jc w:val="both"/>
        <w:rPr>
          <w:rFonts w:ascii="Garamond" w:hAnsi="Garamond"/>
          <w:lang w:val="cs-CZ"/>
        </w:rPr>
      </w:pPr>
      <w:r>
        <w:rPr>
          <w:rFonts w:ascii="Garamond" w:hAnsi="Garamond"/>
          <w:lang w:val="cs-CZ"/>
        </w:rPr>
        <w:t xml:space="preserve">V rámci legislativního procesu v jednotlivých zemích, odborných diskusí na národní i mezinárodní úrovni, jakož i v rámci judikatorního vývoje bylo vedeno hned několik argumentačních linií pro a proti uzákonění eutanazie jak pro dospělé, tak i nezletilé pacienty. Ačkoli je poměrná část argumentace postavena spíše na morálních, etických, potažmo náboženských postojích, některé konkrétní argumenty lze podpořit či vyvrátit uskutečňovanou praxí a studiemi na tuto problematiku. V následujících kapitolách uvádím ty nejvýraznější z nich, na kterých pak lze postavit i závěr, že by možnost eutanazie měla být rozšířena i na nezletilé pacienty. </w:t>
      </w:r>
    </w:p>
    <w:p w14:paraId="7FFF89D7" w14:textId="5314C799" w:rsidR="00DE0F40" w:rsidRDefault="00DE0F40" w:rsidP="00DE0F40">
      <w:pPr>
        <w:pStyle w:val="Heading2"/>
        <w:numPr>
          <w:ilvl w:val="0"/>
          <w:numId w:val="27"/>
        </w:numPr>
        <w:spacing w:line="360" w:lineRule="auto"/>
        <w:ind w:left="720" w:hanging="720"/>
        <w:rPr>
          <w:lang w:val="cs-CZ"/>
        </w:rPr>
      </w:pPr>
      <w:bookmarkStart w:id="11" w:name="_Toc11919777"/>
      <w:r>
        <w:rPr>
          <w:lang w:val="cs-CZ"/>
        </w:rPr>
        <w:t xml:space="preserve">Argument </w:t>
      </w:r>
      <w:proofErr w:type="spellStart"/>
      <w:r w:rsidRPr="00D87FB4">
        <w:rPr>
          <w:i/>
          <w:iCs/>
          <w:lang w:val="cs-CZ"/>
        </w:rPr>
        <w:t>slippery</w:t>
      </w:r>
      <w:proofErr w:type="spellEnd"/>
      <w:r w:rsidRPr="00D87FB4">
        <w:rPr>
          <w:i/>
          <w:iCs/>
          <w:lang w:val="cs-CZ"/>
        </w:rPr>
        <w:t xml:space="preserve"> </w:t>
      </w:r>
      <w:proofErr w:type="spellStart"/>
      <w:r w:rsidRPr="00D87FB4">
        <w:rPr>
          <w:i/>
          <w:iCs/>
          <w:lang w:val="cs-CZ"/>
        </w:rPr>
        <w:t>slope</w:t>
      </w:r>
      <w:bookmarkEnd w:id="11"/>
      <w:proofErr w:type="spellEnd"/>
    </w:p>
    <w:p w14:paraId="4C3BBD88" w14:textId="7BC84C1F" w:rsidR="00DE0F40" w:rsidRPr="00DE0F40" w:rsidRDefault="00DE0F40" w:rsidP="00764189">
      <w:pPr>
        <w:spacing w:line="360" w:lineRule="auto"/>
        <w:ind w:firstLine="720"/>
        <w:jc w:val="both"/>
        <w:rPr>
          <w:rFonts w:ascii="Garamond" w:hAnsi="Garamond"/>
          <w:lang w:val="cs-CZ"/>
        </w:rPr>
      </w:pPr>
      <w:r w:rsidRPr="00DE0F40">
        <w:rPr>
          <w:rFonts w:ascii="Garamond" w:hAnsi="Garamond"/>
          <w:lang w:val="cs-CZ"/>
        </w:rPr>
        <w:t xml:space="preserve">Snad nejčastěji zmiňovaným argumentem je tzv. </w:t>
      </w:r>
      <w:r w:rsidRPr="00DE0F40">
        <w:rPr>
          <w:rFonts w:ascii="Garamond" w:hAnsi="Garamond"/>
          <w:i/>
        </w:rPr>
        <w:t>slippery slope</w:t>
      </w:r>
      <w:r w:rsidRPr="00DE0F40">
        <w:rPr>
          <w:rFonts w:ascii="Garamond" w:hAnsi="Garamond"/>
          <w:lang w:val="cs-CZ"/>
        </w:rPr>
        <w:t>, tedy obava, že povolení jakékoli formy eutanazie povede k nadužívání, a tedy nárůstu počtu smrtí, jakož i k riziku zneužití.</w:t>
      </w:r>
      <w:r>
        <w:rPr>
          <w:rStyle w:val="FootnoteReference"/>
          <w:rFonts w:ascii="Garamond" w:hAnsi="Garamond"/>
          <w:lang w:val="cs-CZ"/>
        </w:rPr>
        <w:footnoteReference w:id="194"/>
      </w:r>
      <w:r w:rsidRPr="00DE0F40">
        <w:rPr>
          <w:rFonts w:ascii="Garamond" w:hAnsi="Garamond"/>
          <w:lang w:val="cs-CZ"/>
        </w:rPr>
        <w:t xml:space="preserve"> Oficiální čísla tuto kritiku u dospělých pacientů mají potvrzovat. Tak například podle belgické studie se v Belgii od uzákonění eutanazie do roku 2013 procentuální podíl eutanazie na celkovém počtu úmrtí zvýšil z 0,2 % na 1,7 %, což postupně představuje zvýšení o stovky až tisíce pacientů.</w:t>
      </w:r>
      <w:r>
        <w:rPr>
          <w:rStyle w:val="FootnoteReference"/>
          <w:rFonts w:ascii="Garamond" w:hAnsi="Garamond"/>
          <w:lang w:val="cs-CZ"/>
        </w:rPr>
        <w:footnoteReference w:id="195"/>
      </w:r>
      <w:r w:rsidRPr="00DE0F40">
        <w:rPr>
          <w:rFonts w:ascii="Garamond" w:hAnsi="Garamond"/>
          <w:lang w:val="cs-CZ"/>
        </w:rPr>
        <w:t xml:space="preserve"> Pomineme-li skutečnost, že takové zvýšení ne nutně představuje faktické zneužívání eutanazie a podíváme-li se pouze na čísla u dětí, o nekontrolovatelně vzrůstající tendenci se rozhodně nejedná. U dětských pacientů lékaři postupují s co největší opatrností a k výkonu eutanazie dochází pouze výjimečně. Obavy z nadužívání nemohou vyplývat pouze ze vzrůstajícího počtu případů a když už, tak alespoň u dětí nejsou zcela na místě.</w:t>
      </w:r>
      <w:r>
        <w:rPr>
          <w:rStyle w:val="FootnoteReference"/>
          <w:rFonts w:ascii="Garamond" w:hAnsi="Garamond"/>
          <w:lang w:val="cs-CZ"/>
        </w:rPr>
        <w:footnoteReference w:id="196"/>
      </w:r>
    </w:p>
    <w:p w14:paraId="2AE2E30C" w14:textId="48C45162" w:rsidR="00DE0F40" w:rsidRPr="00DE0F40" w:rsidRDefault="00DE0F40" w:rsidP="00764189">
      <w:pPr>
        <w:spacing w:line="360" w:lineRule="auto"/>
        <w:ind w:firstLine="720"/>
        <w:jc w:val="both"/>
        <w:rPr>
          <w:rFonts w:ascii="Garamond" w:hAnsi="Garamond"/>
          <w:lang w:val="cs-CZ"/>
        </w:rPr>
      </w:pPr>
      <w:r w:rsidRPr="00DE0F40">
        <w:rPr>
          <w:rFonts w:ascii="Garamond" w:hAnsi="Garamond"/>
          <w:lang w:val="cs-CZ"/>
        </w:rPr>
        <w:t xml:space="preserve">Ani v případě eutanazie novorozenců se nepotvrdily obavy tzv. </w:t>
      </w:r>
      <w:r w:rsidRPr="00DE0F40">
        <w:rPr>
          <w:rFonts w:ascii="Garamond" w:hAnsi="Garamond"/>
          <w:i/>
        </w:rPr>
        <w:t>slippery slope</w:t>
      </w:r>
      <w:r w:rsidRPr="00DE0F40">
        <w:rPr>
          <w:rFonts w:ascii="Garamond" w:hAnsi="Garamond"/>
          <w:lang w:val="cs-CZ"/>
        </w:rPr>
        <w:t xml:space="preserve">. Podle </w:t>
      </w:r>
      <w:proofErr w:type="spellStart"/>
      <w:r w:rsidRPr="00DE0F40">
        <w:rPr>
          <w:rFonts w:ascii="Garamond" w:hAnsi="Garamond"/>
          <w:lang w:val="cs-CZ"/>
        </w:rPr>
        <w:t>Verhagenovy</w:t>
      </w:r>
      <w:proofErr w:type="spellEnd"/>
      <w:r w:rsidRPr="00DE0F40">
        <w:rPr>
          <w:rFonts w:ascii="Garamond" w:hAnsi="Garamond"/>
          <w:lang w:val="cs-CZ"/>
        </w:rPr>
        <w:t xml:space="preserve"> studie z roku 2013 se od publikace Groningenského protokolu počet výkonů snížil z patnácti na dva případy během pěti let.</w:t>
      </w:r>
      <w:r>
        <w:rPr>
          <w:rStyle w:val="FootnoteReference"/>
          <w:rFonts w:ascii="Garamond" w:hAnsi="Garamond"/>
          <w:lang w:val="cs-CZ"/>
        </w:rPr>
        <w:footnoteReference w:id="197"/>
      </w:r>
      <w:r w:rsidRPr="00DE0F40">
        <w:rPr>
          <w:rFonts w:ascii="Garamond" w:hAnsi="Garamond"/>
          <w:lang w:val="cs-CZ"/>
        </w:rPr>
        <w:t xml:space="preserve"> Příčinu v tomto poklesu vidí </w:t>
      </w:r>
      <w:proofErr w:type="spellStart"/>
      <w:r w:rsidRPr="00DE0F40">
        <w:rPr>
          <w:rFonts w:ascii="Garamond" w:hAnsi="Garamond"/>
          <w:lang w:val="cs-CZ"/>
        </w:rPr>
        <w:t>Verhagen</w:t>
      </w:r>
      <w:proofErr w:type="spellEnd"/>
      <w:r w:rsidRPr="00DE0F40">
        <w:rPr>
          <w:rFonts w:ascii="Garamond" w:hAnsi="Garamond"/>
          <w:lang w:val="cs-CZ"/>
        </w:rPr>
        <w:t xml:space="preserve"> zejména v rozšíření ultrazvukového vyšetření těhotných žen, které může každá těhotná žena od dvacátého týdnu podstoupit zdarma teprve až od roku 2007. S tímto je pak spojen výrazný nárůst žádostí o ukončení těhotenství v porovnání s předchozími pěti lety, což pravděpodobně může právě představovat důvod poklesu eutanazie novorozenců.</w:t>
      </w:r>
      <w:r>
        <w:rPr>
          <w:rStyle w:val="FootnoteReference"/>
          <w:rFonts w:ascii="Garamond" w:hAnsi="Garamond"/>
          <w:lang w:val="cs-CZ"/>
        </w:rPr>
        <w:footnoteReference w:id="198"/>
      </w:r>
      <w:r w:rsidRPr="00DE0F40">
        <w:rPr>
          <w:rFonts w:ascii="Garamond" w:hAnsi="Garamond"/>
          <w:lang w:val="cs-CZ"/>
        </w:rPr>
        <w:t xml:space="preserve"> Skutečnost, že ultrazvukové vyšetření nebylo součástí standardní lékařské péče v tak bohaté a lékařsky vyspělé zemi jako je Nizozemsko, byla předmětem </w:t>
      </w:r>
      <w:r w:rsidRPr="00DE0F40">
        <w:rPr>
          <w:rFonts w:ascii="Garamond" w:hAnsi="Garamond"/>
          <w:lang w:val="cs-CZ"/>
        </w:rPr>
        <w:lastRenderedPageBreak/>
        <w:t xml:space="preserve">silné kritiky. Přičemž kontroverzní eutanazii novorozenců by se dle </w:t>
      </w:r>
      <w:proofErr w:type="spellStart"/>
      <w:r w:rsidRPr="00DE0F40">
        <w:rPr>
          <w:rFonts w:ascii="Garamond" w:hAnsi="Garamond"/>
          <w:lang w:val="cs-CZ"/>
        </w:rPr>
        <w:t>Chervenaka</w:t>
      </w:r>
      <w:proofErr w:type="spellEnd"/>
      <w:r w:rsidR="00F90E79">
        <w:rPr>
          <w:rStyle w:val="FootnoteReference"/>
          <w:rFonts w:ascii="Garamond" w:hAnsi="Garamond"/>
          <w:lang w:val="cs-CZ"/>
        </w:rPr>
        <w:footnoteReference w:id="199"/>
      </w:r>
      <w:r w:rsidRPr="00DE0F40">
        <w:rPr>
          <w:rFonts w:ascii="Garamond" w:hAnsi="Garamond"/>
          <w:lang w:val="cs-CZ"/>
        </w:rPr>
        <w:t xml:space="preserve"> dalo ve většině případů vyhnout právě rutinním a vysoce kvalitním vyšetřením ultrazvukem.</w:t>
      </w:r>
    </w:p>
    <w:p w14:paraId="543D3C36" w14:textId="2CFB2C96" w:rsidR="00DE0F40" w:rsidRPr="00DE0F40" w:rsidRDefault="00DE0F40" w:rsidP="00764189">
      <w:pPr>
        <w:spacing w:line="360" w:lineRule="auto"/>
        <w:ind w:firstLine="720"/>
        <w:jc w:val="both"/>
        <w:rPr>
          <w:rFonts w:ascii="Garamond" w:hAnsi="Garamond"/>
          <w:lang w:val="cs-CZ"/>
        </w:rPr>
      </w:pPr>
      <w:r w:rsidRPr="00DE0F40">
        <w:rPr>
          <w:rFonts w:ascii="Garamond" w:hAnsi="Garamond"/>
          <w:lang w:val="cs-CZ"/>
        </w:rPr>
        <w:t xml:space="preserve">K tomu je však nutné podotknout, že se </w:t>
      </w:r>
      <w:proofErr w:type="spellStart"/>
      <w:r w:rsidRPr="00DE0F40">
        <w:rPr>
          <w:rFonts w:ascii="Garamond" w:hAnsi="Garamond"/>
          <w:lang w:val="cs-CZ"/>
        </w:rPr>
        <w:t>Chervenakova</w:t>
      </w:r>
      <w:proofErr w:type="spellEnd"/>
      <w:r w:rsidRPr="00DE0F40">
        <w:rPr>
          <w:rFonts w:ascii="Garamond" w:hAnsi="Garamond"/>
          <w:lang w:val="cs-CZ"/>
        </w:rPr>
        <w:t xml:space="preserve"> kritika vztahovala pouze k onemocnění rozštěpu páteře. Rovněž je důležité zmínit, že ačkoliv by rozšíření ultrazvukových vyšetření mohlo reálně snižovat případy eutanazie novorozenců, samotný ultrazvuk stále nedokáže spolehlivě zjistit všechna onemocnění, která by novorozenci mohla taktéž přivodit nesnesitelné utrpení a nahrazení eutanazie novorozenců by tak nebylo stoprocentní. Například studie přesnosti ultrazvukového vyšetření v souvislosti s diagnózou vrozených vad dětí z roku 2006 potvrdila, že z celkově 170 zjištěných vrozených vad nebylo možné ultrazvukem diagnostikovat až polovinu těchto případů, což plně podporuje tento závěr.</w:t>
      </w:r>
      <w:r>
        <w:rPr>
          <w:rStyle w:val="FootnoteReference"/>
          <w:rFonts w:ascii="Garamond" w:hAnsi="Garamond"/>
          <w:lang w:val="cs-CZ"/>
        </w:rPr>
        <w:footnoteReference w:id="200"/>
      </w:r>
    </w:p>
    <w:p w14:paraId="2F3D7F12" w14:textId="7331608F" w:rsidR="00DE0F40" w:rsidRDefault="00DE0F40" w:rsidP="00DE0F40">
      <w:pPr>
        <w:pStyle w:val="Heading2"/>
        <w:numPr>
          <w:ilvl w:val="0"/>
          <w:numId w:val="27"/>
        </w:numPr>
        <w:spacing w:line="360" w:lineRule="auto"/>
        <w:ind w:left="720" w:hanging="720"/>
        <w:rPr>
          <w:lang w:val="cs-CZ"/>
        </w:rPr>
      </w:pPr>
      <w:bookmarkStart w:id="12" w:name="_Toc11919778"/>
      <w:r>
        <w:rPr>
          <w:lang w:val="cs-CZ"/>
        </w:rPr>
        <w:t>Argument diskriminace</w:t>
      </w:r>
      <w:bookmarkEnd w:id="12"/>
    </w:p>
    <w:p w14:paraId="23CD8285" w14:textId="32853682" w:rsidR="005E7CF7" w:rsidRDefault="00D5601C" w:rsidP="00E14BFD">
      <w:pPr>
        <w:spacing w:line="360" w:lineRule="auto"/>
        <w:ind w:firstLine="720"/>
        <w:jc w:val="both"/>
        <w:rPr>
          <w:rFonts w:ascii="Garamond" w:hAnsi="Garamond"/>
          <w:lang w:val="cs-CZ"/>
        </w:rPr>
      </w:pPr>
      <w:r>
        <w:rPr>
          <w:rFonts w:ascii="Garamond" w:hAnsi="Garamond"/>
          <w:lang w:val="cs-CZ"/>
        </w:rPr>
        <w:t xml:space="preserve">Další důležitou otázkou, kterou je třeba zodpovědět, je otázka, zda uzákonění eutanazie na dospělých pacientech a garance jejich práva na smrt nediskriminuje nezletilé pacienty, kterým takové právo přiznáno nebylo. </w:t>
      </w:r>
      <w:r w:rsidR="005E7CF7">
        <w:rPr>
          <w:rFonts w:ascii="Garamond" w:hAnsi="Garamond"/>
          <w:lang w:val="cs-CZ"/>
        </w:rPr>
        <w:t>Možných střetů, na které lze nahlížet jako na diskriminaci je několik. Může jít o případy mezi nezletilými a zletilými pacienty obecně nebo také mezi dětmi, které byly a nebyly emancipovány. Konečně pak můžeme shledávat diskriminaci mezi nezletilými dětmi, vyspělými natolik, aby pochopili závažnost svého rozhodnutí a pacienty, kterým je eutanazie plně zpřístupněna jen proto, že dosáhli patřičného věku. V tomto posledním případě spatřuji největší nerovnováhu, a proto se budu věnovat v této podkapitole zejména tomuto problému.</w:t>
      </w:r>
    </w:p>
    <w:p w14:paraId="68938C90" w14:textId="3753C586" w:rsidR="00D5601C" w:rsidRDefault="00DE0F40" w:rsidP="00E14BFD">
      <w:pPr>
        <w:spacing w:line="360" w:lineRule="auto"/>
        <w:ind w:firstLine="720"/>
        <w:jc w:val="both"/>
        <w:rPr>
          <w:rFonts w:ascii="Garamond" w:hAnsi="Garamond"/>
          <w:lang w:val="cs-CZ"/>
        </w:rPr>
      </w:pPr>
      <w:r w:rsidRPr="00DE0F40">
        <w:rPr>
          <w:rFonts w:ascii="Garamond" w:hAnsi="Garamond"/>
          <w:lang w:val="cs-CZ"/>
        </w:rPr>
        <w:t>Plně souhlasím s argumentací, že pokud již stát přijme právní úpravu umožňující eutanazii na dospělých pacientech, případně emancipovaných dětech, nerozšíření této legislativy na děti, které jsou plně schopné porozumět následkům takového rozhodnutí, může představovat diskriminaci.</w:t>
      </w:r>
      <w:r>
        <w:rPr>
          <w:rStyle w:val="FootnoteReference"/>
          <w:rFonts w:ascii="Garamond" w:hAnsi="Garamond"/>
          <w:lang w:val="cs-CZ"/>
        </w:rPr>
        <w:footnoteReference w:id="201"/>
      </w:r>
      <w:r w:rsidR="00E14BFD">
        <w:rPr>
          <w:rFonts w:ascii="Garamond" w:hAnsi="Garamond"/>
          <w:lang w:val="cs-CZ"/>
        </w:rPr>
        <w:t xml:space="preserve"> </w:t>
      </w:r>
      <w:r w:rsidR="00D5601C">
        <w:rPr>
          <w:rFonts w:ascii="Garamond" w:hAnsi="Garamond"/>
          <w:lang w:val="cs-CZ"/>
        </w:rPr>
        <w:t>Z tohoto důvodu považuji za důležité podrobit tento nepoměr</w:t>
      </w:r>
      <w:r w:rsidR="00592CF9">
        <w:rPr>
          <w:rFonts w:ascii="Garamond" w:hAnsi="Garamond"/>
          <w:lang w:val="cs-CZ"/>
        </w:rPr>
        <w:t xml:space="preserve"> alespoň nástinu</w:t>
      </w:r>
      <w:r w:rsidR="00D5601C">
        <w:rPr>
          <w:rFonts w:ascii="Garamond" w:hAnsi="Garamond"/>
          <w:lang w:val="cs-CZ"/>
        </w:rPr>
        <w:t xml:space="preserve"> testu diskriminace</w:t>
      </w:r>
      <w:r w:rsidR="00F75380">
        <w:rPr>
          <w:rFonts w:ascii="Garamond" w:hAnsi="Garamond"/>
          <w:lang w:val="cs-CZ"/>
        </w:rPr>
        <w:t xml:space="preserve"> ve smyslu článku 14 Úmluvy, který se postupem času ustálil v rámci judikatury ESLP. Tento diskriminační test obsahuje následující čtyři kroky:</w:t>
      </w:r>
    </w:p>
    <w:p w14:paraId="37222EFE" w14:textId="07A263BA" w:rsidR="00F75380" w:rsidRPr="00764A0A" w:rsidRDefault="00F75380" w:rsidP="00F75380">
      <w:pPr>
        <w:pStyle w:val="ListParagraph"/>
        <w:numPr>
          <w:ilvl w:val="0"/>
          <w:numId w:val="28"/>
        </w:numPr>
        <w:spacing w:line="360" w:lineRule="auto"/>
        <w:jc w:val="both"/>
        <w:rPr>
          <w:rFonts w:ascii="Garamond" w:hAnsi="Garamond"/>
          <w:i/>
          <w:lang w:val="cs-CZ"/>
        </w:rPr>
      </w:pPr>
      <w:r w:rsidRPr="00764A0A">
        <w:rPr>
          <w:rFonts w:ascii="Garamond" w:hAnsi="Garamond"/>
          <w:i/>
          <w:lang w:val="cs-CZ"/>
        </w:rPr>
        <w:t>Je článek 14 Úmluvy aplikovatelný?</w:t>
      </w:r>
    </w:p>
    <w:p w14:paraId="77692760" w14:textId="7C0ED73C" w:rsidR="00F75380" w:rsidRPr="00764A0A" w:rsidRDefault="00F75380" w:rsidP="00F75380">
      <w:pPr>
        <w:pStyle w:val="ListParagraph"/>
        <w:numPr>
          <w:ilvl w:val="1"/>
          <w:numId w:val="28"/>
        </w:numPr>
        <w:spacing w:line="360" w:lineRule="auto"/>
        <w:jc w:val="both"/>
        <w:rPr>
          <w:rFonts w:ascii="Garamond" w:hAnsi="Garamond"/>
          <w:i/>
          <w:lang w:val="cs-CZ"/>
        </w:rPr>
      </w:pPr>
      <w:r w:rsidRPr="00764A0A">
        <w:rPr>
          <w:rFonts w:ascii="Garamond" w:hAnsi="Garamond"/>
          <w:i/>
          <w:lang w:val="cs-CZ"/>
        </w:rPr>
        <w:t>Došlo k porušení článku 14 Úmluvy ve spojení s některým z dalších ustanovení Úmluvy?</w:t>
      </w:r>
    </w:p>
    <w:p w14:paraId="6DB962C3" w14:textId="5697C5E1" w:rsidR="00F75380" w:rsidRPr="00764A0A" w:rsidRDefault="00F75380" w:rsidP="00F75380">
      <w:pPr>
        <w:pStyle w:val="ListParagraph"/>
        <w:numPr>
          <w:ilvl w:val="1"/>
          <w:numId w:val="28"/>
        </w:numPr>
        <w:spacing w:line="360" w:lineRule="auto"/>
        <w:jc w:val="both"/>
        <w:rPr>
          <w:rFonts w:ascii="Garamond" w:hAnsi="Garamond"/>
          <w:i/>
          <w:lang w:val="cs-CZ"/>
        </w:rPr>
      </w:pPr>
      <w:r w:rsidRPr="00764A0A">
        <w:rPr>
          <w:rFonts w:ascii="Garamond" w:hAnsi="Garamond"/>
          <w:i/>
          <w:lang w:val="cs-CZ"/>
        </w:rPr>
        <w:t>Pokud ne, spadá namítané porušení článku 14 Úmluvy přinejmenším do rámce některého z dalších práv, která Úmluva zaručuje?</w:t>
      </w:r>
    </w:p>
    <w:p w14:paraId="178F29C6" w14:textId="387AAFDF" w:rsidR="00F75380" w:rsidRPr="00764A0A" w:rsidRDefault="00F75380" w:rsidP="00F75380">
      <w:pPr>
        <w:pStyle w:val="ListParagraph"/>
        <w:numPr>
          <w:ilvl w:val="0"/>
          <w:numId w:val="28"/>
        </w:numPr>
        <w:spacing w:line="360" w:lineRule="auto"/>
        <w:jc w:val="both"/>
        <w:rPr>
          <w:rFonts w:ascii="Garamond" w:hAnsi="Garamond"/>
          <w:i/>
          <w:lang w:val="cs-CZ"/>
        </w:rPr>
      </w:pPr>
      <w:r w:rsidRPr="00764A0A">
        <w:rPr>
          <w:rFonts w:ascii="Garamond" w:hAnsi="Garamond"/>
          <w:i/>
          <w:lang w:val="cs-CZ"/>
        </w:rPr>
        <w:lastRenderedPageBreak/>
        <w:t>Došlo ke znevýhodňujícímu rozdílnému zacházení na základě jednoho z Úmluvou (výslovně) zapovězených důvodů či na základě relevantního jiného postavení?</w:t>
      </w:r>
    </w:p>
    <w:p w14:paraId="55B9C292" w14:textId="70CF5E70" w:rsidR="00F75380" w:rsidRPr="00764A0A" w:rsidRDefault="00F75380" w:rsidP="00F75380">
      <w:pPr>
        <w:pStyle w:val="ListParagraph"/>
        <w:numPr>
          <w:ilvl w:val="0"/>
          <w:numId w:val="28"/>
        </w:numPr>
        <w:spacing w:line="360" w:lineRule="auto"/>
        <w:jc w:val="both"/>
        <w:rPr>
          <w:rFonts w:ascii="Garamond" w:hAnsi="Garamond"/>
          <w:i/>
          <w:lang w:val="cs-CZ"/>
        </w:rPr>
      </w:pPr>
      <w:r w:rsidRPr="00764A0A">
        <w:rPr>
          <w:rFonts w:ascii="Garamond" w:hAnsi="Garamond"/>
          <w:i/>
          <w:lang w:val="cs-CZ"/>
        </w:rPr>
        <w:t>Pokud ano, byl stěžovatel ve srovnatelném postavení?</w:t>
      </w:r>
    </w:p>
    <w:p w14:paraId="5E66ED04" w14:textId="4B88B0AA" w:rsidR="00F75380" w:rsidRPr="00764A0A" w:rsidRDefault="00F75380" w:rsidP="00F75380">
      <w:pPr>
        <w:pStyle w:val="ListParagraph"/>
        <w:numPr>
          <w:ilvl w:val="0"/>
          <w:numId w:val="28"/>
        </w:numPr>
        <w:spacing w:line="360" w:lineRule="auto"/>
        <w:jc w:val="both"/>
        <w:rPr>
          <w:rFonts w:ascii="Garamond" w:hAnsi="Garamond"/>
          <w:i/>
          <w:lang w:val="cs-CZ"/>
        </w:rPr>
      </w:pPr>
      <w:r w:rsidRPr="00764A0A">
        <w:rPr>
          <w:rFonts w:ascii="Garamond" w:hAnsi="Garamond"/>
          <w:i/>
          <w:lang w:val="cs-CZ"/>
        </w:rPr>
        <w:t>Pokud byla odpověď na všechny tři předchozí otázky pozitivní, lze rozdílné zacházení objektivně a rozumně zdůvodnit? Především tedy:</w:t>
      </w:r>
    </w:p>
    <w:p w14:paraId="55EE5235" w14:textId="7709A321" w:rsidR="00F75380" w:rsidRPr="00764A0A" w:rsidRDefault="00F75380" w:rsidP="00F75380">
      <w:pPr>
        <w:pStyle w:val="ListParagraph"/>
        <w:numPr>
          <w:ilvl w:val="1"/>
          <w:numId w:val="28"/>
        </w:numPr>
        <w:spacing w:line="360" w:lineRule="auto"/>
        <w:jc w:val="both"/>
        <w:rPr>
          <w:rFonts w:ascii="Garamond" w:hAnsi="Garamond"/>
          <w:i/>
          <w:lang w:val="cs-CZ"/>
        </w:rPr>
      </w:pPr>
      <w:r w:rsidRPr="00764A0A">
        <w:rPr>
          <w:rFonts w:ascii="Garamond" w:hAnsi="Garamond"/>
          <w:i/>
          <w:lang w:val="cs-CZ"/>
        </w:rPr>
        <w:t>Sledovalo dotčené rozdílné zacházení legitimní cíl?</w:t>
      </w:r>
    </w:p>
    <w:p w14:paraId="47C41E1A" w14:textId="7BD87A28" w:rsidR="00F75380" w:rsidRDefault="00F75380" w:rsidP="00F75380">
      <w:pPr>
        <w:pStyle w:val="ListParagraph"/>
        <w:numPr>
          <w:ilvl w:val="1"/>
          <w:numId w:val="28"/>
        </w:numPr>
        <w:spacing w:line="360" w:lineRule="auto"/>
        <w:jc w:val="both"/>
        <w:rPr>
          <w:rFonts w:ascii="Garamond" w:hAnsi="Garamond"/>
          <w:lang w:val="cs-CZ"/>
        </w:rPr>
      </w:pPr>
      <w:r w:rsidRPr="00764A0A">
        <w:rPr>
          <w:rFonts w:ascii="Garamond" w:hAnsi="Garamond"/>
          <w:i/>
          <w:lang w:val="cs-CZ"/>
        </w:rPr>
        <w:t>Byla přijatá opatření ve vztahu k danému cíli přiměřená?</w:t>
      </w:r>
      <w:r w:rsidR="00764A0A">
        <w:rPr>
          <w:rStyle w:val="FootnoteReference"/>
          <w:rFonts w:ascii="Garamond" w:hAnsi="Garamond"/>
          <w:lang w:val="cs-CZ"/>
        </w:rPr>
        <w:footnoteReference w:id="202"/>
      </w:r>
    </w:p>
    <w:p w14:paraId="40797437" w14:textId="7AF1564D" w:rsidR="00DA77AE" w:rsidRDefault="00764A0A" w:rsidP="00EB1574">
      <w:pPr>
        <w:spacing w:line="360" w:lineRule="auto"/>
        <w:ind w:firstLine="720"/>
        <w:jc w:val="both"/>
        <w:rPr>
          <w:rFonts w:ascii="Garamond" w:hAnsi="Garamond"/>
          <w:lang w:val="cs-CZ"/>
        </w:rPr>
      </w:pPr>
      <w:r>
        <w:rPr>
          <w:rFonts w:ascii="Garamond" w:hAnsi="Garamond"/>
          <w:lang w:val="cs-CZ"/>
        </w:rPr>
        <w:t>Článek 14 Úmluvy stanoví obecný zákaz diskriminace</w:t>
      </w:r>
      <w:r w:rsidR="008C7965">
        <w:rPr>
          <w:rFonts w:ascii="Garamond" w:hAnsi="Garamond"/>
          <w:lang w:val="cs-CZ"/>
        </w:rPr>
        <w:t xml:space="preserve"> a ačkoli věk není výslovně uveden jako jeden ze zakázaných důvodů, spadá dle ESLP pod rozsah „jiného postavení“.</w:t>
      </w:r>
      <w:r w:rsidR="008C7965">
        <w:rPr>
          <w:rStyle w:val="FootnoteReference"/>
          <w:rFonts w:ascii="Garamond" w:hAnsi="Garamond"/>
          <w:lang w:val="cs-CZ"/>
        </w:rPr>
        <w:footnoteReference w:id="203"/>
      </w:r>
      <w:r w:rsidR="008C7965">
        <w:rPr>
          <w:rFonts w:ascii="Garamond" w:hAnsi="Garamond"/>
          <w:lang w:val="cs-CZ"/>
        </w:rPr>
        <w:t xml:space="preserve"> </w:t>
      </w:r>
      <w:r w:rsidR="00D16054">
        <w:rPr>
          <w:rFonts w:ascii="Garamond" w:hAnsi="Garamond"/>
          <w:lang w:val="cs-CZ"/>
        </w:rPr>
        <w:t xml:space="preserve">Argumentace porušením článku 14 Úmluvy před ESLP nepostačí a </w:t>
      </w:r>
      <w:r w:rsidR="004475CD">
        <w:rPr>
          <w:rFonts w:ascii="Garamond" w:hAnsi="Garamond"/>
          <w:lang w:val="cs-CZ"/>
        </w:rPr>
        <w:t>namítanou</w:t>
      </w:r>
      <w:r w:rsidR="00D16054">
        <w:rPr>
          <w:rFonts w:ascii="Garamond" w:hAnsi="Garamond"/>
          <w:lang w:val="cs-CZ"/>
        </w:rPr>
        <w:t xml:space="preserve"> </w:t>
      </w:r>
      <w:r w:rsidR="004475CD">
        <w:rPr>
          <w:rFonts w:ascii="Garamond" w:hAnsi="Garamond"/>
          <w:lang w:val="cs-CZ"/>
        </w:rPr>
        <w:t>diskriminaci</w:t>
      </w:r>
      <w:r w:rsidR="00D16054">
        <w:rPr>
          <w:rFonts w:ascii="Garamond" w:hAnsi="Garamond"/>
          <w:lang w:val="cs-CZ"/>
        </w:rPr>
        <w:t xml:space="preserve"> je nutné zařadit alespoň do obecného rámce či pole působnosti některého z dalších práv chráněných Úmluvou.</w:t>
      </w:r>
      <w:r w:rsidR="00D16054">
        <w:rPr>
          <w:rStyle w:val="FootnoteReference"/>
          <w:rFonts w:ascii="Garamond" w:hAnsi="Garamond"/>
          <w:lang w:val="cs-CZ"/>
        </w:rPr>
        <w:footnoteReference w:id="204"/>
      </w:r>
      <w:r w:rsidR="00D16054">
        <w:rPr>
          <w:rFonts w:ascii="Garamond" w:hAnsi="Garamond"/>
          <w:lang w:val="cs-CZ"/>
        </w:rPr>
        <w:t xml:space="preserve"> Budeme-li vycházet z výše popsané judikatury, tato podmínka bude splněna, neboť</w:t>
      </w:r>
      <w:r w:rsidR="00727AC3">
        <w:rPr>
          <w:rFonts w:ascii="Garamond" w:hAnsi="Garamond"/>
          <w:lang w:val="cs-CZ"/>
        </w:rPr>
        <w:t xml:space="preserve"> z ní jasně dovozujeme autonomii jedince při rozhodování o konci života v rámci článku 8 Úmluvy.</w:t>
      </w:r>
      <w:r w:rsidR="00EB1574">
        <w:rPr>
          <w:rFonts w:ascii="Garamond" w:hAnsi="Garamond"/>
          <w:lang w:val="cs-CZ"/>
        </w:rPr>
        <w:t xml:space="preserve"> </w:t>
      </w:r>
      <w:r w:rsidR="00F06C34">
        <w:rPr>
          <w:rFonts w:ascii="Garamond" w:hAnsi="Garamond"/>
          <w:lang w:val="cs-CZ"/>
        </w:rPr>
        <w:t xml:space="preserve">Jak již bylo naznačeno, k rozdílnému zacházení u nezletilých pacientů dochází na základě „jiného postavení“, a to věku. Pokud ESLP dovodil, že právo rozhodnout o tom, jakým způsobem a kdy osoba zemře, </w:t>
      </w:r>
      <w:r w:rsidR="00DA77AE">
        <w:rPr>
          <w:rFonts w:ascii="Garamond" w:hAnsi="Garamond"/>
          <w:lang w:val="cs-CZ"/>
        </w:rPr>
        <w:t xml:space="preserve">za předpokladu, že </w:t>
      </w:r>
      <w:r w:rsidR="00F06C34">
        <w:rPr>
          <w:rFonts w:ascii="Garamond" w:hAnsi="Garamond"/>
          <w:lang w:val="cs-CZ"/>
        </w:rPr>
        <w:t xml:space="preserve">je </w:t>
      </w:r>
      <w:r w:rsidR="00DA77AE">
        <w:rPr>
          <w:rFonts w:ascii="Garamond" w:hAnsi="Garamond"/>
          <w:lang w:val="cs-CZ"/>
        </w:rPr>
        <w:t>dostatečně vyspělá učinit takové rozhodnutí svobodně, je součástí práva podle článku 8 Úmluvy</w:t>
      </w:r>
      <w:r w:rsidR="00DA77AE">
        <w:rPr>
          <w:rStyle w:val="FootnoteReference"/>
          <w:rFonts w:ascii="Garamond" w:hAnsi="Garamond"/>
          <w:lang w:val="cs-CZ"/>
        </w:rPr>
        <w:footnoteReference w:id="205"/>
      </w:r>
      <w:r w:rsidR="00DA77AE">
        <w:rPr>
          <w:rFonts w:ascii="Garamond" w:hAnsi="Garamond"/>
          <w:lang w:val="cs-CZ"/>
        </w:rPr>
        <w:t xml:space="preserve">, a následně přijatá legislativa, umožňující výkon takového práva, zavede jako jeden z předpokladů výkonu věk, tento atribut pak nepochybně představuje rozdílné zacházení, které nezletilé pacienty znevýhodňuje. </w:t>
      </w:r>
    </w:p>
    <w:p w14:paraId="69606D65" w14:textId="4351A506" w:rsidR="00727AC3" w:rsidRDefault="00DA77AE" w:rsidP="008C7965">
      <w:pPr>
        <w:spacing w:line="360" w:lineRule="auto"/>
        <w:ind w:firstLine="720"/>
        <w:jc w:val="both"/>
        <w:rPr>
          <w:rFonts w:ascii="Garamond" w:hAnsi="Garamond"/>
          <w:lang w:val="cs-CZ"/>
        </w:rPr>
      </w:pPr>
      <w:r>
        <w:rPr>
          <w:rFonts w:ascii="Garamond" w:hAnsi="Garamond"/>
          <w:lang w:val="cs-CZ"/>
        </w:rPr>
        <w:t xml:space="preserve">Třetím bodem je posouzení srovnatelného postavení dotčených subjektů. </w:t>
      </w:r>
      <w:r>
        <w:rPr>
          <w:rFonts w:ascii="Garamond" w:hAnsi="Garamond"/>
          <w:i/>
          <w:lang w:val="cs-CZ"/>
        </w:rPr>
        <w:t xml:space="preserve">Srovnatelnost znamená, že mezi prvky srovnání A </w:t>
      </w:r>
      <w:proofErr w:type="spellStart"/>
      <w:r>
        <w:rPr>
          <w:rFonts w:ascii="Garamond" w:hAnsi="Garamond"/>
          <w:i/>
          <w:lang w:val="cs-CZ"/>
        </w:rPr>
        <w:t>a</w:t>
      </w:r>
      <w:proofErr w:type="spellEnd"/>
      <w:r>
        <w:rPr>
          <w:rFonts w:ascii="Garamond" w:hAnsi="Garamond"/>
          <w:i/>
          <w:lang w:val="cs-CZ"/>
        </w:rPr>
        <w:t xml:space="preserve"> B ve vztahu k předmětu jejich srovnání X (</w:t>
      </w:r>
      <w:proofErr w:type="spellStart"/>
      <w:r>
        <w:rPr>
          <w:rFonts w:ascii="Garamond" w:hAnsi="Garamond"/>
          <w:i/>
          <w:lang w:val="cs-CZ"/>
        </w:rPr>
        <w:t>relátoru</w:t>
      </w:r>
      <w:proofErr w:type="spellEnd"/>
      <w:r>
        <w:rPr>
          <w:rFonts w:ascii="Garamond" w:hAnsi="Garamond"/>
          <w:i/>
          <w:lang w:val="cs-CZ"/>
        </w:rPr>
        <w:t>) spatřujeme více shod než rozdílů</w:t>
      </w:r>
      <w:r w:rsidRPr="00DA77AE">
        <w:rPr>
          <w:rFonts w:ascii="Garamond" w:hAnsi="Garamond"/>
          <w:lang w:val="cs-CZ"/>
        </w:rPr>
        <w:t>.</w:t>
      </w:r>
      <w:r w:rsidRPr="00DA77AE">
        <w:rPr>
          <w:rStyle w:val="FootnoteReference"/>
          <w:rFonts w:ascii="Garamond" w:hAnsi="Garamond"/>
          <w:lang w:val="cs-CZ"/>
        </w:rPr>
        <w:footnoteReference w:id="206"/>
      </w:r>
      <w:r>
        <w:rPr>
          <w:rFonts w:ascii="Garamond" w:hAnsi="Garamond"/>
          <w:lang w:val="cs-CZ"/>
        </w:rPr>
        <w:t xml:space="preserve"> Pokud z vědeckých studií vyplývá, že </w:t>
      </w:r>
      <w:r w:rsidR="00EB1574">
        <w:rPr>
          <w:rFonts w:ascii="Garamond" w:hAnsi="Garamond"/>
          <w:lang w:val="cs-CZ"/>
        </w:rPr>
        <w:t>se u čtrnácti či patnácti letých dětí můžeme bavit o srovnatelné způsobilosti poskytnout informovaný souhlas s dospělými pacienty, jediným rozdílem v rámci střetu dospělých a nezletilých pacientů je biologický věk. Ostatní aspekty se mohou lišit vždy případ od případu, ale obecně je možné říct, že se dostatečně vyspělí nezletilí pacienti nacházejí ve srovnatelném postavení jako dospělí v případě, že se jedná o rozhodování o ukončení jejich života.</w:t>
      </w:r>
    </w:p>
    <w:p w14:paraId="5F571155" w14:textId="7789E63B" w:rsidR="00EB1574" w:rsidRPr="00DA77AE" w:rsidRDefault="00EB1574" w:rsidP="008C7965">
      <w:pPr>
        <w:spacing w:line="360" w:lineRule="auto"/>
        <w:ind w:firstLine="720"/>
        <w:jc w:val="both"/>
        <w:rPr>
          <w:rFonts w:ascii="Garamond" w:hAnsi="Garamond"/>
          <w:lang w:val="cs-CZ"/>
        </w:rPr>
      </w:pPr>
      <w:r>
        <w:rPr>
          <w:rFonts w:ascii="Garamond" w:hAnsi="Garamond"/>
          <w:lang w:val="cs-CZ"/>
        </w:rPr>
        <w:t xml:space="preserve">Posledním aspektem je pak objektivní zdůvodnitelnost takového rozdílného zacházení. Kritici rozšíření výkonu eutanazie na nezletilé pacienty </w:t>
      </w:r>
      <w:r w:rsidR="000D3381">
        <w:rPr>
          <w:rFonts w:ascii="Garamond" w:hAnsi="Garamond"/>
          <w:lang w:val="cs-CZ"/>
        </w:rPr>
        <w:t xml:space="preserve">zpravidla </w:t>
      </w:r>
      <w:r>
        <w:rPr>
          <w:rFonts w:ascii="Garamond" w:hAnsi="Garamond"/>
          <w:lang w:val="cs-CZ"/>
        </w:rPr>
        <w:t xml:space="preserve">odkazují na </w:t>
      </w:r>
      <w:r w:rsidR="000D3381">
        <w:rPr>
          <w:rFonts w:ascii="Garamond" w:hAnsi="Garamond"/>
          <w:lang w:val="cs-CZ"/>
        </w:rPr>
        <w:t xml:space="preserve">ochranu nezletilých, jakožto zranitelnou skupinu osob, kterou je třeba </w:t>
      </w:r>
      <w:r w:rsidR="00307B77">
        <w:rPr>
          <w:rFonts w:ascii="Garamond" w:hAnsi="Garamond"/>
          <w:lang w:val="cs-CZ"/>
        </w:rPr>
        <w:t xml:space="preserve">před tímto institutem </w:t>
      </w:r>
      <w:r w:rsidR="000D3381">
        <w:rPr>
          <w:rFonts w:ascii="Garamond" w:hAnsi="Garamond"/>
          <w:lang w:val="cs-CZ"/>
        </w:rPr>
        <w:t>chránit,</w:t>
      </w:r>
      <w:r>
        <w:rPr>
          <w:rFonts w:ascii="Garamond" w:hAnsi="Garamond"/>
          <w:lang w:val="cs-CZ"/>
        </w:rPr>
        <w:t xml:space="preserve"> jako na legitimní </w:t>
      </w:r>
      <w:r>
        <w:rPr>
          <w:rFonts w:ascii="Garamond" w:hAnsi="Garamond"/>
          <w:lang w:val="cs-CZ"/>
        </w:rPr>
        <w:lastRenderedPageBreak/>
        <w:t xml:space="preserve">cíl. S tím </w:t>
      </w:r>
      <w:r w:rsidR="007D4CA3">
        <w:rPr>
          <w:rFonts w:ascii="Garamond" w:hAnsi="Garamond"/>
          <w:lang w:val="cs-CZ"/>
        </w:rPr>
        <w:t>patrně</w:t>
      </w:r>
      <w:r>
        <w:rPr>
          <w:rFonts w:ascii="Garamond" w:hAnsi="Garamond"/>
          <w:lang w:val="cs-CZ"/>
        </w:rPr>
        <w:t xml:space="preserve"> nelze nesouhlasit, nicméně i pokud zde </w:t>
      </w:r>
      <w:r w:rsidR="000D3381">
        <w:rPr>
          <w:rFonts w:ascii="Garamond" w:hAnsi="Garamond"/>
          <w:lang w:val="cs-CZ"/>
        </w:rPr>
        <w:t xml:space="preserve">sledování </w:t>
      </w:r>
      <w:r>
        <w:rPr>
          <w:rFonts w:ascii="Garamond" w:hAnsi="Garamond"/>
          <w:lang w:val="cs-CZ"/>
        </w:rPr>
        <w:t>legitimní</w:t>
      </w:r>
      <w:r w:rsidR="000D3381">
        <w:rPr>
          <w:rFonts w:ascii="Garamond" w:hAnsi="Garamond"/>
          <w:lang w:val="cs-CZ"/>
        </w:rPr>
        <w:t>ho</w:t>
      </w:r>
      <w:r>
        <w:rPr>
          <w:rFonts w:ascii="Garamond" w:hAnsi="Garamond"/>
          <w:lang w:val="cs-CZ"/>
        </w:rPr>
        <w:t xml:space="preserve"> cíl dovodíme, je nutné zhodnotit, zda přijaté opatření, tedy omezení eutanazie věkovou hranicí, je přiměřené tomuto cíli. Pokud otázkou přiměřenosti mají projít jen takové prostředky, které by měly </w:t>
      </w:r>
      <w:r w:rsidR="00D70F1E">
        <w:rPr>
          <w:rFonts w:ascii="Garamond" w:hAnsi="Garamond"/>
          <w:lang w:val="cs-CZ"/>
        </w:rPr>
        <w:t>být,</w:t>
      </w:r>
      <w:r>
        <w:rPr>
          <w:rFonts w:ascii="Garamond" w:hAnsi="Garamond"/>
          <w:lang w:val="cs-CZ"/>
        </w:rPr>
        <w:t xml:space="preserve"> pokud možno minimalistické</w:t>
      </w:r>
      <w:r w:rsidR="00D70F1E">
        <w:rPr>
          <w:rFonts w:ascii="Garamond" w:hAnsi="Garamond"/>
          <w:lang w:val="cs-CZ"/>
        </w:rPr>
        <w:t>,</w:t>
      </w:r>
      <w:r>
        <w:rPr>
          <w:rFonts w:ascii="Garamond" w:hAnsi="Garamond"/>
          <w:lang w:val="cs-CZ"/>
        </w:rPr>
        <w:t xml:space="preserve"> a přitom stále ještě účinné</w:t>
      </w:r>
      <w:r w:rsidR="0012695A">
        <w:rPr>
          <w:rStyle w:val="FootnoteReference"/>
          <w:rFonts w:ascii="Garamond" w:hAnsi="Garamond"/>
          <w:lang w:val="cs-CZ"/>
        </w:rPr>
        <w:footnoteReference w:id="207"/>
      </w:r>
      <w:r w:rsidR="00592CF9">
        <w:rPr>
          <w:rFonts w:ascii="Garamond" w:hAnsi="Garamond"/>
          <w:lang w:val="cs-CZ"/>
        </w:rPr>
        <w:t xml:space="preserve">, úplné znemožnění přístupu nezletilých pacientů k legální eutanazii takovým prostředkem patrně není. Stanovení přísných pravidel pro posuzování vyspělosti nezletilého pacienta, nutné opakované žádosti, souhlas rodičů, přezkumná kontrola, to všechno může dohromady tvořit záruku před </w:t>
      </w:r>
      <w:r w:rsidR="004475CD">
        <w:rPr>
          <w:rFonts w:ascii="Garamond" w:hAnsi="Garamond"/>
          <w:lang w:val="cs-CZ"/>
        </w:rPr>
        <w:t>zneužitím</w:t>
      </w:r>
      <w:r w:rsidR="00592CF9">
        <w:rPr>
          <w:rFonts w:ascii="Garamond" w:hAnsi="Garamond"/>
          <w:lang w:val="cs-CZ"/>
        </w:rPr>
        <w:t xml:space="preserve">, což nám právě dokazují zkušenosti ze zahraničí. Z výše uvedených důvodů pak není takové rozdílné zacházení objektivně zdůvodnitelné a je nutné jej shledat jako diskriminační. </w:t>
      </w:r>
    </w:p>
    <w:p w14:paraId="4CB67B13" w14:textId="1A86C0D4" w:rsidR="00D5601C" w:rsidRDefault="00764189" w:rsidP="00D5601C">
      <w:pPr>
        <w:spacing w:line="360" w:lineRule="auto"/>
        <w:ind w:firstLine="720"/>
        <w:jc w:val="both"/>
        <w:rPr>
          <w:rFonts w:ascii="Garamond" w:hAnsi="Garamond"/>
          <w:lang w:val="cs-CZ"/>
        </w:rPr>
      </w:pPr>
      <w:r>
        <w:rPr>
          <w:rFonts w:ascii="Garamond" w:hAnsi="Garamond"/>
          <w:lang w:val="cs-CZ"/>
        </w:rPr>
        <w:t xml:space="preserve">Kategorii samu o sobě tvoří eutanazie novorozenců. U nezletilých pacientů, případně dospělých dovozujeme jejich právo na smrt jako součást jejich autonomie rozhodovat o jejich vlastním životě. Jak uvádí </w:t>
      </w:r>
      <w:proofErr w:type="spellStart"/>
      <w:r>
        <w:rPr>
          <w:rFonts w:ascii="Garamond" w:hAnsi="Garamond"/>
          <w:lang w:val="cs-CZ"/>
        </w:rPr>
        <w:t>Lindemann</w:t>
      </w:r>
      <w:proofErr w:type="spellEnd"/>
      <w:r>
        <w:rPr>
          <w:rFonts w:ascii="Garamond" w:hAnsi="Garamond"/>
          <w:lang w:val="cs-CZ"/>
        </w:rPr>
        <w:t xml:space="preserve"> a </w:t>
      </w:r>
      <w:proofErr w:type="spellStart"/>
      <w:r>
        <w:rPr>
          <w:rFonts w:ascii="Garamond" w:hAnsi="Garamond"/>
          <w:lang w:val="cs-CZ"/>
        </w:rPr>
        <w:t>Verkerk</w:t>
      </w:r>
      <w:proofErr w:type="spellEnd"/>
      <w:r w:rsidR="00061286">
        <w:rPr>
          <w:rStyle w:val="FootnoteReference"/>
          <w:rFonts w:ascii="Garamond" w:hAnsi="Garamond"/>
          <w:lang w:val="cs-CZ"/>
        </w:rPr>
        <w:footnoteReference w:id="208"/>
      </w:r>
      <w:r>
        <w:rPr>
          <w:rFonts w:ascii="Garamond" w:hAnsi="Garamond"/>
          <w:lang w:val="cs-CZ"/>
        </w:rPr>
        <w:t>, tito pacienti zvážili kvalitu jejich současného zdravotního stavu a rozhodli se, že v takovém životě dále nechtějí pokračovat, zatímco u novorozenců se setkáváme s rozhodováním o cizím životě a jeho kvalitě.</w:t>
      </w:r>
      <w:r>
        <w:rPr>
          <w:rStyle w:val="FootnoteReference"/>
          <w:rFonts w:ascii="Garamond" w:hAnsi="Garamond"/>
          <w:lang w:val="cs-CZ"/>
        </w:rPr>
        <w:footnoteReference w:id="209"/>
      </w:r>
      <w:r>
        <w:rPr>
          <w:rFonts w:ascii="Garamond" w:hAnsi="Garamond"/>
          <w:lang w:val="cs-CZ"/>
        </w:rPr>
        <w:t xml:space="preserve"> Jak však sami uznávají, v případech, kd</w:t>
      </w:r>
      <w:r w:rsidR="00C35FDE">
        <w:rPr>
          <w:rFonts w:ascii="Garamond" w:hAnsi="Garamond"/>
          <w:lang w:val="cs-CZ"/>
        </w:rPr>
        <w:t>e</w:t>
      </w:r>
      <w:r>
        <w:rPr>
          <w:rFonts w:ascii="Garamond" w:hAnsi="Garamond"/>
          <w:lang w:val="cs-CZ"/>
        </w:rPr>
        <w:t xml:space="preserve"> smrt není tou nejhorší možností, která se může člověku v určité situaci stát, rozhodování o kvalitě života druhých je zcela na místě.</w:t>
      </w:r>
      <w:r>
        <w:rPr>
          <w:rStyle w:val="FootnoteReference"/>
          <w:rFonts w:ascii="Garamond" w:hAnsi="Garamond"/>
          <w:lang w:val="cs-CZ"/>
        </w:rPr>
        <w:footnoteReference w:id="210"/>
      </w:r>
      <w:r>
        <w:rPr>
          <w:rFonts w:ascii="Garamond" w:hAnsi="Garamond"/>
          <w:lang w:val="cs-CZ"/>
        </w:rPr>
        <w:t xml:space="preserve"> Tento závěr lze podpořit i principem nejlepšího zájmu dítěte. Jelikož stále existují onemocnění, u kterých smrt představuje nejlepší nabízenou možnost z alternativ, pak </w:t>
      </w:r>
      <w:r w:rsidR="00F765DC">
        <w:rPr>
          <w:rFonts w:ascii="Garamond" w:hAnsi="Garamond"/>
          <w:lang w:val="cs-CZ"/>
        </w:rPr>
        <w:t xml:space="preserve">je </w:t>
      </w:r>
      <w:r>
        <w:rPr>
          <w:rFonts w:ascii="Garamond" w:hAnsi="Garamond"/>
          <w:lang w:val="cs-CZ"/>
        </w:rPr>
        <w:t xml:space="preserve">nutně </w:t>
      </w:r>
      <w:r w:rsidR="00F765DC">
        <w:rPr>
          <w:rFonts w:ascii="Garamond" w:hAnsi="Garamond"/>
          <w:lang w:val="cs-CZ"/>
        </w:rPr>
        <w:t xml:space="preserve">smrt považovat </w:t>
      </w:r>
      <w:r>
        <w:rPr>
          <w:rFonts w:ascii="Garamond" w:hAnsi="Garamond"/>
          <w:lang w:val="cs-CZ"/>
        </w:rPr>
        <w:t>v souladu s nejlepším zájmem dítěte.</w:t>
      </w:r>
      <w:r>
        <w:rPr>
          <w:rStyle w:val="FootnoteReference"/>
          <w:rFonts w:ascii="Garamond" w:hAnsi="Garamond"/>
          <w:lang w:val="cs-CZ"/>
        </w:rPr>
        <w:footnoteReference w:id="211"/>
      </w:r>
      <w:r w:rsidR="00D83B33">
        <w:rPr>
          <w:rFonts w:ascii="Garamond" w:hAnsi="Garamond"/>
          <w:lang w:val="cs-CZ"/>
        </w:rPr>
        <w:t xml:space="preserve"> Takový závěr můžeme zejména dovodit v případech, kde sice moderní technologie umožní, že pacient vykazuje základní biologické a fyziologické funkce, ale z hlediska psychologického a sociálního nevykazuje známky života, neboť se nehýbe, nevnímá, nekomunikuje. Kuře</w:t>
      </w:r>
      <w:r w:rsidR="0066396C">
        <w:rPr>
          <w:rStyle w:val="FootnoteReference"/>
          <w:rFonts w:ascii="Garamond" w:hAnsi="Garamond"/>
          <w:lang w:val="cs-CZ"/>
        </w:rPr>
        <w:footnoteReference w:id="212"/>
      </w:r>
      <w:r w:rsidR="00D83B33">
        <w:rPr>
          <w:rFonts w:ascii="Garamond" w:hAnsi="Garamond"/>
          <w:lang w:val="cs-CZ"/>
        </w:rPr>
        <w:t xml:space="preserve"> v těchto případech trefně poznamenává, zda je opravdu cílem</w:t>
      </w:r>
      <w:r w:rsidR="00E432EF">
        <w:rPr>
          <w:rFonts w:ascii="Garamond" w:hAnsi="Garamond"/>
          <w:lang w:val="cs-CZ"/>
        </w:rPr>
        <w:t xml:space="preserve"> medicíny</w:t>
      </w:r>
      <w:r w:rsidR="00D83B33">
        <w:rPr>
          <w:rFonts w:ascii="Garamond" w:hAnsi="Garamond"/>
          <w:lang w:val="cs-CZ"/>
        </w:rPr>
        <w:t xml:space="preserve"> pouhé udržování fyziologických funkcí nebo péče o zdraví člověka.</w:t>
      </w:r>
      <w:r w:rsidR="00D83B33">
        <w:rPr>
          <w:rStyle w:val="FootnoteReference"/>
          <w:rFonts w:ascii="Garamond" w:hAnsi="Garamond"/>
          <w:lang w:val="cs-CZ"/>
        </w:rPr>
        <w:footnoteReference w:id="213"/>
      </w:r>
    </w:p>
    <w:p w14:paraId="27CFD1DB" w14:textId="5BCFF497" w:rsidR="00764189" w:rsidRDefault="00764189" w:rsidP="00764189">
      <w:pPr>
        <w:spacing w:line="360" w:lineRule="auto"/>
        <w:ind w:firstLine="720"/>
        <w:jc w:val="both"/>
        <w:rPr>
          <w:rFonts w:ascii="Garamond" w:hAnsi="Garamond"/>
          <w:lang w:val="cs-CZ"/>
        </w:rPr>
      </w:pPr>
      <w:r w:rsidRPr="00764189">
        <w:rPr>
          <w:rFonts w:ascii="Garamond" w:hAnsi="Garamond"/>
          <w:lang w:val="cs-CZ"/>
        </w:rPr>
        <w:t xml:space="preserve"> </w:t>
      </w:r>
      <w:r>
        <w:rPr>
          <w:rFonts w:ascii="Garamond" w:hAnsi="Garamond"/>
          <w:lang w:val="cs-CZ"/>
        </w:rPr>
        <w:t xml:space="preserve">Přestože je odpojení od přístrojů tolerováno v některých státech i u dětských pacientů, aktivní eutanazie podle Groningenského protokolu je kritizována jako nemorální. Pokud však jsme schopni dovodit, že smrt pacienta představuje spíše benefit, aktivní eutanazie nám umožní zprostředkovat tento benefit dříve. V případě pasivní eutanazie tak vlastně lékaři můžou pacientovi přidávat další utrpení tím, že jeho postupné umírání neurychlí, přestože jeho bolest může být </w:t>
      </w:r>
      <w:r>
        <w:rPr>
          <w:rFonts w:ascii="Garamond" w:hAnsi="Garamond"/>
          <w:lang w:val="cs-CZ"/>
        </w:rPr>
        <w:lastRenderedPageBreak/>
        <w:t xml:space="preserve">zmírněna. Umírání novorozence po ukončení života udržující léčby může trvat několik hodin či dní, přičemž bude zažívat další nesnesitelnou bolest. V takovém případě spatřuji v aktivní eutanazii humánnější způsob naložení se životem novorozence než prostřednictvím odpojením od přístrojů, případně umělým prodlužováním života. Jak dovozují i </w:t>
      </w:r>
      <w:proofErr w:type="spellStart"/>
      <w:r>
        <w:rPr>
          <w:rFonts w:ascii="Garamond" w:hAnsi="Garamond"/>
          <w:lang w:val="cs-CZ"/>
        </w:rPr>
        <w:t>Kipnis</w:t>
      </w:r>
      <w:proofErr w:type="spellEnd"/>
      <w:r>
        <w:rPr>
          <w:rFonts w:ascii="Garamond" w:hAnsi="Garamond"/>
          <w:lang w:val="cs-CZ"/>
        </w:rPr>
        <w:t xml:space="preserve"> s </w:t>
      </w:r>
      <w:proofErr w:type="spellStart"/>
      <w:r>
        <w:rPr>
          <w:rFonts w:ascii="Garamond" w:hAnsi="Garamond"/>
          <w:lang w:val="cs-CZ"/>
        </w:rPr>
        <w:t>Williamsonem</w:t>
      </w:r>
      <w:proofErr w:type="spellEnd"/>
      <w:r w:rsidR="003E22E1">
        <w:rPr>
          <w:rStyle w:val="FootnoteReference"/>
          <w:rFonts w:ascii="Garamond" w:hAnsi="Garamond"/>
          <w:lang w:val="cs-CZ"/>
        </w:rPr>
        <w:footnoteReference w:id="214"/>
      </w:r>
      <w:r>
        <w:rPr>
          <w:rFonts w:ascii="Garamond" w:hAnsi="Garamond"/>
          <w:lang w:val="cs-CZ"/>
        </w:rPr>
        <w:t>, kde se u život udržující léčby dají očekávat spíše negativní důsledky, je zde povinnost odmítnout nebo ukončit léčbu.</w:t>
      </w:r>
      <w:r>
        <w:rPr>
          <w:rStyle w:val="FootnoteReference"/>
          <w:rFonts w:ascii="Garamond" w:hAnsi="Garamond"/>
          <w:lang w:val="cs-CZ"/>
        </w:rPr>
        <w:footnoteReference w:id="215"/>
      </w:r>
    </w:p>
    <w:p w14:paraId="5F5FC1CE" w14:textId="45FE095B" w:rsidR="00DE0F40" w:rsidRDefault="00DE0F40" w:rsidP="00764189">
      <w:pPr>
        <w:spacing w:line="360" w:lineRule="auto"/>
        <w:ind w:firstLine="720"/>
        <w:jc w:val="both"/>
        <w:rPr>
          <w:rFonts w:ascii="Garamond" w:hAnsi="Garamond"/>
          <w:lang w:val="cs-CZ"/>
        </w:rPr>
      </w:pPr>
      <w:r>
        <w:rPr>
          <w:rFonts w:ascii="Garamond" w:hAnsi="Garamond"/>
          <w:lang w:val="cs-CZ"/>
        </w:rPr>
        <w:t>To však nutně neznamená, že by měl být výkon eutanazie umožněn na jakémkoli dětském pacientovi</w:t>
      </w:r>
      <w:r w:rsidR="00D5601C">
        <w:rPr>
          <w:rFonts w:ascii="Garamond" w:hAnsi="Garamond"/>
          <w:lang w:val="cs-CZ"/>
        </w:rPr>
        <w:t>. Jsem si však vědom svého přísně liberálního přístupu a dokážu si představit, že by neumožnění eutanazie na novorozencích</w:t>
      </w:r>
      <w:r w:rsidR="007B43CF">
        <w:rPr>
          <w:rFonts w:ascii="Garamond" w:hAnsi="Garamond"/>
          <w:lang w:val="cs-CZ"/>
        </w:rPr>
        <w:t>, popřípadě starších dětech dosud neschopných úsudku,</w:t>
      </w:r>
      <w:r w:rsidR="00D5601C">
        <w:rPr>
          <w:rFonts w:ascii="Garamond" w:hAnsi="Garamond"/>
          <w:lang w:val="cs-CZ"/>
        </w:rPr>
        <w:t xml:space="preserve"> mohlo výše naznačeným testem diskriminace projít. Zejména s ohledem na to, že diskriminace může být dovozena v rámci nepoměru mezi obdobnými pacienty, tedy dospělými a vyspělými nezletilými, kde jim </w:t>
      </w:r>
      <w:r w:rsidR="007D4CA3">
        <w:rPr>
          <w:rFonts w:ascii="Garamond" w:hAnsi="Garamond"/>
          <w:lang w:val="cs-CZ"/>
        </w:rPr>
        <w:t>má</w:t>
      </w:r>
      <w:r w:rsidR="00D5601C">
        <w:rPr>
          <w:rFonts w:ascii="Garamond" w:hAnsi="Garamond"/>
          <w:lang w:val="cs-CZ"/>
        </w:rPr>
        <w:t xml:space="preserve"> být garantováno právo na smrt v rámci jejich osobní autonomie. U nevyspělých pacientů, respektive novorozenců však dochází k rozhodování o ukončení jejich života s odkazem na jejich nejlepší zájem, který však můžeme pouze odhadovat, přičemž o respektu k osobní autonomii se v těchto případech mluvit nedá. </w:t>
      </w:r>
      <w:r w:rsidR="007B43CF">
        <w:rPr>
          <w:rFonts w:ascii="Garamond" w:hAnsi="Garamond"/>
          <w:lang w:val="cs-CZ"/>
        </w:rPr>
        <w:t>Tato nejistota ohledně nejlepšího zájmu dítěte pak může představovat legitimační důvod rozdílného zacházení s těmito pacienty.</w:t>
      </w:r>
    </w:p>
    <w:p w14:paraId="4852386C" w14:textId="008AFE54" w:rsidR="00DE0F40" w:rsidRPr="00DE0F40" w:rsidRDefault="00DE0F40" w:rsidP="00DE0F40">
      <w:pPr>
        <w:pStyle w:val="Heading2"/>
        <w:numPr>
          <w:ilvl w:val="0"/>
          <w:numId w:val="27"/>
        </w:numPr>
        <w:spacing w:line="360" w:lineRule="auto"/>
        <w:ind w:left="720" w:hanging="720"/>
        <w:rPr>
          <w:lang w:val="cs-CZ"/>
        </w:rPr>
      </w:pPr>
      <w:r w:rsidRPr="00DE0F40">
        <w:rPr>
          <w:lang w:val="cs-CZ"/>
        </w:rPr>
        <w:t xml:space="preserve"> </w:t>
      </w:r>
      <w:bookmarkStart w:id="13" w:name="_Toc11919779"/>
      <w:r>
        <w:rPr>
          <w:lang w:val="cs-CZ"/>
        </w:rPr>
        <w:t>Ostatní sporné body</w:t>
      </w:r>
      <w:bookmarkEnd w:id="13"/>
    </w:p>
    <w:p w14:paraId="1BC3F79B" w14:textId="7BAB2A6E" w:rsidR="00DE0F40" w:rsidRDefault="00DE0F40" w:rsidP="00764189">
      <w:pPr>
        <w:spacing w:line="360" w:lineRule="auto"/>
        <w:ind w:firstLine="720"/>
        <w:jc w:val="both"/>
        <w:rPr>
          <w:rFonts w:ascii="Garamond" w:hAnsi="Garamond"/>
          <w:lang w:val="cs-CZ"/>
        </w:rPr>
      </w:pPr>
      <w:r w:rsidRPr="00DE0F40">
        <w:rPr>
          <w:rFonts w:ascii="Garamond" w:hAnsi="Garamond"/>
          <w:lang w:val="cs-CZ"/>
        </w:rPr>
        <w:t xml:space="preserve">Někteří autoři </w:t>
      </w:r>
      <w:r w:rsidR="00474511">
        <w:rPr>
          <w:rFonts w:ascii="Garamond" w:hAnsi="Garamond"/>
          <w:lang w:val="cs-CZ"/>
        </w:rPr>
        <w:t xml:space="preserve">dále </w:t>
      </w:r>
      <w:r w:rsidRPr="00DE0F40">
        <w:rPr>
          <w:rFonts w:ascii="Garamond" w:hAnsi="Garamond"/>
          <w:lang w:val="cs-CZ"/>
        </w:rPr>
        <w:t>namítají, že děti a nezletilí postrádají dostatečné životní skutečnosti, jakož i dostatečnou kognitivní a emocionální vyspělost k učinění tak závažného rozhodnutí jako je ukončení života.</w:t>
      </w:r>
      <w:r>
        <w:rPr>
          <w:rStyle w:val="FootnoteReference"/>
          <w:rFonts w:ascii="Garamond" w:hAnsi="Garamond"/>
          <w:lang w:val="cs-CZ"/>
        </w:rPr>
        <w:footnoteReference w:id="216"/>
      </w:r>
      <w:r w:rsidRPr="00DE0F40">
        <w:rPr>
          <w:rFonts w:ascii="Garamond" w:hAnsi="Garamond"/>
          <w:lang w:val="cs-CZ"/>
        </w:rPr>
        <w:t xml:space="preserve"> Takovou námitku však lze vyvrátit například životními zkušenostmi dítěte, které se dlouhodobě potýká se závažným onemocněním. Děti, které budou žádat o výkon eutanazie budou zpravidla dlouhodobými pacienty, kteří jsou otázce života a smrti vystaveni již po delší dobu, případně jejich celý život, což jim umožňuje další léčbu a jejich situaci patřičně zvážit. Naopak dospělého pacienta situace rozhodování o konci života může potkat často nečekaně a není tak na něj připraven.</w:t>
      </w:r>
      <w:r>
        <w:rPr>
          <w:rStyle w:val="FootnoteReference"/>
          <w:rFonts w:ascii="Garamond" w:hAnsi="Garamond"/>
          <w:lang w:val="cs-CZ"/>
        </w:rPr>
        <w:footnoteReference w:id="217"/>
      </w:r>
    </w:p>
    <w:p w14:paraId="3476FBC1" w14:textId="63A95EB5" w:rsidR="00DE0F40" w:rsidRPr="00DE0F40" w:rsidRDefault="00DE0F40" w:rsidP="00DE0F40">
      <w:pPr>
        <w:spacing w:line="360" w:lineRule="auto"/>
        <w:ind w:firstLine="360"/>
        <w:jc w:val="both"/>
        <w:rPr>
          <w:rFonts w:ascii="Garamond" w:hAnsi="Garamond"/>
          <w:lang w:val="cs-CZ"/>
        </w:rPr>
      </w:pPr>
      <w:r w:rsidRPr="00DE0F40">
        <w:rPr>
          <w:rFonts w:ascii="Garamond" w:hAnsi="Garamond"/>
          <w:lang w:val="cs-CZ"/>
        </w:rPr>
        <w:t xml:space="preserve">Dalším častým argumentem proti rozšíření je ovlivnitelnost rozhodování dětí. </w:t>
      </w:r>
      <w:proofErr w:type="spellStart"/>
      <w:r w:rsidRPr="00DE0F40">
        <w:rPr>
          <w:rFonts w:ascii="Garamond" w:hAnsi="Garamond"/>
          <w:lang w:val="cs-CZ"/>
        </w:rPr>
        <w:t>Mosoff</w:t>
      </w:r>
      <w:proofErr w:type="spellEnd"/>
      <w:r w:rsidR="0062302E">
        <w:rPr>
          <w:rStyle w:val="FootnoteReference"/>
          <w:rFonts w:ascii="Garamond" w:hAnsi="Garamond"/>
          <w:lang w:val="cs-CZ"/>
        </w:rPr>
        <w:footnoteReference w:id="218"/>
      </w:r>
      <w:r w:rsidRPr="00DE0F40">
        <w:rPr>
          <w:rFonts w:ascii="Garamond" w:hAnsi="Garamond"/>
          <w:lang w:val="cs-CZ"/>
        </w:rPr>
        <w:t xml:space="preserve"> namítá, že jsou děti lehce ovlivnitelné, zejména kvůli jejich rodinným vztahům, ekonomickému postavení a stupni vývoje. Ne nutně však spatřuji ovlivnitelnost pouze ve věku pacienta. I dospělí </w:t>
      </w:r>
      <w:r w:rsidRPr="00DE0F40">
        <w:rPr>
          <w:rFonts w:ascii="Garamond" w:hAnsi="Garamond"/>
          <w:lang w:val="cs-CZ"/>
        </w:rPr>
        <w:lastRenderedPageBreak/>
        <w:t>pacienti mohou být ovlivněni a přesvědčeni dalšími faktory, přičemž typickým je domněnka, že pacient představuje pro své okolí zátěž. Jak tomu nasvědčuje například studie z Oregonu, kde se v posledních letech výrazně zvýšil počet žádostí o eutanazii dospělých pacientů z důvodu „zátěže pro okolí“.</w:t>
      </w:r>
      <w:r>
        <w:rPr>
          <w:rStyle w:val="FootnoteReference"/>
          <w:rFonts w:ascii="Garamond" w:hAnsi="Garamond"/>
          <w:lang w:val="cs-CZ"/>
        </w:rPr>
        <w:footnoteReference w:id="219"/>
      </w:r>
      <w:r w:rsidRPr="00DE0F40">
        <w:rPr>
          <w:rFonts w:ascii="Garamond" w:hAnsi="Garamond"/>
          <w:lang w:val="cs-CZ"/>
        </w:rPr>
        <w:t xml:space="preserve"> Přestože je ovlivnitelnost nežádoucí v souvislosti s výkonem eutanazie, nemůže sloužit jako argument proti odmítnutí eutanazie dětí, neboť se nevyskytuje pouze u nich.</w:t>
      </w:r>
    </w:p>
    <w:p w14:paraId="52248909" w14:textId="47615ECB" w:rsidR="00DE0F40" w:rsidRDefault="00DE0F40" w:rsidP="00274089">
      <w:pPr>
        <w:spacing w:line="360" w:lineRule="auto"/>
        <w:ind w:firstLine="360"/>
        <w:jc w:val="both"/>
        <w:rPr>
          <w:rFonts w:ascii="Garamond" w:hAnsi="Garamond"/>
          <w:lang w:val="cs-CZ"/>
        </w:rPr>
      </w:pPr>
      <w:r w:rsidRPr="00DE0F40">
        <w:rPr>
          <w:rFonts w:ascii="Garamond" w:hAnsi="Garamond"/>
          <w:lang w:val="cs-CZ"/>
        </w:rPr>
        <w:t>U novorozenců lze za spornou také považovat skutečnost, že pacientovo utrpení představuje subjektivní pocit, který nelze dostatečně objektivně měřit u dospělých pacientů, natožpak u dětí.</w:t>
      </w:r>
      <w:r>
        <w:rPr>
          <w:rStyle w:val="FootnoteReference"/>
          <w:rFonts w:ascii="Garamond" w:hAnsi="Garamond"/>
          <w:lang w:val="cs-CZ"/>
        </w:rPr>
        <w:footnoteReference w:id="220"/>
      </w:r>
      <w:r w:rsidRPr="00DE0F40">
        <w:rPr>
          <w:rFonts w:ascii="Garamond" w:hAnsi="Garamond"/>
          <w:lang w:val="cs-CZ"/>
        </w:rPr>
        <w:t xml:space="preserve"> </w:t>
      </w:r>
      <w:r w:rsidR="00F86B10">
        <w:rPr>
          <w:rFonts w:ascii="Garamond" w:hAnsi="Garamond"/>
          <w:lang w:val="cs-CZ"/>
        </w:rPr>
        <w:t>Ačkoli</w:t>
      </w:r>
      <w:r w:rsidRPr="00DE0F40">
        <w:rPr>
          <w:rFonts w:ascii="Garamond" w:hAnsi="Garamond"/>
          <w:lang w:val="cs-CZ"/>
        </w:rPr>
        <w:t xml:space="preserve"> novorozenci nemůžou své pocity vyjádřit prostřednictvím řeči, je zde hned několik faktorů, podle kterých můžeme jejich utrpení měřit, a to různými druhy pláče, pohyby, reakcí na výživu, jakož i změnami v životních funkcích, tedy v krevním tlaku, tepové frekvenci a dýchání.</w:t>
      </w:r>
      <w:r>
        <w:rPr>
          <w:rStyle w:val="FootnoteReference"/>
          <w:rFonts w:ascii="Garamond" w:hAnsi="Garamond"/>
          <w:lang w:val="cs-CZ"/>
        </w:rPr>
        <w:footnoteReference w:id="221"/>
      </w:r>
      <w:r w:rsidRPr="00DE0F40">
        <w:rPr>
          <w:rFonts w:ascii="Garamond" w:hAnsi="Garamond"/>
          <w:lang w:val="cs-CZ"/>
        </w:rPr>
        <w:t xml:space="preserve"> To potvrzuje i výzkum </w:t>
      </w:r>
      <w:proofErr w:type="spellStart"/>
      <w:r w:rsidRPr="00DE0F40">
        <w:rPr>
          <w:rFonts w:ascii="Garamond" w:hAnsi="Garamond"/>
          <w:lang w:val="cs-CZ"/>
        </w:rPr>
        <w:t>Cartera</w:t>
      </w:r>
      <w:proofErr w:type="spellEnd"/>
      <w:r w:rsidRPr="00DE0F40">
        <w:rPr>
          <w:rFonts w:ascii="Garamond" w:hAnsi="Garamond"/>
          <w:lang w:val="cs-CZ"/>
        </w:rPr>
        <w:t xml:space="preserve"> a Jonese, kteří ačkoli zmiňují, že v této oblasti je třeba dalšího výzkumu, již dnes můžeme rozeznávat hned několik stupnic bolesti u novorozenců a do jisté míry tak měřit jejich bolest.</w:t>
      </w:r>
      <w:r>
        <w:rPr>
          <w:rStyle w:val="FootnoteReference"/>
          <w:rFonts w:ascii="Garamond" w:hAnsi="Garamond"/>
          <w:lang w:val="cs-CZ"/>
        </w:rPr>
        <w:footnoteReference w:id="222"/>
      </w:r>
    </w:p>
    <w:p w14:paraId="7D7E75B2" w14:textId="21F5281D" w:rsidR="00274089" w:rsidRPr="00DE0F40" w:rsidRDefault="007B43CF" w:rsidP="00274089">
      <w:pPr>
        <w:spacing w:line="360" w:lineRule="auto"/>
        <w:ind w:firstLine="360"/>
        <w:jc w:val="both"/>
        <w:rPr>
          <w:rFonts w:ascii="Garamond" w:hAnsi="Garamond"/>
          <w:lang w:val="cs-CZ"/>
        </w:rPr>
      </w:pPr>
      <w:r>
        <w:rPr>
          <w:rFonts w:ascii="Garamond" w:hAnsi="Garamond"/>
          <w:lang w:val="cs-CZ"/>
        </w:rPr>
        <w:t>Závěrem je možné říci, že m</w:t>
      </w:r>
      <w:r w:rsidR="00CF57D4">
        <w:rPr>
          <w:rFonts w:ascii="Garamond" w:hAnsi="Garamond"/>
          <w:lang w:val="cs-CZ"/>
        </w:rPr>
        <w:t>noho vyjádřených kritických názorů je zcela jistě oprávněných,</w:t>
      </w:r>
      <w:r>
        <w:rPr>
          <w:rFonts w:ascii="Garamond" w:hAnsi="Garamond"/>
          <w:lang w:val="cs-CZ"/>
        </w:rPr>
        <w:t xml:space="preserve"> avšak</w:t>
      </w:r>
      <w:r w:rsidR="00CF57D4">
        <w:rPr>
          <w:rFonts w:ascii="Garamond" w:hAnsi="Garamond"/>
          <w:lang w:val="cs-CZ"/>
        </w:rPr>
        <w:t xml:space="preserve"> vzhledem k tomu, že máme k dispozici praktické zkušenosti ze zemí, kde je eutanazie dětí již vykonávána, je nutné je s nimi tyto zkušenosti konfrontovat. Zejména statistickými údaji je možné většinu z nich vyvrátit nebo alespoň zmírnit již teď, proto neustálé absolutní odmítání eutanazie u dětských pacientů již dávno není na místě.</w:t>
      </w:r>
    </w:p>
    <w:p w14:paraId="68ECBBF4" w14:textId="387EC6CD" w:rsidR="00C4760A" w:rsidRPr="007C5D10" w:rsidRDefault="00C4760A" w:rsidP="00DE0F40">
      <w:pPr>
        <w:rPr>
          <w:rFonts w:ascii="Garamond" w:eastAsia="Times New Roman" w:hAnsi="Garamond" w:cs="Times New Roman"/>
          <w:lang w:val="cs-CZ"/>
        </w:rPr>
      </w:pPr>
      <w:r w:rsidRPr="007759EE">
        <w:rPr>
          <w:rFonts w:ascii="Garamond" w:hAnsi="Garamond"/>
          <w:lang w:val="cs-CZ"/>
        </w:rPr>
        <w:br w:type="page"/>
      </w:r>
    </w:p>
    <w:p w14:paraId="6E5F4B58" w14:textId="316DF45E" w:rsidR="004374A9" w:rsidRDefault="00C4760A" w:rsidP="004C28DC">
      <w:pPr>
        <w:pStyle w:val="Heading1"/>
        <w:numPr>
          <w:ilvl w:val="0"/>
          <w:numId w:val="2"/>
        </w:numPr>
        <w:spacing w:line="360" w:lineRule="auto"/>
        <w:ind w:left="720" w:hanging="720"/>
        <w:rPr>
          <w:lang w:val="cs-CZ"/>
        </w:rPr>
      </w:pPr>
      <w:bookmarkStart w:id="14" w:name="_Toc11919780"/>
      <w:r w:rsidRPr="007759EE">
        <w:rPr>
          <w:lang w:val="cs-CZ"/>
        </w:rPr>
        <w:lastRenderedPageBreak/>
        <w:t>Právní úprava v České republice</w:t>
      </w:r>
      <w:bookmarkEnd w:id="14"/>
    </w:p>
    <w:p w14:paraId="624475DD" w14:textId="7FCF1B2C" w:rsidR="00FC368F" w:rsidRPr="00FC368F" w:rsidRDefault="00A17F03" w:rsidP="004C28DC">
      <w:pPr>
        <w:spacing w:line="360" w:lineRule="auto"/>
        <w:ind w:firstLine="720"/>
        <w:jc w:val="both"/>
        <w:rPr>
          <w:rFonts w:ascii="Garamond" w:hAnsi="Garamond"/>
          <w:lang w:val="cs-CZ"/>
        </w:rPr>
      </w:pPr>
      <w:r>
        <w:rPr>
          <w:rFonts w:ascii="Garamond" w:hAnsi="Garamond"/>
          <w:lang w:val="cs-CZ"/>
        </w:rPr>
        <w:t xml:space="preserve">S ohledem na </w:t>
      </w:r>
      <w:r w:rsidR="004C28DC">
        <w:rPr>
          <w:rFonts w:ascii="Garamond" w:hAnsi="Garamond"/>
          <w:lang w:val="cs-CZ"/>
        </w:rPr>
        <w:t>spíše pozitivní názor společnosti na uzákonění eutanazie v České republice</w:t>
      </w:r>
      <w:r w:rsidR="004C28DC">
        <w:rPr>
          <w:rStyle w:val="FootnoteReference"/>
          <w:rFonts w:ascii="Garamond" w:hAnsi="Garamond"/>
          <w:lang w:val="cs-CZ"/>
        </w:rPr>
        <w:footnoteReference w:id="223"/>
      </w:r>
      <w:r w:rsidR="004C28DC">
        <w:rPr>
          <w:rFonts w:ascii="Garamond" w:hAnsi="Garamond"/>
          <w:lang w:val="cs-CZ"/>
        </w:rPr>
        <w:t xml:space="preserve"> považuji za důležité alespoň stručně nastínit ústavní limity případného uzákonění v českém právním řádu, ať už u dospělých nebo nezletilých pacientů. V rámci další kapitoly pak zmiňuji body, které považuji v rámci takové legislativy u nezletilých osob za nejvíce problematické.  </w:t>
      </w:r>
    </w:p>
    <w:p w14:paraId="491CA69C" w14:textId="23A8957A" w:rsidR="00FC368F" w:rsidRDefault="00FC368F" w:rsidP="00ED6655">
      <w:pPr>
        <w:pStyle w:val="Heading2"/>
        <w:numPr>
          <w:ilvl w:val="0"/>
          <w:numId w:val="25"/>
        </w:numPr>
        <w:spacing w:line="360" w:lineRule="auto"/>
        <w:ind w:left="720" w:hanging="720"/>
        <w:rPr>
          <w:lang w:val="cs-CZ"/>
        </w:rPr>
      </w:pPr>
      <w:bookmarkStart w:id="15" w:name="_Toc11919781"/>
      <w:r>
        <w:rPr>
          <w:lang w:val="cs-CZ"/>
        </w:rPr>
        <w:t>Ústavněprávní limity</w:t>
      </w:r>
      <w:bookmarkEnd w:id="15"/>
    </w:p>
    <w:p w14:paraId="157B2CAF" w14:textId="1FC73F42" w:rsidR="00FC368F" w:rsidRDefault="00895AE3" w:rsidP="00895AE3">
      <w:pPr>
        <w:spacing w:line="360" w:lineRule="auto"/>
        <w:ind w:firstLine="720"/>
        <w:jc w:val="both"/>
        <w:rPr>
          <w:rFonts w:ascii="Garamond" w:hAnsi="Garamond"/>
          <w:lang w:val="cs-CZ"/>
        </w:rPr>
      </w:pPr>
      <w:r>
        <w:rPr>
          <w:rFonts w:ascii="Garamond" w:hAnsi="Garamond"/>
          <w:lang w:val="cs-CZ"/>
        </w:rPr>
        <w:t>K přijetí legislativy umožňující eutanazii je primárně nutné zajistit její konformitu s ústavním pořádkem České republiky</w:t>
      </w:r>
      <w:r w:rsidR="00A82DFE">
        <w:rPr>
          <w:rFonts w:ascii="Garamond" w:hAnsi="Garamond"/>
          <w:lang w:val="cs-CZ"/>
        </w:rPr>
        <w:t xml:space="preserve">, konkrétně LZPS. </w:t>
      </w:r>
      <w:r w:rsidR="003248B1">
        <w:rPr>
          <w:rFonts w:ascii="Garamond" w:hAnsi="Garamond"/>
          <w:lang w:val="cs-CZ"/>
        </w:rPr>
        <w:t>Přijatelnost takové úpravy je dovozována odkazem na článek 6 odst. 4 LZPS, podle kterého porušením práva na život podle článku 6 LZPS není, jestliže by někdo zbaven života v souvislosti s jednáním, které podle zákona není trestné.</w:t>
      </w:r>
      <w:r w:rsidR="003248B1">
        <w:rPr>
          <w:rStyle w:val="FootnoteReference"/>
          <w:rFonts w:ascii="Garamond" w:hAnsi="Garamond"/>
          <w:lang w:val="cs-CZ"/>
        </w:rPr>
        <w:footnoteReference w:id="224"/>
      </w:r>
      <w:r w:rsidR="003248B1">
        <w:rPr>
          <w:rFonts w:ascii="Garamond" w:hAnsi="Garamond"/>
          <w:lang w:val="cs-CZ"/>
        </w:rPr>
        <w:t xml:space="preserve"> </w:t>
      </w:r>
      <w:r w:rsidR="00B721D1">
        <w:rPr>
          <w:rFonts w:ascii="Garamond" w:hAnsi="Garamond"/>
          <w:lang w:val="cs-CZ"/>
        </w:rPr>
        <w:t>Toto ustanovení tak explicitně potvrzuje, že právo na život není absolutně neomezitelné, přičemž LZPS samotné vymezení a konkretizaci podmínek přenechává podústavní úpravě, respektive vůli zákonodárce.</w:t>
      </w:r>
      <w:r w:rsidR="00B721D1">
        <w:rPr>
          <w:rStyle w:val="FootnoteReference"/>
          <w:rFonts w:ascii="Garamond" w:hAnsi="Garamond"/>
          <w:lang w:val="cs-CZ"/>
        </w:rPr>
        <w:footnoteReference w:id="225"/>
      </w:r>
      <w:r w:rsidR="00B721D1">
        <w:rPr>
          <w:rFonts w:ascii="Garamond" w:hAnsi="Garamond"/>
          <w:lang w:val="cs-CZ"/>
        </w:rPr>
        <w:t xml:space="preserve"> </w:t>
      </w:r>
      <w:r w:rsidR="003248B1">
        <w:rPr>
          <w:rFonts w:ascii="Garamond" w:hAnsi="Garamond"/>
          <w:lang w:val="cs-CZ"/>
        </w:rPr>
        <w:t>Pokud by tak zákon explicitně formuloval, kdy zbavení života není trestným činem, neměl by být v rozporu s ústavním pořádkem České republiky.</w:t>
      </w:r>
      <w:r w:rsidR="003248B1">
        <w:rPr>
          <w:rStyle w:val="FootnoteReference"/>
          <w:rFonts w:ascii="Garamond" w:hAnsi="Garamond"/>
          <w:lang w:val="cs-CZ"/>
        </w:rPr>
        <w:footnoteReference w:id="226"/>
      </w:r>
      <w:r>
        <w:rPr>
          <w:rFonts w:ascii="Garamond" w:hAnsi="Garamond"/>
          <w:lang w:val="cs-CZ"/>
        </w:rPr>
        <w:t xml:space="preserve"> </w:t>
      </w:r>
      <w:r w:rsidR="00265083">
        <w:rPr>
          <w:rFonts w:ascii="Garamond" w:hAnsi="Garamond"/>
          <w:lang w:val="cs-CZ"/>
        </w:rPr>
        <w:t xml:space="preserve">Z hlediska ústavního kontextu však považuji za důležité </w:t>
      </w:r>
      <w:r w:rsidR="00B721D1">
        <w:rPr>
          <w:rFonts w:ascii="Garamond" w:hAnsi="Garamond"/>
          <w:lang w:val="cs-CZ"/>
        </w:rPr>
        <w:t xml:space="preserve">tuto argumentaci podpořit zejména s ohledem na </w:t>
      </w:r>
      <w:r w:rsidR="00265083">
        <w:rPr>
          <w:rFonts w:ascii="Garamond" w:hAnsi="Garamond"/>
          <w:lang w:val="cs-CZ"/>
        </w:rPr>
        <w:t>práva na osobní nedotknutelnost</w:t>
      </w:r>
      <w:r w:rsidR="00265083">
        <w:rPr>
          <w:rStyle w:val="FootnoteReference"/>
          <w:rFonts w:ascii="Garamond" w:hAnsi="Garamond"/>
          <w:lang w:val="cs-CZ"/>
        </w:rPr>
        <w:footnoteReference w:id="227"/>
      </w:r>
      <w:r w:rsidR="00265083">
        <w:rPr>
          <w:rFonts w:ascii="Garamond" w:hAnsi="Garamond"/>
          <w:lang w:val="cs-CZ"/>
        </w:rPr>
        <w:t xml:space="preserve"> a lidskou důstojnost</w:t>
      </w:r>
      <w:r w:rsidR="00265083">
        <w:rPr>
          <w:rStyle w:val="FootnoteReference"/>
          <w:rFonts w:ascii="Garamond" w:hAnsi="Garamond"/>
          <w:lang w:val="cs-CZ"/>
        </w:rPr>
        <w:footnoteReference w:id="228"/>
      </w:r>
      <w:r w:rsidR="00265083">
        <w:rPr>
          <w:rFonts w:ascii="Garamond" w:hAnsi="Garamond"/>
          <w:lang w:val="cs-CZ"/>
        </w:rPr>
        <w:t>.</w:t>
      </w:r>
    </w:p>
    <w:p w14:paraId="766FF41A" w14:textId="25EE8D47" w:rsidR="00A834B8" w:rsidRPr="00FC368F" w:rsidRDefault="00137384" w:rsidP="00895AE3">
      <w:pPr>
        <w:spacing w:line="360" w:lineRule="auto"/>
        <w:ind w:firstLine="720"/>
        <w:jc w:val="both"/>
        <w:rPr>
          <w:rFonts w:ascii="Garamond" w:hAnsi="Garamond"/>
          <w:lang w:val="cs-CZ"/>
        </w:rPr>
      </w:pPr>
      <w:r>
        <w:rPr>
          <w:rFonts w:ascii="Garamond" w:hAnsi="Garamond"/>
          <w:lang w:val="cs-CZ"/>
        </w:rPr>
        <w:t xml:space="preserve">Posuzoval-li </w:t>
      </w:r>
      <w:r w:rsidR="00CA1EEE">
        <w:rPr>
          <w:rFonts w:ascii="Garamond" w:hAnsi="Garamond"/>
          <w:lang w:val="cs-CZ"/>
        </w:rPr>
        <w:t xml:space="preserve">ESLP při řešení otázky eutanazie </w:t>
      </w:r>
      <w:r>
        <w:rPr>
          <w:rFonts w:ascii="Garamond" w:hAnsi="Garamond"/>
          <w:lang w:val="cs-CZ"/>
        </w:rPr>
        <w:t>kolizi práva na život podle článku 2 Úmluvy a práva na respektování soukromého života podle článku 8 Úmluvy, je na místě zhodnotit</w:t>
      </w:r>
      <w:r w:rsidR="00B721D1">
        <w:rPr>
          <w:rFonts w:ascii="Garamond" w:hAnsi="Garamond"/>
          <w:lang w:val="cs-CZ"/>
        </w:rPr>
        <w:t xml:space="preserve"> </w:t>
      </w:r>
      <w:r>
        <w:rPr>
          <w:rFonts w:ascii="Garamond" w:hAnsi="Garamond"/>
          <w:lang w:val="cs-CZ"/>
        </w:rPr>
        <w:t xml:space="preserve">takovou kolizi i v kontextu LZPS. Takto koncipované kolizi by </w:t>
      </w:r>
      <w:r w:rsidR="00B721D1">
        <w:rPr>
          <w:rFonts w:ascii="Garamond" w:hAnsi="Garamond"/>
          <w:lang w:val="cs-CZ"/>
        </w:rPr>
        <w:t xml:space="preserve">v českém právním řádu </w:t>
      </w:r>
      <w:r>
        <w:rPr>
          <w:rFonts w:ascii="Garamond" w:hAnsi="Garamond"/>
          <w:lang w:val="cs-CZ"/>
        </w:rPr>
        <w:t>odpovídalo poměřování práva na život podle článku 6 LZPS a práva na nedotknutelnost soukromí, společně s právem na zachování lidské důstojnosti podle článků 7 a 10 LZPS. Významnost lidské důstojnosti a autonomie již dříve potvrdil</w:t>
      </w:r>
      <w:r w:rsidR="00B721D1">
        <w:rPr>
          <w:rFonts w:ascii="Garamond" w:hAnsi="Garamond"/>
          <w:lang w:val="cs-CZ"/>
        </w:rPr>
        <w:t xml:space="preserve"> samotný</w:t>
      </w:r>
      <w:r>
        <w:rPr>
          <w:rFonts w:ascii="Garamond" w:hAnsi="Garamond"/>
          <w:lang w:val="cs-CZ"/>
        </w:rPr>
        <w:t xml:space="preserve"> Ústavní soud, když se ve svém nálezu vyslovil, že </w:t>
      </w:r>
      <w:r w:rsidRPr="00137384">
        <w:rPr>
          <w:rFonts w:ascii="Garamond" w:hAnsi="Garamond"/>
          <w:i/>
          <w:lang w:val="cs-CZ"/>
        </w:rPr>
        <w:t>respekt a ochrana lidské důstojnosti a svobody je nejvyšším a nejobecnějším účelem práva</w:t>
      </w:r>
      <w:r>
        <w:rPr>
          <w:rFonts w:ascii="Garamond" w:hAnsi="Garamond"/>
          <w:lang w:val="cs-CZ"/>
        </w:rPr>
        <w:t>.</w:t>
      </w:r>
      <w:r>
        <w:rPr>
          <w:rStyle w:val="FootnoteReference"/>
          <w:rFonts w:ascii="Garamond" w:hAnsi="Garamond"/>
          <w:lang w:val="cs-CZ"/>
        </w:rPr>
        <w:footnoteReference w:id="229"/>
      </w:r>
      <w:r w:rsidR="00997DFE">
        <w:rPr>
          <w:rFonts w:ascii="Garamond" w:hAnsi="Garamond"/>
          <w:lang w:val="cs-CZ"/>
        </w:rPr>
        <w:t xml:space="preserve"> </w:t>
      </w:r>
      <w:r w:rsidR="00B721D1">
        <w:rPr>
          <w:rFonts w:ascii="Garamond" w:hAnsi="Garamond"/>
          <w:lang w:val="cs-CZ"/>
        </w:rPr>
        <w:t xml:space="preserve">Z nedotknutelnosti osob vyplývá, že jakýkoliv zásah do tělesné a duševní integrity lze učinit pouze na základě svobodného </w:t>
      </w:r>
      <w:r w:rsidR="00B721D1">
        <w:rPr>
          <w:rFonts w:ascii="Garamond" w:hAnsi="Garamond"/>
          <w:lang w:val="cs-CZ"/>
        </w:rPr>
        <w:lastRenderedPageBreak/>
        <w:t>a informovaného souhlasu.</w:t>
      </w:r>
      <w:r w:rsidR="00B721D1">
        <w:rPr>
          <w:rStyle w:val="FootnoteReference"/>
          <w:rFonts w:ascii="Garamond" w:hAnsi="Garamond"/>
          <w:lang w:val="cs-CZ"/>
        </w:rPr>
        <w:footnoteReference w:id="230"/>
      </w:r>
      <w:r w:rsidR="00B721D1">
        <w:rPr>
          <w:rFonts w:ascii="Garamond" w:hAnsi="Garamond"/>
          <w:lang w:val="cs-CZ"/>
        </w:rPr>
        <w:t xml:space="preserve"> Pokud však u informovaného souhlasu vycházíme z toho, že především pacient jako autonomní bytost musí nakonec posoudit, co je či není pro jeho dobro a co podstoupí</w:t>
      </w:r>
      <w:r w:rsidR="00B721D1">
        <w:rPr>
          <w:rStyle w:val="FootnoteReference"/>
          <w:rFonts w:ascii="Garamond" w:hAnsi="Garamond"/>
          <w:lang w:val="cs-CZ"/>
        </w:rPr>
        <w:footnoteReference w:id="231"/>
      </w:r>
      <w:r w:rsidR="00B721D1">
        <w:rPr>
          <w:rFonts w:ascii="Garamond" w:hAnsi="Garamond"/>
          <w:lang w:val="cs-CZ"/>
        </w:rPr>
        <w:t>, legislativní a praktické nevyhovění žádosti o eutanazii v českém právním řádu je v rozporu s touto doktrínou</w:t>
      </w:r>
      <w:r w:rsidR="00072B08">
        <w:rPr>
          <w:rFonts w:ascii="Garamond" w:hAnsi="Garamond"/>
          <w:lang w:val="cs-CZ"/>
        </w:rPr>
        <w:t xml:space="preserve">. </w:t>
      </w:r>
      <w:r w:rsidR="00CE251D">
        <w:rPr>
          <w:rFonts w:ascii="Garamond" w:hAnsi="Garamond"/>
          <w:lang w:val="cs-CZ"/>
        </w:rPr>
        <w:t>Považujeme-li</w:t>
      </w:r>
      <w:r w:rsidR="00072B08">
        <w:rPr>
          <w:rFonts w:ascii="Garamond" w:hAnsi="Garamond"/>
          <w:lang w:val="cs-CZ"/>
        </w:rPr>
        <w:t xml:space="preserve"> informovaný souhlas</w:t>
      </w:r>
      <w:r w:rsidR="00CE251D">
        <w:rPr>
          <w:rFonts w:ascii="Garamond" w:hAnsi="Garamond"/>
          <w:lang w:val="cs-CZ"/>
        </w:rPr>
        <w:t xml:space="preserve"> jako ospravedlnění uskutečnění lékařského zákroku či jiné lékařské péče, </w:t>
      </w:r>
      <w:r w:rsidR="000F52E3">
        <w:rPr>
          <w:rFonts w:ascii="Garamond" w:hAnsi="Garamond"/>
          <w:lang w:val="cs-CZ"/>
        </w:rPr>
        <w:t>měla</w:t>
      </w:r>
      <w:r w:rsidR="00B721D1">
        <w:rPr>
          <w:rFonts w:ascii="Garamond" w:hAnsi="Garamond"/>
          <w:lang w:val="cs-CZ"/>
        </w:rPr>
        <w:t xml:space="preserve"> </w:t>
      </w:r>
      <w:r w:rsidR="00CE251D">
        <w:rPr>
          <w:rFonts w:ascii="Garamond" w:hAnsi="Garamond"/>
          <w:lang w:val="cs-CZ"/>
        </w:rPr>
        <w:t xml:space="preserve">by </w:t>
      </w:r>
      <w:r w:rsidR="00B721D1">
        <w:rPr>
          <w:rFonts w:ascii="Garamond" w:hAnsi="Garamond"/>
          <w:lang w:val="cs-CZ"/>
        </w:rPr>
        <w:t>být</w:t>
      </w:r>
      <w:r w:rsidR="00CE251D">
        <w:rPr>
          <w:rFonts w:ascii="Garamond" w:hAnsi="Garamond"/>
          <w:lang w:val="cs-CZ"/>
        </w:rPr>
        <w:t xml:space="preserve"> i žádost o eutanazii</w:t>
      </w:r>
      <w:r w:rsidR="00B721D1">
        <w:rPr>
          <w:rFonts w:ascii="Garamond" w:hAnsi="Garamond"/>
          <w:lang w:val="cs-CZ"/>
        </w:rPr>
        <w:t xml:space="preserve"> považována jako</w:t>
      </w:r>
      <w:r w:rsidR="000F52E3">
        <w:rPr>
          <w:rFonts w:ascii="Garamond" w:hAnsi="Garamond"/>
          <w:lang w:val="cs-CZ"/>
        </w:rPr>
        <w:t xml:space="preserve"> </w:t>
      </w:r>
      <w:r w:rsidR="00CE251D">
        <w:rPr>
          <w:rFonts w:ascii="Garamond" w:hAnsi="Garamond"/>
          <w:lang w:val="cs-CZ"/>
        </w:rPr>
        <w:t>případ poskytnutí lékařského zákroku</w:t>
      </w:r>
      <w:r w:rsidR="000F52E3">
        <w:rPr>
          <w:rFonts w:ascii="Garamond" w:hAnsi="Garamond"/>
          <w:lang w:val="cs-CZ"/>
        </w:rPr>
        <w:t xml:space="preserve"> na základě</w:t>
      </w:r>
      <w:r w:rsidR="00B721D1">
        <w:rPr>
          <w:rFonts w:ascii="Garamond" w:hAnsi="Garamond"/>
          <w:lang w:val="cs-CZ"/>
        </w:rPr>
        <w:t xml:space="preserve"> informovan</w:t>
      </w:r>
      <w:r w:rsidR="000F52E3">
        <w:rPr>
          <w:rFonts w:ascii="Garamond" w:hAnsi="Garamond"/>
          <w:lang w:val="cs-CZ"/>
        </w:rPr>
        <w:t>ého</w:t>
      </w:r>
      <w:r w:rsidR="00B721D1">
        <w:rPr>
          <w:rFonts w:ascii="Garamond" w:hAnsi="Garamond"/>
          <w:lang w:val="cs-CZ"/>
        </w:rPr>
        <w:t xml:space="preserve"> souhlas</w:t>
      </w:r>
      <w:r w:rsidR="000F52E3">
        <w:rPr>
          <w:rFonts w:ascii="Garamond" w:hAnsi="Garamond"/>
          <w:lang w:val="cs-CZ"/>
        </w:rPr>
        <w:t>u</w:t>
      </w:r>
      <w:r w:rsidR="00B721D1">
        <w:rPr>
          <w:rFonts w:ascii="Garamond" w:hAnsi="Garamond"/>
          <w:lang w:val="cs-CZ"/>
        </w:rPr>
        <w:t xml:space="preserve"> a jako součást práva na soukromí a lidskou důstojnost. </w:t>
      </w:r>
      <w:r w:rsidR="00997DFE">
        <w:rPr>
          <w:rFonts w:ascii="Garamond" w:hAnsi="Garamond"/>
          <w:lang w:val="cs-CZ"/>
        </w:rPr>
        <w:t>Takto zvýšený důraz na ochranu lidské důstojnosti a soukromí společně s výše uvedenou výjimkou podle článku 6 odst. 4 LZPS tak zcela odůvodňuje legálně přijatelnou možnost úpravy eutanazie i v České republice.</w:t>
      </w:r>
    </w:p>
    <w:p w14:paraId="66251FF5" w14:textId="5A1E5E5E" w:rsidR="00FC368F" w:rsidRPr="00FC368F" w:rsidRDefault="00FC368F" w:rsidP="00ED6655">
      <w:pPr>
        <w:pStyle w:val="Heading2"/>
        <w:numPr>
          <w:ilvl w:val="0"/>
          <w:numId w:val="25"/>
        </w:numPr>
        <w:spacing w:line="360" w:lineRule="auto"/>
        <w:ind w:left="720" w:hanging="720"/>
        <w:rPr>
          <w:lang w:val="cs-CZ"/>
        </w:rPr>
      </w:pPr>
      <w:bookmarkStart w:id="16" w:name="_Toc11919782"/>
      <w:r>
        <w:rPr>
          <w:lang w:val="cs-CZ"/>
        </w:rPr>
        <w:t>Zákon o důstojné smrti</w:t>
      </w:r>
      <w:bookmarkEnd w:id="16"/>
    </w:p>
    <w:p w14:paraId="40F44821" w14:textId="2A9D28D9" w:rsidR="00BA3080" w:rsidRDefault="000106FC" w:rsidP="00FC368F">
      <w:pPr>
        <w:spacing w:line="360" w:lineRule="auto"/>
        <w:ind w:firstLine="720"/>
        <w:jc w:val="both"/>
        <w:rPr>
          <w:rFonts w:ascii="Garamond" w:hAnsi="Garamond"/>
          <w:lang w:val="cs-CZ"/>
        </w:rPr>
      </w:pPr>
      <w:r>
        <w:rPr>
          <w:rFonts w:ascii="Garamond" w:hAnsi="Garamond"/>
          <w:lang w:val="cs-CZ"/>
        </w:rPr>
        <w:t>V rámci české právní úpravy lze pohlížet na eutanazii optikou občanského zákoníku, trestního zákoníku</w:t>
      </w:r>
      <w:r>
        <w:rPr>
          <w:rStyle w:val="FootnoteReference"/>
          <w:rFonts w:ascii="Garamond" w:hAnsi="Garamond"/>
          <w:lang w:val="cs-CZ"/>
        </w:rPr>
        <w:footnoteReference w:id="232"/>
      </w:r>
      <w:r>
        <w:rPr>
          <w:rFonts w:ascii="Garamond" w:hAnsi="Garamond"/>
          <w:lang w:val="cs-CZ"/>
        </w:rPr>
        <w:t xml:space="preserve"> a zákon</w:t>
      </w:r>
      <w:r w:rsidR="00B6156C">
        <w:rPr>
          <w:rFonts w:ascii="Garamond" w:hAnsi="Garamond"/>
          <w:lang w:val="cs-CZ"/>
        </w:rPr>
        <w:t>a</w:t>
      </w:r>
      <w:r>
        <w:rPr>
          <w:rFonts w:ascii="Garamond" w:hAnsi="Garamond"/>
          <w:lang w:val="cs-CZ"/>
        </w:rPr>
        <w:t xml:space="preserve"> o zdravotních službách. Přestože novelizace těchto předpisů by byla taktéž nezbytným předpokladem, domnívám se, že ideálním způsobem zavedení eutanazie do českého právního řádu by bylo prostřednictvím zvláštního zákona po vzoru zahraničních úprav, jak k tomu ostatně už i směřoval</w:t>
      </w:r>
      <w:r w:rsidR="00FC368F">
        <w:rPr>
          <w:rFonts w:ascii="Garamond" w:hAnsi="Garamond"/>
          <w:lang w:val="cs-CZ"/>
        </w:rPr>
        <w:t>y</w:t>
      </w:r>
      <w:r>
        <w:rPr>
          <w:rFonts w:ascii="Garamond" w:hAnsi="Garamond"/>
          <w:lang w:val="cs-CZ"/>
        </w:rPr>
        <w:t xml:space="preserve"> </w:t>
      </w:r>
      <w:r w:rsidR="00FC368F">
        <w:rPr>
          <w:rFonts w:ascii="Garamond" w:hAnsi="Garamond"/>
          <w:lang w:val="cs-CZ"/>
        </w:rPr>
        <w:t xml:space="preserve">předchozí </w:t>
      </w:r>
      <w:r>
        <w:rPr>
          <w:rFonts w:ascii="Garamond" w:hAnsi="Garamond"/>
          <w:lang w:val="cs-CZ"/>
        </w:rPr>
        <w:t>návrh</w:t>
      </w:r>
      <w:r w:rsidR="00DA1F7C">
        <w:rPr>
          <w:rFonts w:ascii="Garamond" w:hAnsi="Garamond"/>
          <w:lang w:val="cs-CZ"/>
        </w:rPr>
        <w:t>y</w:t>
      </w:r>
      <w:r>
        <w:rPr>
          <w:rFonts w:ascii="Garamond" w:hAnsi="Garamond"/>
          <w:lang w:val="cs-CZ"/>
        </w:rPr>
        <w:t xml:space="preserve"> zákona o důstojné smrti.</w:t>
      </w:r>
      <w:r w:rsidR="00DA1F7C">
        <w:rPr>
          <w:rStyle w:val="FootnoteReference"/>
          <w:rFonts w:ascii="Garamond" w:hAnsi="Garamond"/>
          <w:lang w:val="cs-CZ"/>
        </w:rPr>
        <w:footnoteReference w:id="233"/>
      </w:r>
      <w:r>
        <w:rPr>
          <w:rFonts w:ascii="Garamond" w:hAnsi="Garamond"/>
          <w:lang w:val="cs-CZ"/>
        </w:rPr>
        <w:t xml:space="preserve"> Ačkoli</w:t>
      </w:r>
      <w:r w:rsidR="00DA1F7C">
        <w:rPr>
          <w:rFonts w:ascii="Garamond" w:hAnsi="Garamond"/>
          <w:lang w:val="cs-CZ"/>
        </w:rPr>
        <w:t xml:space="preserve"> se prozatím žádný z návrhů prosadit nepodařilo, je na místě se s hlavními myšlenkami a koncepcí těchto návrhů seznámit.</w:t>
      </w:r>
    </w:p>
    <w:p w14:paraId="1504E8B4" w14:textId="1CE81F9D" w:rsidR="00AC12AE" w:rsidRDefault="00227E30" w:rsidP="001E416A">
      <w:pPr>
        <w:spacing w:line="360" w:lineRule="auto"/>
        <w:ind w:firstLine="720"/>
        <w:jc w:val="both"/>
        <w:rPr>
          <w:rFonts w:ascii="Garamond" w:hAnsi="Garamond"/>
          <w:lang w:val="cs-CZ"/>
        </w:rPr>
      </w:pPr>
      <w:r>
        <w:rPr>
          <w:rFonts w:ascii="Garamond" w:hAnsi="Garamond"/>
          <w:lang w:val="cs-CZ"/>
        </w:rPr>
        <w:t>Návrh zákona o důstojné smrti počítal podle důvodové zprávy se dvěma alternativami, asistovanou sebevraždou a subsidiárně aktivní eutanazií pro osoby, které se nacházejí kromě jiného ve stavu nezměnitelného bezvědomí a o důstojnou smrt požádaly předem.</w:t>
      </w:r>
      <w:r>
        <w:rPr>
          <w:rStyle w:val="FootnoteReference"/>
          <w:rFonts w:ascii="Garamond" w:hAnsi="Garamond"/>
          <w:lang w:val="cs-CZ"/>
        </w:rPr>
        <w:footnoteReference w:id="234"/>
      </w:r>
      <w:r>
        <w:rPr>
          <w:rFonts w:ascii="Garamond" w:hAnsi="Garamond"/>
          <w:lang w:val="cs-CZ"/>
        </w:rPr>
        <w:t xml:space="preserve"> </w:t>
      </w:r>
      <w:r w:rsidR="00A16013">
        <w:rPr>
          <w:rFonts w:ascii="Garamond" w:hAnsi="Garamond"/>
          <w:lang w:val="cs-CZ"/>
        </w:rPr>
        <w:t xml:space="preserve">Samotný návrh trpěl nespočtem chyb, </w:t>
      </w:r>
      <w:r w:rsidR="003123F6">
        <w:rPr>
          <w:rFonts w:ascii="Garamond" w:hAnsi="Garamond"/>
          <w:lang w:val="cs-CZ"/>
        </w:rPr>
        <w:t xml:space="preserve">například </w:t>
      </w:r>
      <w:r w:rsidR="00A16013">
        <w:rPr>
          <w:rFonts w:ascii="Garamond" w:hAnsi="Garamond"/>
          <w:lang w:val="cs-CZ"/>
        </w:rPr>
        <w:t>nebyl navázán na trestní zákoník v rámci vyloučení trestní odpovědnosti lékaře, nestanovil odborné kvalifikace členů přezkumných komisí</w:t>
      </w:r>
      <w:r w:rsidR="00A16013">
        <w:rPr>
          <w:rStyle w:val="FootnoteReference"/>
          <w:rFonts w:ascii="Garamond" w:hAnsi="Garamond"/>
          <w:lang w:val="cs-CZ"/>
        </w:rPr>
        <w:footnoteReference w:id="235"/>
      </w:r>
      <w:r w:rsidR="00A16013">
        <w:rPr>
          <w:rFonts w:ascii="Garamond" w:hAnsi="Garamond"/>
          <w:lang w:val="cs-CZ"/>
        </w:rPr>
        <w:t xml:space="preserve"> a uprav</w:t>
      </w:r>
      <w:r w:rsidR="00AC12AE">
        <w:rPr>
          <w:rFonts w:ascii="Garamond" w:hAnsi="Garamond"/>
          <w:lang w:val="cs-CZ"/>
        </w:rPr>
        <w:t>oval</w:t>
      </w:r>
      <w:r w:rsidR="00A16013">
        <w:rPr>
          <w:rFonts w:ascii="Garamond" w:hAnsi="Garamond"/>
          <w:lang w:val="cs-CZ"/>
        </w:rPr>
        <w:t xml:space="preserve"> pouze aposteriorní kontrolu výkonu eutanazie.</w:t>
      </w:r>
      <w:r w:rsidR="00A16013">
        <w:rPr>
          <w:rStyle w:val="FootnoteReference"/>
          <w:rFonts w:ascii="Garamond" w:hAnsi="Garamond"/>
          <w:lang w:val="cs-CZ"/>
        </w:rPr>
        <w:footnoteReference w:id="236"/>
      </w:r>
      <w:r w:rsidR="00A16013">
        <w:rPr>
          <w:rFonts w:ascii="Garamond" w:hAnsi="Garamond"/>
          <w:lang w:val="cs-CZ"/>
        </w:rPr>
        <w:t xml:space="preserve"> Otázka, proč se navrhovatelé nepoučili z nedostatků předchozího senátního návrhu, který je prakticky totožný s poslaneckým, zůstává nezodpovězena. Přesto je však nutné uvítat snahu alespoň zahájit diskusi na toto téma, nehledě na to, jak nedostatečná se jeví.</w:t>
      </w:r>
    </w:p>
    <w:p w14:paraId="65C47B92" w14:textId="2C662EDC" w:rsidR="00B6156C" w:rsidRDefault="00AC12AE" w:rsidP="002116CD">
      <w:pPr>
        <w:spacing w:line="360" w:lineRule="auto"/>
        <w:ind w:firstLine="720"/>
        <w:jc w:val="both"/>
        <w:rPr>
          <w:rFonts w:ascii="Garamond" w:hAnsi="Garamond"/>
          <w:lang w:val="cs-CZ"/>
        </w:rPr>
      </w:pPr>
      <w:r>
        <w:rPr>
          <w:rFonts w:ascii="Garamond" w:hAnsi="Garamond"/>
          <w:lang w:val="cs-CZ"/>
        </w:rPr>
        <w:lastRenderedPageBreak/>
        <w:t>Inspirace zahraniční úpravou je při přípravě české obdoby zákona o eutanazii nezbytným předpokladem, nesmí však jít o slepou inkorporaci vybraných ustanovení nizozemsk</w:t>
      </w:r>
      <w:r w:rsidR="00B6156C">
        <w:rPr>
          <w:rFonts w:ascii="Garamond" w:hAnsi="Garamond"/>
          <w:lang w:val="cs-CZ"/>
        </w:rPr>
        <w:t>é</w:t>
      </w:r>
      <w:r>
        <w:rPr>
          <w:rFonts w:ascii="Garamond" w:hAnsi="Garamond"/>
          <w:lang w:val="cs-CZ"/>
        </w:rPr>
        <w:t xml:space="preserve"> a belgick</w:t>
      </w:r>
      <w:r w:rsidR="00B6156C">
        <w:rPr>
          <w:rFonts w:ascii="Garamond" w:hAnsi="Garamond"/>
          <w:lang w:val="cs-CZ"/>
        </w:rPr>
        <w:t>é</w:t>
      </w:r>
      <w:r>
        <w:rPr>
          <w:rFonts w:ascii="Garamond" w:hAnsi="Garamond"/>
          <w:lang w:val="cs-CZ"/>
        </w:rPr>
        <w:t xml:space="preserve"> právní úprav</w:t>
      </w:r>
      <w:r w:rsidR="00B6156C">
        <w:rPr>
          <w:rFonts w:ascii="Garamond" w:hAnsi="Garamond"/>
          <w:lang w:val="cs-CZ"/>
        </w:rPr>
        <w:t>y</w:t>
      </w:r>
      <w:r>
        <w:rPr>
          <w:rFonts w:ascii="Garamond" w:hAnsi="Garamond"/>
          <w:lang w:val="cs-CZ"/>
        </w:rPr>
        <w:t xml:space="preserve">, bez zohlednění specifik českého právního řádu, jakož i jeho historického vývoje. </w:t>
      </w:r>
      <w:r w:rsidR="00CA4A62">
        <w:rPr>
          <w:rFonts w:ascii="Garamond" w:hAnsi="Garamond"/>
          <w:lang w:val="cs-CZ"/>
        </w:rPr>
        <w:t>Nezbývá mi však než souhlasit s</w:t>
      </w:r>
      <w:r>
        <w:rPr>
          <w:rFonts w:ascii="Garamond" w:hAnsi="Garamond"/>
          <w:lang w:val="cs-CZ"/>
        </w:rPr>
        <w:t xml:space="preserve"> Davidem </w:t>
      </w:r>
      <w:r w:rsidR="001E416A">
        <w:rPr>
          <w:rFonts w:ascii="Garamond" w:hAnsi="Garamond"/>
          <w:lang w:val="cs-CZ"/>
        </w:rPr>
        <w:t>Černým a Tomášem a Adamem Doležalem, že česká společnost na uzákonění eutanazie, případně asistované sebevraždy není zatím připravena.</w:t>
      </w:r>
      <w:r w:rsidR="001E416A">
        <w:rPr>
          <w:rStyle w:val="FootnoteReference"/>
          <w:rFonts w:ascii="Garamond" w:hAnsi="Garamond"/>
          <w:lang w:val="cs-CZ"/>
        </w:rPr>
        <w:footnoteReference w:id="237"/>
      </w:r>
      <w:r w:rsidR="001E416A">
        <w:rPr>
          <w:rFonts w:ascii="Garamond" w:hAnsi="Garamond"/>
          <w:lang w:val="cs-CZ"/>
        </w:rPr>
        <w:t xml:space="preserve"> Jak Nizozemsko, tak Belgie mají s výkonem eutanazie několikaleté zkušenosti</w:t>
      </w:r>
      <w:r w:rsidR="0017436F">
        <w:rPr>
          <w:rFonts w:ascii="Garamond" w:hAnsi="Garamond"/>
          <w:lang w:val="cs-CZ"/>
        </w:rPr>
        <w:t>, přičemž</w:t>
      </w:r>
      <w:r w:rsidR="001E416A">
        <w:rPr>
          <w:rFonts w:ascii="Garamond" w:hAnsi="Garamond"/>
          <w:lang w:val="cs-CZ"/>
        </w:rPr>
        <w:t xml:space="preserve"> i jejich legislativa byla podrobena postupnému dlouhotrvajícímu vývoji až k dnešnímu stavu. Přijetí takto kontroverzní úpravy by musela předcházet široká </w:t>
      </w:r>
      <w:r>
        <w:rPr>
          <w:rFonts w:ascii="Garamond" w:hAnsi="Garamond"/>
          <w:lang w:val="cs-CZ"/>
        </w:rPr>
        <w:t xml:space="preserve">celospolečenská </w:t>
      </w:r>
      <w:r w:rsidR="001E416A">
        <w:rPr>
          <w:rFonts w:ascii="Garamond" w:hAnsi="Garamond"/>
          <w:lang w:val="cs-CZ"/>
        </w:rPr>
        <w:t>debata se zástupci všech dotčených stran, za účasti odborníků z lékařské, psychologické i právní praxe. Postupná cesta od přijetí eutanazie na dospělých pacientech s možným rozšířením na děti na základě výsledků nezávislých studií, jak</w:t>
      </w:r>
      <w:r w:rsidR="0075424A">
        <w:rPr>
          <w:rFonts w:ascii="Garamond" w:hAnsi="Garamond"/>
          <w:lang w:val="cs-CZ"/>
        </w:rPr>
        <w:t>ou se vydala Kanada se tak jeví jako nejvhodnější.</w:t>
      </w:r>
      <w:r w:rsidR="002116CD">
        <w:rPr>
          <w:rFonts w:ascii="Garamond" w:hAnsi="Garamond"/>
          <w:lang w:val="cs-CZ"/>
        </w:rPr>
        <w:t xml:space="preserve"> V</w:t>
      </w:r>
      <w:r w:rsidR="00AF1404">
        <w:rPr>
          <w:rFonts w:ascii="Garamond" w:hAnsi="Garamond"/>
          <w:lang w:val="cs-CZ"/>
        </w:rPr>
        <w:t> rámci přijímání českého zákona o eutanazii bych</w:t>
      </w:r>
      <w:r w:rsidR="002116CD">
        <w:rPr>
          <w:rFonts w:ascii="Garamond" w:hAnsi="Garamond"/>
          <w:lang w:val="cs-CZ"/>
        </w:rPr>
        <w:t xml:space="preserve"> také</w:t>
      </w:r>
      <w:r w:rsidR="00AF1404">
        <w:rPr>
          <w:rFonts w:ascii="Garamond" w:hAnsi="Garamond"/>
          <w:lang w:val="cs-CZ"/>
        </w:rPr>
        <w:t xml:space="preserve"> zvolil dvoustupňovou cestu. První krok by spočíval v prosazení zákona pouze pro pacienty starší osmnácti let, se závazkem následné evaluace v rámci několikaletého časového horizontu</w:t>
      </w:r>
      <w:r w:rsidR="00970A70">
        <w:rPr>
          <w:rFonts w:ascii="Garamond" w:hAnsi="Garamond"/>
          <w:lang w:val="cs-CZ"/>
        </w:rPr>
        <w:t xml:space="preserve">, která by zahrnovala i zhodnocení možnosti rozšíření na dětské pacienty. </w:t>
      </w:r>
    </w:p>
    <w:p w14:paraId="123D4865" w14:textId="4CC48BED" w:rsidR="00660EDD" w:rsidRDefault="00970A70" w:rsidP="004572A8">
      <w:pPr>
        <w:spacing w:line="360" w:lineRule="auto"/>
        <w:ind w:firstLine="720"/>
        <w:jc w:val="both"/>
        <w:rPr>
          <w:rFonts w:ascii="Garamond" w:hAnsi="Garamond"/>
          <w:lang w:val="cs-CZ"/>
        </w:rPr>
      </w:pPr>
      <w:r>
        <w:rPr>
          <w:rFonts w:ascii="Garamond" w:hAnsi="Garamond"/>
          <w:lang w:val="cs-CZ"/>
        </w:rPr>
        <w:t>Nezbytnou změnu v rámci navrhovaného zákona o důstojné smrti spatřuji v rámci kontroly. Aposteriorní kontrola ze strany různých komisí sice má svůj význam, ale zcela jasně nepředstavuje dostatečnou zákonnou záruku, neboť ze zkušeností ze zahraničí vyplývá, že kontrolní komise jsou přetížené a přezkum případů se opožďuje. Navíc tyto komise mají tendenci přiklánět se na stranu lékaře, s tím, že pouhé minimum případů je postupováno orgánu činným v trestním řízení.</w:t>
      </w:r>
      <w:r>
        <w:rPr>
          <w:rStyle w:val="FootnoteReference"/>
          <w:rFonts w:ascii="Garamond" w:hAnsi="Garamond"/>
          <w:lang w:val="cs-CZ"/>
        </w:rPr>
        <w:footnoteReference w:id="238"/>
      </w:r>
      <w:r w:rsidR="00834AA3">
        <w:rPr>
          <w:rFonts w:ascii="Garamond" w:hAnsi="Garamond"/>
          <w:lang w:val="cs-CZ"/>
        </w:rPr>
        <w:t xml:space="preserve"> Vytvoření nezávislých kontrolních komisí by v návrhu mohlo být zanecháno, ale</w:t>
      </w:r>
      <w:r>
        <w:rPr>
          <w:rFonts w:ascii="Garamond" w:hAnsi="Garamond"/>
          <w:lang w:val="cs-CZ"/>
        </w:rPr>
        <w:t xml:space="preserve"> </w:t>
      </w:r>
      <w:r w:rsidR="00834AA3">
        <w:rPr>
          <w:rFonts w:ascii="Garamond" w:hAnsi="Garamond"/>
          <w:lang w:val="cs-CZ"/>
        </w:rPr>
        <w:t>efektivnější cestu záruky zákonnosti</w:t>
      </w:r>
      <w:r>
        <w:rPr>
          <w:rFonts w:ascii="Garamond" w:hAnsi="Garamond"/>
          <w:lang w:val="cs-CZ"/>
        </w:rPr>
        <w:t xml:space="preserve"> bych spatřoval v obdobě </w:t>
      </w:r>
      <w:r w:rsidR="0034198E">
        <w:rPr>
          <w:rFonts w:ascii="Garamond" w:hAnsi="Garamond"/>
          <w:lang w:val="cs-CZ"/>
        </w:rPr>
        <w:t xml:space="preserve">francouzského zákoníku správního soudnictví, který umožňuje podat </w:t>
      </w:r>
      <w:r w:rsidR="002116CD">
        <w:rPr>
          <w:rFonts w:ascii="Garamond" w:hAnsi="Garamond"/>
          <w:lang w:val="cs-CZ"/>
        </w:rPr>
        <w:t>předběžné</w:t>
      </w:r>
      <w:r w:rsidR="0034198E">
        <w:rPr>
          <w:rFonts w:ascii="Garamond" w:hAnsi="Garamond"/>
          <w:lang w:val="cs-CZ"/>
        </w:rPr>
        <w:t xml:space="preserve"> </w:t>
      </w:r>
      <w:r w:rsidR="002116CD">
        <w:rPr>
          <w:rFonts w:ascii="Garamond" w:hAnsi="Garamond"/>
          <w:lang w:val="cs-CZ"/>
        </w:rPr>
        <w:t>opatření</w:t>
      </w:r>
      <w:r w:rsidR="0034198E">
        <w:rPr>
          <w:rFonts w:ascii="Garamond" w:hAnsi="Garamond"/>
          <w:lang w:val="cs-CZ"/>
        </w:rPr>
        <w:t xml:space="preserve"> proti správnímu rozhodnutí, </w:t>
      </w:r>
      <w:r w:rsidR="00AC6F43">
        <w:rPr>
          <w:rFonts w:ascii="Garamond" w:hAnsi="Garamond"/>
          <w:lang w:val="cs-CZ"/>
        </w:rPr>
        <w:t>vůči kterému pak soud může přijmout všechna opatření k ochraně porušených základních práv, přičemž musí rozhodnout do 48 hodin</w:t>
      </w:r>
      <w:r w:rsidR="0034198E">
        <w:rPr>
          <w:rFonts w:ascii="Garamond" w:hAnsi="Garamond"/>
          <w:lang w:val="cs-CZ"/>
        </w:rPr>
        <w:t>.</w:t>
      </w:r>
      <w:r w:rsidR="0034198E">
        <w:rPr>
          <w:rStyle w:val="FootnoteReference"/>
          <w:rFonts w:ascii="Garamond" w:hAnsi="Garamond"/>
          <w:lang w:val="cs-CZ"/>
        </w:rPr>
        <w:footnoteReference w:id="239"/>
      </w:r>
      <w:r w:rsidR="00AC6F43">
        <w:rPr>
          <w:rFonts w:ascii="Garamond" w:hAnsi="Garamond"/>
          <w:lang w:val="cs-CZ"/>
        </w:rPr>
        <w:t xml:space="preserve"> </w:t>
      </w:r>
      <w:r w:rsidR="00CF5BEF">
        <w:rPr>
          <w:rFonts w:ascii="Garamond" w:hAnsi="Garamond"/>
          <w:lang w:val="cs-CZ"/>
        </w:rPr>
        <w:t xml:space="preserve">Tento institut byl například využit v případech </w:t>
      </w:r>
      <w:r w:rsidR="00CF5BEF">
        <w:rPr>
          <w:rFonts w:ascii="Garamond" w:hAnsi="Garamond"/>
          <w:i/>
          <w:lang w:val="cs-CZ"/>
        </w:rPr>
        <w:t>Lambert a další proti Francii</w:t>
      </w:r>
      <w:r w:rsidR="00CF5BEF">
        <w:rPr>
          <w:rFonts w:ascii="Garamond" w:hAnsi="Garamond"/>
          <w:lang w:val="cs-CZ"/>
        </w:rPr>
        <w:t xml:space="preserve"> a </w:t>
      </w:r>
      <w:proofErr w:type="spellStart"/>
      <w:r w:rsidR="00CF5BEF">
        <w:rPr>
          <w:rFonts w:ascii="Garamond" w:hAnsi="Garamond"/>
          <w:i/>
          <w:lang w:val="cs-CZ"/>
        </w:rPr>
        <w:t>Afiri</w:t>
      </w:r>
      <w:proofErr w:type="spellEnd"/>
      <w:r w:rsidR="00CF5BEF">
        <w:rPr>
          <w:rFonts w:ascii="Garamond" w:hAnsi="Garamond"/>
          <w:i/>
          <w:lang w:val="cs-CZ"/>
        </w:rPr>
        <w:t xml:space="preserve"> a </w:t>
      </w:r>
      <w:proofErr w:type="spellStart"/>
      <w:r w:rsidR="00CF5BEF">
        <w:rPr>
          <w:rFonts w:ascii="Garamond" w:hAnsi="Garamond"/>
          <w:i/>
          <w:lang w:val="cs-CZ"/>
        </w:rPr>
        <w:t>Biddarri</w:t>
      </w:r>
      <w:proofErr w:type="spellEnd"/>
      <w:r w:rsidR="00CF5BEF">
        <w:rPr>
          <w:rFonts w:ascii="Garamond" w:hAnsi="Garamond"/>
          <w:i/>
          <w:lang w:val="cs-CZ"/>
        </w:rPr>
        <w:t xml:space="preserve"> proti Francii</w:t>
      </w:r>
      <w:r w:rsidR="00CF5BEF">
        <w:rPr>
          <w:rFonts w:ascii="Garamond" w:hAnsi="Garamond"/>
          <w:lang w:val="cs-CZ"/>
        </w:rPr>
        <w:t xml:space="preserve">, kde se stěžovatelé bránili proti výsledku </w:t>
      </w:r>
      <w:r w:rsidR="000F7FD1">
        <w:rPr>
          <w:rFonts w:ascii="Garamond" w:hAnsi="Garamond"/>
          <w:lang w:val="cs-CZ"/>
        </w:rPr>
        <w:t>konzultačního procesu o ukončení života udržující léčby.</w:t>
      </w:r>
      <w:r w:rsidR="004572A8">
        <w:rPr>
          <w:rFonts w:ascii="Garamond" w:hAnsi="Garamond"/>
          <w:lang w:val="cs-CZ"/>
        </w:rPr>
        <w:t xml:space="preserve"> </w:t>
      </w:r>
      <w:r w:rsidR="000F7FD1">
        <w:rPr>
          <w:rFonts w:ascii="Garamond" w:hAnsi="Garamond"/>
          <w:lang w:val="cs-CZ"/>
        </w:rPr>
        <w:t xml:space="preserve">V českém právním prostředí by tak zřejmě šlo o </w:t>
      </w:r>
      <w:r w:rsidR="000A7ED0">
        <w:rPr>
          <w:rFonts w:ascii="Garamond" w:hAnsi="Garamond"/>
          <w:lang w:val="cs-CZ"/>
        </w:rPr>
        <w:t>projednání příslušným soudem v civilním řízení, neboť v tomto případě se jedná o soukromá, respektive osobnostní práva.</w:t>
      </w:r>
      <w:r w:rsidR="000A7ED0">
        <w:rPr>
          <w:rStyle w:val="FootnoteReference"/>
          <w:rFonts w:ascii="Garamond" w:hAnsi="Garamond"/>
          <w:lang w:val="cs-CZ"/>
        </w:rPr>
        <w:footnoteReference w:id="240"/>
      </w:r>
      <w:r w:rsidR="000A7ED0">
        <w:rPr>
          <w:rFonts w:ascii="Garamond" w:hAnsi="Garamond"/>
          <w:lang w:val="cs-CZ"/>
        </w:rPr>
        <w:t xml:space="preserve"> </w:t>
      </w:r>
      <w:r w:rsidR="004572A8">
        <w:rPr>
          <w:rFonts w:ascii="Garamond" w:hAnsi="Garamond"/>
          <w:lang w:val="cs-CZ"/>
        </w:rPr>
        <w:t>Konkrétně</w:t>
      </w:r>
      <w:r w:rsidR="00A17F03">
        <w:rPr>
          <w:rFonts w:ascii="Garamond" w:hAnsi="Garamond"/>
          <w:lang w:val="cs-CZ"/>
        </w:rPr>
        <w:t xml:space="preserve"> by </w:t>
      </w:r>
      <w:r w:rsidR="002D560C">
        <w:rPr>
          <w:rFonts w:ascii="Garamond" w:hAnsi="Garamond"/>
          <w:lang w:val="cs-CZ"/>
        </w:rPr>
        <w:t>pak</w:t>
      </w:r>
      <w:r w:rsidR="00A47E1E">
        <w:rPr>
          <w:rFonts w:ascii="Garamond" w:hAnsi="Garamond"/>
          <w:lang w:val="cs-CZ"/>
        </w:rPr>
        <w:t xml:space="preserve"> šlo</w:t>
      </w:r>
      <w:r w:rsidR="00A17F03">
        <w:rPr>
          <w:rFonts w:ascii="Garamond" w:hAnsi="Garamond"/>
          <w:lang w:val="cs-CZ"/>
        </w:rPr>
        <w:t xml:space="preserve"> o řízení o přivolení k zásahu do integrity.</w:t>
      </w:r>
      <w:r w:rsidR="00A17F03">
        <w:rPr>
          <w:rStyle w:val="FootnoteReference"/>
          <w:rFonts w:ascii="Garamond" w:hAnsi="Garamond"/>
          <w:lang w:val="cs-CZ"/>
        </w:rPr>
        <w:footnoteReference w:id="241"/>
      </w:r>
    </w:p>
    <w:p w14:paraId="095B70DC" w14:textId="5217FE8D" w:rsidR="00186636" w:rsidRDefault="00186636" w:rsidP="00AC12AE">
      <w:pPr>
        <w:spacing w:line="360" w:lineRule="auto"/>
        <w:ind w:firstLine="720"/>
        <w:jc w:val="both"/>
        <w:rPr>
          <w:rFonts w:ascii="Garamond" w:hAnsi="Garamond"/>
          <w:lang w:val="cs-CZ"/>
        </w:rPr>
      </w:pPr>
      <w:r>
        <w:rPr>
          <w:rFonts w:ascii="Garamond" w:hAnsi="Garamond"/>
          <w:lang w:val="cs-CZ"/>
        </w:rPr>
        <w:lastRenderedPageBreak/>
        <w:t xml:space="preserve">Co se týče </w:t>
      </w:r>
      <w:r w:rsidR="00660EDD">
        <w:rPr>
          <w:rFonts w:ascii="Garamond" w:hAnsi="Garamond"/>
          <w:lang w:val="cs-CZ"/>
        </w:rPr>
        <w:t xml:space="preserve">potenciálního </w:t>
      </w:r>
      <w:r>
        <w:rPr>
          <w:rFonts w:ascii="Garamond" w:hAnsi="Garamond"/>
          <w:lang w:val="cs-CZ"/>
        </w:rPr>
        <w:t>udělování souhlasu k eutanazii nezletilým, vycházíme z úpravy občanského zákoníku, podle níž se má za to, že každý nezletilý, který nenabyl plné svéprávnosti, je způsobilý k právním jednáním co do povahy přiměřeným rozumové a volní vyspělosti nezletilých jeho věku.</w:t>
      </w:r>
      <w:r>
        <w:rPr>
          <w:rStyle w:val="FootnoteReference"/>
          <w:rFonts w:ascii="Garamond" w:hAnsi="Garamond"/>
          <w:lang w:val="cs-CZ"/>
        </w:rPr>
        <w:footnoteReference w:id="242"/>
      </w:r>
      <w:r>
        <w:rPr>
          <w:rFonts w:ascii="Garamond" w:hAnsi="Garamond"/>
          <w:lang w:val="cs-CZ"/>
        </w:rPr>
        <w:t xml:space="preserve"> Toto pravidlo je však nutné vykládat v souvislosti s ustanovením § 95, které je zvláštním ustanovením v případech zásahu do integrity nezletilého a dovozuje nutnost souhlasu zákonných zástupců, pokud půjde o zákrok zanechávající trvalé nebo závažné následky.</w:t>
      </w:r>
      <w:r>
        <w:rPr>
          <w:rStyle w:val="FootnoteReference"/>
          <w:rFonts w:ascii="Garamond" w:hAnsi="Garamond"/>
          <w:lang w:val="cs-CZ"/>
        </w:rPr>
        <w:footnoteReference w:id="243"/>
      </w:r>
      <w:r>
        <w:rPr>
          <w:rFonts w:ascii="Garamond" w:hAnsi="Garamond"/>
          <w:lang w:val="cs-CZ"/>
        </w:rPr>
        <w:t xml:space="preserve"> K výkonu eutanazie na nezletilém pacientovi by </w:t>
      </w:r>
      <w:r w:rsidR="00660EDD">
        <w:rPr>
          <w:rFonts w:ascii="Garamond" w:hAnsi="Garamond"/>
          <w:lang w:val="cs-CZ"/>
        </w:rPr>
        <w:t xml:space="preserve">tak </w:t>
      </w:r>
      <w:r>
        <w:rPr>
          <w:rFonts w:ascii="Garamond" w:hAnsi="Garamond"/>
          <w:lang w:val="cs-CZ"/>
        </w:rPr>
        <w:t>byl dle stávající úpravy</w:t>
      </w:r>
      <w:r w:rsidR="00D64CF4">
        <w:rPr>
          <w:rFonts w:ascii="Garamond" w:hAnsi="Garamond"/>
          <w:lang w:val="cs-CZ"/>
        </w:rPr>
        <w:t xml:space="preserve"> vždy</w:t>
      </w:r>
      <w:r>
        <w:rPr>
          <w:rFonts w:ascii="Garamond" w:hAnsi="Garamond"/>
          <w:lang w:val="cs-CZ"/>
        </w:rPr>
        <w:t xml:space="preserve"> nutný souhlas jeho zákonných zástupců, což odráží i požadavek Úmluvy o lidských právech a biomedicíně.</w:t>
      </w:r>
      <w:r>
        <w:rPr>
          <w:rStyle w:val="FootnoteReference"/>
          <w:rFonts w:ascii="Garamond" w:hAnsi="Garamond"/>
          <w:lang w:val="cs-CZ"/>
        </w:rPr>
        <w:footnoteReference w:id="244"/>
      </w:r>
      <w:r w:rsidR="000C30E9">
        <w:rPr>
          <w:rFonts w:ascii="Garamond" w:hAnsi="Garamond"/>
          <w:lang w:val="cs-CZ"/>
        </w:rPr>
        <w:t xml:space="preserve"> </w:t>
      </w:r>
      <w:r w:rsidR="006B64BA">
        <w:rPr>
          <w:rFonts w:ascii="Garamond" w:hAnsi="Garamond"/>
          <w:lang w:val="cs-CZ"/>
        </w:rPr>
        <w:t>Králíčková</w:t>
      </w:r>
      <w:r w:rsidR="007B0A7D">
        <w:rPr>
          <w:rStyle w:val="FootnoteReference"/>
          <w:rFonts w:ascii="Garamond" w:hAnsi="Garamond"/>
          <w:lang w:val="cs-CZ"/>
        </w:rPr>
        <w:footnoteReference w:id="245"/>
      </w:r>
      <w:r w:rsidR="006B64BA">
        <w:rPr>
          <w:rFonts w:ascii="Garamond" w:hAnsi="Garamond"/>
          <w:lang w:val="cs-CZ"/>
        </w:rPr>
        <w:t xml:space="preserve"> taktéž uvádí, že ačkoli se v případě poskytování zdravotních služeb uplatní přednostně zákon o zdravotních službách, nezletilé dítě nesmí podle občanského zákoníku udělit souhlas k takovým zákrokům, které zanechávají trvalé nebo závažné následky, a to i kdyby to bylo přiměřené jeho rozumové a volní vyspělosti.</w:t>
      </w:r>
    </w:p>
    <w:p w14:paraId="5E5A8A5C" w14:textId="202D269D" w:rsidR="0009551A" w:rsidRDefault="00095563" w:rsidP="0009551A">
      <w:pPr>
        <w:spacing w:line="360" w:lineRule="auto"/>
        <w:ind w:firstLine="720"/>
        <w:jc w:val="both"/>
        <w:rPr>
          <w:rFonts w:ascii="Garamond" w:hAnsi="Garamond"/>
          <w:lang w:val="cs-CZ"/>
        </w:rPr>
      </w:pPr>
      <w:r>
        <w:rPr>
          <w:rFonts w:ascii="Garamond" w:hAnsi="Garamond"/>
          <w:lang w:val="cs-CZ"/>
        </w:rPr>
        <w:t>Problematickým bodem by pak mohl být nesouhlas mezi zákonnými zástupci a nezletilým pacientem. Občanský zákoník na takové spory myslí a půjde-li o nezletilého pacienta, který dovršil alespoň čtrnácti let, rozpor bude řešit soud.</w:t>
      </w:r>
      <w:r>
        <w:rPr>
          <w:rStyle w:val="FootnoteReference"/>
          <w:rFonts w:ascii="Garamond" w:hAnsi="Garamond"/>
          <w:lang w:val="cs-CZ"/>
        </w:rPr>
        <w:footnoteReference w:id="246"/>
      </w:r>
      <w:r>
        <w:rPr>
          <w:rFonts w:ascii="Garamond" w:hAnsi="Garamond"/>
          <w:lang w:val="cs-CZ"/>
        </w:rPr>
        <w:t xml:space="preserve"> Jak dovozuje Doležal</w:t>
      </w:r>
      <w:r w:rsidR="008D49DB">
        <w:rPr>
          <w:rStyle w:val="FootnoteReference"/>
          <w:rFonts w:ascii="Garamond" w:hAnsi="Garamond"/>
          <w:lang w:val="cs-CZ"/>
        </w:rPr>
        <w:footnoteReference w:id="247"/>
      </w:r>
      <w:r>
        <w:rPr>
          <w:rFonts w:ascii="Garamond" w:hAnsi="Garamond"/>
          <w:lang w:val="cs-CZ"/>
        </w:rPr>
        <w:t>, můžeme se tak setkat se dvěma modely jednání nezletilých: buď jsou způsobilí udělit souhlas samostatně, a v tomto případě nezáleží ani na případném rozporu se zákonným zástupcem;</w:t>
      </w:r>
      <w:r w:rsidR="00D64CF4">
        <w:rPr>
          <w:rStyle w:val="FootnoteReference"/>
          <w:rFonts w:ascii="Garamond" w:hAnsi="Garamond"/>
          <w:lang w:val="cs-CZ"/>
        </w:rPr>
        <w:footnoteReference w:id="248"/>
      </w:r>
      <w:r>
        <w:rPr>
          <w:rFonts w:ascii="Garamond" w:hAnsi="Garamond"/>
          <w:lang w:val="cs-CZ"/>
        </w:rPr>
        <w:t xml:space="preserve"> nebo nejsou způsobilí samostatně udělit souhlas a souhlas uděluje zákonný zástupce při zohlednění názoru nezletilého, přičemž v případě konfliktu zájmů pak závisí na dosažení věkové hranice čtrnácti let, neboť v závislosti na jejím dosažení se uplatní či neuplatní § 100 občanského zákoníku.</w:t>
      </w:r>
      <w:r w:rsidR="00016169">
        <w:rPr>
          <w:rFonts w:ascii="Garamond" w:hAnsi="Garamond"/>
          <w:lang w:val="cs-CZ"/>
        </w:rPr>
        <w:t xml:space="preserve"> Takto stanovená hranice by </w:t>
      </w:r>
      <w:r w:rsidR="00D64CF4">
        <w:rPr>
          <w:rFonts w:ascii="Garamond" w:hAnsi="Garamond"/>
          <w:lang w:val="cs-CZ"/>
        </w:rPr>
        <w:t xml:space="preserve">se </w:t>
      </w:r>
      <w:r w:rsidR="00016169">
        <w:rPr>
          <w:rFonts w:ascii="Garamond" w:hAnsi="Garamond"/>
          <w:lang w:val="cs-CZ"/>
        </w:rPr>
        <w:t xml:space="preserve">však </w:t>
      </w:r>
      <w:r w:rsidR="00D64CF4">
        <w:rPr>
          <w:rFonts w:ascii="Garamond" w:hAnsi="Garamond"/>
          <w:lang w:val="cs-CZ"/>
        </w:rPr>
        <w:t>mohla jevit</w:t>
      </w:r>
      <w:r w:rsidR="00016169">
        <w:rPr>
          <w:rFonts w:ascii="Garamond" w:hAnsi="Garamond"/>
          <w:lang w:val="cs-CZ"/>
        </w:rPr>
        <w:t xml:space="preserve"> </w:t>
      </w:r>
      <w:r w:rsidR="00D64CF4">
        <w:rPr>
          <w:rFonts w:ascii="Garamond" w:hAnsi="Garamond"/>
          <w:lang w:val="cs-CZ"/>
        </w:rPr>
        <w:t>jako</w:t>
      </w:r>
      <w:r w:rsidR="00016169">
        <w:rPr>
          <w:rFonts w:ascii="Garamond" w:hAnsi="Garamond"/>
          <w:lang w:val="cs-CZ"/>
        </w:rPr>
        <w:t xml:space="preserve"> </w:t>
      </w:r>
      <w:r w:rsidR="00D64CF4">
        <w:rPr>
          <w:rFonts w:ascii="Garamond" w:hAnsi="Garamond"/>
          <w:lang w:val="cs-CZ"/>
        </w:rPr>
        <w:t>problematická v případě soudního přezkumu</w:t>
      </w:r>
      <w:r w:rsidR="00016169">
        <w:rPr>
          <w:rFonts w:ascii="Garamond" w:hAnsi="Garamond"/>
          <w:lang w:val="cs-CZ"/>
        </w:rPr>
        <w:t xml:space="preserve">, neboť by reálně představovala překážku v případě střetu zájmů zákonných zástupců a nezletilého pacienta, který by </w:t>
      </w:r>
      <w:r w:rsidR="00430A73">
        <w:rPr>
          <w:rFonts w:ascii="Garamond" w:hAnsi="Garamond"/>
          <w:lang w:val="cs-CZ"/>
        </w:rPr>
        <w:t>nedovršil</w:t>
      </w:r>
      <w:r w:rsidR="00016169">
        <w:rPr>
          <w:rFonts w:ascii="Garamond" w:hAnsi="Garamond"/>
          <w:lang w:val="cs-CZ"/>
        </w:rPr>
        <w:t xml:space="preserve"> čtrnácti let. I kdybychom u takového pacienta </w:t>
      </w:r>
      <w:r w:rsidR="00D64CF4">
        <w:rPr>
          <w:rFonts w:ascii="Garamond" w:hAnsi="Garamond"/>
          <w:lang w:val="cs-CZ"/>
        </w:rPr>
        <w:t xml:space="preserve">jinak </w:t>
      </w:r>
      <w:r w:rsidR="00016169">
        <w:rPr>
          <w:rFonts w:ascii="Garamond" w:hAnsi="Garamond"/>
          <w:lang w:val="cs-CZ"/>
        </w:rPr>
        <w:t>dovodili dostatečnou rozumovou a volní vyspělost, v případě střetu zájmů by byl rozhodující pouze souhlas rodičů, bez nároku na soudní ani jiný přezkum.</w:t>
      </w:r>
      <w:r w:rsidR="00430A73">
        <w:rPr>
          <w:rFonts w:ascii="Garamond" w:hAnsi="Garamond"/>
          <w:lang w:val="cs-CZ"/>
        </w:rPr>
        <w:t xml:space="preserve"> Stanovení arbitrární hranice čtrnácti let však nezdůvodňuje ani důvodová zpráva k občanskému zákoníku.</w:t>
      </w:r>
    </w:p>
    <w:p w14:paraId="7F2F061C" w14:textId="4EE578E5" w:rsidR="0009551A" w:rsidRDefault="0009551A" w:rsidP="0009551A">
      <w:pPr>
        <w:spacing w:line="360" w:lineRule="auto"/>
        <w:ind w:firstLine="720"/>
        <w:jc w:val="both"/>
        <w:rPr>
          <w:rFonts w:ascii="Garamond" w:hAnsi="Garamond"/>
          <w:lang w:val="cs-CZ"/>
        </w:rPr>
      </w:pPr>
      <w:r w:rsidRPr="00C85017">
        <w:rPr>
          <w:rFonts w:ascii="Garamond" w:hAnsi="Garamond"/>
          <w:lang w:val="cs-CZ"/>
        </w:rPr>
        <w:lastRenderedPageBreak/>
        <w:t>S ohledem na výše uvedené je zavedení institutu eutanazie pro nezletilé děti v českém právním řádu patrně představitelné pouze pro jedince dostatečně rozumově a volně vyspělé</w:t>
      </w:r>
      <w:r w:rsidR="00C85017">
        <w:rPr>
          <w:rFonts w:ascii="Garamond" w:hAnsi="Garamond"/>
          <w:lang w:val="cs-CZ"/>
        </w:rPr>
        <w:t>, kteří zároveň dosáhnou patřičného věku</w:t>
      </w:r>
      <w:r w:rsidRPr="00C85017">
        <w:rPr>
          <w:rFonts w:ascii="Garamond" w:hAnsi="Garamond"/>
          <w:lang w:val="cs-CZ"/>
        </w:rPr>
        <w:t xml:space="preserve">. </w:t>
      </w:r>
      <w:r w:rsidR="00C85017">
        <w:rPr>
          <w:rFonts w:ascii="Garamond" w:hAnsi="Garamond"/>
          <w:lang w:val="cs-CZ"/>
        </w:rPr>
        <w:t>Zejména soudní přezkum rozhodování o lékařských otázkách v zájmu nezletilého jedince, kterého se můžou nezletilé děti dožadovat až po dosažení věku čtrnácti let</w:t>
      </w:r>
      <w:r w:rsidR="001265F5">
        <w:rPr>
          <w:rFonts w:ascii="Garamond" w:hAnsi="Garamond"/>
          <w:lang w:val="cs-CZ"/>
        </w:rPr>
        <w:t>, tomu tak nasvědčuje</w:t>
      </w:r>
      <w:r w:rsidR="00C85017">
        <w:rPr>
          <w:rFonts w:ascii="Garamond" w:hAnsi="Garamond"/>
          <w:lang w:val="cs-CZ"/>
        </w:rPr>
        <w:t>. Implicitně můžeme</w:t>
      </w:r>
      <w:r w:rsidR="001265F5">
        <w:rPr>
          <w:rFonts w:ascii="Garamond" w:hAnsi="Garamond"/>
          <w:lang w:val="cs-CZ"/>
        </w:rPr>
        <w:t xml:space="preserve"> totiž</w:t>
      </w:r>
      <w:r w:rsidR="00C85017">
        <w:rPr>
          <w:rFonts w:ascii="Garamond" w:hAnsi="Garamond"/>
          <w:lang w:val="cs-CZ"/>
        </w:rPr>
        <w:t xml:space="preserve"> dovozovat, že zákonodárce neměl v úmyslu svěřit rozhodování o závažnějších otázkách mladším jedincům, a proto by český zákon umožňující eutanazie i na nezletilých pacientech musel počítat alespoň s touto věkovou hranicí.</w:t>
      </w:r>
      <w:r w:rsidR="00C85017">
        <w:rPr>
          <w:rStyle w:val="FootnoteReference"/>
          <w:rFonts w:ascii="Garamond" w:hAnsi="Garamond"/>
          <w:lang w:val="cs-CZ"/>
        </w:rPr>
        <w:footnoteReference w:id="249"/>
      </w:r>
      <w:r w:rsidR="00133F4D">
        <w:rPr>
          <w:rFonts w:ascii="Garamond" w:hAnsi="Garamond"/>
          <w:lang w:val="cs-CZ"/>
        </w:rPr>
        <w:t xml:space="preserve"> Lze si totiž těžko představit situaci, kde by osobám mladším čtrnácti let bylo dovoleno žádat o eutanazii, byť se souhlasem zákonných zástupců, a zároveň by jim nebylo umožněno domáhat se soudního přezkumu v případě sporu se svým zákonným zástupcem ohledně takové žádosti.</w:t>
      </w:r>
    </w:p>
    <w:p w14:paraId="545BBCF6" w14:textId="1BE295B5" w:rsidR="00133F4D" w:rsidRDefault="00DE0203" w:rsidP="0009551A">
      <w:pPr>
        <w:spacing w:line="360" w:lineRule="auto"/>
        <w:ind w:firstLine="720"/>
        <w:jc w:val="both"/>
        <w:rPr>
          <w:rFonts w:ascii="Garamond" w:hAnsi="Garamond"/>
          <w:lang w:val="cs-CZ"/>
        </w:rPr>
      </w:pPr>
      <w:r>
        <w:rPr>
          <w:rFonts w:ascii="Garamond" w:hAnsi="Garamond"/>
          <w:lang w:val="cs-CZ"/>
        </w:rPr>
        <w:t>Níže navrhuji alespoň základní body, které považuji v rámci legalizace za důležité a kterými je nutné se inspirovat zahraniční úpravou:</w:t>
      </w:r>
    </w:p>
    <w:p w14:paraId="64FC4BB4" w14:textId="694A0C09" w:rsidR="00DE0203" w:rsidRDefault="00DE0203" w:rsidP="00DE0203">
      <w:pPr>
        <w:pStyle w:val="ListParagraph"/>
        <w:numPr>
          <w:ilvl w:val="0"/>
          <w:numId w:val="29"/>
        </w:numPr>
        <w:spacing w:line="360" w:lineRule="auto"/>
        <w:jc w:val="both"/>
        <w:rPr>
          <w:rFonts w:ascii="Garamond" w:hAnsi="Garamond"/>
          <w:lang w:val="cs-CZ"/>
        </w:rPr>
      </w:pPr>
      <w:r>
        <w:rPr>
          <w:rFonts w:ascii="Garamond" w:hAnsi="Garamond"/>
          <w:lang w:val="cs-CZ"/>
        </w:rPr>
        <w:t>Písemná žádost nezletilého a souhlas zákonných zástupců;</w:t>
      </w:r>
    </w:p>
    <w:p w14:paraId="58BCA6B6" w14:textId="0F5EED27" w:rsidR="00E107AE" w:rsidRDefault="00E107AE" w:rsidP="00DE0203">
      <w:pPr>
        <w:pStyle w:val="ListParagraph"/>
        <w:numPr>
          <w:ilvl w:val="0"/>
          <w:numId w:val="29"/>
        </w:numPr>
        <w:spacing w:line="360" w:lineRule="auto"/>
        <w:jc w:val="both"/>
        <w:rPr>
          <w:rFonts w:ascii="Garamond" w:hAnsi="Garamond"/>
          <w:lang w:val="cs-CZ"/>
        </w:rPr>
      </w:pPr>
      <w:r>
        <w:rPr>
          <w:rFonts w:ascii="Garamond" w:hAnsi="Garamond"/>
          <w:lang w:val="cs-CZ"/>
        </w:rPr>
        <w:t>Nevyléčitelné onemocnění bez naděje na zlepšení, spojené s nesnesitelným utrpením a v konečném důsledku způsobující smrt;</w:t>
      </w:r>
      <w:r>
        <w:rPr>
          <w:rStyle w:val="FootnoteReference"/>
          <w:rFonts w:ascii="Garamond" w:hAnsi="Garamond"/>
          <w:lang w:val="cs-CZ"/>
        </w:rPr>
        <w:footnoteReference w:id="250"/>
      </w:r>
    </w:p>
    <w:p w14:paraId="47BCB86D" w14:textId="5ECEC36B" w:rsidR="00E107AE" w:rsidRDefault="00E107AE" w:rsidP="00DE0203">
      <w:pPr>
        <w:pStyle w:val="ListParagraph"/>
        <w:numPr>
          <w:ilvl w:val="0"/>
          <w:numId w:val="29"/>
        </w:numPr>
        <w:spacing w:line="360" w:lineRule="auto"/>
        <w:jc w:val="both"/>
        <w:rPr>
          <w:rFonts w:ascii="Garamond" w:hAnsi="Garamond"/>
          <w:lang w:val="cs-CZ"/>
        </w:rPr>
      </w:pPr>
      <w:r>
        <w:rPr>
          <w:rFonts w:ascii="Garamond" w:hAnsi="Garamond"/>
          <w:lang w:val="cs-CZ"/>
        </w:rPr>
        <w:t>Dostatečné seznámení žadatele a zákonných zástupců s prognózou, alternativami, jakož i s možností psychologické pomoci;</w:t>
      </w:r>
    </w:p>
    <w:p w14:paraId="7DE3A431" w14:textId="1F9A9AF9" w:rsidR="00DE0203" w:rsidRDefault="00DE0203" w:rsidP="00DE0203">
      <w:pPr>
        <w:pStyle w:val="ListParagraph"/>
        <w:numPr>
          <w:ilvl w:val="0"/>
          <w:numId w:val="29"/>
        </w:numPr>
        <w:spacing w:line="360" w:lineRule="auto"/>
        <w:jc w:val="both"/>
        <w:rPr>
          <w:rFonts w:ascii="Garamond" w:hAnsi="Garamond"/>
          <w:lang w:val="cs-CZ"/>
        </w:rPr>
      </w:pPr>
      <w:r>
        <w:rPr>
          <w:rFonts w:ascii="Garamond" w:hAnsi="Garamond"/>
          <w:lang w:val="cs-CZ"/>
        </w:rPr>
        <w:t>Posouzení dostatečné vyspělosti žadatele, a to opakovaně s určitým časovým intervalem</w:t>
      </w:r>
      <w:r w:rsidR="005F756D">
        <w:rPr>
          <w:rFonts w:ascii="Garamond" w:hAnsi="Garamond"/>
          <w:lang w:val="cs-CZ"/>
        </w:rPr>
        <w:t>,</w:t>
      </w:r>
      <w:r>
        <w:rPr>
          <w:rFonts w:ascii="Garamond" w:hAnsi="Garamond"/>
          <w:lang w:val="cs-CZ"/>
        </w:rPr>
        <w:t xml:space="preserve"> odborníkem z oblasti psychologie/psychiatrie;</w:t>
      </w:r>
    </w:p>
    <w:p w14:paraId="7703BB77" w14:textId="57B51ACA" w:rsidR="00DE0203" w:rsidRDefault="00DE0203" w:rsidP="00DE0203">
      <w:pPr>
        <w:pStyle w:val="ListParagraph"/>
        <w:numPr>
          <w:ilvl w:val="0"/>
          <w:numId w:val="29"/>
        </w:numPr>
        <w:spacing w:line="360" w:lineRule="auto"/>
        <w:jc w:val="both"/>
        <w:rPr>
          <w:rFonts w:ascii="Garamond" w:hAnsi="Garamond"/>
          <w:lang w:val="cs-CZ"/>
        </w:rPr>
      </w:pPr>
      <w:r>
        <w:rPr>
          <w:rFonts w:ascii="Garamond" w:hAnsi="Garamond"/>
          <w:lang w:val="cs-CZ"/>
        </w:rPr>
        <w:t>Stanovení základních pravidel pro posuzování vyspělosti žadatele, které by musely být v každém případě splněny;</w:t>
      </w:r>
    </w:p>
    <w:p w14:paraId="59D1A454" w14:textId="63A8A826" w:rsidR="00DE0203" w:rsidRDefault="00DE0203" w:rsidP="00DE0203">
      <w:pPr>
        <w:pStyle w:val="ListParagraph"/>
        <w:numPr>
          <w:ilvl w:val="0"/>
          <w:numId w:val="29"/>
        </w:numPr>
        <w:spacing w:line="360" w:lineRule="auto"/>
        <w:jc w:val="both"/>
        <w:rPr>
          <w:rFonts w:ascii="Garamond" w:hAnsi="Garamond"/>
          <w:lang w:val="cs-CZ"/>
        </w:rPr>
      </w:pPr>
      <w:r>
        <w:rPr>
          <w:rFonts w:ascii="Garamond" w:hAnsi="Garamond"/>
          <w:lang w:val="cs-CZ"/>
        </w:rPr>
        <w:t xml:space="preserve">Provedení výkonu eutanazie </w:t>
      </w:r>
      <w:r w:rsidR="00C340B9">
        <w:rPr>
          <w:rFonts w:ascii="Garamond" w:hAnsi="Garamond"/>
          <w:lang w:val="cs-CZ"/>
        </w:rPr>
        <w:t>pouze v lůžkových zdravotnických zařízeních – nemocnicích;</w:t>
      </w:r>
    </w:p>
    <w:p w14:paraId="2C1FBD3F" w14:textId="3ED67CF2" w:rsidR="00C340B9" w:rsidRDefault="00C340B9" w:rsidP="00DE0203">
      <w:pPr>
        <w:pStyle w:val="ListParagraph"/>
        <w:numPr>
          <w:ilvl w:val="0"/>
          <w:numId w:val="29"/>
        </w:numPr>
        <w:spacing w:line="360" w:lineRule="auto"/>
        <w:jc w:val="both"/>
        <w:rPr>
          <w:rFonts w:ascii="Garamond" w:hAnsi="Garamond"/>
          <w:lang w:val="cs-CZ"/>
        </w:rPr>
      </w:pPr>
      <w:r>
        <w:rPr>
          <w:rFonts w:ascii="Garamond" w:hAnsi="Garamond"/>
          <w:lang w:val="cs-CZ"/>
        </w:rPr>
        <w:t xml:space="preserve">Možnost okamžité soudní ochrany v případě sporu mezi ošetřujícím lékařem, zákonnými zástupci </w:t>
      </w:r>
      <w:r w:rsidR="00757C70">
        <w:rPr>
          <w:rFonts w:ascii="Garamond" w:hAnsi="Garamond"/>
          <w:lang w:val="cs-CZ"/>
        </w:rPr>
        <w:t>nebo</w:t>
      </w:r>
      <w:r>
        <w:rPr>
          <w:rFonts w:ascii="Garamond" w:hAnsi="Garamond"/>
          <w:lang w:val="cs-CZ"/>
        </w:rPr>
        <w:t xml:space="preserve"> žadatelem, popř. dalšími osobami;</w:t>
      </w:r>
      <w:r w:rsidR="00850AFF">
        <w:rPr>
          <w:rStyle w:val="FootnoteReference"/>
          <w:rFonts w:ascii="Garamond" w:hAnsi="Garamond"/>
          <w:lang w:val="cs-CZ"/>
        </w:rPr>
        <w:footnoteReference w:id="251"/>
      </w:r>
    </w:p>
    <w:p w14:paraId="3A7CDFF6" w14:textId="7D7E1EA1" w:rsidR="00C340B9" w:rsidRDefault="00E107AE" w:rsidP="00DE0203">
      <w:pPr>
        <w:pStyle w:val="ListParagraph"/>
        <w:numPr>
          <w:ilvl w:val="0"/>
          <w:numId w:val="29"/>
        </w:numPr>
        <w:spacing w:line="360" w:lineRule="auto"/>
        <w:jc w:val="both"/>
        <w:rPr>
          <w:rFonts w:ascii="Garamond" w:hAnsi="Garamond"/>
          <w:lang w:val="cs-CZ"/>
        </w:rPr>
      </w:pPr>
      <w:r>
        <w:rPr>
          <w:rFonts w:ascii="Garamond" w:hAnsi="Garamond"/>
          <w:lang w:val="cs-CZ"/>
        </w:rPr>
        <w:t>Zřízení speciálních kontrolních komisí složených ze zástupců lékařské a právnické obce, které by vykonávaly dohled jak nad jednotlivými případy, tak v obecné rovině</w:t>
      </w:r>
      <w:r w:rsidR="00757C70">
        <w:rPr>
          <w:rFonts w:ascii="Garamond" w:hAnsi="Garamond"/>
          <w:lang w:val="cs-CZ"/>
        </w:rPr>
        <w:t>.</w:t>
      </w:r>
    </w:p>
    <w:p w14:paraId="243C59C9" w14:textId="77777777" w:rsidR="001265F5" w:rsidRPr="00C85017" w:rsidRDefault="001265F5" w:rsidP="0009551A">
      <w:pPr>
        <w:spacing w:line="360" w:lineRule="auto"/>
        <w:ind w:firstLine="720"/>
        <w:jc w:val="both"/>
        <w:rPr>
          <w:rFonts w:ascii="Garamond" w:hAnsi="Garamond"/>
          <w:lang w:val="cs-CZ"/>
        </w:rPr>
      </w:pPr>
    </w:p>
    <w:p w14:paraId="6691A055" w14:textId="4BBF5CA8" w:rsidR="004F3761" w:rsidRPr="00D369EE" w:rsidRDefault="004F3761" w:rsidP="00DE0F40">
      <w:pPr>
        <w:rPr>
          <w:rFonts w:ascii="Garamond" w:hAnsi="Garamond"/>
          <w:lang w:val="cs-CZ"/>
        </w:rPr>
      </w:pPr>
      <w:r w:rsidRPr="00D369EE">
        <w:rPr>
          <w:rFonts w:ascii="Garamond" w:hAnsi="Garamond"/>
          <w:lang w:val="cs-CZ"/>
        </w:rPr>
        <w:br w:type="page"/>
      </w:r>
    </w:p>
    <w:p w14:paraId="3F9A594F" w14:textId="43426E63" w:rsidR="004279A7" w:rsidRPr="007759EE" w:rsidRDefault="00412C93" w:rsidP="003F3660">
      <w:pPr>
        <w:pStyle w:val="Heading1"/>
        <w:numPr>
          <w:ilvl w:val="0"/>
          <w:numId w:val="2"/>
        </w:numPr>
        <w:spacing w:line="360" w:lineRule="auto"/>
        <w:ind w:left="720" w:hanging="720"/>
        <w:rPr>
          <w:lang w:val="cs-CZ"/>
        </w:rPr>
      </w:pPr>
      <w:bookmarkStart w:id="17" w:name="_Toc11919783"/>
      <w:r w:rsidRPr="007759EE">
        <w:rPr>
          <w:lang w:val="cs-CZ"/>
        </w:rPr>
        <w:lastRenderedPageBreak/>
        <w:t>Závěr</w:t>
      </w:r>
      <w:bookmarkEnd w:id="17"/>
    </w:p>
    <w:p w14:paraId="4D1A5B4C" w14:textId="3825661D" w:rsidR="007E0120" w:rsidRDefault="00FD4688" w:rsidP="007E0120">
      <w:pPr>
        <w:spacing w:line="360" w:lineRule="auto"/>
        <w:ind w:firstLine="720"/>
        <w:jc w:val="both"/>
        <w:rPr>
          <w:rFonts w:ascii="Garamond" w:hAnsi="Garamond"/>
          <w:lang w:val="cs-CZ"/>
        </w:rPr>
      </w:pPr>
      <w:r>
        <w:rPr>
          <w:rFonts w:ascii="Garamond" w:hAnsi="Garamond"/>
          <w:lang w:val="cs-CZ"/>
        </w:rPr>
        <w:t>Jedním ze stěžejních argumentů pro rozšíření možnosti eutanazie na děti považuji aspekt transparentnosti a s tím související možnost kontroly jednotlivých případů. Jak ukazují příklady z praxe, eutanazie byla vykonávána i v době, kdy nebyla plně legalizována.</w:t>
      </w:r>
      <w:r w:rsidR="000969EB">
        <w:rPr>
          <w:rStyle w:val="FootnoteReference"/>
          <w:rFonts w:ascii="Garamond" w:hAnsi="Garamond"/>
          <w:lang w:val="cs-CZ"/>
        </w:rPr>
        <w:footnoteReference w:id="252"/>
      </w:r>
      <w:r>
        <w:rPr>
          <w:rFonts w:ascii="Garamond" w:hAnsi="Garamond"/>
          <w:lang w:val="cs-CZ"/>
        </w:rPr>
        <w:t xml:space="preserve"> Není tak vyloučeno, že se tak děje i v jiných zemích a taková praxe pak plně probíhá za zavřenými dveřmi bez možnosti jakékoli kontroly a dohledu. Legalizace, byť i v té nejstriktnější podobě, umožní vyhnout se takovýmto problémům, potažmo i dalším nežádoucím jevům, jako je i tzv. turistika za smrtí. Jak podotýká </w:t>
      </w:r>
      <w:r w:rsidR="001D791B">
        <w:rPr>
          <w:rFonts w:ascii="Garamond" w:hAnsi="Garamond"/>
          <w:lang w:val="cs-CZ"/>
        </w:rPr>
        <w:t xml:space="preserve">Adam </w:t>
      </w:r>
      <w:r>
        <w:rPr>
          <w:rFonts w:ascii="Garamond" w:hAnsi="Garamond"/>
          <w:lang w:val="cs-CZ"/>
        </w:rPr>
        <w:t>Doležal</w:t>
      </w:r>
      <w:r>
        <w:rPr>
          <w:rStyle w:val="FootnoteReference"/>
          <w:rFonts w:ascii="Garamond" w:hAnsi="Garamond"/>
          <w:lang w:val="cs-CZ"/>
        </w:rPr>
        <w:footnoteReference w:id="253"/>
      </w:r>
      <w:r>
        <w:rPr>
          <w:rFonts w:ascii="Garamond" w:hAnsi="Garamond"/>
          <w:lang w:val="cs-CZ"/>
        </w:rPr>
        <w:t>, kontrola nad jednáním lékařů se jeví jako značně vyšší v zemích, které do jisté míry umožňují pacientům rozhodovat o konci svého života. Z obav o možný trestněprávní postih bývají v jiných evropských státech, kde k legalizaci nedošlo, taková jednání často ukrývána</w:t>
      </w:r>
      <w:r>
        <w:rPr>
          <w:rStyle w:val="FootnoteReference"/>
          <w:rFonts w:ascii="Garamond" w:hAnsi="Garamond"/>
          <w:lang w:val="cs-CZ"/>
        </w:rPr>
        <w:footnoteReference w:id="254"/>
      </w:r>
      <w:r>
        <w:rPr>
          <w:rFonts w:ascii="Garamond" w:hAnsi="Garamond"/>
          <w:lang w:val="cs-CZ"/>
        </w:rPr>
        <w:t>, což představuje mnohonásobně vážnější problém.</w:t>
      </w:r>
    </w:p>
    <w:p w14:paraId="79010211" w14:textId="4570FEFB" w:rsidR="00896E6D" w:rsidRDefault="007E0120" w:rsidP="00896E6D">
      <w:pPr>
        <w:spacing w:line="360" w:lineRule="auto"/>
        <w:ind w:firstLine="720"/>
        <w:jc w:val="both"/>
        <w:rPr>
          <w:rFonts w:ascii="Garamond" w:hAnsi="Garamond"/>
          <w:lang w:val="cs-CZ"/>
        </w:rPr>
      </w:pPr>
      <w:r>
        <w:rPr>
          <w:rFonts w:ascii="Garamond" w:hAnsi="Garamond"/>
          <w:lang w:val="cs-CZ"/>
        </w:rPr>
        <w:t xml:space="preserve">Cílem práce </w:t>
      </w:r>
      <w:r w:rsidR="00BE76A6">
        <w:rPr>
          <w:rFonts w:ascii="Garamond" w:hAnsi="Garamond"/>
          <w:lang w:val="cs-CZ"/>
        </w:rPr>
        <w:t xml:space="preserve">byla věcná argumentace na podporu rozšíření eutanazie na dětské pacienty. Zahraniční praxe a výzkum nám poskytují </w:t>
      </w:r>
      <w:r w:rsidR="002B09A8">
        <w:rPr>
          <w:rFonts w:ascii="Garamond" w:hAnsi="Garamond"/>
          <w:lang w:val="cs-CZ"/>
        </w:rPr>
        <w:t xml:space="preserve">již zcela </w:t>
      </w:r>
      <w:r w:rsidR="00BE76A6">
        <w:rPr>
          <w:rFonts w:ascii="Garamond" w:hAnsi="Garamond"/>
          <w:lang w:val="cs-CZ"/>
        </w:rPr>
        <w:t>hmatatelné výsledky</w:t>
      </w:r>
      <w:r w:rsidR="002B09A8">
        <w:rPr>
          <w:rFonts w:ascii="Garamond" w:hAnsi="Garamond"/>
          <w:lang w:val="cs-CZ"/>
        </w:rPr>
        <w:t xml:space="preserve">, které zčásti nebo zcela vyvrací obavy kritiků. Jak bylo zanalyzováno v rámci kapitol výše, legalizace eutanazie dětí ne nutně vede k nadužívání, potažmo až ke zneužívání tohoto nástroje. Empirické výzkumy potvrzují, že i nezletilí mohou dosahovat dostatečné rozumové vyspělosti k pochopení následků takového </w:t>
      </w:r>
      <w:r w:rsidR="00896E6D">
        <w:rPr>
          <w:rFonts w:ascii="Garamond" w:hAnsi="Garamond"/>
          <w:lang w:val="cs-CZ"/>
        </w:rPr>
        <w:t>rozhodnutí,</w:t>
      </w:r>
      <w:r w:rsidR="002B09A8">
        <w:rPr>
          <w:rFonts w:ascii="Garamond" w:hAnsi="Garamond"/>
          <w:lang w:val="cs-CZ"/>
        </w:rPr>
        <w:t xml:space="preserve"> a i proto lze znemožnění přístupu nezletilým pacientům považovat za diskriminační.</w:t>
      </w:r>
      <w:r w:rsidR="00896E6D">
        <w:rPr>
          <w:rFonts w:ascii="Garamond" w:hAnsi="Garamond"/>
          <w:lang w:val="cs-CZ"/>
        </w:rPr>
        <w:t xml:space="preserve"> Domnívám se, že pokud judikatura ESLP dovozuje, že je nutné respektovat právo jedince rozhodovat o svém životě, nelze jej upírat nezletilým osobám jenom z důvodu jejich nedostatečného věku. Proto s</w:t>
      </w:r>
      <w:r w:rsidR="00783901">
        <w:rPr>
          <w:rFonts w:ascii="Garamond" w:hAnsi="Garamond"/>
          <w:lang w:val="cs-CZ"/>
        </w:rPr>
        <w:t>polečně s výše uvedenými argumenty a zkušenostmi ze zahraničí považuji striktní odmítání rozšíření eutanazie na nezletilé osoby za překonané. S postupnou legalizací eutanazie v dalších zemích je ideální moment na takové rozšíření zejména s ohledem na zájmy nezletilých. Dětem je nutné poskytnout patřičný respekt k jejich právu na soukromí, jehož zákonný obsah je stejně široký jako u dospělých osob</w:t>
      </w:r>
      <w:r w:rsidR="00BA18F2">
        <w:rPr>
          <w:rFonts w:ascii="Garamond" w:hAnsi="Garamond"/>
          <w:lang w:val="cs-CZ"/>
        </w:rPr>
        <w:t>, přičemž zde není patřičně silný důvod, který by odůvodňoval rozdílné zacházení.</w:t>
      </w:r>
      <w:r w:rsidR="00BA09AB">
        <w:rPr>
          <w:rFonts w:ascii="Garamond" w:hAnsi="Garamond"/>
          <w:lang w:val="cs-CZ"/>
        </w:rPr>
        <w:t xml:space="preserve"> </w:t>
      </w:r>
      <w:r w:rsidR="00896E6D">
        <w:rPr>
          <w:rFonts w:ascii="Garamond" w:hAnsi="Garamond"/>
          <w:lang w:val="cs-CZ"/>
        </w:rPr>
        <w:t>Závěrem tak konstatuji, že i děti jsou nositeli tzv. práva na smrt a přístup k eutanazii by jim měl být za určitých podmínek umožněn.</w:t>
      </w:r>
    </w:p>
    <w:p w14:paraId="6DFEB409" w14:textId="7CFC6022" w:rsidR="00783901" w:rsidRDefault="00BA09AB" w:rsidP="00896E6D">
      <w:pPr>
        <w:spacing w:line="360" w:lineRule="auto"/>
        <w:ind w:firstLine="720"/>
        <w:jc w:val="both"/>
        <w:rPr>
          <w:rFonts w:ascii="Garamond" w:hAnsi="Garamond"/>
          <w:lang w:val="cs-CZ"/>
        </w:rPr>
      </w:pPr>
      <w:r>
        <w:rPr>
          <w:rFonts w:ascii="Garamond" w:hAnsi="Garamond"/>
          <w:lang w:val="cs-CZ"/>
        </w:rPr>
        <w:t xml:space="preserve">V rámci české úpravy je vzhledem k historii a tradici našeho právního řádu případná legalizace eutanazie, potažmo i rozšíření na nezletilé pacienty běh na dlouhou trať a je zde široký prostor pro další diskusi. Legislativní návrh by však měl přinejmenším obsahovat nebo alespoň zvážit navržené body zmíněných v rámci kapitoly výše. </w:t>
      </w:r>
    </w:p>
    <w:p w14:paraId="30E10E9B" w14:textId="44FA1C5C" w:rsidR="00412C93" w:rsidRPr="007759EE" w:rsidRDefault="00412C93" w:rsidP="003F3660">
      <w:pPr>
        <w:spacing w:line="360" w:lineRule="auto"/>
        <w:rPr>
          <w:rFonts w:ascii="Garamond" w:hAnsi="Garamond"/>
          <w:lang w:val="cs-CZ"/>
        </w:rPr>
      </w:pPr>
      <w:r w:rsidRPr="007759EE">
        <w:rPr>
          <w:rFonts w:ascii="Garamond" w:hAnsi="Garamond"/>
          <w:lang w:val="cs-CZ"/>
        </w:rPr>
        <w:br w:type="page"/>
      </w:r>
    </w:p>
    <w:p w14:paraId="0C9DFFB9" w14:textId="5ECBADBC" w:rsidR="00412C93" w:rsidRPr="007759EE" w:rsidRDefault="00412C93" w:rsidP="003F3660">
      <w:pPr>
        <w:pStyle w:val="Heading1"/>
        <w:numPr>
          <w:ilvl w:val="0"/>
          <w:numId w:val="2"/>
        </w:numPr>
        <w:spacing w:line="360" w:lineRule="auto"/>
        <w:ind w:left="720" w:hanging="720"/>
        <w:rPr>
          <w:lang w:val="cs-CZ"/>
        </w:rPr>
      </w:pPr>
      <w:bookmarkStart w:id="18" w:name="_Toc11919784"/>
      <w:r w:rsidRPr="007759EE">
        <w:rPr>
          <w:lang w:val="cs-CZ"/>
        </w:rPr>
        <w:lastRenderedPageBreak/>
        <w:t>Seznam použitých zdrojů</w:t>
      </w:r>
      <w:bookmarkEnd w:id="18"/>
    </w:p>
    <w:p w14:paraId="46D4DCE3" w14:textId="77777777" w:rsidR="00330C8D" w:rsidRPr="007759EE" w:rsidRDefault="00330C8D" w:rsidP="00330C8D">
      <w:pPr>
        <w:rPr>
          <w:rFonts w:ascii="Garamond" w:hAnsi="Garamond"/>
          <w:lang w:val="cs-CZ"/>
        </w:rPr>
      </w:pPr>
    </w:p>
    <w:p w14:paraId="69AE9FA3" w14:textId="172EDCF9" w:rsidR="00412C93" w:rsidRPr="007759EE" w:rsidRDefault="00412C93" w:rsidP="003F3660">
      <w:pPr>
        <w:pStyle w:val="Heading2"/>
        <w:numPr>
          <w:ilvl w:val="0"/>
          <w:numId w:val="4"/>
        </w:numPr>
        <w:spacing w:line="360" w:lineRule="auto"/>
        <w:ind w:left="720" w:hanging="720"/>
        <w:rPr>
          <w:lang w:val="cs-CZ"/>
        </w:rPr>
      </w:pPr>
      <w:bookmarkStart w:id="19" w:name="_Toc11919785"/>
      <w:r w:rsidRPr="007759EE">
        <w:rPr>
          <w:lang w:val="cs-CZ"/>
        </w:rPr>
        <w:t>Články, monografie, učebnice, komentáře</w:t>
      </w:r>
      <w:bookmarkEnd w:id="19"/>
    </w:p>
    <w:p w14:paraId="706FAAE3" w14:textId="126AD713" w:rsidR="00192384" w:rsidRDefault="002F164B" w:rsidP="00192384">
      <w:pPr>
        <w:pStyle w:val="ListParagraph"/>
        <w:numPr>
          <w:ilvl w:val="0"/>
          <w:numId w:val="10"/>
        </w:numPr>
        <w:spacing w:line="360" w:lineRule="auto"/>
        <w:jc w:val="both"/>
        <w:rPr>
          <w:rFonts w:ascii="Garamond" w:hAnsi="Garamond"/>
          <w:lang w:val="cs-CZ"/>
        </w:rPr>
      </w:pPr>
      <w:r w:rsidRPr="007759EE">
        <w:rPr>
          <w:rFonts w:ascii="Garamond" w:hAnsi="Garamond"/>
        </w:rPr>
        <w:t xml:space="preserve">DOLEŽAL, Adam. </w:t>
      </w:r>
      <w:r w:rsidRPr="007759EE">
        <w:rPr>
          <w:rFonts w:ascii="Garamond" w:hAnsi="Garamond"/>
          <w:lang w:val="cs-CZ"/>
        </w:rPr>
        <w:t>Dříve vyslovená přání (</w:t>
      </w:r>
      <w:r w:rsidRPr="00E348E3">
        <w:rPr>
          <w:rFonts w:ascii="Garamond" w:hAnsi="Garamond"/>
        </w:rPr>
        <w:t>advance directives</w:t>
      </w:r>
      <w:r w:rsidRPr="007759EE">
        <w:rPr>
          <w:rFonts w:ascii="Garamond" w:hAnsi="Garamond"/>
          <w:lang w:val="cs-CZ"/>
        </w:rPr>
        <w:t xml:space="preserve">). Právní a etické úvahy. </w:t>
      </w:r>
      <w:r w:rsidRPr="007759EE">
        <w:rPr>
          <w:rFonts w:ascii="Garamond" w:hAnsi="Garamond"/>
          <w:i/>
          <w:lang w:val="cs-CZ"/>
        </w:rPr>
        <w:t>Časopis zdravotnického práva a bioetiky</w:t>
      </w:r>
      <w:r w:rsidR="00522EEE">
        <w:rPr>
          <w:rFonts w:ascii="Garamond" w:hAnsi="Garamond"/>
          <w:lang w:val="cs-CZ"/>
        </w:rPr>
        <w:t>,</w:t>
      </w:r>
      <w:r w:rsidRPr="007759EE">
        <w:rPr>
          <w:rFonts w:ascii="Garamond" w:hAnsi="Garamond"/>
          <w:lang w:val="cs-CZ"/>
        </w:rPr>
        <w:t xml:space="preserve"> </w:t>
      </w:r>
      <w:r w:rsidR="00B1056C" w:rsidRPr="007759EE">
        <w:rPr>
          <w:rFonts w:ascii="Garamond" w:hAnsi="Garamond"/>
          <w:lang w:val="cs-CZ"/>
        </w:rPr>
        <w:t xml:space="preserve">2017, roč. 7, č. </w:t>
      </w:r>
      <w:r w:rsidRPr="007759EE">
        <w:rPr>
          <w:rFonts w:ascii="Garamond" w:hAnsi="Garamond"/>
          <w:lang w:val="cs-CZ"/>
        </w:rPr>
        <w:t xml:space="preserve">2, s. </w:t>
      </w:r>
      <w:r w:rsidR="00B1056C" w:rsidRPr="007759EE">
        <w:rPr>
          <w:rFonts w:ascii="Garamond" w:hAnsi="Garamond"/>
          <w:lang w:val="cs-CZ"/>
        </w:rPr>
        <w:t>1–15.</w:t>
      </w:r>
    </w:p>
    <w:p w14:paraId="203B511D" w14:textId="60AFBB59" w:rsidR="001D791B" w:rsidRDefault="001D791B" w:rsidP="00192384">
      <w:pPr>
        <w:pStyle w:val="ListParagraph"/>
        <w:numPr>
          <w:ilvl w:val="0"/>
          <w:numId w:val="10"/>
        </w:numPr>
        <w:spacing w:line="360" w:lineRule="auto"/>
        <w:jc w:val="both"/>
        <w:rPr>
          <w:rFonts w:ascii="Garamond" w:hAnsi="Garamond"/>
          <w:lang w:val="cs-CZ"/>
        </w:rPr>
      </w:pPr>
      <w:r>
        <w:rPr>
          <w:rFonts w:ascii="Garamond" w:hAnsi="Garamond"/>
          <w:lang w:val="cs-CZ"/>
        </w:rPr>
        <w:t xml:space="preserve">DOLEŽAL, Adam. </w:t>
      </w:r>
      <w:r>
        <w:rPr>
          <w:rFonts w:ascii="Garamond" w:hAnsi="Garamond"/>
          <w:i/>
          <w:iCs/>
          <w:lang w:val="cs-CZ"/>
        </w:rPr>
        <w:t>Eutanazie a rozhodnutí na konci života: právní aspekty.</w:t>
      </w:r>
      <w:r>
        <w:rPr>
          <w:rFonts w:ascii="Garamond" w:hAnsi="Garamond"/>
          <w:lang w:val="cs-CZ"/>
        </w:rPr>
        <w:t xml:space="preserve"> Praha: Academia, 2017, 284 s.</w:t>
      </w:r>
    </w:p>
    <w:p w14:paraId="1516803A" w14:textId="343B4E0D" w:rsidR="001D791B" w:rsidRPr="001D791B" w:rsidRDefault="00192384" w:rsidP="001D791B">
      <w:pPr>
        <w:pStyle w:val="ListParagraph"/>
        <w:numPr>
          <w:ilvl w:val="0"/>
          <w:numId w:val="10"/>
        </w:numPr>
        <w:spacing w:line="360" w:lineRule="auto"/>
        <w:jc w:val="both"/>
        <w:rPr>
          <w:rFonts w:ascii="Garamond" w:hAnsi="Garamond"/>
          <w:lang w:val="cs-CZ"/>
        </w:rPr>
      </w:pPr>
      <w:r w:rsidRPr="00192384">
        <w:rPr>
          <w:rFonts w:ascii="Garamond" w:hAnsi="Garamond"/>
          <w:lang w:val="cs-CZ"/>
        </w:rPr>
        <w:t xml:space="preserve">MALÍŘ, Jan, DOLEŽAL, Tomáš. </w:t>
      </w:r>
      <w:r w:rsidRPr="00192384">
        <w:rPr>
          <w:rFonts w:ascii="Garamond" w:hAnsi="Garamond"/>
          <w:i/>
          <w:lang w:val="cs-CZ"/>
        </w:rPr>
        <w:t>Evropská úmluva o ochraně lidských práv a základních svobod a zdravotnictví: současný stav a perspektivy</w:t>
      </w:r>
      <w:r w:rsidRPr="00192384">
        <w:rPr>
          <w:rFonts w:ascii="Garamond" w:hAnsi="Garamond"/>
          <w:lang w:val="cs-CZ"/>
        </w:rPr>
        <w:t xml:space="preserve">. Praha: </w:t>
      </w:r>
      <w:proofErr w:type="spellStart"/>
      <w:r w:rsidRPr="00192384">
        <w:rPr>
          <w:rFonts w:ascii="Garamond" w:hAnsi="Garamond"/>
          <w:lang w:val="cs-CZ"/>
        </w:rPr>
        <w:t>Wolters</w:t>
      </w:r>
      <w:proofErr w:type="spellEnd"/>
      <w:r w:rsidRPr="00192384">
        <w:rPr>
          <w:rFonts w:ascii="Garamond" w:hAnsi="Garamond"/>
          <w:lang w:val="cs-CZ"/>
        </w:rPr>
        <w:t xml:space="preserve"> </w:t>
      </w:r>
      <w:proofErr w:type="spellStart"/>
      <w:r w:rsidRPr="00192384">
        <w:rPr>
          <w:rFonts w:ascii="Garamond" w:hAnsi="Garamond"/>
          <w:lang w:val="cs-CZ"/>
        </w:rPr>
        <w:t>Kluwer</w:t>
      </w:r>
      <w:proofErr w:type="spellEnd"/>
      <w:r w:rsidRPr="00192384">
        <w:rPr>
          <w:rFonts w:ascii="Garamond" w:hAnsi="Garamond"/>
          <w:lang w:val="cs-CZ"/>
        </w:rPr>
        <w:t xml:space="preserve"> ČR, a.s., 2016, </w:t>
      </w:r>
      <w:r>
        <w:rPr>
          <w:rFonts w:ascii="Garamond" w:hAnsi="Garamond"/>
          <w:lang w:val="cs-CZ"/>
        </w:rPr>
        <w:t>212 s.</w:t>
      </w:r>
    </w:p>
    <w:p w14:paraId="21EED061" w14:textId="09E09B82" w:rsidR="00D83B33" w:rsidRDefault="00D83B33" w:rsidP="00192384">
      <w:pPr>
        <w:pStyle w:val="ListParagraph"/>
        <w:numPr>
          <w:ilvl w:val="0"/>
          <w:numId w:val="10"/>
        </w:numPr>
        <w:spacing w:line="360" w:lineRule="auto"/>
        <w:jc w:val="both"/>
        <w:rPr>
          <w:rFonts w:ascii="Garamond" w:hAnsi="Garamond"/>
          <w:lang w:val="cs-CZ"/>
        </w:rPr>
      </w:pPr>
      <w:r>
        <w:rPr>
          <w:rFonts w:ascii="Garamond" w:hAnsi="Garamond"/>
          <w:lang w:val="cs-CZ"/>
        </w:rPr>
        <w:t xml:space="preserve">KUŘE, Josef. </w:t>
      </w:r>
      <w:r>
        <w:rPr>
          <w:rFonts w:ascii="Garamond" w:hAnsi="Garamond"/>
          <w:i/>
          <w:lang w:val="cs-CZ"/>
        </w:rPr>
        <w:t>Co je eutanazie: studie k pojmu dobré smrti</w:t>
      </w:r>
      <w:r>
        <w:rPr>
          <w:rFonts w:ascii="Garamond" w:hAnsi="Garamond"/>
          <w:lang w:val="cs-CZ"/>
        </w:rPr>
        <w:t>. Praha: Academia, 2018, 297 s.</w:t>
      </w:r>
    </w:p>
    <w:p w14:paraId="08BA84E6" w14:textId="31ED0CF1" w:rsidR="00764A0A" w:rsidRDefault="00764A0A" w:rsidP="00192384">
      <w:pPr>
        <w:pStyle w:val="ListParagraph"/>
        <w:numPr>
          <w:ilvl w:val="0"/>
          <w:numId w:val="10"/>
        </w:numPr>
        <w:spacing w:line="360" w:lineRule="auto"/>
        <w:jc w:val="both"/>
        <w:rPr>
          <w:rFonts w:ascii="Garamond" w:hAnsi="Garamond"/>
          <w:lang w:val="cs-CZ"/>
        </w:rPr>
      </w:pPr>
      <w:r w:rsidRPr="00764A0A">
        <w:rPr>
          <w:rFonts w:ascii="Garamond" w:hAnsi="Garamond"/>
          <w:lang w:val="cs-CZ"/>
        </w:rPr>
        <w:t xml:space="preserve">KMEC, Jiří a kol. </w:t>
      </w:r>
      <w:r w:rsidRPr="00764A0A">
        <w:rPr>
          <w:rFonts w:ascii="Garamond" w:hAnsi="Garamond"/>
          <w:i/>
          <w:lang w:val="cs-CZ"/>
        </w:rPr>
        <w:t>Evropská úmluva o lidských právech</w:t>
      </w:r>
      <w:r w:rsidRPr="00764A0A">
        <w:rPr>
          <w:rFonts w:ascii="Garamond" w:hAnsi="Garamond"/>
          <w:lang w:val="cs-CZ"/>
        </w:rPr>
        <w:t xml:space="preserve">. </w:t>
      </w:r>
      <w:r w:rsidRPr="00764A0A">
        <w:rPr>
          <w:rFonts w:ascii="Garamond" w:hAnsi="Garamond"/>
          <w:i/>
          <w:lang w:val="cs-CZ"/>
        </w:rPr>
        <w:t>Komentář</w:t>
      </w:r>
      <w:r w:rsidRPr="00764A0A">
        <w:rPr>
          <w:rFonts w:ascii="Garamond" w:hAnsi="Garamond"/>
          <w:lang w:val="cs-CZ"/>
        </w:rPr>
        <w:t xml:space="preserve">. 1. vydání. Praha: C. H. Beck, 2012, </w:t>
      </w:r>
      <w:r>
        <w:rPr>
          <w:rFonts w:ascii="Garamond" w:hAnsi="Garamond"/>
          <w:lang w:val="cs-CZ"/>
        </w:rPr>
        <w:t>1687 s.</w:t>
      </w:r>
    </w:p>
    <w:p w14:paraId="0057C220" w14:textId="155C2309" w:rsidR="001A3C4E" w:rsidRPr="001A3C4E" w:rsidRDefault="001A3C4E" w:rsidP="00192384">
      <w:pPr>
        <w:pStyle w:val="ListParagraph"/>
        <w:numPr>
          <w:ilvl w:val="0"/>
          <w:numId w:val="10"/>
        </w:numPr>
        <w:spacing w:line="360" w:lineRule="auto"/>
        <w:jc w:val="both"/>
        <w:rPr>
          <w:rFonts w:ascii="Garamond" w:hAnsi="Garamond"/>
          <w:lang w:val="cs-CZ"/>
        </w:rPr>
      </w:pPr>
      <w:r w:rsidRPr="001A3C4E">
        <w:rPr>
          <w:rFonts w:ascii="Garamond" w:hAnsi="Garamond"/>
        </w:rPr>
        <w:t xml:space="preserve">Council of Canadian Academies. </w:t>
      </w:r>
      <w:r w:rsidRPr="001A3C4E">
        <w:rPr>
          <w:rFonts w:ascii="Garamond" w:hAnsi="Garamond"/>
          <w:i/>
        </w:rPr>
        <w:t>The State of Knowledge on Medical Assistance in Dying for Mature Minors</w:t>
      </w:r>
      <w:r w:rsidRPr="001A3C4E">
        <w:rPr>
          <w:rFonts w:ascii="Garamond" w:hAnsi="Garamond"/>
        </w:rPr>
        <w:t>.</w:t>
      </w:r>
      <w:r>
        <w:rPr>
          <w:rFonts w:ascii="Garamond" w:hAnsi="Garamond"/>
        </w:rPr>
        <w:t xml:space="preserve"> Ottawa: The Expert Panel Working Group on MAID for Mature Minors, 2018, 193 s.</w:t>
      </w:r>
    </w:p>
    <w:p w14:paraId="61476D6B" w14:textId="6F30A197" w:rsidR="008D5519" w:rsidRPr="007759EE" w:rsidRDefault="008D5519" w:rsidP="002F164B">
      <w:pPr>
        <w:pStyle w:val="ListParagraph"/>
        <w:numPr>
          <w:ilvl w:val="0"/>
          <w:numId w:val="10"/>
        </w:numPr>
        <w:spacing w:line="360" w:lineRule="auto"/>
        <w:jc w:val="both"/>
        <w:rPr>
          <w:rFonts w:ascii="Garamond" w:hAnsi="Garamond"/>
          <w:lang w:val="cs-CZ"/>
        </w:rPr>
      </w:pPr>
      <w:r w:rsidRPr="007759EE">
        <w:rPr>
          <w:rFonts w:ascii="Garamond" w:hAnsi="Garamond"/>
          <w:lang w:val="cs-CZ"/>
        </w:rPr>
        <w:t xml:space="preserve">MADEJ, Martin. </w:t>
      </w:r>
      <w:r w:rsidRPr="007759EE">
        <w:rPr>
          <w:rFonts w:ascii="Garamond" w:hAnsi="Garamond"/>
          <w:i/>
          <w:lang w:val="cs-CZ"/>
        </w:rPr>
        <w:t>Meze základních práv v České republice</w:t>
      </w:r>
      <w:r w:rsidRPr="007759EE">
        <w:rPr>
          <w:rFonts w:ascii="Garamond" w:hAnsi="Garamond"/>
          <w:lang w:val="cs-CZ"/>
        </w:rPr>
        <w:t xml:space="preserve">. Praha: </w:t>
      </w:r>
      <w:proofErr w:type="spellStart"/>
      <w:r w:rsidRPr="007759EE">
        <w:rPr>
          <w:rFonts w:ascii="Garamond" w:hAnsi="Garamond"/>
          <w:lang w:val="cs-CZ"/>
        </w:rPr>
        <w:t>Leges</w:t>
      </w:r>
      <w:proofErr w:type="spellEnd"/>
      <w:r w:rsidRPr="007759EE">
        <w:rPr>
          <w:rFonts w:ascii="Garamond" w:hAnsi="Garamond"/>
          <w:lang w:val="cs-CZ"/>
        </w:rPr>
        <w:t>, 2018, 240 s.</w:t>
      </w:r>
    </w:p>
    <w:p w14:paraId="730F7FEA" w14:textId="77777777" w:rsidR="00F8537E" w:rsidRPr="00F8537E" w:rsidRDefault="00B61252" w:rsidP="00F8537E">
      <w:pPr>
        <w:pStyle w:val="ListParagraph"/>
        <w:numPr>
          <w:ilvl w:val="0"/>
          <w:numId w:val="10"/>
        </w:numPr>
        <w:spacing w:line="360" w:lineRule="auto"/>
        <w:jc w:val="both"/>
        <w:rPr>
          <w:rFonts w:ascii="Garamond" w:hAnsi="Garamond"/>
          <w:lang w:val="cs-CZ"/>
        </w:rPr>
      </w:pPr>
      <w:r w:rsidRPr="003811C5">
        <w:rPr>
          <w:rFonts w:ascii="Garamond" w:hAnsi="Garamond"/>
        </w:rPr>
        <w:t xml:space="preserve">DAUBER, M. S. Bioethics and the law: Should courts be allowed to make end of life decisions? Reflections on the Charlie Gard and Alfie Evans controversies. </w:t>
      </w:r>
      <w:r w:rsidRPr="003811C5">
        <w:rPr>
          <w:rFonts w:ascii="Garamond" w:hAnsi="Garamond"/>
          <w:i/>
        </w:rPr>
        <w:t>Ethics, Medicine and Public Health</w:t>
      </w:r>
      <w:r w:rsidRPr="003811C5">
        <w:rPr>
          <w:rFonts w:ascii="Garamond" w:hAnsi="Garamond"/>
        </w:rPr>
        <w:t xml:space="preserve">, 2018, </w:t>
      </w:r>
      <w:r w:rsidRPr="00B05BFC">
        <w:rPr>
          <w:rFonts w:ascii="Garamond" w:hAnsi="Garamond"/>
          <w:lang w:val="cs-CZ"/>
        </w:rPr>
        <w:t>roč.</w:t>
      </w:r>
      <w:r w:rsidRPr="003811C5">
        <w:rPr>
          <w:rFonts w:ascii="Garamond" w:hAnsi="Garamond"/>
        </w:rPr>
        <w:t xml:space="preserve"> 6, s. 94-104.</w:t>
      </w:r>
    </w:p>
    <w:p w14:paraId="2178028E" w14:textId="003A0818" w:rsidR="00F8537E" w:rsidRPr="00F8537E" w:rsidRDefault="00F8537E" w:rsidP="00F8537E">
      <w:pPr>
        <w:pStyle w:val="ListParagraph"/>
        <w:numPr>
          <w:ilvl w:val="0"/>
          <w:numId w:val="10"/>
        </w:numPr>
        <w:spacing w:line="360" w:lineRule="auto"/>
        <w:jc w:val="both"/>
        <w:rPr>
          <w:rFonts w:ascii="Garamond" w:hAnsi="Garamond"/>
          <w:lang w:val="cs-CZ"/>
        </w:rPr>
      </w:pPr>
      <w:r w:rsidRPr="00F8537E">
        <w:rPr>
          <w:rFonts w:ascii="Garamond" w:hAnsi="Garamond"/>
        </w:rPr>
        <w:t xml:space="preserve">ŠUSTEK, P., HOLČAPEK, T. a </w:t>
      </w:r>
      <w:r w:rsidRPr="002A170B">
        <w:rPr>
          <w:rFonts w:ascii="Garamond" w:hAnsi="Garamond"/>
          <w:lang w:val="cs-CZ"/>
        </w:rPr>
        <w:t xml:space="preserve">kol. </w:t>
      </w:r>
      <w:r w:rsidRPr="002A170B">
        <w:rPr>
          <w:rFonts w:ascii="Garamond" w:hAnsi="Garamond"/>
          <w:i/>
          <w:lang w:val="cs-CZ"/>
        </w:rPr>
        <w:t>Zdravotnické právo</w:t>
      </w:r>
      <w:r w:rsidRPr="002A170B">
        <w:rPr>
          <w:rFonts w:ascii="Garamond" w:hAnsi="Garamond"/>
          <w:lang w:val="cs-CZ"/>
        </w:rPr>
        <w:t xml:space="preserve">. </w:t>
      </w:r>
      <w:r w:rsidRPr="00F8537E">
        <w:rPr>
          <w:rFonts w:ascii="Garamond" w:hAnsi="Garamond"/>
        </w:rPr>
        <w:t xml:space="preserve">Praha: Wolters Kluwer ČR, 2016, </w:t>
      </w:r>
      <w:r>
        <w:rPr>
          <w:rFonts w:ascii="Garamond" w:hAnsi="Garamond"/>
        </w:rPr>
        <w:t>852 s.</w:t>
      </w:r>
    </w:p>
    <w:p w14:paraId="249A6A9C" w14:textId="7CE51464" w:rsidR="00970782" w:rsidRPr="00970782" w:rsidRDefault="00970782" w:rsidP="00970782">
      <w:pPr>
        <w:pStyle w:val="ListParagraph"/>
        <w:numPr>
          <w:ilvl w:val="0"/>
          <w:numId w:val="10"/>
        </w:numPr>
        <w:spacing w:line="360" w:lineRule="auto"/>
        <w:jc w:val="both"/>
        <w:rPr>
          <w:rFonts w:ascii="Garamond" w:hAnsi="Garamond"/>
          <w:lang w:val="cs-CZ"/>
        </w:rPr>
      </w:pPr>
      <w:r w:rsidRPr="00970782">
        <w:rPr>
          <w:rFonts w:ascii="Garamond" w:hAnsi="Garamond"/>
          <w:lang w:val="cs-CZ"/>
        </w:rPr>
        <w:t xml:space="preserve">SIEGEL, Andrew M., CAPLAN, Arthur L., SISTI, </w:t>
      </w:r>
      <w:r w:rsidRPr="00592592">
        <w:rPr>
          <w:rFonts w:ascii="Garamond" w:hAnsi="Garamond"/>
        </w:rPr>
        <w:t xml:space="preserve">Dominic A. </w:t>
      </w:r>
      <w:proofErr w:type="spellStart"/>
      <w:r w:rsidRPr="00592592">
        <w:rPr>
          <w:rFonts w:ascii="Garamond" w:hAnsi="Garamond"/>
        </w:rPr>
        <w:t>Pediatric</w:t>
      </w:r>
      <w:proofErr w:type="spellEnd"/>
      <w:r w:rsidRPr="00592592">
        <w:rPr>
          <w:rFonts w:ascii="Garamond" w:hAnsi="Garamond"/>
        </w:rPr>
        <w:t xml:space="preserve"> Euthanasia in Belgium: Disturbing Developments.</w:t>
      </w:r>
      <w:r w:rsidRPr="00970782">
        <w:rPr>
          <w:rFonts w:ascii="Garamond" w:hAnsi="Garamond"/>
          <w:lang w:val="cs-CZ"/>
        </w:rPr>
        <w:t xml:space="preserve"> </w:t>
      </w:r>
      <w:r w:rsidRPr="00970782">
        <w:rPr>
          <w:rFonts w:ascii="Garamond" w:hAnsi="Garamond"/>
          <w:i/>
          <w:lang w:val="cs-CZ"/>
        </w:rPr>
        <w:t>JAMA</w:t>
      </w:r>
      <w:r w:rsidR="00522EEE">
        <w:rPr>
          <w:rFonts w:ascii="Garamond" w:hAnsi="Garamond"/>
          <w:lang w:val="cs-CZ"/>
        </w:rPr>
        <w:t>,</w:t>
      </w:r>
      <w:r w:rsidRPr="00970782">
        <w:rPr>
          <w:rFonts w:ascii="Garamond" w:hAnsi="Garamond"/>
          <w:lang w:val="cs-CZ"/>
        </w:rPr>
        <w:t xml:space="preserve"> 2014, roč. 311, č. 19, s. 1963-1964.</w:t>
      </w:r>
    </w:p>
    <w:p w14:paraId="765E61B0" w14:textId="0B9D8B9A" w:rsidR="00C75271" w:rsidRDefault="00C75271" w:rsidP="003811C5">
      <w:pPr>
        <w:pStyle w:val="ListParagraph"/>
        <w:numPr>
          <w:ilvl w:val="0"/>
          <w:numId w:val="10"/>
        </w:numPr>
        <w:spacing w:line="360" w:lineRule="auto"/>
        <w:jc w:val="both"/>
        <w:rPr>
          <w:rFonts w:ascii="Garamond" w:hAnsi="Garamond"/>
        </w:rPr>
      </w:pPr>
      <w:r w:rsidRPr="00A17E97">
        <w:rPr>
          <w:rFonts w:ascii="Garamond" w:hAnsi="Garamond"/>
        </w:rPr>
        <w:t xml:space="preserve">HARE, J., PRATT, C., NELSON C. Agreement between patients and their self-elected surrogates on </w:t>
      </w:r>
      <w:r w:rsidR="00592592" w:rsidRPr="00A17E97">
        <w:rPr>
          <w:rFonts w:ascii="Garamond" w:hAnsi="Garamond"/>
        </w:rPr>
        <w:t>difficult</w:t>
      </w:r>
      <w:r w:rsidRPr="00A17E97">
        <w:rPr>
          <w:rFonts w:ascii="Garamond" w:hAnsi="Garamond"/>
        </w:rPr>
        <w:t xml:space="preserve"> medical decisions. </w:t>
      </w:r>
      <w:r w:rsidRPr="00A17E97">
        <w:rPr>
          <w:rFonts w:ascii="Garamond" w:hAnsi="Garamond"/>
          <w:i/>
        </w:rPr>
        <w:t>Arch Intern Med</w:t>
      </w:r>
      <w:r w:rsidRPr="00A17E97">
        <w:rPr>
          <w:rFonts w:ascii="Garamond" w:hAnsi="Garamond"/>
        </w:rPr>
        <w:t xml:space="preserve">, 1992, č. 152, s. 1049-1054; </w:t>
      </w:r>
      <w:r w:rsidR="004A2EF9">
        <w:rPr>
          <w:rFonts w:ascii="Garamond" w:hAnsi="Garamond"/>
        </w:rPr>
        <w:t>cit. In:</w:t>
      </w:r>
      <w:r w:rsidRPr="00A17E97">
        <w:rPr>
          <w:rFonts w:ascii="Garamond" w:hAnsi="Garamond"/>
        </w:rPr>
        <w:t xml:space="preserve"> JONES, James W., MCCULLOUGH, Laurence B., RICHMAN, Bruce W. </w:t>
      </w:r>
      <w:r w:rsidRPr="00A17E97">
        <w:rPr>
          <w:rFonts w:ascii="Garamond" w:hAnsi="Garamond"/>
          <w:i/>
        </w:rPr>
        <w:t>The Ethics of Surgical Practice: Cases, Dilemmas, and Resolutions</w:t>
      </w:r>
      <w:r w:rsidRPr="00A17E97">
        <w:rPr>
          <w:rFonts w:ascii="Garamond" w:hAnsi="Garamond"/>
        </w:rPr>
        <w:t>. New York: Oxford University Press, 2008. 340 s.</w:t>
      </w:r>
    </w:p>
    <w:p w14:paraId="4C9BBBAE" w14:textId="7F7ED45D" w:rsidR="00FA0678" w:rsidRPr="00FA0678" w:rsidRDefault="00FA0678" w:rsidP="003811C5">
      <w:pPr>
        <w:pStyle w:val="ListParagraph"/>
        <w:numPr>
          <w:ilvl w:val="0"/>
          <w:numId w:val="10"/>
        </w:numPr>
        <w:spacing w:line="360" w:lineRule="auto"/>
        <w:jc w:val="both"/>
        <w:rPr>
          <w:rFonts w:ascii="Garamond" w:hAnsi="Garamond"/>
        </w:rPr>
      </w:pPr>
      <w:r w:rsidRPr="00FA0678">
        <w:rPr>
          <w:rFonts w:ascii="Garamond" w:hAnsi="Garamond"/>
          <w:lang w:val="cs-CZ"/>
        </w:rPr>
        <w:t xml:space="preserve">GRIFFITHS, John, BOOD, Alex, WEYERS, </w:t>
      </w:r>
      <w:proofErr w:type="spellStart"/>
      <w:r w:rsidRPr="00592592">
        <w:rPr>
          <w:rFonts w:ascii="Garamond" w:hAnsi="Garamond"/>
        </w:rPr>
        <w:t>Heleen</w:t>
      </w:r>
      <w:proofErr w:type="spellEnd"/>
      <w:r w:rsidRPr="00592592">
        <w:rPr>
          <w:rFonts w:ascii="Garamond" w:hAnsi="Garamond"/>
        </w:rPr>
        <w:t xml:space="preserve">. </w:t>
      </w:r>
      <w:r w:rsidRPr="00592592">
        <w:rPr>
          <w:rFonts w:ascii="Garamond" w:hAnsi="Garamond"/>
          <w:i/>
        </w:rPr>
        <w:t>Euthanasia and law in the Netherlands</w:t>
      </w:r>
      <w:r w:rsidRPr="00592592">
        <w:rPr>
          <w:rFonts w:ascii="Garamond" w:hAnsi="Garamond"/>
        </w:rPr>
        <w:t>. Amsterdam: Amsterdam University Press</w:t>
      </w:r>
      <w:r>
        <w:rPr>
          <w:rFonts w:ascii="Garamond" w:hAnsi="Garamond"/>
          <w:lang w:val="cs-CZ"/>
        </w:rPr>
        <w:t>, 1998, 402 s.</w:t>
      </w:r>
    </w:p>
    <w:p w14:paraId="1CBFDBE3" w14:textId="744580FB" w:rsidR="00445421" w:rsidRPr="007759EE" w:rsidRDefault="00445421" w:rsidP="003811C5">
      <w:pPr>
        <w:pStyle w:val="ListParagraph"/>
        <w:numPr>
          <w:ilvl w:val="0"/>
          <w:numId w:val="10"/>
        </w:numPr>
        <w:spacing w:line="360" w:lineRule="auto"/>
        <w:jc w:val="both"/>
        <w:rPr>
          <w:rFonts w:ascii="Garamond" w:hAnsi="Garamond"/>
          <w:lang w:val="cs-CZ"/>
        </w:rPr>
      </w:pPr>
      <w:r w:rsidRPr="007759EE">
        <w:rPr>
          <w:rFonts w:ascii="Garamond" w:hAnsi="Garamond"/>
        </w:rPr>
        <w:t>WOLFSLAST, G. Physician-Assisted Suicide and the German Criminal Law. In BIRNBACHER, D., DAHL E. (</w:t>
      </w:r>
      <w:proofErr w:type="spellStart"/>
      <w:r w:rsidRPr="00B05BFC">
        <w:rPr>
          <w:rFonts w:ascii="Garamond" w:hAnsi="Garamond"/>
          <w:lang w:val="cs-CZ"/>
        </w:rPr>
        <w:t>ed</w:t>
      </w:r>
      <w:proofErr w:type="spellEnd"/>
      <w:r w:rsidRPr="007759EE">
        <w:rPr>
          <w:rFonts w:ascii="Garamond" w:hAnsi="Garamond"/>
        </w:rPr>
        <w:t xml:space="preserve">). Giving Death a Helping Hand. </w:t>
      </w:r>
      <w:r w:rsidRPr="007759EE">
        <w:rPr>
          <w:rFonts w:ascii="Garamond" w:hAnsi="Garamond"/>
          <w:i/>
        </w:rPr>
        <w:t>International Library of Ethics, Law, and the New Medicine</w:t>
      </w:r>
      <w:r w:rsidRPr="007759EE">
        <w:rPr>
          <w:rFonts w:ascii="Garamond" w:hAnsi="Garamond"/>
        </w:rPr>
        <w:t>. Dordrecht: Springer</w:t>
      </w:r>
      <w:r w:rsidR="00C8184C" w:rsidRPr="007759EE">
        <w:rPr>
          <w:rFonts w:ascii="Garamond" w:hAnsi="Garamond"/>
        </w:rPr>
        <w:t>, 2008, s. 87-95.</w:t>
      </w:r>
    </w:p>
    <w:p w14:paraId="29722062" w14:textId="377131DC" w:rsidR="0019729F" w:rsidRPr="006D0514" w:rsidRDefault="0019729F" w:rsidP="003811C5">
      <w:pPr>
        <w:pStyle w:val="ListParagraph"/>
        <w:numPr>
          <w:ilvl w:val="0"/>
          <w:numId w:val="10"/>
        </w:numPr>
        <w:spacing w:line="360" w:lineRule="auto"/>
        <w:jc w:val="both"/>
        <w:rPr>
          <w:rFonts w:ascii="Garamond" w:hAnsi="Garamond"/>
          <w:lang w:val="cs-CZ"/>
        </w:rPr>
      </w:pPr>
      <w:r w:rsidRPr="007759EE">
        <w:rPr>
          <w:rFonts w:ascii="Garamond" w:hAnsi="Garamond"/>
        </w:rPr>
        <w:lastRenderedPageBreak/>
        <w:t xml:space="preserve">BLACK, </w:t>
      </w:r>
      <w:proofErr w:type="spellStart"/>
      <w:r w:rsidRPr="007759EE">
        <w:rPr>
          <w:rFonts w:ascii="Garamond" w:hAnsi="Garamond"/>
        </w:rPr>
        <w:t>Isra</w:t>
      </w:r>
      <w:proofErr w:type="spellEnd"/>
      <w:r w:rsidRPr="007759EE">
        <w:rPr>
          <w:rFonts w:ascii="Garamond" w:hAnsi="Garamond"/>
        </w:rPr>
        <w:t xml:space="preserve">. Refusing Life-Prolonging Medical Treatment and the ECHR. </w:t>
      </w:r>
      <w:r w:rsidRPr="007759EE">
        <w:rPr>
          <w:rFonts w:ascii="Garamond" w:hAnsi="Garamond"/>
          <w:i/>
        </w:rPr>
        <w:t>Oxford Journal of Legal Studies</w:t>
      </w:r>
      <w:r w:rsidR="00522EEE">
        <w:rPr>
          <w:rFonts w:ascii="Garamond" w:hAnsi="Garamond"/>
        </w:rPr>
        <w:t>,</w:t>
      </w:r>
      <w:r w:rsidRPr="007759EE">
        <w:rPr>
          <w:rFonts w:ascii="Garamond" w:hAnsi="Garamond"/>
        </w:rPr>
        <w:t xml:space="preserve"> 2018, </w:t>
      </w:r>
      <w:r w:rsidRPr="00B05BFC">
        <w:rPr>
          <w:rFonts w:ascii="Garamond" w:hAnsi="Garamond"/>
          <w:lang w:val="cs-CZ"/>
        </w:rPr>
        <w:t>roč.</w:t>
      </w:r>
      <w:r w:rsidRPr="007759EE">
        <w:rPr>
          <w:rFonts w:ascii="Garamond" w:hAnsi="Garamond"/>
        </w:rPr>
        <w:t xml:space="preserve"> 38, č. 2, s. 299-327.</w:t>
      </w:r>
    </w:p>
    <w:p w14:paraId="6D568B46" w14:textId="70712A0B" w:rsidR="000555A8" w:rsidRPr="00A17E97" w:rsidRDefault="006D0514" w:rsidP="003811C5">
      <w:pPr>
        <w:pStyle w:val="ListParagraph"/>
        <w:numPr>
          <w:ilvl w:val="0"/>
          <w:numId w:val="10"/>
        </w:numPr>
        <w:spacing w:line="360" w:lineRule="auto"/>
        <w:jc w:val="both"/>
        <w:rPr>
          <w:rFonts w:ascii="Garamond" w:hAnsi="Garamond"/>
        </w:rPr>
      </w:pPr>
      <w:r w:rsidRPr="00A17E97">
        <w:rPr>
          <w:rFonts w:ascii="Garamond" w:hAnsi="Garamond"/>
        </w:rPr>
        <w:t>BERNARD, Dan, FONTEYNE, Christine, CLEMENT DE CLETY, S</w:t>
      </w:r>
      <w:r w:rsidR="00094972" w:rsidRPr="00A17E97">
        <w:rPr>
          <w:rFonts w:ascii="Garamond" w:hAnsi="Garamond"/>
        </w:rPr>
        <w:t>tephan</w:t>
      </w:r>
      <w:r w:rsidRPr="00A17E97">
        <w:rPr>
          <w:rFonts w:ascii="Garamond" w:hAnsi="Garamond"/>
        </w:rPr>
        <w:t xml:space="preserve">. Self-requested euthanasia for children in Belgium. </w:t>
      </w:r>
      <w:r w:rsidRPr="00A17E97">
        <w:rPr>
          <w:rFonts w:ascii="Garamond" w:hAnsi="Garamond"/>
          <w:i/>
        </w:rPr>
        <w:t>Lancet</w:t>
      </w:r>
      <w:r w:rsidR="00522EEE">
        <w:rPr>
          <w:rFonts w:ascii="Garamond" w:hAnsi="Garamond"/>
        </w:rPr>
        <w:t>,</w:t>
      </w:r>
      <w:r w:rsidRPr="00A17E97">
        <w:rPr>
          <w:rFonts w:ascii="Garamond" w:hAnsi="Garamond"/>
        </w:rPr>
        <w:t xml:space="preserve"> 2014, </w:t>
      </w:r>
      <w:r w:rsidRPr="00B05BFC">
        <w:rPr>
          <w:rFonts w:ascii="Garamond" w:hAnsi="Garamond"/>
          <w:lang w:val="cs-CZ"/>
        </w:rPr>
        <w:t>roč.</w:t>
      </w:r>
      <w:r w:rsidRPr="00A17E97">
        <w:rPr>
          <w:rFonts w:ascii="Garamond" w:hAnsi="Garamond"/>
        </w:rPr>
        <w:t xml:space="preserve"> 383, č. 9918, s. 671-672.</w:t>
      </w:r>
    </w:p>
    <w:p w14:paraId="1ED4CB3D" w14:textId="44B3579F" w:rsidR="000555A8" w:rsidRDefault="000555A8" w:rsidP="003811C5">
      <w:pPr>
        <w:pStyle w:val="ListParagraph"/>
        <w:numPr>
          <w:ilvl w:val="0"/>
          <w:numId w:val="10"/>
        </w:numPr>
        <w:spacing w:line="360" w:lineRule="auto"/>
        <w:jc w:val="both"/>
        <w:rPr>
          <w:rFonts w:ascii="Garamond" w:hAnsi="Garamond"/>
        </w:rPr>
      </w:pPr>
      <w:r w:rsidRPr="00A17E97">
        <w:rPr>
          <w:rFonts w:ascii="Garamond" w:hAnsi="Garamond"/>
        </w:rPr>
        <w:t xml:space="preserve">WATSON, Rory. Belgium extends euthanasia law to children. </w:t>
      </w:r>
      <w:r w:rsidRPr="00A17E97">
        <w:rPr>
          <w:rFonts w:ascii="Garamond" w:hAnsi="Garamond"/>
          <w:i/>
        </w:rPr>
        <w:t>BMJ: British Medical Journal</w:t>
      </w:r>
      <w:r w:rsidR="00522EEE">
        <w:rPr>
          <w:rFonts w:ascii="Garamond" w:hAnsi="Garamond"/>
        </w:rPr>
        <w:t>,</w:t>
      </w:r>
      <w:r w:rsidRPr="00A17E97">
        <w:rPr>
          <w:rFonts w:ascii="Garamond" w:hAnsi="Garamond"/>
        </w:rPr>
        <w:t xml:space="preserve"> 2014</w:t>
      </w:r>
      <w:r w:rsidRPr="00B05BFC">
        <w:rPr>
          <w:rFonts w:ascii="Garamond" w:hAnsi="Garamond"/>
          <w:lang w:val="cs-CZ"/>
        </w:rPr>
        <w:t>, roč.</w:t>
      </w:r>
      <w:r w:rsidRPr="00A17E97">
        <w:rPr>
          <w:rFonts w:ascii="Garamond" w:hAnsi="Garamond"/>
        </w:rPr>
        <w:t xml:space="preserve"> 348.</w:t>
      </w:r>
    </w:p>
    <w:p w14:paraId="4B080D60" w14:textId="2B799EBF" w:rsidR="00284ED1" w:rsidRPr="00A17E97" w:rsidRDefault="00284ED1" w:rsidP="003811C5">
      <w:pPr>
        <w:pStyle w:val="ListParagraph"/>
        <w:numPr>
          <w:ilvl w:val="0"/>
          <w:numId w:val="10"/>
        </w:numPr>
        <w:spacing w:line="360" w:lineRule="auto"/>
        <w:jc w:val="both"/>
        <w:rPr>
          <w:rFonts w:ascii="Garamond" w:hAnsi="Garamond"/>
        </w:rPr>
      </w:pPr>
      <w:r w:rsidRPr="00A17E97">
        <w:rPr>
          <w:rFonts w:ascii="Garamond" w:hAnsi="Garamond"/>
        </w:rPr>
        <w:t xml:space="preserve">VAN ASSCHE, Kristof </w:t>
      </w:r>
      <w:r w:rsidRPr="00B05BFC">
        <w:rPr>
          <w:rFonts w:ascii="Garamond" w:hAnsi="Garamond"/>
          <w:lang w:val="cs-CZ"/>
        </w:rPr>
        <w:t>a kol.</w:t>
      </w:r>
      <w:r w:rsidRPr="00A17E97">
        <w:rPr>
          <w:rFonts w:ascii="Garamond" w:hAnsi="Garamond"/>
        </w:rPr>
        <w:t xml:space="preserve"> „Capacity for </w:t>
      </w:r>
      <w:proofErr w:type="gramStart"/>
      <w:r w:rsidRPr="00A17E97">
        <w:rPr>
          <w:rFonts w:ascii="Garamond" w:hAnsi="Garamond"/>
        </w:rPr>
        <w:t>Discernment“ and</w:t>
      </w:r>
      <w:proofErr w:type="gramEnd"/>
      <w:r w:rsidRPr="00A17E97">
        <w:rPr>
          <w:rFonts w:ascii="Garamond" w:hAnsi="Garamond"/>
        </w:rPr>
        <w:t xml:space="preserve"> Euthanasia on Minors in Belgium. </w:t>
      </w:r>
      <w:r w:rsidRPr="00A17E97">
        <w:rPr>
          <w:rFonts w:ascii="Garamond" w:hAnsi="Garamond"/>
          <w:i/>
        </w:rPr>
        <w:t>Medical Law Review</w:t>
      </w:r>
      <w:r w:rsidR="00522EEE">
        <w:rPr>
          <w:rFonts w:ascii="Garamond" w:hAnsi="Garamond"/>
        </w:rPr>
        <w:t>,</w:t>
      </w:r>
      <w:r w:rsidR="00511E14" w:rsidRPr="00A17E97">
        <w:rPr>
          <w:rFonts w:ascii="Garamond" w:hAnsi="Garamond"/>
        </w:rPr>
        <w:t xml:space="preserve"> 2018, s. 1-25.</w:t>
      </w:r>
    </w:p>
    <w:p w14:paraId="4963624E" w14:textId="6D25FDEC" w:rsidR="00094972" w:rsidRDefault="00EF517A" w:rsidP="003811C5">
      <w:pPr>
        <w:pStyle w:val="ListParagraph"/>
        <w:numPr>
          <w:ilvl w:val="0"/>
          <w:numId w:val="10"/>
        </w:numPr>
        <w:spacing w:line="360" w:lineRule="auto"/>
        <w:jc w:val="both"/>
        <w:rPr>
          <w:rFonts w:ascii="Garamond" w:eastAsia="Times New Roman" w:hAnsi="Garamond" w:cs="Times New Roman"/>
        </w:rPr>
      </w:pPr>
      <w:r w:rsidRPr="00A17E97">
        <w:rPr>
          <w:rFonts w:ascii="Garamond" w:eastAsia="Times New Roman" w:hAnsi="Garamond" w:cs="Times New Roman"/>
        </w:rPr>
        <w:t xml:space="preserve">WEITHORN, Lois A., CAMPBELL, Susan B. The Competency of Children and Adolescents to Make Informed Treatment Decisions. </w:t>
      </w:r>
      <w:r w:rsidRPr="00A17E97">
        <w:rPr>
          <w:rFonts w:ascii="Garamond" w:eastAsia="Times New Roman" w:hAnsi="Garamond" w:cs="Times New Roman"/>
          <w:i/>
        </w:rPr>
        <w:t>Child development</w:t>
      </w:r>
      <w:r w:rsidR="00522EEE">
        <w:rPr>
          <w:rFonts w:ascii="Garamond" w:eastAsia="Times New Roman" w:hAnsi="Garamond" w:cs="Times New Roman"/>
        </w:rPr>
        <w:t>,</w:t>
      </w:r>
      <w:r w:rsidRPr="00A17E97">
        <w:rPr>
          <w:rFonts w:ascii="Garamond" w:eastAsia="Times New Roman" w:hAnsi="Garamond" w:cs="Times New Roman"/>
        </w:rPr>
        <w:t xml:space="preserve"> 1982</w:t>
      </w:r>
      <w:r w:rsidRPr="00B05BFC">
        <w:rPr>
          <w:rFonts w:ascii="Garamond" w:eastAsia="Times New Roman" w:hAnsi="Garamond" w:cs="Times New Roman"/>
          <w:lang w:val="cs-CZ"/>
        </w:rPr>
        <w:t>, roč.</w:t>
      </w:r>
      <w:r w:rsidRPr="00A17E97">
        <w:rPr>
          <w:rFonts w:ascii="Garamond" w:eastAsia="Times New Roman" w:hAnsi="Garamond" w:cs="Times New Roman"/>
        </w:rPr>
        <w:t xml:space="preserve"> 53, č. 6, s. 1589-1598.</w:t>
      </w:r>
    </w:p>
    <w:p w14:paraId="6989F515" w14:textId="2BA031C3" w:rsidR="006056D9" w:rsidRDefault="006056D9" w:rsidP="003811C5">
      <w:pPr>
        <w:pStyle w:val="ListParagraph"/>
        <w:numPr>
          <w:ilvl w:val="0"/>
          <w:numId w:val="10"/>
        </w:numPr>
        <w:spacing w:line="360" w:lineRule="auto"/>
        <w:jc w:val="both"/>
        <w:rPr>
          <w:rFonts w:ascii="Garamond" w:eastAsia="Times New Roman" w:hAnsi="Garamond" w:cs="Times New Roman"/>
        </w:rPr>
      </w:pPr>
      <w:r w:rsidRPr="006056D9">
        <w:rPr>
          <w:rFonts w:ascii="Garamond" w:hAnsi="Garamond"/>
        </w:rPr>
        <w:t xml:space="preserve">GROOTENS-WIEGERS, Petronella a </w:t>
      </w:r>
      <w:r w:rsidRPr="006056D9">
        <w:rPr>
          <w:rFonts w:ascii="Garamond" w:hAnsi="Garamond"/>
          <w:lang w:val="cs-CZ"/>
        </w:rPr>
        <w:t>kol.</w:t>
      </w:r>
      <w:r w:rsidRPr="006056D9">
        <w:rPr>
          <w:rFonts w:ascii="Garamond" w:hAnsi="Garamond"/>
        </w:rPr>
        <w:t xml:space="preserve"> Medical decision-making in children and adolescents: developmental and neuroscientific aspects. </w:t>
      </w:r>
      <w:r w:rsidRPr="006056D9">
        <w:rPr>
          <w:rFonts w:ascii="Garamond" w:hAnsi="Garamond"/>
          <w:i/>
        </w:rPr>
        <w:t xml:space="preserve">BMC </w:t>
      </w:r>
      <w:proofErr w:type="spellStart"/>
      <w:r w:rsidRPr="006056D9">
        <w:rPr>
          <w:rFonts w:ascii="Garamond" w:hAnsi="Garamond"/>
          <w:i/>
        </w:rPr>
        <w:t>Pediatrics</w:t>
      </w:r>
      <w:proofErr w:type="spellEnd"/>
      <w:r w:rsidR="00522EEE">
        <w:rPr>
          <w:rFonts w:ascii="Garamond" w:hAnsi="Garamond"/>
        </w:rPr>
        <w:t>,</w:t>
      </w:r>
      <w:r w:rsidRPr="006056D9">
        <w:rPr>
          <w:rFonts w:ascii="Garamond" w:hAnsi="Garamond"/>
        </w:rPr>
        <w:t xml:space="preserve"> 2017, </w:t>
      </w:r>
      <w:r w:rsidRPr="006056D9">
        <w:rPr>
          <w:rFonts w:ascii="Garamond" w:hAnsi="Garamond"/>
          <w:lang w:val="cs-CZ"/>
        </w:rPr>
        <w:t>roč.</w:t>
      </w:r>
      <w:r w:rsidRPr="006056D9">
        <w:rPr>
          <w:rFonts w:ascii="Garamond" w:hAnsi="Garamond"/>
        </w:rPr>
        <w:t xml:space="preserve"> 17, č. 120, s. </w:t>
      </w:r>
      <w:r>
        <w:rPr>
          <w:rFonts w:ascii="Garamond" w:hAnsi="Garamond"/>
        </w:rPr>
        <w:t>1-10.</w:t>
      </w:r>
    </w:p>
    <w:p w14:paraId="54C83309" w14:textId="4B54104A" w:rsidR="007274DB" w:rsidRPr="007274DB" w:rsidRDefault="00C44552" w:rsidP="003811C5">
      <w:pPr>
        <w:pStyle w:val="ListParagraph"/>
        <w:numPr>
          <w:ilvl w:val="0"/>
          <w:numId w:val="10"/>
        </w:numPr>
        <w:spacing w:line="360" w:lineRule="auto"/>
        <w:jc w:val="both"/>
        <w:rPr>
          <w:rFonts w:ascii="Garamond" w:eastAsia="Times New Roman" w:hAnsi="Garamond" w:cs="Times New Roman"/>
        </w:rPr>
      </w:pPr>
      <w:r w:rsidRPr="00C44552">
        <w:rPr>
          <w:rFonts w:ascii="Garamond" w:hAnsi="Garamond"/>
        </w:rPr>
        <w:t xml:space="preserve">RAUS, Kasper. The extension of Belgium’s Euthanasia Law to Include Competent Minors. </w:t>
      </w:r>
      <w:r w:rsidRPr="00C44552">
        <w:rPr>
          <w:rFonts w:ascii="Garamond" w:hAnsi="Garamond"/>
          <w:i/>
        </w:rPr>
        <w:t>Journal of Bioethical Inquiry</w:t>
      </w:r>
      <w:r w:rsidR="00522EEE">
        <w:rPr>
          <w:rFonts w:ascii="Garamond" w:hAnsi="Garamond"/>
        </w:rPr>
        <w:t>,</w:t>
      </w:r>
      <w:r w:rsidRPr="00C44552">
        <w:rPr>
          <w:rFonts w:ascii="Garamond" w:hAnsi="Garamond"/>
        </w:rPr>
        <w:t xml:space="preserve"> 2016, </w:t>
      </w:r>
      <w:r w:rsidRPr="00B05BFC">
        <w:rPr>
          <w:rFonts w:ascii="Garamond" w:hAnsi="Garamond"/>
          <w:lang w:val="cs-CZ"/>
        </w:rPr>
        <w:t>roč.</w:t>
      </w:r>
      <w:r w:rsidRPr="00C44552">
        <w:rPr>
          <w:rFonts w:ascii="Garamond" w:hAnsi="Garamond"/>
        </w:rPr>
        <w:t xml:space="preserve"> 13, č. 2, s. </w:t>
      </w:r>
      <w:r>
        <w:rPr>
          <w:rFonts w:ascii="Garamond" w:hAnsi="Garamond"/>
        </w:rPr>
        <w:t>305-315</w:t>
      </w:r>
      <w:r w:rsidRPr="00C44552">
        <w:rPr>
          <w:rFonts w:ascii="Garamond" w:hAnsi="Garamond"/>
        </w:rPr>
        <w:t>.</w:t>
      </w:r>
    </w:p>
    <w:p w14:paraId="59912DA2" w14:textId="25202CD2" w:rsidR="00330C8D" w:rsidRPr="007F2E74" w:rsidRDefault="007274DB" w:rsidP="003811C5">
      <w:pPr>
        <w:pStyle w:val="ListParagraph"/>
        <w:numPr>
          <w:ilvl w:val="0"/>
          <w:numId w:val="10"/>
        </w:numPr>
        <w:spacing w:line="360" w:lineRule="auto"/>
        <w:jc w:val="both"/>
        <w:rPr>
          <w:rFonts w:ascii="Garamond" w:eastAsia="Times New Roman" w:hAnsi="Garamond" w:cs="Times New Roman"/>
        </w:rPr>
      </w:pPr>
      <w:r w:rsidRPr="007274DB">
        <w:rPr>
          <w:rFonts w:ascii="Garamond" w:hAnsi="Garamond"/>
        </w:rPr>
        <w:t xml:space="preserve">BOVENS, Luc. Child euthanasia: should we just not talk about it? </w:t>
      </w:r>
      <w:r w:rsidRPr="007274DB">
        <w:rPr>
          <w:rFonts w:ascii="Garamond" w:hAnsi="Garamond"/>
          <w:i/>
        </w:rPr>
        <w:t>Journal of Medical Ethics</w:t>
      </w:r>
      <w:r w:rsidR="00522EEE">
        <w:rPr>
          <w:rFonts w:ascii="Garamond" w:hAnsi="Garamond"/>
        </w:rPr>
        <w:t>,</w:t>
      </w:r>
      <w:r w:rsidRPr="007274DB">
        <w:rPr>
          <w:rFonts w:ascii="Garamond" w:hAnsi="Garamond"/>
        </w:rPr>
        <w:t xml:space="preserve"> 2015, </w:t>
      </w:r>
      <w:r w:rsidRPr="00B05BFC">
        <w:rPr>
          <w:rFonts w:ascii="Garamond" w:hAnsi="Garamond"/>
          <w:lang w:val="cs-CZ"/>
        </w:rPr>
        <w:t>roč.</w:t>
      </w:r>
      <w:r w:rsidRPr="007274DB">
        <w:rPr>
          <w:rFonts w:ascii="Garamond" w:hAnsi="Garamond"/>
        </w:rPr>
        <w:t xml:space="preserve"> 41, č. 8, s. </w:t>
      </w:r>
      <w:r>
        <w:rPr>
          <w:rFonts w:ascii="Garamond" w:hAnsi="Garamond"/>
        </w:rPr>
        <w:t>630-634.</w:t>
      </w:r>
    </w:p>
    <w:p w14:paraId="629F5E85" w14:textId="46CBB40B" w:rsidR="007F2E74" w:rsidRPr="00831FDA" w:rsidRDefault="007F2E74" w:rsidP="003811C5">
      <w:pPr>
        <w:pStyle w:val="ListParagraph"/>
        <w:numPr>
          <w:ilvl w:val="0"/>
          <w:numId w:val="10"/>
        </w:numPr>
        <w:spacing w:line="360" w:lineRule="auto"/>
        <w:jc w:val="both"/>
        <w:rPr>
          <w:rFonts w:ascii="Garamond" w:eastAsia="Times New Roman" w:hAnsi="Garamond" w:cs="Times New Roman"/>
        </w:rPr>
      </w:pPr>
      <w:r>
        <w:rPr>
          <w:rFonts w:ascii="Garamond" w:hAnsi="Garamond"/>
        </w:rPr>
        <w:t xml:space="preserve">BERGHMANS, Ron L., WIDDERSHOVEN, Guy A.M. Euthanasia in the Netherlands: Consultation and Review. </w:t>
      </w:r>
      <w:r>
        <w:rPr>
          <w:rFonts w:ascii="Garamond" w:hAnsi="Garamond"/>
          <w:i/>
        </w:rPr>
        <w:t>King’s Law Journal</w:t>
      </w:r>
      <w:r w:rsidR="00522EEE">
        <w:rPr>
          <w:rFonts w:ascii="Garamond" w:hAnsi="Garamond"/>
        </w:rPr>
        <w:t>,</w:t>
      </w:r>
      <w:r>
        <w:rPr>
          <w:rFonts w:ascii="Garamond" w:hAnsi="Garamond"/>
        </w:rPr>
        <w:t xml:space="preserve"> </w:t>
      </w:r>
      <w:r w:rsidR="00F956E8">
        <w:rPr>
          <w:rFonts w:ascii="Garamond" w:hAnsi="Garamond"/>
        </w:rPr>
        <w:t>2012</w:t>
      </w:r>
      <w:r w:rsidR="00F956E8" w:rsidRPr="00B05BFC">
        <w:rPr>
          <w:rFonts w:ascii="Garamond" w:hAnsi="Garamond"/>
          <w:lang w:val="cs-CZ"/>
        </w:rPr>
        <w:t xml:space="preserve">, </w:t>
      </w:r>
      <w:proofErr w:type="spellStart"/>
      <w:r w:rsidR="00F956E8" w:rsidRPr="00B05BFC">
        <w:rPr>
          <w:rFonts w:ascii="Garamond" w:hAnsi="Garamond"/>
          <w:lang w:val="cs-CZ"/>
        </w:rPr>
        <w:t>roč</w:t>
      </w:r>
      <w:proofErr w:type="spellEnd"/>
      <w:r w:rsidR="00F956E8">
        <w:rPr>
          <w:rFonts w:ascii="Garamond" w:hAnsi="Garamond"/>
        </w:rPr>
        <w:t>. 23, č. 2, s. 109-120.</w:t>
      </w:r>
    </w:p>
    <w:p w14:paraId="2977E4F8" w14:textId="5E5F26C6" w:rsidR="00831FDA" w:rsidRPr="00831FDA" w:rsidRDefault="00831FDA" w:rsidP="003811C5">
      <w:pPr>
        <w:pStyle w:val="ListParagraph"/>
        <w:numPr>
          <w:ilvl w:val="0"/>
          <w:numId w:val="10"/>
        </w:numPr>
        <w:spacing w:line="360" w:lineRule="auto"/>
        <w:jc w:val="both"/>
        <w:rPr>
          <w:rFonts w:ascii="Garamond" w:eastAsia="Times New Roman" w:hAnsi="Garamond" w:cs="Times New Roman"/>
        </w:rPr>
      </w:pPr>
      <w:r w:rsidRPr="00831FDA">
        <w:rPr>
          <w:rFonts w:ascii="Garamond" w:hAnsi="Garamond"/>
          <w:lang w:val="cs-CZ"/>
        </w:rPr>
        <w:t xml:space="preserve">Evropská komise. </w:t>
      </w:r>
      <w:r w:rsidRPr="00592592">
        <w:rPr>
          <w:rFonts w:ascii="Garamond" w:hAnsi="Garamond"/>
        </w:rPr>
        <w:t>Evaluation of legislation, policy and practice of child participation in the EU</w:t>
      </w:r>
      <w:r w:rsidRPr="00831FDA">
        <w:rPr>
          <w:rFonts w:ascii="Garamond" w:hAnsi="Garamond"/>
          <w:lang w:val="cs-CZ"/>
        </w:rPr>
        <w:t xml:space="preserve">. Lucemburk: Úřad pro publikace Evropské Unie, 2015, </w:t>
      </w:r>
      <w:r>
        <w:rPr>
          <w:rFonts w:ascii="Garamond" w:hAnsi="Garamond"/>
          <w:lang w:val="cs-CZ"/>
        </w:rPr>
        <w:t>40 s</w:t>
      </w:r>
      <w:r w:rsidRPr="00831FDA">
        <w:rPr>
          <w:rFonts w:ascii="Garamond" w:hAnsi="Garamond"/>
          <w:lang w:val="cs-CZ"/>
        </w:rPr>
        <w:t>.</w:t>
      </w:r>
    </w:p>
    <w:p w14:paraId="69169B25" w14:textId="5B8FA0E1" w:rsidR="00C64BE9" w:rsidRPr="00C64BE9" w:rsidRDefault="00831FDA" w:rsidP="00C64BE9">
      <w:pPr>
        <w:pStyle w:val="ListParagraph"/>
        <w:numPr>
          <w:ilvl w:val="0"/>
          <w:numId w:val="10"/>
        </w:numPr>
        <w:spacing w:line="360" w:lineRule="auto"/>
        <w:jc w:val="both"/>
        <w:rPr>
          <w:rFonts w:ascii="Garamond" w:eastAsia="Times New Roman" w:hAnsi="Garamond" w:cs="Times New Roman"/>
        </w:rPr>
      </w:pPr>
      <w:r w:rsidRPr="00831FDA">
        <w:rPr>
          <w:rFonts w:ascii="Garamond" w:hAnsi="Garamond"/>
        </w:rPr>
        <w:t xml:space="preserve">STULTIËNS, L. a </w:t>
      </w:r>
      <w:r w:rsidRPr="00B05BFC">
        <w:rPr>
          <w:rFonts w:ascii="Garamond" w:hAnsi="Garamond"/>
          <w:lang w:val="cs-CZ"/>
        </w:rPr>
        <w:t>kol.</w:t>
      </w:r>
      <w:r w:rsidRPr="00831FDA">
        <w:rPr>
          <w:rFonts w:ascii="Garamond" w:hAnsi="Garamond"/>
        </w:rPr>
        <w:t xml:space="preserve"> Minors and informed consent: A comparative approach. </w:t>
      </w:r>
      <w:r w:rsidRPr="00831FDA">
        <w:rPr>
          <w:rFonts w:ascii="Garamond" w:hAnsi="Garamond"/>
          <w:i/>
        </w:rPr>
        <w:t>European Journal of Health Law</w:t>
      </w:r>
      <w:r w:rsidR="00522EEE">
        <w:rPr>
          <w:rFonts w:ascii="Garamond" w:hAnsi="Garamond"/>
        </w:rPr>
        <w:t>,</w:t>
      </w:r>
      <w:r w:rsidRPr="00831FDA">
        <w:rPr>
          <w:rFonts w:ascii="Garamond" w:hAnsi="Garamond"/>
        </w:rPr>
        <w:t xml:space="preserve"> 2007</w:t>
      </w:r>
      <w:r w:rsidRPr="00B05BFC">
        <w:rPr>
          <w:rFonts w:ascii="Garamond" w:hAnsi="Garamond"/>
          <w:lang w:val="cs-CZ"/>
        </w:rPr>
        <w:t>, roč.</w:t>
      </w:r>
      <w:r w:rsidRPr="00831FDA">
        <w:rPr>
          <w:rFonts w:ascii="Garamond" w:hAnsi="Garamond"/>
        </w:rPr>
        <w:t xml:space="preserve"> 14, č. 1, s. 21–46.</w:t>
      </w:r>
    </w:p>
    <w:p w14:paraId="3477DE7D" w14:textId="338934A5" w:rsidR="00493BF9" w:rsidRPr="00493BF9" w:rsidRDefault="00C64BE9" w:rsidP="00493BF9">
      <w:pPr>
        <w:pStyle w:val="ListParagraph"/>
        <w:numPr>
          <w:ilvl w:val="0"/>
          <w:numId w:val="10"/>
        </w:numPr>
        <w:spacing w:line="360" w:lineRule="auto"/>
        <w:jc w:val="both"/>
        <w:rPr>
          <w:rFonts w:ascii="Garamond" w:eastAsia="Times New Roman" w:hAnsi="Garamond" w:cs="Times New Roman"/>
        </w:rPr>
      </w:pPr>
      <w:r w:rsidRPr="00C64BE9">
        <w:rPr>
          <w:rFonts w:ascii="Garamond" w:hAnsi="Garamond"/>
          <w:lang w:val="cs-CZ"/>
        </w:rPr>
        <w:t xml:space="preserve">CUMAN, G., GASTMANS, C. </w:t>
      </w:r>
      <w:r w:rsidRPr="006F3217">
        <w:rPr>
          <w:rFonts w:ascii="Garamond" w:hAnsi="Garamond"/>
        </w:rPr>
        <w:t xml:space="preserve">Minors and euthanasia: a systematic review of argument-based ethics literature. </w:t>
      </w:r>
      <w:r w:rsidRPr="006F3217">
        <w:rPr>
          <w:rFonts w:ascii="Garamond" w:hAnsi="Garamond"/>
          <w:i/>
        </w:rPr>
        <w:t xml:space="preserve">European Journal of </w:t>
      </w:r>
      <w:proofErr w:type="spellStart"/>
      <w:r w:rsidRPr="006F3217">
        <w:rPr>
          <w:rFonts w:ascii="Garamond" w:hAnsi="Garamond"/>
          <w:i/>
        </w:rPr>
        <w:t>Pediatrics</w:t>
      </w:r>
      <w:proofErr w:type="spellEnd"/>
      <w:r w:rsidR="00522EEE">
        <w:rPr>
          <w:rFonts w:ascii="Garamond" w:hAnsi="Garamond"/>
        </w:rPr>
        <w:t>,</w:t>
      </w:r>
      <w:r w:rsidRPr="00C64BE9">
        <w:rPr>
          <w:rFonts w:ascii="Garamond" w:hAnsi="Garamond"/>
          <w:lang w:val="cs-CZ"/>
        </w:rPr>
        <w:t xml:space="preserve"> 2017, roč. 176, č. 7, s. 83</w:t>
      </w:r>
      <w:r>
        <w:rPr>
          <w:rFonts w:ascii="Garamond" w:hAnsi="Garamond"/>
          <w:lang w:val="cs-CZ"/>
        </w:rPr>
        <w:t>7-847</w:t>
      </w:r>
      <w:r w:rsidRPr="00C64BE9">
        <w:rPr>
          <w:rFonts w:ascii="Garamond" w:hAnsi="Garamond"/>
          <w:lang w:val="cs-CZ"/>
        </w:rPr>
        <w:t>.</w:t>
      </w:r>
    </w:p>
    <w:p w14:paraId="0D27E616" w14:textId="1548F8CD" w:rsidR="001D5147" w:rsidRPr="006F3217" w:rsidRDefault="00493BF9" w:rsidP="001D5147">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HARMON, Shawn H.E., SETHI, </w:t>
      </w:r>
      <w:proofErr w:type="spellStart"/>
      <w:r w:rsidRPr="006F3217">
        <w:rPr>
          <w:rFonts w:ascii="Garamond" w:hAnsi="Garamond"/>
        </w:rPr>
        <w:t>Nayha</w:t>
      </w:r>
      <w:proofErr w:type="spellEnd"/>
      <w:r w:rsidRPr="006F3217">
        <w:rPr>
          <w:rFonts w:ascii="Garamond" w:hAnsi="Garamond"/>
        </w:rPr>
        <w:t xml:space="preserve">. Preserving Life and Facilitating Death: What role for Government after Haas v. Switzerland. </w:t>
      </w:r>
      <w:r w:rsidRPr="006F3217">
        <w:rPr>
          <w:rFonts w:ascii="Garamond" w:hAnsi="Garamond"/>
          <w:i/>
        </w:rPr>
        <w:t xml:space="preserve">European Journal of Health </w:t>
      </w:r>
      <w:r w:rsidRPr="006F3217">
        <w:rPr>
          <w:rFonts w:ascii="Garamond" w:hAnsi="Garamond"/>
        </w:rPr>
        <w:t>Law</w:t>
      </w:r>
      <w:r w:rsidR="00522EEE">
        <w:rPr>
          <w:rFonts w:ascii="Garamond" w:hAnsi="Garamond"/>
        </w:rPr>
        <w:t>,</w:t>
      </w:r>
      <w:r w:rsidRPr="006F3217">
        <w:rPr>
          <w:rFonts w:ascii="Garamond" w:hAnsi="Garamond"/>
        </w:rPr>
        <w:t xml:space="preserve"> 2011, </w:t>
      </w:r>
      <w:r w:rsidRPr="00B05BFC">
        <w:rPr>
          <w:rFonts w:ascii="Garamond" w:hAnsi="Garamond"/>
          <w:lang w:val="cs-CZ"/>
        </w:rPr>
        <w:t>roč.</w:t>
      </w:r>
      <w:r w:rsidRPr="006F3217">
        <w:rPr>
          <w:rFonts w:ascii="Garamond" w:hAnsi="Garamond"/>
        </w:rPr>
        <w:t xml:space="preserve"> 18, č. 4, s. 355-364.</w:t>
      </w:r>
    </w:p>
    <w:p w14:paraId="08FB0144" w14:textId="0D8021CF" w:rsidR="00B26DC4" w:rsidRPr="006F3217" w:rsidRDefault="001D5147" w:rsidP="00B26DC4">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BROAD, Rosalyn. Gard v. United Kingdom: Does the State Know Best. </w:t>
      </w:r>
      <w:r w:rsidRPr="006F3217">
        <w:rPr>
          <w:rFonts w:ascii="Garamond" w:hAnsi="Garamond"/>
          <w:i/>
        </w:rPr>
        <w:t>Tulane Journal of International and Comparative Law</w:t>
      </w:r>
      <w:r w:rsidR="00522EEE">
        <w:rPr>
          <w:rFonts w:ascii="Garamond" w:hAnsi="Garamond"/>
        </w:rPr>
        <w:t>,</w:t>
      </w:r>
      <w:r w:rsidRPr="006F3217">
        <w:rPr>
          <w:rFonts w:ascii="Garamond" w:hAnsi="Garamond"/>
        </w:rPr>
        <w:t xml:space="preserve"> 2018, </w:t>
      </w:r>
      <w:r w:rsidRPr="00B05BFC">
        <w:rPr>
          <w:rFonts w:ascii="Garamond" w:hAnsi="Garamond"/>
          <w:lang w:val="cs-CZ"/>
        </w:rPr>
        <w:t>roč.</w:t>
      </w:r>
      <w:r w:rsidRPr="006F3217">
        <w:rPr>
          <w:rFonts w:ascii="Garamond" w:hAnsi="Garamond"/>
        </w:rPr>
        <w:t xml:space="preserve"> 26, č. 2, s. 405-416.</w:t>
      </w:r>
    </w:p>
    <w:p w14:paraId="5D2230A3" w14:textId="4946B466" w:rsidR="00F13AFF" w:rsidRPr="006F3217" w:rsidRDefault="00B26DC4" w:rsidP="00F13AFF">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lastRenderedPageBreak/>
        <w:t xml:space="preserve">CAVE, Emma, NOTTINGHAM, Emma. Who Knows Best (Interests)? The Case of Charlie Gard. </w:t>
      </w:r>
      <w:r w:rsidRPr="006F3217">
        <w:rPr>
          <w:rFonts w:ascii="Garamond" w:hAnsi="Garamond"/>
          <w:i/>
        </w:rPr>
        <w:t>Medical Law Review</w:t>
      </w:r>
      <w:r w:rsidR="00522EEE">
        <w:rPr>
          <w:rFonts w:ascii="Garamond" w:hAnsi="Garamond"/>
        </w:rPr>
        <w:t>,</w:t>
      </w:r>
      <w:r w:rsidRPr="006F3217">
        <w:rPr>
          <w:rFonts w:ascii="Garamond" w:hAnsi="Garamond"/>
        </w:rPr>
        <w:t xml:space="preserve"> 2017, </w:t>
      </w:r>
      <w:r w:rsidRPr="00B05BFC">
        <w:rPr>
          <w:rFonts w:ascii="Garamond" w:hAnsi="Garamond"/>
          <w:lang w:val="cs-CZ"/>
        </w:rPr>
        <w:t>roč.</w:t>
      </w:r>
      <w:r w:rsidRPr="006F3217">
        <w:rPr>
          <w:rFonts w:ascii="Garamond" w:hAnsi="Garamond"/>
        </w:rPr>
        <w:t xml:space="preserve"> 26, č. 3, s. </w:t>
      </w:r>
      <w:r w:rsidR="00F13AFF" w:rsidRPr="006F3217">
        <w:rPr>
          <w:rFonts w:ascii="Garamond" w:hAnsi="Garamond"/>
        </w:rPr>
        <w:t>500-513.</w:t>
      </w:r>
    </w:p>
    <w:p w14:paraId="5BC642D1" w14:textId="76B8AC1E" w:rsidR="00F805D1" w:rsidRPr="006F3217" w:rsidRDefault="00F13AFF" w:rsidP="00F805D1">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WILKINSON, D., SAVULESCU, J. Hard lessons: learning from the Charlie Gard case. </w:t>
      </w:r>
      <w:r w:rsidRPr="006F3217">
        <w:rPr>
          <w:rFonts w:ascii="Garamond" w:hAnsi="Garamond"/>
          <w:i/>
        </w:rPr>
        <w:t>Journal of Medical Ethics</w:t>
      </w:r>
      <w:r w:rsidR="00522EEE">
        <w:rPr>
          <w:rFonts w:ascii="Garamond" w:hAnsi="Garamond"/>
        </w:rPr>
        <w:t>,</w:t>
      </w:r>
      <w:r w:rsidRPr="006F3217">
        <w:rPr>
          <w:rFonts w:ascii="Garamond" w:hAnsi="Garamond"/>
        </w:rPr>
        <w:t xml:space="preserve"> 2018, </w:t>
      </w:r>
      <w:r w:rsidRPr="00B05BFC">
        <w:rPr>
          <w:rFonts w:ascii="Garamond" w:hAnsi="Garamond"/>
          <w:lang w:val="cs-CZ"/>
        </w:rPr>
        <w:t>roč.</w:t>
      </w:r>
      <w:r w:rsidRPr="006F3217">
        <w:rPr>
          <w:rFonts w:ascii="Garamond" w:hAnsi="Garamond"/>
        </w:rPr>
        <w:t xml:space="preserve"> 44, s. 438-442.</w:t>
      </w:r>
    </w:p>
    <w:p w14:paraId="391BE1C9" w14:textId="67B48F0F" w:rsidR="00F805D1" w:rsidRPr="006F3217" w:rsidRDefault="00F805D1" w:rsidP="00F805D1">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SAMANTA, Jo. Children and euthanasia: Belgium’s controversial new law. </w:t>
      </w:r>
      <w:r w:rsidRPr="006F3217">
        <w:rPr>
          <w:rFonts w:ascii="Garamond" w:hAnsi="Garamond"/>
          <w:i/>
        </w:rPr>
        <w:t>Diversity and Equality in Health Care</w:t>
      </w:r>
      <w:r w:rsidR="00522EEE">
        <w:rPr>
          <w:rFonts w:ascii="Garamond" w:hAnsi="Garamond"/>
        </w:rPr>
        <w:t>,</w:t>
      </w:r>
      <w:r w:rsidRPr="006F3217">
        <w:rPr>
          <w:rFonts w:ascii="Garamond" w:hAnsi="Garamond"/>
        </w:rPr>
        <w:t xml:space="preserve"> 2015, </w:t>
      </w:r>
      <w:r w:rsidRPr="00B05BFC">
        <w:rPr>
          <w:rFonts w:ascii="Garamond" w:hAnsi="Garamond"/>
          <w:lang w:val="cs-CZ"/>
        </w:rPr>
        <w:t>roč.</w:t>
      </w:r>
      <w:r w:rsidRPr="006F3217">
        <w:rPr>
          <w:rFonts w:ascii="Garamond" w:hAnsi="Garamond"/>
        </w:rPr>
        <w:t xml:space="preserve"> 12, č. 1. s. 4-5.</w:t>
      </w:r>
    </w:p>
    <w:p w14:paraId="3A04B171" w14:textId="194ADCED" w:rsidR="00A36652" w:rsidRPr="006F3217" w:rsidRDefault="00A36652" w:rsidP="00F805D1">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BROUWER, </w:t>
      </w:r>
      <w:proofErr w:type="spellStart"/>
      <w:r w:rsidRPr="006F3217">
        <w:rPr>
          <w:rFonts w:ascii="Garamond" w:hAnsi="Garamond"/>
        </w:rPr>
        <w:t>Marije</w:t>
      </w:r>
      <w:proofErr w:type="spellEnd"/>
      <w:r w:rsidRPr="006F3217">
        <w:rPr>
          <w:rFonts w:ascii="Garamond" w:hAnsi="Garamond"/>
        </w:rPr>
        <w:t xml:space="preserve"> a </w:t>
      </w:r>
      <w:r w:rsidRPr="00B05BFC">
        <w:rPr>
          <w:rFonts w:ascii="Garamond" w:hAnsi="Garamond"/>
          <w:lang w:val="cs-CZ"/>
        </w:rPr>
        <w:t>kol.</w:t>
      </w:r>
      <w:r w:rsidRPr="006F3217">
        <w:rPr>
          <w:rFonts w:ascii="Garamond" w:hAnsi="Garamond"/>
        </w:rPr>
        <w:t xml:space="preserve"> </w:t>
      </w:r>
      <w:proofErr w:type="spellStart"/>
      <w:r w:rsidRPr="006F3217">
        <w:rPr>
          <w:rFonts w:ascii="Garamond" w:hAnsi="Garamond"/>
        </w:rPr>
        <w:t>Pediatric</w:t>
      </w:r>
      <w:proofErr w:type="spellEnd"/>
      <w:r w:rsidRPr="006F3217">
        <w:rPr>
          <w:rFonts w:ascii="Garamond" w:hAnsi="Garamond"/>
        </w:rPr>
        <w:t xml:space="preserve"> Palliative Care and End-of-Life Decisions in the Netherlands. </w:t>
      </w:r>
      <w:r w:rsidRPr="006F3217">
        <w:rPr>
          <w:rFonts w:ascii="Garamond" w:hAnsi="Garamond"/>
          <w:i/>
        </w:rPr>
        <w:t xml:space="preserve">Cambridge </w:t>
      </w:r>
      <w:r w:rsidR="006F3217" w:rsidRPr="006F3217">
        <w:rPr>
          <w:rFonts w:ascii="Garamond" w:hAnsi="Garamond"/>
          <w:i/>
        </w:rPr>
        <w:t>Quarterly</w:t>
      </w:r>
      <w:r w:rsidRPr="006F3217">
        <w:rPr>
          <w:rFonts w:ascii="Garamond" w:hAnsi="Garamond"/>
          <w:i/>
        </w:rPr>
        <w:t xml:space="preserve"> of Healthcare Ethics</w:t>
      </w:r>
      <w:r w:rsidR="00522EEE">
        <w:rPr>
          <w:rFonts w:ascii="Garamond" w:hAnsi="Garamond"/>
        </w:rPr>
        <w:t>,</w:t>
      </w:r>
      <w:r w:rsidRPr="006F3217">
        <w:rPr>
          <w:rFonts w:ascii="Garamond" w:hAnsi="Garamond"/>
        </w:rPr>
        <w:t xml:space="preserve"> 2018</w:t>
      </w:r>
      <w:r w:rsidRPr="00B05BFC">
        <w:rPr>
          <w:rFonts w:ascii="Garamond" w:hAnsi="Garamond"/>
          <w:lang w:val="cs-CZ"/>
        </w:rPr>
        <w:t>, roč.</w:t>
      </w:r>
      <w:r w:rsidRPr="006F3217">
        <w:rPr>
          <w:rFonts w:ascii="Garamond" w:hAnsi="Garamond"/>
        </w:rPr>
        <w:t xml:space="preserve"> 27, s. 376-384.</w:t>
      </w:r>
    </w:p>
    <w:p w14:paraId="7450CAD1" w14:textId="6BC0C502" w:rsidR="00A36652" w:rsidRPr="006F3217" w:rsidRDefault="00A36652" w:rsidP="00F805D1">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GRISSO, Thomas, VIERLING, Linda. </w:t>
      </w:r>
      <w:proofErr w:type="gramStart"/>
      <w:r w:rsidRPr="006F3217">
        <w:rPr>
          <w:rFonts w:ascii="Garamond" w:hAnsi="Garamond"/>
        </w:rPr>
        <w:t>Minors‘ Consent</w:t>
      </w:r>
      <w:proofErr w:type="gramEnd"/>
      <w:r w:rsidRPr="006F3217">
        <w:rPr>
          <w:rFonts w:ascii="Garamond" w:hAnsi="Garamond"/>
        </w:rPr>
        <w:t xml:space="preserve"> to Treatment: A Developmental Perspective. </w:t>
      </w:r>
      <w:r w:rsidRPr="006F3217">
        <w:rPr>
          <w:rFonts w:ascii="Garamond" w:hAnsi="Garamond"/>
          <w:i/>
        </w:rPr>
        <w:t>Professional Psychology</w:t>
      </w:r>
      <w:r w:rsidR="00522EEE">
        <w:rPr>
          <w:rFonts w:ascii="Garamond" w:hAnsi="Garamond"/>
        </w:rPr>
        <w:t>,</w:t>
      </w:r>
      <w:r w:rsidRPr="006F3217">
        <w:rPr>
          <w:rFonts w:ascii="Garamond" w:hAnsi="Garamond"/>
        </w:rPr>
        <w:t xml:space="preserve"> 1978</w:t>
      </w:r>
      <w:r w:rsidRPr="00B05BFC">
        <w:rPr>
          <w:rFonts w:ascii="Garamond" w:hAnsi="Garamond"/>
          <w:lang w:val="cs-CZ"/>
        </w:rPr>
        <w:t>, roč.</w:t>
      </w:r>
      <w:r w:rsidRPr="006F3217">
        <w:rPr>
          <w:rFonts w:ascii="Garamond" w:hAnsi="Garamond"/>
        </w:rPr>
        <w:t xml:space="preserve"> 9, č. 3, s. 412-427.</w:t>
      </w:r>
    </w:p>
    <w:p w14:paraId="4EE7592C" w14:textId="4A981924" w:rsidR="005F5387" w:rsidRPr="006F3217" w:rsidRDefault="000022D5" w:rsidP="005F5387">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STEINBERG, Laurence. Does Recent Research on Adolescent Brain Development Inform the Mature Minor Doctrine? </w:t>
      </w:r>
      <w:r w:rsidRPr="006F3217">
        <w:rPr>
          <w:rFonts w:ascii="Garamond" w:hAnsi="Garamond"/>
          <w:i/>
        </w:rPr>
        <w:t>Journal of Medicine and Philosophy</w:t>
      </w:r>
      <w:r w:rsidR="00522EEE">
        <w:rPr>
          <w:rFonts w:ascii="Garamond" w:hAnsi="Garamond"/>
        </w:rPr>
        <w:t>,</w:t>
      </w:r>
      <w:r w:rsidRPr="006F3217">
        <w:rPr>
          <w:rFonts w:ascii="Garamond" w:hAnsi="Garamond"/>
        </w:rPr>
        <w:t xml:space="preserve"> 2013, </w:t>
      </w:r>
      <w:r w:rsidRPr="00B05BFC">
        <w:rPr>
          <w:rFonts w:ascii="Garamond" w:hAnsi="Garamond"/>
          <w:lang w:val="cs-CZ"/>
        </w:rPr>
        <w:t>roč.</w:t>
      </w:r>
      <w:r w:rsidRPr="006F3217">
        <w:rPr>
          <w:rFonts w:ascii="Garamond" w:hAnsi="Garamond"/>
        </w:rPr>
        <w:t xml:space="preserve"> 38, s. 2</w:t>
      </w:r>
      <w:r w:rsidR="00931E1D" w:rsidRPr="006F3217">
        <w:rPr>
          <w:rFonts w:ascii="Garamond" w:hAnsi="Garamond"/>
        </w:rPr>
        <w:t>56-267.</w:t>
      </w:r>
    </w:p>
    <w:p w14:paraId="755942F5" w14:textId="08E51399" w:rsidR="003662C6" w:rsidRPr="006F3217" w:rsidRDefault="005F5387" w:rsidP="003662C6">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VERHAGEN, Eduard, SAUER, Pieter J.J. The Groningen Protocol – Euthanasia in Severely Ill Newborns. </w:t>
      </w:r>
      <w:r w:rsidRPr="006F3217">
        <w:rPr>
          <w:rFonts w:ascii="Garamond" w:hAnsi="Garamond"/>
          <w:i/>
        </w:rPr>
        <w:t>The New England Journal of Medicine</w:t>
      </w:r>
      <w:r w:rsidR="00522EEE">
        <w:rPr>
          <w:rFonts w:ascii="Garamond" w:hAnsi="Garamond"/>
          <w:iCs/>
        </w:rPr>
        <w:t>,</w:t>
      </w:r>
      <w:r w:rsidRPr="006F3217">
        <w:rPr>
          <w:rFonts w:ascii="Garamond" w:hAnsi="Garamond"/>
        </w:rPr>
        <w:t xml:space="preserve"> 2005, </w:t>
      </w:r>
      <w:r w:rsidRPr="00B05BFC">
        <w:rPr>
          <w:rFonts w:ascii="Garamond" w:hAnsi="Garamond"/>
          <w:lang w:val="cs-CZ"/>
        </w:rPr>
        <w:t>roč.</w:t>
      </w:r>
      <w:r w:rsidRPr="006F3217">
        <w:rPr>
          <w:rFonts w:ascii="Garamond" w:hAnsi="Garamond"/>
        </w:rPr>
        <w:t xml:space="preserve"> 352, č. 10, s. 959-962.</w:t>
      </w:r>
    </w:p>
    <w:p w14:paraId="587B5618" w14:textId="0BD47614" w:rsidR="00CA6018" w:rsidRPr="006F3217" w:rsidRDefault="003662C6"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TEDESCO, Matthew. Dutch Protocols for Deliberately Ending the Life of Newborns: A Defence. </w:t>
      </w:r>
      <w:r w:rsidRPr="006F3217">
        <w:rPr>
          <w:rFonts w:ascii="Garamond" w:hAnsi="Garamond"/>
          <w:i/>
        </w:rPr>
        <w:t>Journal of Bioethical Inquiry</w:t>
      </w:r>
      <w:r w:rsidR="00522EEE">
        <w:rPr>
          <w:rFonts w:ascii="Garamond" w:hAnsi="Garamond"/>
        </w:rPr>
        <w:t>,</w:t>
      </w:r>
      <w:r w:rsidRPr="006F3217">
        <w:rPr>
          <w:rFonts w:ascii="Garamond" w:hAnsi="Garamond"/>
        </w:rPr>
        <w:t xml:space="preserve"> 2017</w:t>
      </w:r>
      <w:r w:rsidRPr="00B05BFC">
        <w:rPr>
          <w:rFonts w:ascii="Garamond" w:hAnsi="Garamond"/>
          <w:lang w:val="cs-CZ"/>
        </w:rPr>
        <w:t>, roč.</w:t>
      </w:r>
      <w:r w:rsidRPr="006F3217">
        <w:rPr>
          <w:rFonts w:ascii="Garamond" w:hAnsi="Garamond"/>
        </w:rPr>
        <w:t xml:space="preserve"> 14, č. 2, s. 251-259.</w:t>
      </w:r>
    </w:p>
    <w:p w14:paraId="5E4F7306" w14:textId="728282D7" w:rsidR="00CA6018" w:rsidRPr="006F3217" w:rsidRDefault="00CA6018"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VERHAGEN, Eduard. The Groningen Protocol for newborn euthanasia; which way did the slippery slope tilt? </w:t>
      </w:r>
      <w:r w:rsidRPr="006F3217">
        <w:rPr>
          <w:rFonts w:ascii="Garamond" w:hAnsi="Garamond"/>
          <w:i/>
        </w:rPr>
        <w:t>Journal of Medical Ethics</w:t>
      </w:r>
      <w:r w:rsidR="00522EEE">
        <w:rPr>
          <w:rFonts w:ascii="Garamond" w:hAnsi="Garamond"/>
        </w:rPr>
        <w:t>,</w:t>
      </w:r>
      <w:r w:rsidRPr="006F3217">
        <w:rPr>
          <w:rFonts w:ascii="Garamond" w:hAnsi="Garamond"/>
        </w:rPr>
        <w:t xml:space="preserve"> 2013</w:t>
      </w:r>
      <w:r w:rsidRPr="00B05BFC">
        <w:rPr>
          <w:rFonts w:ascii="Garamond" w:hAnsi="Garamond"/>
          <w:lang w:val="cs-CZ"/>
        </w:rPr>
        <w:t>, roč.</w:t>
      </w:r>
      <w:r w:rsidRPr="006F3217">
        <w:rPr>
          <w:rFonts w:ascii="Garamond" w:hAnsi="Garamond"/>
        </w:rPr>
        <w:t xml:space="preserve"> 39, č. 5, s. 293-295.</w:t>
      </w:r>
    </w:p>
    <w:p w14:paraId="3F80B6BF" w14:textId="6FE3A27B" w:rsidR="00652FBD" w:rsidRPr="006F3217" w:rsidRDefault="00652FBD"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CHERVENAK, Frank A., MCCULLOUGH, Laurence B. Why the Groningen Protocol Should be Rejected. </w:t>
      </w:r>
      <w:r w:rsidRPr="006F3217">
        <w:rPr>
          <w:rFonts w:ascii="Garamond" w:hAnsi="Garamond"/>
          <w:i/>
        </w:rPr>
        <w:t xml:space="preserve">The Hastings </w:t>
      </w:r>
      <w:proofErr w:type="spellStart"/>
      <w:r w:rsidRPr="006F3217">
        <w:rPr>
          <w:rFonts w:ascii="Garamond" w:hAnsi="Garamond"/>
          <w:i/>
        </w:rPr>
        <w:t>Center</w:t>
      </w:r>
      <w:proofErr w:type="spellEnd"/>
      <w:r w:rsidRPr="006F3217">
        <w:rPr>
          <w:rFonts w:ascii="Garamond" w:hAnsi="Garamond"/>
          <w:i/>
        </w:rPr>
        <w:t xml:space="preserve"> Report</w:t>
      </w:r>
      <w:r w:rsidR="00522EEE">
        <w:rPr>
          <w:rFonts w:ascii="Garamond" w:hAnsi="Garamond"/>
        </w:rPr>
        <w:t>,</w:t>
      </w:r>
      <w:r w:rsidRPr="006F3217">
        <w:rPr>
          <w:rFonts w:ascii="Garamond" w:hAnsi="Garamond"/>
        </w:rPr>
        <w:t xml:space="preserve"> 2006, </w:t>
      </w:r>
      <w:r w:rsidRPr="00B05BFC">
        <w:rPr>
          <w:rFonts w:ascii="Garamond" w:hAnsi="Garamond"/>
          <w:lang w:val="cs-CZ"/>
        </w:rPr>
        <w:t>roč.</w:t>
      </w:r>
      <w:r w:rsidRPr="006F3217">
        <w:rPr>
          <w:rFonts w:ascii="Garamond" w:hAnsi="Garamond"/>
        </w:rPr>
        <w:t xml:space="preserve"> 36, č. 5, s. 30-33.</w:t>
      </w:r>
    </w:p>
    <w:p w14:paraId="7115A434" w14:textId="6353C00A" w:rsidR="00BA7ABF" w:rsidRPr="006F3217" w:rsidRDefault="00BA7ABF"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LINDEMANN, Hilde, VERKERK, Marian. Ending the Life of a Newborn: The Groningen Protocol. </w:t>
      </w:r>
      <w:r w:rsidRPr="006F3217">
        <w:rPr>
          <w:rFonts w:ascii="Garamond" w:hAnsi="Garamond"/>
          <w:i/>
        </w:rPr>
        <w:t xml:space="preserve">The Hastings </w:t>
      </w:r>
      <w:proofErr w:type="spellStart"/>
      <w:r w:rsidRPr="006F3217">
        <w:rPr>
          <w:rFonts w:ascii="Garamond" w:hAnsi="Garamond"/>
          <w:i/>
        </w:rPr>
        <w:t>Center</w:t>
      </w:r>
      <w:proofErr w:type="spellEnd"/>
      <w:r w:rsidRPr="006F3217">
        <w:rPr>
          <w:rFonts w:ascii="Garamond" w:hAnsi="Garamond"/>
          <w:i/>
        </w:rPr>
        <w:t xml:space="preserve"> Report</w:t>
      </w:r>
      <w:r w:rsidR="00522EEE">
        <w:rPr>
          <w:rFonts w:ascii="Garamond" w:hAnsi="Garamond"/>
        </w:rPr>
        <w:t>,</w:t>
      </w:r>
      <w:r w:rsidRPr="006F3217">
        <w:rPr>
          <w:rFonts w:ascii="Garamond" w:hAnsi="Garamond"/>
        </w:rPr>
        <w:t xml:space="preserve"> 2008, </w:t>
      </w:r>
      <w:r w:rsidRPr="00B05BFC">
        <w:rPr>
          <w:rFonts w:ascii="Garamond" w:hAnsi="Garamond"/>
          <w:lang w:val="cs-CZ"/>
        </w:rPr>
        <w:t>roč.</w:t>
      </w:r>
      <w:r w:rsidRPr="006F3217">
        <w:rPr>
          <w:rFonts w:ascii="Garamond" w:hAnsi="Garamond"/>
        </w:rPr>
        <w:t xml:space="preserve"> 38, č. 1, s. 42-51.</w:t>
      </w:r>
    </w:p>
    <w:p w14:paraId="3902673D" w14:textId="24490EE5" w:rsidR="00B46D10" w:rsidRPr="006F3217" w:rsidRDefault="00B46D10"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MUNIM, </w:t>
      </w:r>
      <w:proofErr w:type="spellStart"/>
      <w:r w:rsidRPr="006F3217">
        <w:rPr>
          <w:rFonts w:ascii="Garamond" w:hAnsi="Garamond"/>
        </w:rPr>
        <w:t>Shama</w:t>
      </w:r>
      <w:proofErr w:type="spellEnd"/>
      <w:r w:rsidRPr="006F3217">
        <w:rPr>
          <w:rFonts w:ascii="Garamond" w:hAnsi="Garamond"/>
        </w:rPr>
        <w:t xml:space="preserve">, NADEEM, Salva, KHUWAJA, Nadya Ali. The Accuracy of Ultrasound in the Diagnosis of Congenital Abnormalities. </w:t>
      </w:r>
      <w:r w:rsidRPr="006F3217">
        <w:rPr>
          <w:rFonts w:ascii="Garamond" w:hAnsi="Garamond"/>
          <w:i/>
        </w:rPr>
        <w:t>Journal of the Pakistan Medical Association</w:t>
      </w:r>
      <w:r w:rsidR="00522EEE">
        <w:rPr>
          <w:rFonts w:ascii="Garamond" w:hAnsi="Garamond"/>
        </w:rPr>
        <w:t>,</w:t>
      </w:r>
      <w:r w:rsidRPr="006F3217">
        <w:rPr>
          <w:rFonts w:ascii="Garamond" w:hAnsi="Garamond"/>
        </w:rPr>
        <w:t xml:space="preserve"> 2006</w:t>
      </w:r>
      <w:r w:rsidRPr="00B05BFC">
        <w:rPr>
          <w:rFonts w:ascii="Garamond" w:hAnsi="Garamond"/>
          <w:lang w:val="cs-CZ"/>
        </w:rPr>
        <w:t>, roč.</w:t>
      </w:r>
      <w:r w:rsidRPr="006F3217">
        <w:rPr>
          <w:rFonts w:ascii="Garamond" w:hAnsi="Garamond"/>
        </w:rPr>
        <w:t xml:space="preserve"> 56, č. 1, s. 16-18.</w:t>
      </w:r>
    </w:p>
    <w:p w14:paraId="147267BA" w14:textId="58089B50" w:rsidR="00C64C22" w:rsidRPr="006F3217" w:rsidRDefault="00C64C22"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CARTER, Brian S., JONES, Patrick M. Evidence-based comfort care for neonates towards the end of life. </w:t>
      </w:r>
      <w:r w:rsidRPr="006F3217">
        <w:rPr>
          <w:rFonts w:ascii="Garamond" w:hAnsi="Garamond"/>
          <w:i/>
        </w:rPr>
        <w:t xml:space="preserve">Seminars in </w:t>
      </w:r>
      <w:proofErr w:type="spellStart"/>
      <w:r w:rsidRPr="006F3217">
        <w:rPr>
          <w:rFonts w:ascii="Garamond" w:hAnsi="Garamond"/>
          <w:i/>
        </w:rPr>
        <w:t>Fetal</w:t>
      </w:r>
      <w:proofErr w:type="spellEnd"/>
      <w:r w:rsidRPr="006F3217">
        <w:rPr>
          <w:rFonts w:ascii="Garamond" w:hAnsi="Garamond"/>
          <w:i/>
        </w:rPr>
        <w:t xml:space="preserve"> and Neonatal Medicine</w:t>
      </w:r>
      <w:r w:rsidR="00522EEE">
        <w:rPr>
          <w:rFonts w:ascii="Garamond" w:hAnsi="Garamond"/>
        </w:rPr>
        <w:t>,</w:t>
      </w:r>
      <w:r w:rsidRPr="006F3217">
        <w:rPr>
          <w:rFonts w:ascii="Garamond" w:hAnsi="Garamond"/>
        </w:rPr>
        <w:t xml:space="preserve"> 2013, </w:t>
      </w:r>
      <w:r w:rsidRPr="00B05BFC">
        <w:rPr>
          <w:rFonts w:ascii="Garamond" w:hAnsi="Garamond"/>
          <w:lang w:val="cs-CZ"/>
        </w:rPr>
        <w:t>roč.</w:t>
      </w:r>
      <w:r w:rsidRPr="006F3217">
        <w:rPr>
          <w:rFonts w:ascii="Garamond" w:hAnsi="Garamond"/>
        </w:rPr>
        <w:t xml:space="preserve"> 18, č. 2, s. 88-92.</w:t>
      </w:r>
    </w:p>
    <w:p w14:paraId="6BDC3147" w14:textId="43436868" w:rsidR="005D5E1C" w:rsidRPr="00750179" w:rsidRDefault="005D5E1C" w:rsidP="00CA6018">
      <w:pPr>
        <w:pStyle w:val="ListParagraph"/>
        <w:numPr>
          <w:ilvl w:val="0"/>
          <w:numId w:val="10"/>
        </w:numPr>
        <w:spacing w:line="360" w:lineRule="auto"/>
        <w:jc w:val="both"/>
        <w:rPr>
          <w:rFonts w:ascii="Garamond" w:eastAsia="Times New Roman" w:hAnsi="Garamond" w:cs="Times New Roman"/>
        </w:rPr>
      </w:pPr>
      <w:r w:rsidRPr="006F3217">
        <w:rPr>
          <w:rFonts w:ascii="Garamond" w:hAnsi="Garamond"/>
        </w:rPr>
        <w:t xml:space="preserve">KIPNIS, Kenneth, WILLIAMSON, </w:t>
      </w:r>
      <w:proofErr w:type="spellStart"/>
      <w:r w:rsidRPr="006F3217">
        <w:rPr>
          <w:rFonts w:ascii="Garamond" w:hAnsi="Garamond"/>
        </w:rPr>
        <w:t>Gailynn</w:t>
      </w:r>
      <w:proofErr w:type="spellEnd"/>
      <w:r w:rsidRPr="006F3217">
        <w:rPr>
          <w:rFonts w:ascii="Garamond" w:hAnsi="Garamond"/>
        </w:rPr>
        <w:t xml:space="preserve"> M. Nontreatment Decisions for Severely Compromised Newborns. </w:t>
      </w:r>
      <w:r w:rsidRPr="006F3217">
        <w:rPr>
          <w:rFonts w:ascii="Garamond" w:hAnsi="Garamond"/>
          <w:i/>
        </w:rPr>
        <w:t>Ethics</w:t>
      </w:r>
      <w:r w:rsidR="00522EEE">
        <w:rPr>
          <w:rFonts w:ascii="Garamond" w:hAnsi="Garamond"/>
        </w:rPr>
        <w:t>,</w:t>
      </w:r>
      <w:r w:rsidRPr="006F3217">
        <w:rPr>
          <w:rFonts w:ascii="Garamond" w:hAnsi="Garamond"/>
        </w:rPr>
        <w:t xml:space="preserve"> 1994, </w:t>
      </w:r>
      <w:r w:rsidRPr="00B05BFC">
        <w:rPr>
          <w:rFonts w:ascii="Garamond" w:hAnsi="Garamond"/>
          <w:lang w:val="cs-CZ"/>
        </w:rPr>
        <w:t>roč.</w:t>
      </w:r>
      <w:r w:rsidRPr="006F3217">
        <w:rPr>
          <w:rFonts w:ascii="Garamond" w:hAnsi="Garamond"/>
        </w:rPr>
        <w:t xml:space="preserve"> 95, č. 1, s. 90-111.</w:t>
      </w:r>
    </w:p>
    <w:p w14:paraId="126591AF" w14:textId="58150707" w:rsidR="00024729" w:rsidRPr="00024729" w:rsidRDefault="00750179" w:rsidP="00024729">
      <w:pPr>
        <w:pStyle w:val="ListParagraph"/>
        <w:numPr>
          <w:ilvl w:val="0"/>
          <w:numId w:val="10"/>
        </w:numPr>
        <w:spacing w:line="360" w:lineRule="auto"/>
        <w:jc w:val="both"/>
        <w:rPr>
          <w:rFonts w:ascii="Garamond" w:eastAsia="Times New Roman" w:hAnsi="Garamond" w:cs="Times New Roman"/>
        </w:rPr>
      </w:pPr>
      <w:r w:rsidRPr="00750179">
        <w:rPr>
          <w:rFonts w:ascii="Garamond" w:hAnsi="Garamond"/>
          <w:lang w:val="cs-CZ"/>
        </w:rPr>
        <w:t xml:space="preserve">BOUDREAU, J Donald, SOMERVILLE, Margaret A. </w:t>
      </w:r>
      <w:r w:rsidRPr="00653D50">
        <w:rPr>
          <w:rFonts w:ascii="Garamond" w:hAnsi="Garamond"/>
        </w:rPr>
        <w:t xml:space="preserve">Euthanasia and assisted suicide: a physician’s and ethicist’s perspectives. </w:t>
      </w:r>
      <w:r w:rsidRPr="00653D50">
        <w:rPr>
          <w:rFonts w:ascii="Garamond" w:hAnsi="Garamond"/>
          <w:i/>
        </w:rPr>
        <w:t>Medicolegal and Bioethics</w:t>
      </w:r>
      <w:r w:rsidR="00522EEE">
        <w:rPr>
          <w:rFonts w:ascii="Garamond" w:hAnsi="Garamond"/>
        </w:rPr>
        <w:t>,</w:t>
      </w:r>
      <w:r w:rsidRPr="00750179">
        <w:rPr>
          <w:rFonts w:ascii="Garamond" w:hAnsi="Garamond"/>
          <w:lang w:val="cs-CZ"/>
        </w:rPr>
        <w:t xml:space="preserve"> 2014, roč. 4, s. </w:t>
      </w:r>
      <w:r>
        <w:rPr>
          <w:rFonts w:ascii="Garamond" w:hAnsi="Garamond"/>
          <w:lang w:val="cs-CZ"/>
        </w:rPr>
        <w:t>1-12.</w:t>
      </w:r>
    </w:p>
    <w:p w14:paraId="109EF677" w14:textId="69A88F5D" w:rsidR="00653D50" w:rsidRPr="00653D50" w:rsidRDefault="00024729" w:rsidP="00653D50">
      <w:pPr>
        <w:pStyle w:val="ListParagraph"/>
        <w:numPr>
          <w:ilvl w:val="0"/>
          <w:numId w:val="10"/>
        </w:numPr>
        <w:spacing w:line="360" w:lineRule="auto"/>
        <w:jc w:val="both"/>
        <w:rPr>
          <w:rFonts w:ascii="Garamond" w:eastAsia="Times New Roman" w:hAnsi="Garamond" w:cs="Times New Roman"/>
        </w:rPr>
      </w:pPr>
      <w:r w:rsidRPr="00024729">
        <w:rPr>
          <w:rFonts w:ascii="Garamond" w:hAnsi="Garamond"/>
          <w:lang w:val="cs-CZ"/>
        </w:rPr>
        <w:lastRenderedPageBreak/>
        <w:t xml:space="preserve">RACHELS, James. </w:t>
      </w:r>
      <w:r w:rsidRPr="00653D50">
        <w:rPr>
          <w:rFonts w:ascii="Garamond" w:hAnsi="Garamond"/>
        </w:rPr>
        <w:t xml:space="preserve">Active and Passive Euthanasia. </w:t>
      </w:r>
      <w:r w:rsidRPr="00653D50">
        <w:rPr>
          <w:rFonts w:ascii="Garamond" w:hAnsi="Garamond"/>
          <w:i/>
        </w:rPr>
        <w:t>New England Journal of Medicine</w:t>
      </w:r>
      <w:r w:rsidR="00522EEE">
        <w:rPr>
          <w:rFonts w:ascii="Garamond" w:hAnsi="Garamond"/>
        </w:rPr>
        <w:t>,</w:t>
      </w:r>
      <w:r w:rsidRPr="00024729">
        <w:rPr>
          <w:rFonts w:ascii="Garamond" w:hAnsi="Garamond"/>
          <w:lang w:val="cs-CZ"/>
        </w:rPr>
        <w:t xml:space="preserve"> 1975, roč. 292, s. 78-80.</w:t>
      </w:r>
    </w:p>
    <w:p w14:paraId="110483D4" w14:textId="076FE2FB" w:rsidR="00653D50" w:rsidRPr="009667D1" w:rsidRDefault="00653D50" w:rsidP="00653D50">
      <w:pPr>
        <w:pStyle w:val="ListParagraph"/>
        <w:numPr>
          <w:ilvl w:val="0"/>
          <w:numId w:val="10"/>
        </w:numPr>
        <w:spacing w:line="360" w:lineRule="auto"/>
        <w:jc w:val="both"/>
        <w:rPr>
          <w:rFonts w:ascii="Garamond" w:eastAsia="Times New Roman" w:hAnsi="Garamond" w:cs="Times New Roman"/>
        </w:rPr>
      </w:pPr>
      <w:r w:rsidRPr="00653D50">
        <w:rPr>
          <w:rFonts w:ascii="Garamond" w:hAnsi="Garamond"/>
          <w:lang w:val="cs-CZ"/>
        </w:rPr>
        <w:t xml:space="preserve">FERREIRA, </w:t>
      </w:r>
      <w:proofErr w:type="spellStart"/>
      <w:r w:rsidRPr="00653D50">
        <w:rPr>
          <w:rFonts w:ascii="Garamond" w:hAnsi="Garamond"/>
          <w:lang w:val="cs-CZ"/>
        </w:rPr>
        <w:t>Nuno</w:t>
      </w:r>
      <w:proofErr w:type="spellEnd"/>
      <w:r w:rsidRPr="00653D50">
        <w:rPr>
          <w:rFonts w:ascii="Garamond" w:hAnsi="Garamond"/>
          <w:lang w:val="cs-CZ"/>
        </w:rPr>
        <w:t xml:space="preserve">. </w:t>
      </w:r>
      <w:r w:rsidRPr="00653D50">
        <w:rPr>
          <w:rFonts w:ascii="Garamond" w:hAnsi="Garamond"/>
        </w:rPr>
        <w:t xml:space="preserve">Revisiting Euthanasia: A Comparative Analysis of a Right to Die in Dignity. </w:t>
      </w:r>
      <w:r w:rsidRPr="00653D50">
        <w:rPr>
          <w:rFonts w:ascii="Garamond" w:hAnsi="Garamond"/>
          <w:i/>
        </w:rPr>
        <w:t>ZERP Discussion Papers</w:t>
      </w:r>
      <w:r w:rsidR="00522EEE">
        <w:rPr>
          <w:rFonts w:ascii="Garamond" w:hAnsi="Garamond"/>
        </w:rPr>
        <w:t>,</w:t>
      </w:r>
      <w:r w:rsidRPr="00653D50">
        <w:rPr>
          <w:rFonts w:ascii="Garamond" w:hAnsi="Garamond"/>
          <w:lang w:val="cs-CZ"/>
        </w:rPr>
        <w:t xml:space="preserve"> 2005, č. 4, s. </w:t>
      </w:r>
      <w:r>
        <w:rPr>
          <w:rFonts w:ascii="Garamond" w:hAnsi="Garamond"/>
          <w:lang w:val="cs-CZ"/>
        </w:rPr>
        <w:t>1-67.</w:t>
      </w:r>
    </w:p>
    <w:p w14:paraId="66C03251" w14:textId="013C725E" w:rsidR="009667D1" w:rsidRPr="00DA63C1" w:rsidRDefault="009667D1" w:rsidP="00653D50">
      <w:pPr>
        <w:pStyle w:val="ListParagraph"/>
        <w:numPr>
          <w:ilvl w:val="0"/>
          <w:numId w:val="10"/>
        </w:numPr>
        <w:spacing w:line="360" w:lineRule="auto"/>
        <w:jc w:val="both"/>
        <w:rPr>
          <w:rFonts w:ascii="Garamond" w:eastAsia="Times New Roman" w:hAnsi="Garamond" w:cs="Times New Roman"/>
        </w:rPr>
      </w:pPr>
      <w:r w:rsidRPr="009667D1">
        <w:rPr>
          <w:rFonts w:ascii="Garamond" w:hAnsi="Garamond"/>
          <w:lang w:val="cs-CZ"/>
        </w:rPr>
        <w:t xml:space="preserve">GUICHON, Juliet a kol. </w:t>
      </w:r>
      <w:r w:rsidRPr="009667D1">
        <w:rPr>
          <w:rFonts w:ascii="Garamond" w:hAnsi="Garamond"/>
        </w:rPr>
        <w:t xml:space="preserve">Autonomy and Beneficence in Assisted Dying in Canada: The Eligibility of Mature Minors. </w:t>
      </w:r>
      <w:r w:rsidRPr="009667D1">
        <w:rPr>
          <w:rFonts w:ascii="Garamond" w:hAnsi="Garamond"/>
          <w:i/>
        </w:rPr>
        <w:t>Alberta Law Review</w:t>
      </w:r>
      <w:r w:rsidR="00522EEE">
        <w:rPr>
          <w:rFonts w:ascii="Garamond" w:hAnsi="Garamond"/>
          <w:lang w:val="cs-CZ"/>
        </w:rPr>
        <w:t>,</w:t>
      </w:r>
      <w:r w:rsidRPr="009667D1">
        <w:rPr>
          <w:rFonts w:ascii="Garamond" w:hAnsi="Garamond"/>
          <w:lang w:val="cs-CZ"/>
        </w:rPr>
        <w:t xml:space="preserve"> 2017, roč. 54, č. 3, s. </w:t>
      </w:r>
      <w:r>
        <w:rPr>
          <w:rFonts w:ascii="Garamond" w:hAnsi="Garamond"/>
          <w:lang w:val="cs-CZ"/>
        </w:rPr>
        <w:t>775-802.</w:t>
      </w:r>
    </w:p>
    <w:p w14:paraId="57509443" w14:textId="15974451" w:rsidR="00970A70" w:rsidRDefault="00DA63C1" w:rsidP="00970A70">
      <w:pPr>
        <w:pStyle w:val="ListParagraph"/>
        <w:numPr>
          <w:ilvl w:val="0"/>
          <w:numId w:val="10"/>
        </w:numPr>
        <w:spacing w:line="360" w:lineRule="auto"/>
        <w:jc w:val="both"/>
        <w:rPr>
          <w:rFonts w:ascii="Garamond" w:hAnsi="Garamond"/>
        </w:rPr>
      </w:pPr>
      <w:r>
        <w:rPr>
          <w:rFonts w:ascii="Garamond" w:hAnsi="Garamond"/>
        </w:rPr>
        <w:t>VAN</w:t>
      </w:r>
      <w:r w:rsidRPr="00A17E97">
        <w:rPr>
          <w:rFonts w:ascii="Garamond" w:hAnsi="Garamond"/>
        </w:rPr>
        <w:t xml:space="preserve"> </w:t>
      </w:r>
      <w:r>
        <w:rPr>
          <w:rFonts w:ascii="Garamond" w:hAnsi="Garamond"/>
        </w:rPr>
        <w:t>WIJMEN,</w:t>
      </w:r>
      <w:r w:rsidRPr="00A17E97">
        <w:rPr>
          <w:rFonts w:ascii="Garamond" w:hAnsi="Garamond"/>
        </w:rPr>
        <w:t xml:space="preserve"> MPS</w:t>
      </w:r>
      <w:r>
        <w:rPr>
          <w:rFonts w:ascii="Garamond" w:hAnsi="Garamond"/>
        </w:rPr>
        <w:t xml:space="preserve"> a </w:t>
      </w:r>
      <w:r w:rsidRPr="00B05BFC">
        <w:rPr>
          <w:rFonts w:ascii="Garamond" w:hAnsi="Garamond"/>
          <w:lang w:val="cs-CZ"/>
        </w:rPr>
        <w:t>kol.</w:t>
      </w:r>
      <w:r>
        <w:rPr>
          <w:rFonts w:ascii="Garamond" w:hAnsi="Garamond"/>
        </w:rPr>
        <w:t xml:space="preserve"> </w:t>
      </w:r>
      <w:r w:rsidRPr="00222817">
        <w:rPr>
          <w:rFonts w:ascii="Garamond" w:hAnsi="Garamond"/>
        </w:rPr>
        <w:t>Stability of end-of-life preferences in relation to health status and life-events: A cohort study with a 6-year follow-up among holders of an advance directive</w:t>
      </w:r>
      <w:r w:rsidRPr="00A17E97">
        <w:rPr>
          <w:rFonts w:ascii="Garamond" w:hAnsi="Garamond"/>
        </w:rPr>
        <w:t>.</w:t>
      </w:r>
      <w:r>
        <w:rPr>
          <w:rFonts w:ascii="Garamond" w:hAnsi="Garamond"/>
        </w:rPr>
        <w:t xml:space="preserve"> </w:t>
      </w:r>
      <w:proofErr w:type="spellStart"/>
      <w:r w:rsidRPr="00222817">
        <w:rPr>
          <w:rFonts w:ascii="Garamond" w:hAnsi="Garamond"/>
          <w:i/>
        </w:rPr>
        <w:t>PLoS</w:t>
      </w:r>
      <w:proofErr w:type="spellEnd"/>
      <w:r w:rsidRPr="00222817">
        <w:rPr>
          <w:rFonts w:ascii="Garamond" w:hAnsi="Garamond"/>
          <w:i/>
        </w:rPr>
        <w:t xml:space="preserve"> ONE</w:t>
      </w:r>
      <w:r w:rsidR="00522EEE">
        <w:rPr>
          <w:rFonts w:ascii="Garamond" w:hAnsi="Garamond"/>
        </w:rPr>
        <w:t>,</w:t>
      </w:r>
      <w:r w:rsidR="00222817">
        <w:rPr>
          <w:rFonts w:ascii="Garamond" w:hAnsi="Garamond"/>
        </w:rPr>
        <w:t xml:space="preserve"> 2018, </w:t>
      </w:r>
      <w:r w:rsidR="00222817" w:rsidRPr="00B05BFC">
        <w:rPr>
          <w:rFonts w:ascii="Garamond" w:hAnsi="Garamond"/>
          <w:lang w:val="cs-CZ"/>
        </w:rPr>
        <w:t>roč.</w:t>
      </w:r>
      <w:r w:rsidR="00222817">
        <w:rPr>
          <w:rFonts w:ascii="Garamond" w:hAnsi="Garamond"/>
        </w:rPr>
        <w:t xml:space="preserve"> 13, č. 12, s. 1-14.</w:t>
      </w:r>
    </w:p>
    <w:p w14:paraId="6FF91EB6" w14:textId="56BB3866" w:rsidR="00970A70" w:rsidRPr="00016169" w:rsidRDefault="00970A70" w:rsidP="00970A70">
      <w:pPr>
        <w:pStyle w:val="ListParagraph"/>
        <w:numPr>
          <w:ilvl w:val="0"/>
          <w:numId w:val="10"/>
        </w:numPr>
        <w:spacing w:line="360" w:lineRule="auto"/>
        <w:jc w:val="both"/>
        <w:rPr>
          <w:rFonts w:ascii="Garamond" w:hAnsi="Garamond"/>
        </w:rPr>
      </w:pPr>
      <w:r w:rsidRPr="00970A70">
        <w:rPr>
          <w:rFonts w:ascii="Garamond" w:hAnsi="Garamond"/>
          <w:lang w:val="cs-CZ"/>
        </w:rPr>
        <w:t>PETERKOVÁ, H</w:t>
      </w:r>
      <w:r w:rsidR="006038A5">
        <w:rPr>
          <w:rFonts w:ascii="Garamond" w:hAnsi="Garamond"/>
          <w:lang w:val="cs-CZ"/>
        </w:rPr>
        <w:t>elena</w:t>
      </w:r>
      <w:r w:rsidRPr="00970A70">
        <w:rPr>
          <w:rFonts w:ascii="Garamond" w:hAnsi="Garamond"/>
          <w:lang w:val="cs-CZ"/>
        </w:rPr>
        <w:t>. Role lékaře při ukončení života na žádost a pomoci při sebevraždě. In PTÁČEK, R</w:t>
      </w:r>
      <w:r w:rsidR="006038A5">
        <w:rPr>
          <w:rFonts w:ascii="Garamond" w:hAnsi="Garamond"/>
          <w:lang w:val="cs-CZ"/>
        </w:rPr>
        <w:t>adek</w:t>
      </w:r>
      <w:r w:rsidRPr="00970A70">
        <w:rPr>
          <w:rFonts w:ascii="Garamond" w:hAnsi="Garamond"/>
          <w:lang w:val="cs-CZ"/>
        </w:rPr>
        <w:t>, BARTŮNĚK, P</w:t>
      </w:r>
      <w:r w:rsidR="006038A5">
        <w:rPr>
          <w:rFonts w:ascii="Garamond" w:hAnsi="Garamond"/>
          <w:lang w:val="cs-CZ"/>
        </w:rPr>
        <w:t>etr</w:t>
      </w:r>
      <w:r w:rsidRPr="00970A70">
        <w:rPr>
          <w:rFonts w:ascii="Garamond" w:hAnsi="Garamond"/>
          <w:lang w:val="cs-CZ"/>
        </w:rPr>
        <w:t xml:space="preserve"> (</w:t>
      </w:r>
      <w:proofErr w:type="spellStart"/>
      <w:r w:rsidRPr="00970A70">
        <w:rPr>
          <w:rFonts w:ascii="Garamond" w:hAnsi="Garamond"/>
          <w:lang w:val="cs-CZ"/>
        </w:rPr>
        <w:t>eds</w:t>
      </w:r>
      <w:proofErr w:type="spellEnd"/>
      <w:r w:rsidRPr="00970A70">
        <w:rPr>
          <w:rFonts w:ascii="Garamond" w:hAnsi="Garamond"/>
          <w:lang w:val="cs-CZ"/>
        </w:rPr>
        <w:t xml:space="preserve">.). </w:t>
      </w:r>
      <w:r w:rsidRPr="00970A70">
        <w:rPr>
          <w:rFonts w:ascii="Garamond" w:hAnsi="Garamond"/>
          <w:i/>
          <w:lang w:val="cs-CZ"/>
        </w:rPr>
        <w:t>Eutanazie – pro a proti</w:t>
      </w:r>
      <w:r w:rsidRPr="00970A70">
        <w:rPr>
          <w:rFonts w:ascii="Garamond" w:hAnsi="Garamond"/>
          <w:lang w:val="cs-CZ"/>
        </w:rPr>
        <w:t xml:space="preserve">. Praha: </w:t>
      </w:r>
      <w:proofErr w:type="spellStart"/>
      <w:r w:rsidRPr="00970A70">
        <w:rPr>
          <w:rFonts w:ascii="Garamond" w:hAnsi="Garamond"/>
          <w:lang w:val="cs-CZ"/>
        </w:rPr>
        <w:t>Grada</w:t>
      </w:r>
      <w:proofErr w:type="spellEnd"/>
      <w:r w:rsidRPr="00970A70">
        <w:rPr>
          <w:rFonts w:ascii="Garamond" w:hAnsi="Garamond"/>
          <w:lang w:val="cs-CZ"/>
        </w:rPr>
        <w:t>, 2012, s. 138-144.</w:t>
      </w:r>
    </w:p>
    <w:p w14:paraId="57E6A319" w14:textId="016B9096" w:rsidR="00016169" w:rsidRPr="00A17F03" w:rsidRDefault="00016169" w:rsidP="00970A70">
      <w:pPr>
        <w:pStyle w:val="ListParagraph"/>
        <w:numPr>
          <w:ilvl w:val="0"/>
          <w:numId w:val="10"/>
        </w:numPr>
        <w:spacing w:line="360" w:lineRule="auto"/>
        <w:jc w:val="both"/>
        <w:rPr>
          <w:rFonts w:ascii="Garamond" w:hAnsi="Garamond"/>
        </w:rPr>
      </w:pPr>
      <w:r w:rsidRPr="00016169">
        <w:rPr>
          <w:rFonts w:ascii="Garamond" w:hAnsi="Garamond"/>
          <w:lang w:val="cs-CZ"/>
        </w:rPr>
        <w:t xml:space="preserve">DOLEŽAL, Tomáš. Způsobilost nezletilých udělit souhlas s poskytováním zdravotních služeb. </w:t>
      </w:r>
      <w:r w:rsidRPr="00016169">
        <w:rPr>
          <w:rFonts w:ascii="Garamond" w:hAnsi="Garamond"/>
          <w:i/>
          <w:lang w:val="cs-CZ"/>
        </w:rPr>
        <w:t>Časopis zdravotnického práva a bioetiky</w:t>
      </w:r>
      <w:r w:rsidR="00522EEE">
        <w:rPr>
          <w:rFonts w:ascii="Garamond" w:hAnsi="Garamond"/>
          <w:lang w:val="cs-CZ"/>
        </w:rPr>
        <w:t>,</w:t>
      </w:r>
      <w:r w:rsidRPr="00016169">
        <w:rPr>
          <w:rFonts w:ascii="Garamond" w:hAnsi="Garamond"/>
          <w:lang w:val="cs-CZ"/>
        </w:rPr>
        <w:t xml:space="preserve"> 2018, roč. 8, č. 1, s.</w:t>
      </w:r>
      <w:r>
        <w:rPr>
          <w:rFonts w:ascii="Garamond" w:hAnsi="Garamond"/>
          <w:lang w:val="cs-CZ"/>
        </w:rPr>
        <w:t xml:space="preserve"> 48-61.</w:t>
      </w:r>
    </w:p>
    <w:p w14:paraId="0C8F913F" w14:textId="287F2CD8" w:rsidR="00A17F03" w:rsidRDefault="00A17F03" w:rsidP="00970A70">
      <w:pPr>
        <w:pStyle w:val="ListParagraph"/>
        <w:numPr>
          <w:ilvl w:val="0"/>
          <w:numId w:val="10"/>
        </w:numPr>
        <w:spacing w:line="360" w:lineRule="auto"/>
        <w:jc w:val="both"/>
        <w:rPr>
          <w:rFonts w:ascii="Garamond" w:hAnsi="Garamond"/>
          <w:lang w:val="cs-CZ"/>
        </w:rPr>
      </w:pPr>
      <w:r w:rsidRPr="00A17F03">
        <w:rPr>
          <w:rFonts w:ascii="Garamond" w:hAnsi="Garamond"/>
          <w:lang w:val="cs-CZ"/>
        </w:rPr>
        <w:t xml:space="preserve">HOLČAPEK, Tomáš, ŠUSTEK, Petr, ŠULC, Martin. Odpojení dítěte od přístrojů: na okraj případu Charlie Gard. </w:t>
      </w:r>
      <w:r w:rsidRPr="00A17F03">
        <w:rPr>
          <w:rFonts w:ascii="Garamond" w:hAnsi="Garamond"/>
          <w:i/>
          <w:lang w:val="cs-CZ"/>
        </w:rPr>
        <w:t>Právní rozhledy</w:t>
      </w:r>
      <w:r w:rsidR="00522EEE">
        <w:rPr>
          <w:rFonts w:ascii="Garamond" w:hAnsi="Garamond"/>
          <w:lang w:val="cs-CZ"/>
        </w:rPr>
        <w:t>,</w:t>
      </w:r>
      <w:r w:rsidRPr="00A17F03">
        <w:rPr>
          <w:rFonts w:ascii="Garamond" w:hAnsi="Garamond"/>
          <w:lang w:val="cs-CZ"/>
        </w:rPr>
        <w:t xml:space="preserve"> 2018, č. 3, s. 94-103.</w:t>
      </w:r>
    </w:p>
    <w:p w14:paraId="6CCDFCB0" w14:textId="6DE92469" w:rsidR="00346D3C" w:rsidRDefault="00346D3C" w:rsidP="00970A70">
      <w:pPr>
        <w:pStyle w:val="ListParagraph"/>
        <w:numPr>
          <w:ilvl w:val="0"/>
          <w:numId w:val="10"/>
        </w:numPr>
        <w:spacing w:line="360" w:lineRule="auto"/>
        <w:jc w:val="both"/>
        <w:rPr>
          <w:rFonts w:ascii="Garamond" w:hAnsi="Garamond"/>
          <w:lang w:val="cs-CZ"/>
        </w:rPr>
      </w:pPr>
      <w:r w:rsidRPr="00346D3C">
        <w:rPr>
          <w:rFonts w:ascii="Garamond" w:hAnsi="Garamond"/>
        </w:rPr>
        <w:t xml:space="preserve">MOSOFF, Judith. Why Not Tell It Like It Is: The Example of P. H. v. Eastern Integrated Health Authority, a Minor in a Life-Threatening Context. </w:t>
      </w:r>
      <w:r w:rsidRPr="00346D3C">
        <w:rPr>
          <w:rFonts w:ascii="Garamond" w:hAnsi="Garamond"/>
          <w:i/>
        </w:rPr>
        <w:t>University of New Brunswick Law Journal</w:t>
      </w:r>
      <w:r w:rsidR="00522EEE">
        <w:rPr>
          <w:rFonts w:ascii="Garamond" w:hAnsi="Garamond"/>
          <w:lang w:val="cs-CZ"/>
        </w:rPr>
        <w:t>,</w:t>
      </w:r>
      <w:r w:rsidRPr="00346D3C">
        <w:rPr>
          <w:rFonts w:ascii="Garamond" w:hAnsi="Garamond"/>
          <w:lang w:val="cs-CZ"/>
        </w:rPr>
        <w:t xml:space="preserve"> 2012, roč. 63, s. 2</w:t>
      </w:r>
      <w:r>
        <w:rPr>
          <w:rFonts w:ascii="Garamond" w:hAnsi="Garamond"/>
          <w:lang w:val="cs-CZ"/>
        </w:rPr>
        <w:t>38-252.</w:t>
      </w:r>
    </w:p>
    <w:p w14:paraId="31A0B7A3" w14:textId="00CD36C8" w:rsidR="00FF0486" w:rsidRDefault="00FF0486" w:rsidP="00970A70">
      <w:pPr>
        <w:pStyle w:val="ListParagraph"/>
        <w:numPr>
          <w:ilvl w:val="0"/>
          <w:numId w:val="10"/>
        </w:numPr>
        <w:spacing w:line="360" w:lineRule="auto"/>
        <w:jc w:val="both"/>
        <w:rPr>
          <w:rFonts w:ascii="Garamond" w:hAnsi="Garamond"/>
          <w:lang w:val="cs-CZ"/>
        </w:rPr>
      </w:pPr>
      <w:r w:rsidRPr="00FF0486">
        <w:rPr>
          <w:rFonts w:ascii="Garamond" w:hAnsi="Garamond"/>
          <w:lang w:val="cs-CZ"/>
        </w:rPr>
        <w:t xml:space="preserve">GEORGE, R. J. D, FINLAY I. G., JEFFREY David. </w:t>
      </w:r>
      <w:r w:rsidRPr="00FF0486">
        <w:rPr>
          <w:rFonts w:ascii="Garamond" w:hAnsi="Garamond"/>
        </w:rPr>
        <w:t>Legalised euthanasia will violate the rights of vulnerable patients.</w:t>
      </w:r>
      <w:r w:rsidRPr="00FF0486">
        <w:rPr>
          <w:rFonts w:ascii="Garamond" w:hAnsi="Garamond"/>
          <w:lang w:val="cs-CZ"/>
        </w:rPr>
        <w:t xml:space="preserve"> </w:t>
      </w:r>
      <w:r w:rsidRPr="00FF0486">
        <w:rPr>
          <w:rFonts w:ascii="Garamond" w:hAnsi="Garamond"/>
          <w:i/>
          <w:lang w:val="cs-CZ"/>
        </w:rPr>
        <w:t>BMJ</w:t>
      </w:r>
      <w:r w:rsidR="00522EEE">
        <w:rPr>
          <w:rFonts w:ascii="Garamond" w:hAnsi="Garamond"/>
          <w:lang w:val="cs-CZ"/>
        </w:rPr>
        <w:t>,</w:t>
      </w:r>
      <w:r w:rsidRPr="00FF0486">
        <w:rPr>
          <w:rFonts w:ascii="Garamond" w:hAnsi="Garamond"/>
          <w:lang w:val="cs-CZ"/>
        </w:rPr>
        <w:t xml:space="preserve"> 2005, roč. 331, č. 7518, s. 684</w:t>
      </w:r>
      <w:r>
        <w:rPr>
          <w:rFonts w:ascii="Garamond" w:hAnsi="Garamond"/>
          <w:lang w:val="cs-CZ"/>
        </w:rPr>
        <w:t>-685.</w:t>
      </w:r>
    </w:p>
    <w:p w14:paraId="5F499E2D" w14:textId="1A3433A4" w:rsidR="003248B1" w:rsidRDefault="003248B1" w:rsidP="00970A70">
      <w:pPr>
        <w:pStyle w:val="ListParagraph"/>
        <w:numPr>
          <w:ilvl w:val="0"/>
          <w:numId w:val="10"/>
        </w:numPr>
        <w:spacing w:line="360" w:lineRule="auto"/>
        <w:jc w:val="both"/>
        <w:rPr>
          <w:rFonts w:ascii="Garamond" w:hAnsi="Garamond"/>
          <w:lang w:val="cs-CZ"/>
        </w:rPr>
      </w:pPr>
      <w:r w:rsidRPr="003248B1">
        <w:rPr>
          <w:rFonts w:ascii="Garamond" w:hAnsi="Garamond"/>
          <w:lang w:val="cs-CZ"/>
        </w:rPr>
        <w:t xml:space="preserve">PRUDIL, Lukáš. Máme ústavní oporu pro provádění eutanazie? In PTÁČEK, Radek, BARTŮNĚK, Petr </w:t>
      </w:r>
      <w:r>
        <w:rPr>
          <w:rFonts w:ascii="Garamond" w:hAnsi="Garamond"/>
          <w:lang w:val="cs-CZ"/>
        </w:rPr>
        <w:t>(</w:t>
      </w:r>
      <w:proofErr w:type="spellStart"/>
      <w:r>
        <w:rPr>
          <w:rFonts w:ascii="Garamond" w:hAnsi="Garamond"/>
          <w:lang w:val="cs-CZ"/>
        </w:rPr>
        <w:t>eds</w:t>
      </w:r>
      <w:proofErr w:type="spellEnd"/>
      <w:r>
        <w:rPr>
          <w:rFonts w:ascii="Garamond" w:hAnsi="Garamond"/>
          <w:lang w:val="cs-CZ"/>
        </w:rPr>
        <w:t>.)</w:t>
      </w:r>
      <w:r w:rsidRPr="003248B1">
        <w:rPr>
          <w:rFonts w:ascii="Garamond" w:hAnsi="Garamond"/>
          <w:lang w:val="cs-CZ"/>
        </w:rPr>
        <w:t xml:space="preserve">. </w:t>
      </w:r>
      <w:r w:rsidRPr="003248B1">
        <w:rPr>
          <w:rFonts w:ascii="Garamond" w:hAnsi="Garamond"/>
          <w:i/>
          <w:lang w:val="cs-CZ"/>
        </w:rPr>
        <w:t>Eutanazie – pro a proti</w:t>
      </w:r>
      <w:r w:rsidRPr="003248B1">
        <w:rPr>
          <w:rFonts w:ascii="Garamond" w:hAnsi="Garamond"/>
          <w:lang w:val="cs-CZ"/>
        </w:rPr>
        <w:t xml:space="preserve">. Praha: </w:t>
      </w:r>
      <w:proofErr w:type="spellStart"/>
      <w:r w:rsidRPr="003248B1">
        <w:rPr>
          <w:rFonts w:ascii="Garamond" w:hAnsi="Garamond"/>
          <w:lang w:val="cs-CZ"/>
        </w:rPr>
        <w:t>Grada</w:t>
      </w:r>
      <w:proofErr w:type="spellEnd"/>
      <w:r w:rsidRPr="003248B1">
        <w:rPr>
          <w:rFonts w:ascii="Garamond" w:hAnsi="Garamond"/>
          <w:lang w:val="cs-CZ"/>
        </w:rPr>
        <w:t>, 2012, s.</w:t>
      </w:r>
      <w:r>
        <w:rPr>
          <w:rFonts w:ascii="Garamond" w:hAnsi="Garamond"/>
          <w:lang w:val="cs-CZ"/>
        </w:rPr>
        <w:t xml:space="preserve"> 146-149.</w:t>
      </w:r>
    </w:p>
    <w:p w14:paraId="5FADE79A" w14:textId="3BA4A5B0" w:rsidR="006B64BA" w:rsidRDefault="006B64BA" w:rsidP="00970A70">
      <w:pPr>
        <w:pStyle w:val="ListParagraph"/>
        <w:numPr>
          <w:ilvl w:val="0"/>
          <w:numId w:val="10"/>
        </w:numPr>
        <w:spacing w:line="360" w:lineRule="auto"/>
        <w:jc w:val="both"/>
        <w:rPr>
          <w:rFonts w:ascii="Garamond" w:hAnsi="Garamond"/>
          <w:lang w:val="cs-CZ"/>
        </w:rPr>
      </w:pPr>
      <w:r w:rsidRPr="006B64BA">
        <w:rPr>
          <w:rFonts w:ascii="Garamond" w:hAnsi="Garamond"/>
          <w:lang w:val="cs-CZ"/>
        </w:rPr>
        <w:t xml:space="preserve">KRÁLÍČKOVÁ, Zdeňka. Péče o zdraví nezletilého dítěte. </w:t>
      </w:r>
      <w:r w:rsidRPr="006B64BA">
        <w:rPr>
          <w:rFonts w:ascii="Garamond" w:hAnsi="Garamond"/>
          <w:i/>
          <w:lang w:val="cs-CZ"/>
        </w:rPr>
        <w:t>Časopis zdravotnického práva a bioetiky</w:t>
      </w:r>
      <w:r w:rsidR="00522EEE">
        <w:rPr>
          <w:rFonts w:ascii="Garamond" w:hAnsi="Garamond"/>
          <w:lang w:val="cs-CZ"/>
        </w:rPr>
        <w:t>,</w:t>
      </w:r>
      <w:r w:rsidRPr="006B64BA">
        <w:rPr>
          <w:rFonts w:ascii="Garamond" w:hAnsi="Garamond"/>
          <w:lang w:val="cs-CZ"/>
        </w:rPr>
        <w:t xml:space="preserve"> 2016, č. 2, s.</w:t>
      </w:r>
      <w:r>
        <w:rPr>
          <w:rFonts w:ascii="Garamond" w:hAnsi="Garamond"/>
          <w:lang w:val="cs-CZ"/>
        </w:rPr>
        <w:t xml:space="preserve"> 20-35.</w:t>
      </w:r>
    </w:p>
    <w:p w14:paraId="20FF109C" w14:textId="626CFF76" w:rsidR="00B721D1" w:rsidRPr="00A17F03" w:rsidRDefault="00B721D1" w:rsidP="00970A70">
      <w:pPr>
        <w:pStyle w:val="ListParagraph"/>
        <w:numPr>
          <w:ilvl w:val="0"/>
          <w:numId w:val="10"/>
        </w:numPr>
        <w:spacing w:line="360" w:lineRule="auto"/>
        <w:jc w:val="both"/>
        <w:rPr>
          <w:rFonts w:ascii="Garamond" w:hAnsi="Garamond"/>
          <w:lang w:val="cs-CZ"/>
        </w:rPr>
      </w:pPr>
      <w:r w:rsidRPr="00B721D1">
        <w:rPr>
          <w:rFonts w:ascii="Garamond" w:hAnsi="Garamond"/>
          <w:lang w:val="cs-CZ"/>
        </w:rPr>
        <w:t xml:space="preserve">WAGNEROVÁ, Eliška, ŠIMÍČEK, Vojtěch, LANGÁŠEK, Tomáš, POSPÍŠIL, Ivo a kol. </w:t>
      </w:r>
      <w:r w:rsidRPr="00B721D1">
        <w:rPr>
          <w:rFonts w:ascii="Garamond" w:hAnsi="Garamond"/>
          <w:i/>
          <w:lang w:val="cs-CZ"/>
        </w:rPr>
        <w:t>Listina základních práv a svobod.</w:t>
      </w:r>
      <w:r>
        <w:rPr>
          <w:rFonts w:ascii="Garamond" w:hAnsi="Garamond"/>
          <w:i/>
          <w:lang w:val="cs-CZ"/>
        </w:rPr>
        <w:t xml:space="preserve"> </w:t>
      </w:r>
      <w:r w:rsidRPr="00B721D1">
        <w:rPr>
          <w:rFonts w:ascii="Garamond" w:hAnsi="Garamond"/>
          <w:i/>
          <w:lang w:val="cs-CZ"/>
        </w:rPr>
        <w:t>Komentář</w:t>
      </w:r>
      <w:r w:rsidRPr="00B721D1">
        <w:rPr>
          <w:rFonts w:ascii="Garamond" w:hAnsi="Garamond"/>
          <w:lang w:val="cs-CZ"/>
        </w:rPr>
        <w:t xml:space="preserve">. Praha: </w:t>
      </w:r>
      <w:proofErr w:type="spellStart"/>
      <w:r w:rsidRPr="00B721D1">
        <w:rPr>
          <w:rFonts w:ascii="Garamond" w:hAnsi="Garamond"/>
          <w:lang w:val="cs-CZ"/>
        </w:rPr>
        <w:t>Wolters</w:t>
      </w:r>
      <w:proofErr w:type="spellEnd"/>
      <w:r w:rsidRPr="00B721D1">
        <w:rPr>
          <w:rFonts w:ascii="Garamond" w:hAnsi="Garamond"/>
          <w:lang w:val="cs-CZ"/>
        </w:rPr>
        <w:t xml:space="preserve"> </w:t>
      </w:r>
      <w:proofErr w:type="spellStart"/>
      <w:r w:rsidRPr="00B721D1">
        <w:rPr>
          <w:rFonts w:ascii="Garamond" w:hAnsi="Garamond"/>
          <w:lang w:val="cs-CZ"/>
        </w:rPr>
        <w:t>Kluwer</w:t>
      </w:r>
      <w:proofErr w:type="spellEnd"/>
      <w:r w:rsidRPr="00B721D1">
        <w:rPr>
          <w:rFonts w:ascii="Garamond" w:hAnsi="Garamond"/>
          <w:lang w:val="cs-CZ"/>
        </w:rPr>
        <w:t xml:space="preserve"> ČR, a.s., 2012, </w:t>
      </w:r>
      <w:r>
        <w:rPr>
          <w:rFonts w:ascii="Garamond" w:hAnsi="Garamond"/>
          <w:lang w:val="cs-CZ"/>
        </w:rPr>
        <w:t>931 s.</w:t>
      </w:r>
    </w:p>
    <w:p w14:paraId="34A19DD3" w14:textId="77777777" w:rsidR="00FA0678" w:rsidRPr="00FA0678" w:rsidRDefault="00FA0678" w:rsidP="00FA0678">
      <w:pPr>
        <w:pStyle w:val="ListParagraph"/>
        <w:spacing w:line="360" w:lineRule="auto"/>
        <w:ind w:left="1080"/>
        <w:jc w:val="both"/>
        <w:rPr>
          <w:rFonts w:ascii="Garamond" w:eastAsia="Times New Roman" w:hAnsi="Garamond" w:cs="Times New Roman"/>
        </w:rPr>
      </w:pPr>
    </w:p>
    <w:p w14:paraId="793B724E" w14:textId="67C3D4E8" w:rsidR="00412C93" w:rsidRPr="007759EE" w:rsidRDefault="00412C93" w:rsidP="003F3660">
      <w:pPr>
        <w:pStyle w:val="Heading2"/>
        <w:numPr>
          <w:ilvl w:val="0"/>
          <w:numId w:val="4"/>
        </w:numPr>
        <w:spacing w:line="360" w:lineRule="auto"/>
        <w:ind w:left="720" w:hanging="720"/>
        <w:rPr>
          <w:lang w:val="cs-CZ"/>
        </w:rPr>
      </w:pPr>
      <w:bookmarkStart w:id="20" w:name="_Toc11919786"/>
      <w:r w:rsidRPr="007759EE">
        <w:rPr>
          <w:lang w:val="cs-CZ"/>
        </w:rPr>
        <w:t>Internetové zdroje</w:t>
      </w:r>
      <w:bookmarkEnd w:id="20"/>
    </w:p>
    <w:p w14:paraId="27230034" w14:textId="77777777" w:rsidR="00BD09A8" w:rsidRPr="00A17E97" w:rsidRDefault="00167812" w:rsidP="00FE2CFF">
      <w:pPr>
        <w:pStyle w:val="ListParagraph"/>
        <w:numPr>
          <w:ilvl w:val="0"/>
          <w:numId w:val="12"/>
        </w:numPr>
        <w:spacing w:line="360" w:lineRule="auto"/>
        <w:jc w:val="both"/>
        <w:rPr>
          <w:rFonts w:ascii="Garamond" w:hAnsi="Garamond"/>
        </w:rPr>
      </w:pPr>
      <w:r w:rsidRPr="00A17E97">
        <w:rPr>
          <w:rFonts w:ascii="Garamond" w:hAnsi="Garamond"/>
        </w:rPr>
        <w:t xml:space="preserve">HENDRIKS, A. C. </w:t>
      </w:r>
      <w:r w:rsidRPr="00A17E97">
        <w:rPr>
          <w:rFonts w:ascii="Garamond" w:hAnsi="Garamond"/>
          <w:i/>
        </w:rPr>
        <w:t>End-of-life decisions. Recent jurisprudence of the European Court of Human Rights</w:t>
      </w:r>
      <w:r w:rsidRPr="00A17E97">
        <w:rPr>
          <w:rFonts w:ascii="Garamond" w:hAnsi="Garamond"/>
        </w:rPr>
        <w:t xml:space="preserve"> [online]. ERA Forum, 19.9.2018 [cit. 4.2.2019]. </w:t>
      </w:r>
      <w:r w:rsidRPr="00875B5B">
        <w:rPr>
          <w:rFonts w:ascii="Garamond" w:hAnsi="Garamond"/>
          <w:lang w:val="cs-CZ"/>
        </w:rPr>
        <w:t>Dostupné na</w:t>
      </w:r>
      <w:r w:rsidRPr="00A17E97">
        <w:rPr>
          <w:rFonts w:ascii="Garamond" w:hAnsi="Garamond"/>
        </w:rPr>
        <w:t xml:space="preserve"> &lt;</w:t>
      </w:r>
      <w:hyperlink r:id="rId10" w:history="1">
        <w:r w:rsidRPr="00A17E97">
          <w:rPr>
            <w:rStyle w:val="Hyperlink"/>
            <w:rFonts w:ascii="Garamond" w:hAnsi="Garamond"/>
          </w:rPr>
          <w:t>https://doi.org/10.1007/s12027-018-0530-7</w:t>
        </w:r>
      </w:hyperlink>
      <w:r w:rsidRPr="00A17E97">
        <w:rPr>
          <w:rFonts w:ascii="Garamond" w:hAnsi="Garamond"/>
        </w:rPr>
        <w:t>&gt;.</w:t>
      </w:r>
    </w:p>
    <w:p w14:paraId="383E6B56" w14:textId="77777777" w:rsidR="00FE2CFF" w:rsidRPr="00A17E97" w:rsidRDefault="00BD09A8" w:rsidP="00FE2CFF">
      <w:pPr>
        <w:pStyle w:val="ListParagraph"/>
        <w:numPr>
          <w:ilvl w:val="0"/>
          <w:numId w:val="12"/>
        </w:numPr>
        <w:spacing w:line="360" w:lineRule="auto"/>
        <w:jc w:val="both"/>
        <w:rPr>
          <w:rFonts w:ascii="Garamond" w:hAnsi="Garamond"/>
        </w:rPr>
      </w:pPr>
      <w:r w:rsidRPr="00A17E97">
        <w:rPr>
          <w:rFonts w:ascii="Garamond" w:hAnsi="Garamond"/>
        </w:rPr>
        <w:lastRenderedPageBreak/>
        <w:t xml:space="preserve">SARTORI Daria. </w:t>
      </w:r>
      <w:r w:rsidRPr="00A17E97">
        <w:rPr>
          <w:rFonts w:ascii="Garamond" w:hAnsi="Garamond"/>
          <w:i/>
        </w:rPr>
        <w:t>End-of-life issues at the European Court of Human Rights. The value of personal autonomy within a „</w:t>
      </w:r>
      <w:proofErr w:type="spellStart"/>
      <w:proofErr w:type="gramStart"/>
      <w:r w:rsidRPr="00A17E97">
        <w:rPr>
          <w:rFonts w:ascii="Garamond" w:hAnsi="Garamond"/>
          <w:i/>
        </w:rPr>
        <w:t>proceduralized</w:t>
      </w:r>
      <w:proofErr w:type="spellEnd"/>
      <w:r w:rsidRPr="00A17E97">
        <w:rPr>
          <w:rFonts w:ascii="Garamond" w:hAnsi="Garamond"/>
          <w:i/>
        </w:rPr>
        <w:t>“ review</w:t>
      </w:r>
      <w:proofErr w:type="gramEnd"/>
      <w:r w:rsidRPr="00A17E97">
        <w:rPr>
          <w:rFonts w:ascii="Garamond" w:hAnsi="Garamond"/>
        </w:rPr>
        <w:t xml:space="preserve"> [online]. Questions of International Law, 30.6.2018 [cit. 4.2.2019]. </w:t>
      </w:r>
      <w:r w:rsidRPr="00875B5B">
        <w:rPr>
          <w:rFonts w:ascii="Garamond" w:hAnsi="Garamond"/>
          <w:lang w:val="cs-CZ"/>
        </w:rPr>
        <w:t>Dostupné na</w:t>
      </w:r>
      <w:r w:rsidRPr="00A17E97">
        <w:rPr>
          <w:rFonts w:ascii="Garamond" w:hAnsi="Garamond"/>
        </w:rPr>
        <w:t xml:space="preserve"> &lt;</w:t>
      </w:r>
      <w:hyperlink r:id="rId11" w:history="1">
        <w:r w:rsidRPr="00A17E97">
          <w:rPr>
            <w:rStyle w:val="Hyperlink"/>
            <w:rFonts w:ascii="Garamond" w:hAnsi="Garamond"/>
          </w:rPr>
          <w:t>http://www.qil-qdi.org/wp-content/uploads/2018/06/03_End-Life_SARTORI_FIN.pdf</w:t>
        </w:r>
      </w:hyperlink>
      <w:r w:rsidRPr="00A17E97">
        <w:rPr>
          <w:rFonts w:ascii="Garamond" w:hAnsi="Garamond"/>
        </w:rPr>
        <w:t>&gt;.</w:t>
      </w:r>
    </w:p>
    <w:p w14:paraId="68A79A07" w14:textId="42F98C42" w:rsidR="00FE2CFF" w:rsidRPr="00A17E97" w:rsidRDefault="00FE2CFF" w:rsidP="00FE2CFF">
      <w:pPr>
        <w:pStyle w:val="ListParagraph"/>
        <w:numPr>
          <w:ilvl w:val="0"/>
          <w:numId w:val="12"/>
        </w:numPr>
        <w:spacing w:line="360" w:lineRule="auto"/>
        <w:jc w:val="both"/>
        <w:rPr>
          <w:rFonts w:ascii="Garamond" w:hAnsi="Garamond"/>
        </w:rPr>
      </w:pPr>
      <w:r w:rsidRPr="00A17E97">
        <w:rPr>
          <w:rFonts w:ascii="Garamond" w:hAnsi="Garamond"/>
          <w:i/>
        </w:rPr>
        <w:t xml:space="preserve">Belgium’s parliament votes through child euthanasia </w:t>
      </w:r>
      <w:r w:rsidRPr="00A17E97">
        <w:rPr>
          <w:rFonts w:ascii="Garamond" w:hAnsi="Garamond"/>
        </w:rPr>
        <w:t xml:space="preserve">[online]. BBC News, 13.2.2014 [cit. 8.2.2019]. </w:t>
      </w:r>
      <w:r w:rsidRPr="00875B5B">
        <w:rPr>
          <w:rFonts w:ascii="Garamond" w:hAnsi="Garamond"/>
          <w:lang w:val="cs-CZ"/>
        </w:rPr>
        <w:t>Dostupné na</w:t>
      </w:r>
      <w:r w:rsidRPr="00A17E97">
        <w:rPr>
          <w:rFonts w:ascii="Garamond" w:hAnsi="Garamond"/>
        </w:rPr>
        <w:t xml:space="preserve"> &lt;</w:t>
      </w:r>
      <w:hyperlink r:id="rId12" w:history="1">
        <w:r w:rsidRPr="00A17E97">
          <w:rPr>
            <w:rStyle w:val="Hyperlink"/>
            <w:rFonts w:ascii="Garamond" w:hAnsi="Garamond"/>
          </w:rPr>
          <w:t>https://www.bbc.com/news/world-europe-26181615</w:t>
        </w:r>
      </w:hyperlink>
      <w:r w:rsidRPr="00A17E97">
        <w:rPr>
          <w:rFonts w:ascii="Garamond" w:hAnsi="Garamond"/>
        </w:rPr>
        <w:t>&gt;.</w:t>
      </w:r>
    </w:p>
    <w:p w14:paraId="6D00C2AD" w14:textId="721A5265" w:rsidR="006756C8" w:rsidRDefault="00FE6246" w:rsidP="006756C8">
      <w:pPr>
        <w:pStyle w:val="ListParagraph"/>
        <w:numPr>
          <w:ilvl w:val="0"/>
          <w:numId w:val="12"/>
        </w:numPr>
        <w:spacing w:line="360" w:lineRule="auto"/>
        <w:jc w:val="both"/>
        <w:rPr>
          <w:rFonts w:ascii="Garamond" w:hAnsi="Garamond"/>
        </w:rPr>
      </w:pPr>
      <w:r>
        <w:rPr>
          <w:rFonts w:ascii="Garamond" w:hAnsi="Garamond"/>
        </w:rPr>
        <w:t xml:space="preserve">SAMUEL, Henry. </w:t>
      </w:r>
      <w:r w:rsidR="00132485" w:rsidRPr="00A17E97">
        <w:rPr>
          <w:rFonts w:ascii="Garamond" w:hAnsi="Garamond"/>
          <w:i/>
        </w:rPr>
        <w:t>Belgium authorised euthanasia of a terminally ill nine and 11-year-old in youngest cases worldwide</w:t>
      </w:r>
      <w:r w:rsidR="00132485" w:rsidRPr="00A17E97">
        <w:rPr>
          <w:rFonts w:ascii="Garamond" w:hAnsi="Garamond"/>
        </w:rPr>
        <w:t xml:space="preserve"> [online]. The Telegraph, 7.8.2018 [cit. 8.2.2019]. </w:t>
      </w:r>
      <w:r w:rsidR="00132485" w:rsidRPr="00875B5B">
        <w:rPr>
          <w:rFonts w:ascii="Garamond" w:hAnsi="Garamond"/>
          <w:lang w:val="cs-CZ"/>
        </w:rPr>
        <w:t>Dostupné na</w:t>
      </w:r>
      <w:r w:rsidR="00132485" w:rsidRPr="00A17E97">
        <w:rPr>
          <w:rFonts w:ascii="Garamond" w:hAnsi="Garamond"/>
        </w:rPr>
        <w:t xml:space="preserve"> &lt;</w:t>
      </w:r>
      <w:hyperlink r:id="rId13" w:history="1">
        <w:r w:rsidR="00132485" w:rsidRPr="00A17E97">
          <w:rPr>
            <w:rStyle w:val="Hyperlink"/>
            <w:rFonts w:ascii="Garamond" w:hAnsi="Garamond"/>
          </w:rPr>
          <w:t>https://www.telegraph.co.uk/news/2018/08/07/belgium-authorised-euthanasia-terminally-nine-11-year-old-youngest/</w:t>
        </w:r>
      </w:hyperlink>
      <w:r w:rsidR="00132485" w:rsidRPr="00A17E97">
        <w:rPr>
          <w:rFonts w:ascii="Garamond" w:hAnsi="Garamond"/>
        </w:rPr>
        <w:t xml:space="preserve">&gt;. </w:t>
      </w:r>
    </w:p>
    <w:p w14:paraId="2836ED8F" w14:textId="284BB832" w:rsidR="006756C8" w:rsidRDefault="006756C8" w:rsidP="006756C8">
      <w:pPr>
        <w:pStyle w:val="ListParagraph"/>
        <w:numPr>
          <w:ilvl w:val="0"/>
          <w:numId w:val="12"/>
        </w:numPr>
        <w:spacing w:line="360" w:lineRule="auto"/>
        <w:jc w:val="both"/>
        <w:rPr>
          <w:rFonts w:ascii="Garamond" w:hAnsi="Garamond"/>
        </w:rPr>
      </w:pPr>
      <w:r w:rsidRPr="00222817">
        <w:rPr>
          <w:rFonts w:ascii="Garamond" w:hAnsi="Garamond"/>
          <w:lang w:val="cs-CZ"/>
        </w:rPr>
        <w:t>Záznam</w:t>
      </w:r>
      <w:r w:rsidRPr="006756C8">
        <w:rPr>
          <w:rFonts w:ascii="Garamond" w:hAnsi="Garamond"/>
        </w:rPr>
        <w:t xml:space="preserve"> </w:t>
      </w:r>
      <w:proofErr w:type="spellStart"/>
      <w:r w:rsidRPr="006756C8">
        <w:rPr>
          <w:rFonts w:ascii="Garamond" w:hAnsi="Garamond"/>
        </w:rPr>
        <w:t>Khattabi</w:t>
      </w:r>
      <w:proofErr w:type="spellEnd"/>
      <w:r w:rsidRPr="006756C8">
        <w:rPr>
          <w:rFonts w:ascii="Garamond" w:hAnsi="Garamond"/>
        </w:rPr>
        <w:t xml:space="preserve"> a Van Hoof</w:t>
      </w:r>
      <w:r w:rsidR="00222817">
        <w:rPr>
          <w:rFonts w:ascii="Garamond" w:hAnsi="Garamond"/>
        </w:rPr>
        <w:t>.</w:t>
      </w:r>
      <w:r w:rsidRPr="006756C8">
        <w:rPr>
          <w:rFonts w:ascii="Garamond" w:hAnsi="Garamond"/>
        </w:rPr>
        <w:t xml:space="preserve"> </w:t>
      </w:r>
      <w:r w:rsidR="00222817" w:rsidRPr="00222817">
        <w:rPr>
          <w:rFonts w:ascii="Garamond" w:hAnsi="Garamond"/>
          <w:i/>
          <w:lang w:val="cs-CZ"/>
        </w:rPr>
        <w:t>P</w:t>
      </w:r>
      <w:r w:rsidRPr="00222817">
        <w:rPr>
          <w:rFonts w:ascii="Garamond" w:hAnsi="Garamond"/>
          <w:i/>
          <w:lang w:val="cs-CZ"/>
        </w:rPr>
        <w:t>arlamentní řízení (Senát)</w:t>
      </w:r>
      <w:r w:rsidRPr="00222817">
        <w:rPr>
          <w:rFonts w:ascii="Garamond" w:hAnsi="Garamond"/>
          <w:i/>
        </w:rPr>
        <w:t xml:space="preserve"> 5-2170/4</w:t>
      </w:r>
      <w:r w:rsidR="00222817">
        <w:rPr>
          <w:rFonts w:ascii="Garamond" w:hAnsi="Garamond"/>
        </w:rPr>
        <w:t xml:space="preserve"> [online]</w:t>
      </w:r>
      <w:r w:rsidRPr="006756C8">
        <w:rPr>
          <w:rFonts w:ascii="Garamond" w:hAnsi="Garamond"/>
        </w:rPr>
        <w:t xml:space="preserve">. </w:t>
      </w:r>
      <w:r w:rsidR="00DD526A">
        <w:rPr>
          <w:rFonts w:ascii="Garamond" w:hAnsi="Garamond"/>
        </w:rPr>
        <w:t xml:space="preserve">De </w:t>
      </w:r>
      <w:proofErr w:type="spellStart"/>
      <w:r w:rsidR="00DD526A">
        <w:rPr>
          <w:rFonts w:ascii="Garamond" w:hAnsi="Garamond"/>
        </w:rPr>
        <w:t>Belgische</w:t>
      </w:r>
      <w:proofErr w:type="spellEnd"/>
      <w:r w:rsidR="00DD526A">
        <w:rPr>
          <w:rFonts w:ascii="Garamond" w:hAnsi="Garamond"/>
        </w:rPr>
        <w:t xml:space="preserve"> </w:t>
      </w:r>
      <w:proofErr w:type="spellStart"/>
      <w:r w:rsidR="00DD526A">
        <w:rPr>
          <w:rFonts w:ascii="Garamond" w:hAnsi="Garamond"/>
        </w:rPr>
        <w:t>Senaat</w:t>
      </w:r>
      <w:proofErr w:type="spellEnd"/>
      <w:r w:rsidR="00DD526A">
        <w:rPr>
          <w:rFonts w:ascii="Garamond" w:hAnsi="Garamond"/>
        </w:rPr>
        <w:t xml:space="preserve">, </w:t>
      </w:r>
      <w:r w:rsidRPr="006756C8">
        <w:rPr>
          <w:rFonts w:ascii="Garamond" w:hAnsi="Garamond"/>
        </w:rPr>
        <w:t>4.12.2013 [cit.</w:t>
      </w:r>
      <w:r w:rsidR="008B22CF">
        <w:rPr>
          <w:rFonts w:ascii="Garamond" w:hAnsi="Garamond"/>
        </w:rPr>
        <w:t xml:space="preserve"> </w:t>
      </w:r>
      <w:r w:rsidRPr="006756C8">
        <w:rPr>
          <w:rFonts w:ascii="Garamond" w:hAnsi="Garamond"/>
        </w:rPr>
        <w:t xml:space="preserve">10.2.2019]. </w:t>
      </w:r>
      <w:r w:rsidRPr="008B22CF">
        <w:rPr>
          <w:rFonts w:ascii="Garamond" w:hAnsi="Garamond"/>
          <w:lang w:val="cs-CZ"/>
        </w:rPr>
        <w:t>Dostupné na</w:t>
      </w:r>
      <w:r w:rsidRPr="006756C8">
        <w:rPr>
          <w:rFonts w:ascii="Garamond" w:hAnsi="Garamond"/>
        </w:rPr>
        <w:t xml:space="preserve"> &lt;</w:t>
      </w:r>
      <w:hyperlink r:id="rId14" w:history="1">
        <w:r w:rsidRPr="006756C8">
          <w:rPr>
            <w:rStyle w:val="Hyperlink"/>
            <w:rFonts w:ascii="Garamond" w:hAnsi="Garamond"/>
          </w:rPr>
          <w:t>https://www.senate.be/www/webdriver?MItabObj=pdf&amp;MIcolObj=pdf&amp;MInamObj=pdfid&amp;MItypeObj=application/pdf&amp;MIvalObj=83890649</w:t>
        </w:r>
      </w:hyperlink>
      <w:r w:rsidRPr="006756C8">
        <w:rPr>
          <w:rFonts w:ascii="Garamond" w:hAnsi="Garamond"/>
        </w:rPr>
        <w:t>&gt;.</w:t>
      </w:r>
    </w:p>
    <w:p w14:paraId="10297637" w14:textId="5E24ED0C" w:rsidR="00FA0678" w:rsidRPr="00672F99" w:rsidRDefault="00FA0678" w:rsidP="00926F0E">
      <w:pPr>
        <w:pStyle w:val="ListParagraph"/>
        <w:numPr>
          <w:ilvl w:val="0"/>
          <w:numId w:val="12"/>
        </w:numPr>
        <w:spacing w:line="360" w:lineRule="auto"/>
        <w:jc w:val="both"/>
        <w:rPr>
          <w:rFonts w:ascii="Garamond" w:eastAsia="Times New Roman" w:hAnsi="Garamond" w:cs="Times New Roman"/>
        </w:rPr>
      </w:pPr>
      <w:r w:rsidRPr="00F26C26">
        <w:rPr>
          <w:rFonts w:ascii="Garamond" w:hAnsi="Garamond"/>
        </w:rPr>
        <w:t xml:space="preserve">SMIES, Jonathan T. </w:t>
      </w:r>
      <w:r w:rsidRPr="00FA0678">
        <w:rPr>
          <w:rFonts w:ascii="Garamond" w:hAnsi="Garamond"/>
          <w:i/>
        </w:rPr>
        <w:t>The Legalization of Euthanasia in the Netherlands</w:t>
      </w:r>
      <w:r>
        <w:rPr>
          <w:rFonts w:ascii="Garamond" w:hAnsi="Garamond"/>
          <w:i/>
        </w:rPr>
        <w:t xml:space="preserve"> </w:t>
      </w:r>
      <w:r>
        <w:rPr>
          <w:rFonts w:ascii="Garamond" w:hAnsi="Garamond"/>
        </w:rPr>
        <w:t>[online]</w:t>
      </w:r>
      <w:r w:rsidRPr="00F26C26">
        <w:rPr>
          <w:rFonts w:ascii="Garamond" w:hAnsi="Garamond"/>
        </w:rPr>
        <w:t xml:space="preserve">. </w:t>
      </w:r>
      <w:r w:rsidRPr="00C93141">
        <w:rPr>
          <w:rFonts w:ascii="Garamond" w:hAnsi="Garamond"/>
        </w:rPr>
        <w:t>Gonzaga Journal of International Law.</w:t>
      </w:r>
      <w:r w:rsidRPr="00F26C26">
        <w:rPr>
          <w:rFonts w:ascii="Garamond" w:hAnsi="Garamond"/>
        </w:rPr>
        <w:t xml:space="preserve"> 2003-2004</w:t>
      </w:r>
      <w:r>
        <w:rPr>
          <w:rFonts w:ascii="Garamond" w:hAnsi="Garamond"/>
        </w:rPr>
        <w:t xml:space="preserve"> [cit. 11.2.2019]. </w:t>
      </w:r>
      <w:r w:rsidRPr="00875B5B">
        <w:rPr>
          <w:rFonts w:ascii="Garamond" w:hAnsi="Garamond"/>
          <w:lang w:val="cs-CZ"/>
        </w:rPr>
        <w:t>Dostupné na</w:t>
      </w:r>
      <w:r>
        <w:rPr>
          <w:rFonts w:ascii="Garamond" w:hAnsi="Garamond"/>
        </w:rPr>
        <w:t xml:space="preserve"> &lt;</w:t>
      </w:r>
      <w:hyperlink r:id="rId15" w:history="1">
        <w:r w:rsidRPr="00747DE1">
          <w:rPr>
            <w:rStyle w:val="Hyperlink"/>
            <w:rFonts w:ascii="Garamond" w:hAnsi="Garamond"/>
          </w:rPr>
          <w:t xml:space="preserve">https://www.law.gonzaga.edu/gjil/2006/03/the-legalization-of-euthanasia-in-the- </w:t>
        </w:r>
        <w:proofErr w:type="spellStart"/>
        <w:r w:rsidRPr="00747DE1">
          <w:rPr>
            <w:rStyle w:val="Hyperlink"/>
            <w:rFonts w:ascii="Garamond" w:hAnsi="Garamond"/>
          </w:rPr>
          <w:t>netherlands</w:t>
        </w:r>
        <w:proofErr w:type="spellEnd"/>
        <w:r w:rsidRPr="00747DE1">
          <w:rPr>
            <w:rStyle w:val="Hyperlink"/>
            <w:rFonts w:ascii="Garamond" w:hAnsi="Garamond"/>
          </w:rPr>
          <w:t>/</w:t>
        </w:r>
      </w:hyperlink>
      <w:r>
        <w:rPr>
          <w:rFonts w:ascii="Garamond" w:hAnsi="Garamond"/>
        </w:rPr>
        <w:t xml:space="preserve">&gt;. </w:t>
      </w:r>
    </w:p>
    <w:p w14:paraId="49A6D5FA" w14:textId="47CA48D2" w:rsidR="00672F99" w:rsidRPr="00F24066" w:rsidRDefault="00672F99" w:rsidP="00926F0E">
      <w:pPr>
        <w:pStyle w:val="ListParagraph"/>
        <w:numPr>
          <w:ilvl w:val="0"/>
          <w:numId w:val="12"/>
        </w:numPr>
        <w:spacing w:line="360" w:lineRule="auto"/>
        <w:jc w:val="both"/>
        <w:rPr>
          <w:rFonts w:ascii="Garamond" w:eastAsia="Times New Roman" w:hAnsi="Garamond" w:cs="Times New Roman"/>
        </w:rPr>
      </w:pPr>
      <w:r w:rsidRPr="00672F99">
        <w:rPr>
          <w:rFonts w:ascii="Garamond" w:hAnsi="Garamond"/>
        </w:rPr>
        <w:t xml:space="preserve">DIERICKX, Sigrid </w:t>
      </w:r>
      <w:r w:rsidRPr="000D0F86">
        <w:rPr>
          <w:rFonts w:ascii="Garamond" w:hAnsi="Garamond"/>
          <w:lang w:val="cs-CZ"/>
        </w:rPr>
        <w:t>a kol.</w:t>
      </w:r>
      <w:r w:rsidRPr="00672F99">
        <w:rPr>
          <w:rFonts w:ascii="Garamond" w:hAnsi="Garamond"/>
        </w:rPr>
        <w:t xml:space="preserve"> </w:t>
      </w:r>
      <w:r w:rsidRPr="00672F99">
        <w:rPr>
          <w:rFonts w:ascii="Garamond" w:hAnsi="Garamond"/>
          <w:i/>
        </w:rPr>
        <w:t>Euthanasia in Belgium: trends in reported cases between 2003 and 2013</w:t>
      </w:r>
      <w:r w:rsidRPr="00672F99">
        <w:rPr>
          <w:rFonts w:ascii="Garamond" w:hAnsi="Garamond"/>
        </w:rPr>
        <w:t xml:space="preserve"> [online]. CMAJ</w:t>
      </w:r>
      <w:r>
        <w:rPr>
          <w:rFonts w:ascii="Garamond" w:hAnsi="Garamond"/>
        </w:rPr>
        <w:t xml:space="preserve">, 1.11.2016 [cit. 15.2.2019]. </w:t>
      </w:r>
      <w:r w:rsidRPr="00875B5B">
        <w:rPr>
          <w:rFonts w:ascii="Garamond" w:hAnsi="Garamond"/>
          <w:lang w:val="cs-CZ"/>
        </w:rPr>
        <w:t>Dostupné na</w:t>
      </w:r>
      <w:r>
        <w:rPr>
          <w:rFonts w:ascii="Garamond" w:hAnsi="Garamond"/>
        </w:rPr>
        <w:t xml:space="preserve"> &lt;</w:t>
      </w:r>
      <w:hyperlink r:id="rId16" w:history="1">
        <w:r w:rsidRPr="000A5E61">
          <w:rPr>
            <w:rStyle w:val="Hyperlink"/>
            <w:rFonts w:ascii="Garamond" w:hAnsi="Garamond"/>
          </w:rPr>
          <w:t>https://doi.org/10.1503/cmaj.160202</w:t>
        </w:r>
      </w:hyperlink>
      <w:r>
        <w:rPr>
          <w:rFonts w:ascii="Garamond" w:hAnsi="Garamond"/>
        </w:rPr>
        <w:t xml:space="preserve">&gt;. </w:t>
      </w:r>
    </w:p>
    <w:p w14:paraId="36588C90" w14:textId="1BED6D48" w:rsidR="00F24066" w:rsidRPr="001E416A" w:rsidRDefault="00F24066" w:rsidP="00926F0E">
      <w:pPr>
        <w:pStyle w:val="ListParagraph"/>
        <w:numPr>
          <w:ilvl w:val="0"/>
          <w:numId w:val="12"/>
        </w:numPr>
        <w:spacing w:line="360" w:lineRule="auto"/>
        <w:jc w:val="both"/>
        <w:rPr>
          <w:rFonts w:ascii="Garamond" w:eastAsia="Times New Roman" w:hAnsi="Garamond" w:cs="Times New Roman"/>
        </w:rPr>
      </w:pPr>
      <w:r w:rsidRPr="00F24066">
        <w:rPr>
          <w:rFonts w:ascii="Garamond" w:hAnsi="Garamond"/>
        </w:rPr>
        <w:t xml:space="preserve">The Special Senate Committee on Euthanasia and Assisted Suicide. </w:t>
      </w:r>
      <w:r w:rsidRPr="00F24066">
        <w:rPr>
          <w:rFonts w:ascii="Garamond" w:hAnsi="Garamond"/>
          <w:i/>
        </w:rPr>
        <w:t xml:space="preserve">Of life and Death – Final Report </w:t>
      </w:r>
      <w:r w:rsidRPr="00F24066">
        <w:rPr>
          <w:rFonts w:ascii="Garamond" w:hAnsi="Garamond"/>
        </w:rPr>
        <w:t>[online].</w:t>
      </w:r>
      <w:r>
        <w:rPr>
          <w:rFonts w:ascii="Garamond" w:hAnsi="Garamond"/>
        </w:rPr>
        <w:t xml:space="preserve"> Senate of Canada,</w:t>
      </w:r>
      <w:r w:rsidRPr="00F24066">
        <w:rPr>
          <w:rFonts w:ascii="Garamond" w:hAnsi="Garamond"/>
        </w:rPr>
        <w:t xml:space="preserve"> </w:t>
      </w:r>
      <w:r w:rsidRPr="00875B5B">
        <w:rPr>
          <w:rFonts w:ascii="Garamond" w:hAnsi="Garamond"/>
          <w:lang w:val="cs-CZ"/>
        </w:rPr>
        <w:t>červen 1995 [cit. 22.2.2019]. Dostupné na</w:t>
      </w:r>
      <w:r w:rsidRPr="00F24066">
        <w:rPr>
          <w:rFonts w:ascii="Garamond" w:hAnsi="Garamond"/>
        </w:rPr>
        <w:t xml:space="preserve"> &lt;</w:t>
      </w:r>
      <w:hyperlink r:id="rId17" w:history="1">
        <w:r w:rsidRPr="00F24066">
          <w:rPr>
            <w:rStyle w:val="Hyperlink"/>
            <w:rFonts w:ascii="Garamond" w:hAnsi="Garamond"/>
          </w:rPr>
          <w:t>https://sencanada.ca/content/sen/committee/351/euth/rep/lad-e.htm</w:t>
        </w:r>
      </w:hyperlink>
      <w:r w:rsidRPr="00F24066">
        <w:rPr>
          <w:rFonts w:ascii="Garamond" w:hAnsi="Garamond"/>
        </w:rPr>
        <w:t>&gt;.</w:t>
      </w:r>
    </w:p>
    <w:p w14:paraId="7E863353" w14:textId="4DA7B6EF" w:rsidR="001E416A" w:rsidRPr="00B0368B" w:rsidRDefault="001E416A" w:rsidP="00926F0E">
      <w:pPr>
        <w:pStyle w:val="ListParagraph"/>
        <w:numPr>
          <w:ilvl w:val="0"/>
          <w:numId w:val="12"/>
        </w:numPr>
        <w:spacing w:line="360" w:lineRule="auto"/>
        <w:jc w:val="both"/>
        <w:rPr>
          <w:rFonts w:ascii="Garamond" w:eastAsia="Times New Roman" w:hAnsi="Garamond" w:cs="Times New Roman"/>
        </w:rPr>
      </w:pPr>
      <w:r w:rsidRPr="001E416A">
        <w:rPr>
          <w:rFonts w:ascii="Garamond" w:hAnsi="Garamond"/>
          <w:lang w:val="cs-CZ"/>
        </w:rPr>
        <w:t xml:space="preserve">ČERNÝ, David. </w:t>
      </w:r>
      <w:r w:rsidRPr="001E416A">
        <w:rPr>
          <w:rFonts w:ascii="Garamond" w:hAnsi="Garamond"/>
          <w:i/>
          <w:lang w:val="cs-CZ"/>
        </w:rPr>
        <w:t>Stanovisko k návrhu zákona o důstojné smrti</w:t>
      </w:r>
      <w:r w:rsidRPr="001E416A">
        <w:rPr>
          <w:rFonts w:ascii="Garamond" w:hAnsi="Garamond"/>
          <w:lang w:val="cs-CZ"/>
        </w:rPr>
        <w:t xml:space="preserve"> [online]. Zdravotnické právo a bioetika,</w:t>
      </w:r>
      <w:r>
        <w:rPr>
          <w:rFonts w:ascii="Garamond" w:hAnsi="Garamond"/>
          <w:lang w:val="cs-CZ"/>
        </w:rPr>
        <w:t xml:space="preserve"> 6.6.2016 [cit. 24.2.2019]. Dostupné na &lt;</w:t>
      </w:r>
      <w:hyperlink r:id="rId18" w:history="1">
        <w:r w:rsidRPr="000A5E61">
          <w:rPr>
            <w:rStyle w:val="Hyperlink"/>
            <w:rFonts w:ascii="Garamond" w:hAnsi="Garamond"/>
            <w:lang w:val="cs-CZ"/>
          </w:rPr>
          <w:t>https://zdravotnickepravo.info/stanovisko-k-navrhu-zakona-o-dustojne-smrti/</w:t>
        </w:r>
      </w:hyperlink>
      <w:r>
        <w:rPr>
          <w:rFonts w:ascii="Garamond" w:hAnsi="Garamond"/>
          <w:lang w:val="cs-CZ"/>
        </w:rPr>
        <w:t xml:space="preserve">&gt;. </w:t>
      </w:r>
    </w:p>
    <w:p w14:paraId="4949F15C" w14:textId="2A8A9178" w:rsidR="00B0368B" w:rsidRPr="00EF517A" w:rsidRDefault="00DA63C1" w:rsidP="00B0368B">
      <w:pPr>
        <w:pStyle w:val="ListParagraph"/>
        <w:numPr>
          <w:ilvl w:val="0"/>
          <w:numId w:val="12"/>
        </w:numPr>
        <w:spacing w:line="360" w:lineRule="auto"/>
        <w:jc w:val="both"/>
        <w:rPr>
          <w:rFonts w:ascii="Garamond" w:eastAsia="Times New Roman" w:hAnsi="Garamond" w:cs="Times New Roman"/>
          <w:sz w:val="22"/>
          <w:lang w:val="cs-CZ"/>
        </w:rPr>
      </w:pPr>
      <w:proofErr w:type="spellStart"/>
      <w:r>
        <w:rPr>
          <w:rFonts w:ascii="Garamond" w:eastAsia="Times New Roman" w:hAnsi="Garamond" w:cs="Times New Roman"/>
          <w:szCs w:val="27"/>
          <w:shd w:val="clear" w:color="auto" w:fill="FFFFFF"/>
          <w:lang w:val="cs-CZ"/>
        </w:rPr>
        <w:t>Orde</w:t>
      </w:r>
      <w:proofErr w:type="spellEnd"/>
      <w:r>
        <w:rPr>
          <w:rFonts w:ascii="Garamond" w:eastAsia="Times New Roman" w:hAnsi="Garamond" w:cs="Times New Roman"/>
          <w:szCs w:val="27"/>
          <w:shd w:val="clear" w:color="auto" w:fill="FFFFFF"/>
          <w:lang w:val="cs-CZ"/>
        </w:rPr>
        <w:t xml:space="preserve"> der </w:t>
      </w:r>
      <w:proofErr w:type="spellStart"/>
      <w:r>
        <w:rPr>
          <w:rFonts w:ascii="Garamond" w:eastAsia="Times New Roman" w:hAnsi="Garamond" w:cs="Times New Roman"/>
          <w:szCs w:val="27"/>
          <w:shd w:val="clear" w:color="auto" w:fill="FFFFFF"/>
          <w:lang w:val="cs-CZ"/>
        </w:rPr>
        <w:t>Artsen</w:t>
      </w:r>
      <w:proofErr w:type="spellEnd"/>
      <w:r>
        <w:rPr>
          <w:rFonts w:ascii="Garamond" w:eastAsia="Times New Roman" w:hAnsi="Garamond" w:cs="Times New Roman"/>
          <w:szCs w:val="27"/>
          <w:shd w:val="clear" w:color="auto" w:fill="FFFFFF"/>
          <w:lang w:val="cs-CZ"/>
        </w:rPr>
        <w:t xml:space="preserve">, </w:t>
      </w:r>
      <w:proofErr w:type="spellStart"/>
      <w:r>
        <w:rPr>
          <w:rFonts w:ascii="Garamond" w:eastAsia="Times New Roman" w:hAnsi="Garamond" w:cs="Times New Roman"/>
          <w:szCs w:val="27"/>
          <w:shd w:val="clear" w:color="auto" w:fill="FFFFFF"/>
          <w:lang w:val="cs-CZ"/>
        </w:rPr>
        <w:t>Nationale</w:t>
      </w:r>
      <w:proofErr w:type="spellEnd"/>
      <w:r>
        <w:rPr>
          <w:rFonts w:ascii="Garamond" w:eastAsia="Times New Roman" w:hAnsi="Garamond" w:cs="Times New Roman"/>
          <w:szCs w:val="27"/>
          <w:shd w:val="clear" w:color="auto" w:fill="FFFFFF"/>
          <w:lang w:val="cs-CZ"/>
        </w:rPr>
        <w:t xml:space="preserve"> </w:t>
      </w:r>
      <w:proofErr w:type="spellStart"/>
      <w:r>
        <w:rPr>
          <w:rFonts w:ascii="Garamond" w:eastAsia="Times New Roman" w:hAnsi="Garamond" w:cs="Times New Roman"/>
          <w:szCs w:val="27"/>
          <w:shd w:val="clear" w:color="auto" w:fill="FFFFFF"/>
          <w:lang w:val="cs-CZ"/>
        </w:rPr>
        <w:t>Raad</w:t>
      </w:r>
      <w:proofErr w:type="spellEnd"/>
      <w:r w:rsidR="00B0368B">
        <w:rPr>
          <w:rFonts w:ascii="Garamond" w:eastAsia="Times New Roman" w:hAnsi="Garamond" w:cs="Times New Roman"/>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Advies</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betreffende</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palliatieve</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zorg</w:t>
      </w:r>
      <w:proofErr w:type="spellEnd"/>
      <w:r w:rsidR="00B0368B" w:rsidRPr="0017436F">
        <w:rPr>
          <w:rFonts w:ascii="Garamond" w:eastAsia="Times New Roman" w:hAnsi="Garamond" w:cs="Times New Roman"/>
          <w:i/>
          <w:szCs w:val="27"/>
          <w:shd w:val="clear" w:color="auto" w:fill="FFFFFF"/>
          <w:lang w:val="cs-CZ"/>
        </w:rPr>
        <w:t xml:space="preserve">, euthanasie en </w:t>
      </w:r>
      <w:proofErr w:type="spellStart"/>
      <w:r w:rsidR="00B0368B" w:rsidRPr="0017436F">
        <w:rPr>
          <w:rFonts w:ascii="Garamond" w:eastAsia="Times New Roman" w:hAnsi="Garamond" w:cs="Times New Roman"/>
          <w:i/>
          <w:szCs w:val="27"/>
          <w:shd w:val="clear" w:color="auto" w:fill="FFFFFF"/>
          <w:lang w:val="cs-CZ"/>
        </w:rPr>
        <w:t>andere</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medische</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beslissingen</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omtrent</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het</w:t>
      </w:r>
      <w:proofErr w:type="spellEnd"/>
      <w:r w:rsidR="00B0368B" w:rsidRPr="0017436F">
        <w:rPr>
          <w:rFonts w:ascii="Garamond" w:eastAsia="Times New Roman" w:hAnsi="Garamond" w:cs="Times New Roman"/>
          <w:i/>
          <w:szCs w:val="27"/>
          <w:shd w:val="clear" w:color="auto" w:fill="FFFFFF"/>
          <w:lang w:val="cs-CZ"/>
        </w:rPr>
        <w:t xml:space="preserve"> </w:t>
      </w:r>
      <w:proofErr w:type="spellStart"/>
      <w:r w:rsidR="00B0368B" w:rsidRPr="0017436F">
        <w:rPr>
          <w:rFonts w:ascii="Garamond" w:eastAsia="Times New Roman" w:hAnsi="Garamond" w:cs="Times New Roman"/>
          <w:i/>
          <w:szCs w:val="27"/>
          <w:shd w:val="clear" w:color="auto" w:fill="FFFFFF"/>
          <w:lang w:val="cs-CZ"/>
        </w:rPr>
        <w:t>levenseinde</w:t>
      </w:r>
      <w:proofErr w:type="spellEnd"/>
      <w:r w:rsidR="00B0368B">
        <w:rPr>
          <w:rFonts w:ascii="Garamond" w:eastAsia="Times New Roman" w:hAnsi="Garamond" w:cs="Times New Roman"/>
          <w:i/>
          <w:szCs w:val="27"/>
          <w:shd w:val="clear" w:color="auto" w:fill="FFFFFF"/>
          <w:lang w:val="cs-CZ"/>
        </w:rPr>
        <w:t xml:space="preserve"> </w:t>
      </w:r>
      <w:r w:rsidR="00B0368B">
        <w:rPr>
          <w:rFonts w:ascii="Garamond" w:eastAsia="Times New Roman" w:hAnsi="Garamond" w:cs="Times New Roman"/>
          <w:szCs w:val="27"/>
          <w:shd w:val="clear" w:color="auto" w:fill="FFFFFF"/>
          <w:lang w:val="cs-CZ"/>
        </w:rPr>
        <w:t xml:space="preserve">[online]. </w:t>
      </w:r>
      <w:proofErr w:type="spellStart"/>
      <w:r>
        <w:rPr>
          <w:rFonts w:ascii="Garamond" w:eastAsia="Times New Roman" w:hAnsi="Garamond" w:cs="Times New Roman"/>
          <w:szCs w:val="27"/>
          <w:shd w:val="clear" w:color="auto" w:fill="FFFFFF"/>
          <w:lang w:val="cs-CZ"/>
        </w:rPr>
        <w:t>Orde</w:t>
      </w:r>
      <w:proofErr w:type="spellEnd"/>
      <w:r>
        <w:rPr>
          <w:rFonts w:ascii="Garamond" w:eastAsia="Times New Roman" w:hAnsi="Garamond" w:cs="Times New Roman"/>
          <w:szCs w:val="27"/>
          <w:shd w:val="clear" w:color="auto" w:fill="FFFFFF"/>
          <w:lang w:val="cs-CZ"/>
        </w:rPr>
        <w:t xml:space="preserve"> der </w:t>
      </w:r>
      <w:proofErr w:type="spellStart"/>
      <w:r>
        <w:rPr>
          <w:rFonts w:ascii="Garamond" w:eastAsia="Times New Roman" w:hAnsi="Garamond" w:cs="Times New Roman"/>
          <w:szCs w:val="27"/>
          <w:shd w:val="clear" w:color="auto" w:fill="FFFFFF"/>
          <w:lang w:val="cs-CZ"/>
        </w:rPr>
        <w:t>Artsen</w:t>
      </w:r>
      <w:proofErr w:type="spellEnd"/>
      <w:r>
        <w:rPr>
          <w:rFonts w:ascii="Garamond" w:eastAsia="Times New Roman" w:hAnsi="Garamond" w:cs="Times New Roman"/>
          <w:szCs w:val="27"/>
          <w:shd w:val="clear" w:color="auto" w:fill="FFFFFF"/>
          <w:lang w:val="cs-CZ"/>
        </w:rPr>
        <w:t xml:space="preserve">, </w:t>
      </w:r>
      <w:r w:rsidR="00B0368B">
        <w:rPr>
          <w:rFonts w:ascii="Garamond" w:eastAsia="Times New Roman" w:hAnsi="Garamond" w:cs="Times New Roman"/>
          <w:szCs w:val="27"/>
          <w:shd w:val="clear" w:color="auto" w:fill="FFFFFF"/>
          <w:lang w:val="cs-CZ"/>
        </w:rPr>
        <w:t>22.3.2003 [cit. 24.2.2019]. Dostupné na &lt;</w:t>
      </w:r>
      <w:hyperlink r:id="rId19" w:history="1">
        <w:r w:rsidR="00B0368B" w:rsidRPr="00C111F6">
          <w:rPr>
            <w:rStyle w:val="Hyperlink"/>
            <w:rFonts w:ascii="Garamond" w:eastAsia="Times New Roman" w:hAnsi="Garamond" w:cs="Times New Roman"/>
            <w:szCs w:val="27"/>
            <w:shd w:val="clear" w:color="auto" w:fill="FFFFFF"/>
            <w:lang w:val="cs-CZ"/>
          </w:rPr>
          <w:t>https://www.ordomedic.be/nl/adviezen/advies/advies-betreffende-palliatieve-zorg-euthanasie-en-andere-medische-beslissingen-omtrent-het-levenseinde</w:t>
        </w:r>
      </w:hyperlink>
      <w:r w:rsidR="00B0368B">
        <w:rPr>
          <w:rFonts w:ascii="Garamond" w:eastAsia="Times New Roman" w:hAnsi="Garamond" w:cs="Times New Roman"/>
          <w:szCs w:val="27"/>
          <w:shd w:val="clear" w:color="auto" w:fill="FFFFFF"/>
          <w:lang w:val="cs-CZ"/>
        </w:rPr>
        <w:t xml:space="preserve">&gt;. </w:t>
      </w:r>
    </w:p>
    <w:p w14:paraId="624D075D" w14:textId="35E9343C" w:rsidR="00B0368B" w:rsidRDefault="00B0368B" w:rsidP="00B0368B">
      <w:pPr>
        <w:pStyle w:val="ListParagraph"/>
        <w:numPr>
          <w:ilvl w:val="0"/>
          <w:numId w:val="12"/>
        </w:numPr>
        <w:spacing w:line="360" w:lineRule="auto"/>
        <w:jc w:val="both"/>
        <w:rPr>
          <w:rFonts w:ascii="Garamond" w:hAnsi="Garamond"/>
          <w:lang w:val="cs-CZ"/>
        </w:rPr>
      </w:pPr>
      <w:r w:rsidRPr="00F005A7">
        <w:rPr>
          <w:rFonts w:ascii="Garamond" w:hAnsi="Garamond"/>
          <w:lang w:val="cs-CZ"/>
        </w:rPr>
        <w:t xml:space="preserve">VAN DE WALLE, Jean-Paul. </w:t>
      </w:r>
      <w:proofErr w:type="spellStart"/>
      <w:r w:rsidRPr="0017436F">
        <w:rPr>
          <w:rFonts w:ascii="Garamond" w:hAnsi="Garamond"/>
          <w:i/>
          <w:lang w:val="cs-CZ"/>
        </w:rPr>
        <w:t>Dossier</w:t>
      </w:r>
      <w:proofErr w:type="spellEnd"/>
      <w:r w:rsidRPr="0017436F">
        <w:rPr>
          <w:rFonts w:ascii="Garamond" w:hAnsi="Garamond"/>
          <w:i/>
          <w:lang w:val="cs-CZ"/>
        </w:rPr>
        <w:t xml:space="preserve"> de </w:t>
      </w:r>
      <w:proofErr w:type="spellStart"/>
      <w:r w:rsidRPr="0017436F">
        <w:rPr>
          <w:rFonts w:ascii="Garamond" w:hAnsi="Garamond"/>
          <w:i/>
          <w:lang w:val="cs-CZ"/>
        </w:rPr>
        <w:t>l’Institut</w:t>
      </w:r>
      <w:proofErr w:type="spellEnd"/>
      <w:r w:rsidRPr="0017436F">
        <w:rPr>
          <w:rFonts w:ascii="Garamond" w:hAnsi="Garamond"/>
          <w:i/>
          <w:lang w:val="cs-CZ"/>
        </w:rPr>
        <w:t xml:space="preserve"> </w:t>
      </w:r>
      <w:proofErr w:type="spellStart"/>
      <w:r w:rsidRPr="0017436F">
        <w:rPr>
          <w:rFonts w:ascii="Garamond" w:hAnsi="Garamond"/>
          <w:i/>
          <w:lang w:val="cs-CZ"/>
        </w:rPr>
        <w:t>Européen</w:t>
      </w:r>
      <w:proofErr w:type="spellEnd"/>
      <w:r w:rsidRPr="0017436F">
        <w:rPr>
          <w:rFonts w:ascii="Garamond" w:hAnsi="Garamond"/>
          <w:i/>
          <w:lang w:val="cs-CZ"/>
        </w:rPr>
        <w:t xml:space="preserve"> de </w:t>
      </w:r>
      <w:proofErr w:type="spellStart"/>
      <w:r w:rsidRPr="0017436F">
        <w:rPr>
          <w:rFonts w:ascii="Garamond" w:hAnsi="Garamond"/>
          <w:i/>
          <w:lang w:val="cs-CZ"/>
        </w:rPr>
        <w:t>Bioéthique</w:t>
      </w:r>
      <w:proofErr w:type="spellEnd"/>
      <w:r w:rsidRPr="0017436F">
        <w:rPr>
          <w:rFonts w:ascii="Garamond" w:hAnsi="Garamond"/>
          <w:i/>
          <w:lang w:val="cs-CZ"/>
        </w:rPr>
        <w:t xml:space="preserve">: </w:t>
      </w:r>
      <w:proofErr w:type="spellStart"/>
      <w:r w:rsidRPr="0017436F">
        <w:rPr>
          <w:rFonts w:ascii="Garamond" w:hAnsi="Garamond"/>
          <w:i/>
          <w:lang w:val="cs-CZ"/>
        </w:rPr>
        <w:t>L’euthanasie</w:t>
      </w:r>
      <w:proofErr w:type="spellEnd"/>
      <w:r w:rsidRPr="0017436F">
        <w:rPr>
          <w:rFonts w:ascii="Garamond" w:hAnsi="Garamond"/>
          <w:i/>
          <w:lang w:val="cs-CZ"/>
        </w:rPr>
        <w:t xml:space="preserve"> des </w:t>
      </w:r>
      <w:proofErr w:type="spellStart"/>
      <w:r w:rsidRPr="0017436F">
        <w:rPr>
          <w:rFonts w:ascii="Garamond" w:hAnsi="Garamond"/>
          <w:i/>
          <w:lang w:val="cs-CZ"/>
        </w:rPr>
        <w:t>mineurs</w:t>
      </w:r>
      <w:proofErr w:type="spellEnd"/>
      <w:r w:rsidRPr="0017436F">
        <w:rPr>
          <w:rFonts w:ascii="Garamond" w:hAnsi="Garamond"/>
          <w:i/>
          <w:lang w:val="cs-CZ"/>
        </w:rPr>
        <w:t xml:space="preserve"> en </w:t>
      </w:r>
      <w:proofErr w:type="spellStart"/>
      <w:r w:rsidRPr="0017436F">
        <w:rPr>
          <w:rFonts w:ascii="Garamond" w:hAnsi="Garamond"/>
          <w:i/>
          <w:lang w:val="cs-CZ"/>
        </w:rPr>
        <w:t>Belgique</w:t>
      </w:r>
      <w:proofErr w:type="spellEnd"/>
      <w:r>
        <w:rPr>
          <w:rFonts w:ascii="Garamond" w:hAnsi="Garamond"/>
          <w:lang w:val="cs-CZ"/>
        </w:rPr>
        <w:t xml:space="preserve"> [online]</w:t>
      </w:r>
      <w:r w:rsidRPr="00F005A7">
        <w:rPr>
          <w:rFonts w:ascii="Garamond" w:hAnsi="Garamond"/>
          <w:lang w:val="cs-CZ"/>
        </w:rPr>
        <w:t xml:space="preserve">. </w:t>
      </w:r>
      <w:r w:rsidR="00DA63C1">
        <w:rPr>
          <w:rFonts w:ascii="Garamond" w:hAnsi="Garamond"/>
          <w:lang w:val="cs-CZ"/>
        </w:rPr>
        <w:t xml:space="preserve">Institut </w:t>
      </w:r>
      <w:proofErr w:type="spellStart"/>
      <w:r w:rsidR="00DA63C1">
        <w:rPr>
          <w:rFonts w:ascii="Garamond" w:hAnsi="Garamond"/>
          <w:lang w:val="cs-CZ"/>
        </w:rPr>
        <w:t>Européen</w:t>
      </w:r>
      <w:proofErr w:type="spellEnd"/>
      <w:r w:rsidR="00DA63C1">
        <w:rPr>
          <w:rFonts w:ascii="Garamond" w:hAnsi="Garamond"/>
          <w:lang w:val="cs-CZ"/>
        </w:rPr>
        <w:t xml:space="preserve"> de </w:t>
      </w:r>
      <w:proofErr w:type="spellStart"/>
      <w:r w:rsidR="00DA63C1">
        <w:rPr>
          <w:rFonts w:ascii="Garamond" w:hAnsi="Garamond"/>
          <w:lang w:val="cs-CZ"/>
        </w:rPr>
        <w:t>Bioéthique</w:t>
      </w:r>
      <w:proofErr w:type="spellEnd"/>
      <w:r w:rsidR="00DA63C1">
        <w:rPr>
          <w:rFonts w:ascii="Garamond" w:hAnsi="Garamond"/>
          <w:lang w:val="cs-CZ"/>
        </w:rPr>
        <w:t xml:space="preserve">, 3.2.2015 [cit. 25.2.2019]. </w:t>
      </w:r>
      <w:r w:rsidRPr="00F005A7">
        <w:rPr>
          <w:rFonts w:ascii="Garamond" w:hAnsi="Garamond"/>
          <w:lang w:val="cs-CZ"/>
        </w:rPr>
        <w:lastRenderedPageBreak/>
        <w:t>Dostupné na &lt;</w:t>
      </w:r>
      <w:hyperlink r:id="rId20" w:history="1">
        <w:r w:rsidRPr="00F005A7">
          <w:rPr>
            <w:rStyle w:val="Hyperlink"/>
            <w:rFonts w:ascii="Garamond" w:hAnsi="Garamond"/>
            <w:lang w:val="cs-CZ"/>
          </w:rPr>
          <w:t>https://www.ieb-eib.org/en/pdf/20150302-euthanasie-des-enfants.pdf</w:t>
        </w:r>
      </w:hyperlink>
      <w:r w:rsidRPr="00F005A7">
        <w:rPr>
          <w:rFonts w:ascii="Garamond" w:hAnsi="Garamond"/>
          <w:lang w:val="cs-CZ"/>
        </w:rPr>
        <w:t>&gt;.</w:t>
      </w:r>
    </w:p>
    <w:p w14:paraId="40206688" w14:textId="1D4A3501" w:rsidR="00B0368B" w:rsidRPr="003811C5" w:rsidRDefault="00B0368B" w:rsidP="00B0368B">
      <w:pPr>
        <w:pStyle w:val="ListParagraph"/>
        <w:numPr>
          <w:ilvl w:val="0"/>
          <w:numId w:val="12"/>
        </w:numPr>
        <w:spacing w:line="360" w:lineRule="auto"/>
        <w:jc w:val="both"/>
        <w:rPr>
          <w:rFonts w:ascii="Garamond" w:hAnsi="Garamond"/>
          <w:lang w:val="cs-CZ"/>
        </w:rPr>
      </w:pPr>
      <w:r w:rsidRPr="0061411C">
        <w:rPr>
          <w:rFonts w:ascii="Garamond" w:hAnsi="Garamond"/>
        </w:rPr>
        <w:t xml:space="preserve">Commission </w:t>
      </w:r>
      <w:proofErr w:type="spellStart"/>
      <w:r w:rsidRPr="0061411C">
        <w:rPr>
          <w:rFonts w:ascii="Garamond" w:hAnsi="Garamond"/>
        </w:rPr>
        <w:t>fédérale</w:t>
      </w:r>
      <w:proofErr w:type="spellEnd"/>
      <w:r w:rsidRPr="0061411C">
        <w:rPr>
          <w:rFonts w:ascii="Garamond" w:hAnsi="Garamond"/>
        </w:rPr>
        <w:t xml:space="preserve"> de </w:t>
      </w:r>
      <w:proofErr w:type="spellStart"/>
      <w:r w:rsidRPr="0061411C">
        <w:rPr>
          <w:rFonts w:ascii="Garamond" w:hAnsi="Garamond"/>
        </w:rPr>
        <w:t>Contrôle</w:t>
      </w:r>
      <w:proofErr w:type="spellEnd"/>
      <w:r w:rsidRPr="0061411C">
        <w:rPr>
          <w:rFonts w:ascii="Garamond" w:hAnsi="Garamond"/>
        </w:rPr>
        <w:t xml:space="preserve"> et </w:t>
      </w:r>
      <w:proofErr w:type="spellStart"/>
      <w:r w:rsidRPr="0061411C">
        <w:rPr>
          <w:rFonts w:ascii="Garamond" w:hAnsi="Garamond"/>
        </w:rPr>
        <w:t>d’Évaluation</w:t>
      </w:r>
      <w:proofErr w:type="spellEnd"/>
      <w:r w:rsidRPr="0061411C">
        <w:rPr>
          <w:rFonts w:ascii="Garamond" w:hAnsi="Garamond"/>
        </w:rPr>
        <w:t xml:space="preserve"> de </w:t>
      </w:r>
      <w:proofErr w:type="spellStart"/>
      <w:r w:rsidRPr="0061411C">
        <w:rPr>
          <w:rFonts w:ascii="Garamond" w:hAnsi="Garamond"/>
        </w:rPr>
        <w:t>l’Euthanasie</w:t>
      </w:r>
      <w:proofErr w:type="spellEnd"/>
      <w:r w:rsidRPr="0061411C">
        <w:rPr>
          <w:rFonts w:ascii="Garamond" w:hAnsi="Garamond"/>
        </w:rPr>
        <w:t xml:space="preserve">. </w:t>
      </w:r>
      <w:proofErr w:type="spellStart"/>
      <w:r w:rsidRPr="0017436F">
        <w:rPr>
          <w:rFonts w:ascii="Garamond" w:hAnsi="Garamond"/>
          <w:i/>
        </w:rPr>
        <w:t>Huitième</w:t>
      </w:r>
      <w:proofErr w:type="spellEnd"/>
      <w:r w:rsidRPr="0017436F">
        <w:rPr>
          <w:rFonts w:ascii="Garamond" w:hAnsi="Garamond"/>
          <w:i/>
        </w:rPr>
        <w:t xml:space="preserve"> rapport aux </w:t>
      </w:r>
      <w:proofErr w:type="spellStart"/>
      <w:r w:rsidRPr="0017436F">
        <w:rPr>
          <w:rFonts w:ascii="Garamond" w:hAnsi="Garamond"/>
          <w:i/>
        </w:rPr>
        <w:t>Chambres</w:t>
      </w:r>
      <w:proofErr w:type="spellEnd"/>
      <w:r w:rsidRPr="0017436F">
        <w:rPr>
          <w:rFonts w:ascii="Garamond" w:hAnsi="Garamond"/>
          <w:i/>
        </w:rPr>
        <w:t xml:space="preserve"> </w:t>
      </w:r>
      <w:proofErr w:type="spellStart"/>
      <w:r w:rsidRPr="0017436F">
        <w:rPr>
          <w:rFonts w:ascii="Garamond" w:hAnsi="Garamond"/>
          <w:i/>
        </w:rPr>
        <w:t>législatives</w:t>
      </w:r>
      <w:proofErr w:type="spellEnd"/>
      <w:r w:rsidRPr="0017436F">
        <w:rPr>
          <w:rFonts w:ascii="Garamond" w:hAnsi="Garamond"/>
          <w:i/>
        </w:rPr>
        <w:t xml:space="preserve"> </w:t>
      </w:r>
      <w:proofErr w:type="spellStart"/>
      <w:r w:rsidRPr="0017436F">
        <w:rPr>
          <w:rFonts w:ascii="Garamond" w:hAnsi="Garamond"/>
          <w:i/>
        </w:rPr>
        <w:t>années</w:t>
      </w:r>
      <w:proofErr w:type="spellEnd"/>
      <w:r w:rsidRPr="0017436F">
        <w:rPr>
          <w:rFonts w:ascii="Garamond" w:hAnsi="Garamond"/>
          <w:i/>
        </w:rPr>
        <w:t xml:space="preserve"> 2016–2017</w:t>
      </w:r>
      <w:r w:rsidR="00DA63C1">
        <w:rPr>
          <w:rFonts w:ascii="Garamond" w:hAnsi="Garamond"/>
          <w:i/>
        </w:rPr>
        <w:t xml:space="preserve"> </w:t>
      </w:r>
      <w:r w:rsidR="00DA63C1">
        <w:rPr>
          <w:rFonts w:ascii="Garamond" w:hAnsi="Garamond"/>
        </w:rPr>
        <w:t>[online]</w:t>
      </w:r>
      <w:r w:rsidRPr="0061411C">
        <w:rPr>
          <w:rFonts w:ascii="Garamond" w:hAnsi="Garamond"/>
        </w:rPr>
        <w:t xml:space="preserve">. </w:t>
      </w:r>
      <w:r w:rsidR="00DA63C1">
        <w:rPr>
          <w:rFonts w:ascii="Garamond" w:hAnsi="Garamond"/>
        </w:rPr>
        <w:t xml:space="preserve">CFCEE, 12.5.2018 [cit. 25.2.2019]. </w:t>
      </w:r>
      <w:r w:rsidRPr="0017436F">
        <w:rPr>
          <w:rFonts w:ascii="Garamond" w:hAnsi="Garamond"/>
          <w:lang w:val="cs-CZ"/>
        </w:rPr>
        <w:t>Dostupné na</w:t>
      </w:r>
      <w:r w:rsidRPr="0061411C">
        <w:rPr>
          <w:rFonts w:ascii="Garamond" w:hAnsi="Garamond"/>
        </w:rPr>
        <w:t xml:space="preserve"> &lt;</w:t>
      </w:r>
      <w:hyperlink r:id="rId21" w:history="1">
        <w:r w:rsidRPr="00C111F6">
          <w:rPr>
            <w:rStyle w:val="Hyperlink"/>
            <w:rFonts w:ascii="Garamond" w:hAnsi="Garamond"/>
          </w:rPr>
          <w:t>https://organesdeconcertation.sante.belgique.be/sites/default/files/documents/8_rapport-euthanasie_2016-2017-fr.pdf</w:t>
        </w:r>
      </w:hyperlink>
      <w:r w:rsidRPr="0061411C">
        <w:rPr>
          <w:rFonts w:ascii="Garamond" w:hAnsi="Garamond"/>
        </w:rPr>
        <w:t>&gt;.</w:t>
      </w:r>
    </w:p>
    <w:p w14:paraId="360A50E4" w14:textId="2830DD61" w:rsidR="00B0368B" w:rsidRPr="003811C5" w:rsidRDefault="00B0368B" w:rsidP="00B0368B">
      <w:pPr>
        <w:pStyle w:val="ListParagraph"/>
        <w:numPr>
          <w:ilvl w:val="0"/>
          <w:numId w:val="12"/>
        </w:numPr>
        <w:spacing w:line="360" w:lineRule="auto"/>
        <w:jc w:val="both"/>
        <w:rPr>
          <w:rFonts w:ascii="Garamond" w:hAnsi="Garamond"/>
          <w:lang w:val="cs-CZ"/>
        </w:rPr>
      </w:pPr>
      <w:proofErr w:type="spellStart"/>
      <w:r w:rsidRPr="003811C5">
        <w:rPr>
          <w:rFonts w:ascii="Garamond" w:hAnsi="Garamond"/>
        </w:rPr>
        <w:t>Regionale</w:t>
      </w:r>
      <w:proofErr w:type="spellEnd"/>
      <w:r w:rsidRPr="003811C5">
        <w:rPr>
          <w:rFonts w:ascii="Garamond" w:hAnsi="Garamond"/>
        </w:rPr>
        <w:t xml:space="preserve"> </w:t>
      </w:r>
      <w:proofErr w:type="spellStart"/>
      <w:r w:rsidRPr="003811C5">
        <w:rPr>
          <w:rFonts w:ascii="Garamond" w:hAnsi="Garamond"/>
        </w:rPr>
        <w:t>Toetsingscommissies</w:t>
      </w:r>
      <w:proofErr w:type="spellEnd"/>
      <w:r w:rsidRPr="003811C5">
        <w:rPr>
          <w:rFonts w:ascii="Garamond" w:hAnsi="Garamond"/>
        </w:rPr>
        <w:t xml:space="preserve"> </w:t>
      </w:r>
      <w:proofErr w:type="spellStart"/>
      <w:r w:rsidRPr="003811C5">
        <w:rPr>
          <w:rFonts w:ascii="Garamond" w:hAnsi="Garamond"/>
        </w:rPr>
        <w:t>Euthanasie</w:t>
      </w:r>
      <w:proofErr w:type="spellEnd"/>
      <w:r w:rsidRPr="003811C5">
        <w:rPr>
          <w:rFonts w:ascii="Garamond" w:hAnsi="Garamond"/>
        </w:rPr>
        <w:t xml:space="preserve">. </w:t>
      </w:r>
      <w:r w:rsidRPr="0017436F">
        <w:rPr>
          <w:rFonts w:ascii="Garamond" w:hAnsi="Garamond"/>
          <w:i/>
        </w:rPr>
        <w:t>Minors</w:t>
      </w:r>
      <w:r w:rsidRPr="003811C5">
        <w:rPr>
          <w:rFonts w:ascii="Garamond" w:hAnsi="Garamond"/>
        </w:rPr>
        <w:t xml:space="preserve"> [online]. </w:t>
      </w:r>
      <w:r w:rsidR="00DA63C1">
        <w:rPr>
          <w:rFonts w:ascii="Garamond" w:hAnsi="Garamond"/>
        </w:rPr>
        <w:t xml:space="preserve">RTE </w:t>
      </w:r>
      <w:r w:rsidRPr="003811C5">
        <w:rPr>
          <w:rFonts w:ascii="Garamond" w:hAnsi="Garamond"/>
        </w:rPr>
        <w:t xml:space="preserve">[cit. 13.2.2019]. </w:t>
      </w:r>
      <w:r w:rsidRPr="0017436F">
        <w:rPr>
          <w:rFonts w:ascii="Garamond" w:hAnsi="Garamond"/>
          <w:lang w:val="cs-CZ"/>
        </w:rPr>
        <w:t>Dostupné na</w:t>
      </w:r>
      <w:r w:rsidRPr="003811C5">
        <w:rPr>
          <w:rFonts w:ascii="Garamond" w:hAnsi="Garamond"/>
        </w:rPr>
        <w:t xml:space="preserve"> &lt;</w:t>
      </w:r>
      <w:hyperlink r:id="rId22" w:history="1">
        <w:r w:rsidRPr="003811C5">
          <w:rPr>
            <w:rStyle w:val="Hyperlink"/>
            <w:rFonts w:ascii="Garamond" w:hAnsi="Garamond"/>
          </w:rPr>
          <w:t>https://www.euthanasiecommissie.nl/uitspraken-en-uitleg/l/l-minderjarigen</w:t>
        </w:r>
      </w:hyperlink>
      <w:r w:rsidRPr="003811C5">
        <w:rPr>
          <w:rFonts w:ascii="Garamond" w:hAnsi="Garamond"/>
        </w:rPr>
        <w:t xml:space="preserve">&gt;. </w:t>
      </w:r>
    </w:p>
    <w:p w14:paraId="6EC419A8" w14:textId="77777777" w:rsidR="00A16013" w:rsidRDefault="00B0368B" w:rsidP="00A16013">
      <w:pPr>
        <w:pStyle w:val="ListParagraph"/>
        <w:numPr>
          <w:ilvl w:val="0"/>
          <w:numId w:val="12"/>
        </w:numPr>
        <w:spacing w:line="360" w:lineRule="auto"/>
        <w:jc w:val="both"/>
        <w:rPr>
          <w:rFonts w:ascii="Garamond" w:hAnsi="Garamond"/>
          <w:lang w:val="cs-CZ"/>
        </w:rPr>
      </w:pPr>
      <w:proofErr w:type="spellStart"/>
      <w:r w:rsidRPr="003811C5">
        <w:rPr>
          <w:rFonts w:ascii="Garamond" w:hAnsi="Garamond"/>
          <w:lang w:val="cs-CZ"/>
        </w:rPr>
        <w:t>Regionale</w:t>
      </w:r>
      <w:proofErr w:type="spellEnd"/>
      <w:r w:rsidRPr="003811C5">
        <w:rPr>
          <w:rFonts w:ascii="Garamond" w:hAnsi="Garamond"/>
          <w:lang w:val="cs-CZ"/>
        </w:rPr>
        <w:t xml:space="preserve"> </w:t>
      </w:r>
      <w:proofErr w:type="spellStart"/>
      <w:r w:rsidRPr="003811C5">
        <w:rPr>
          <w:rFonts w:ascii="Garamond" w:hAnsi="Garamond"/>
          <w:lang w:val="cs-CZ"/>
        </w:rPr>
        <w:t>Toetsingscommissies</w:t>
      </w:r>
      <w:proofErr w:type="spellEnd"/>
      <w:r w:rsidRPr="003811C5">
        <w:rPr>
          <w:rFonts w:ascii="Garamond" w:hAnsi="Garamond"/>
          <w:lang w:val="cs-CZ"/>
        </w:rPr>
        <w:t xml:space="preserve"> Euthanasie. </w:t>
      </w:r>
      <w:r w:rsidRPr="000D0F86">
        <w:rPr>
          <w:rFonts w:ascii="Garamond" w:hAnsi="Garamond"/>
          <w:i/>
        </w:rPr>
        <w:t>Annual</w:t>
      </w:r>
      <w:r w:rsidRPr="0017436F">
        <w:rPr>
          <w:rFonts w:ascii="Garamond" w:hAnsi="Garamond"/>
          <w:i/>
          <w:lang w:val="cs-CZ"/>
        </w:rPr>
        <w:t xml:space="preserve"> Report 2017</w:t>
      </w:r>
      <w:r w:rsidRPr="003811C5">
        <w:rPr>
          <w:rFonts w:ascii="Garamond" w:hAnsi="Garamond"/>
          <w:lang w:val="cs-CZ"/>
        </w:rPr>
        <w:t xml:space="preserve"> [online]. </w:t>
      </w:r>
      <w:r w:rsidR="00DA63C1">
        <w:rPr>
          <w:rFonts w:ascii="Garamond" w:hAnsi="Garamond"/>
          <w:lang w:val="cs-CZ"/>
        </w:rPr>
        <w:t xml:space="preserve">RTE, 28.9.2017 </w:t>
      </w:r>
      <w:r w:rsidRPr="003811C5">
        <w:rPr>
          <w:rFonts w:ascii="Garamond" w:hAnsi="Garamond"/>
          <w:lang w:val="cs-CZ"/>
        </w:rPr>
        <w:t>[cit. 13.2.2019]. Dostupné na &lt;</w:t>
      </w:r>
      <w:hyperlink r:id="rId23" w:history="1">
        <w:r w:rsidRPr="003811C5">
          <w:rPr>
            <w:rStyle w:val="Hyperlink"/>
            <w:rFonts w:ascii="Garamond" w:hAnsi="Garamond"/>
            <w:lang w:val="cs-CZ"/>
          </w:rPr>
          <w:t>https://english.euthanasiecommissie.nl/the-committees/documents/publications/annual-reports/2002/annual-reports/annual-reports</w:t>
        </w:r>
      </w:hyperlink>
      <w:r w:rsidRPr="003811C5">
        <w:rPr>
          <w:rFonts w:ascii="Garamond" w:hAnsi="Garamond"/>
          <w:lang w:val="cs-CZ"/>
        </w:rPr>
        <w:t>&gt;.</w:t>
      </w:r>
    </w:p>
    <w:p w14:paraId="3840791B" w14:textId="77777777" w:rsidR="004C28DC" w:rsidRDefault="00A16013" w:rsidP="004C28DC">
      <w:pPr>
        <w:pStyle w:val="ListParagraph"/>
        <w:numPr>
          <w:ilvl w:val="0"/>
          <w:numId w:val="12"/>
        </w:numPr>
        <w:spacing w:line="360" w:lineRule="auto"/>
        <w:jc w:val="both"/>
        <w:rPr>
          <w:rFonts w:ascii="Garamond" w:hAnsi="Garamond"/>
          <w:lang w:val="cs-CZ"/>
        </w:rPr>
      </w:pPr>
      <w:r w:rsidRPr="00A16013">
        <w:rPr>
          <w:rFonts w:ascii="Garamond" w:hAnsi="Garamond"/>
          <w:lang w:val="cs-CZ"/>
        </w:rPr>
        <w:t xml:space="preserve">KREJČÍKOVÁ, Helena. </w:t>
      </w:r>
      <w:r w:rsidRPr="00A16013">
        <w:rPr>
          <w:rFonts w:ascii="Garamond" w:hAnsi="Garamond"/>
          <w:i/>
          <w:lang w:val="cs-CZ"/>
        </w:rPr>
        <w:t xml:space="preserve">Je návrh zákona o důstojné smrti důstojný? </w:t>
      </w:r>
      <w:r w:rsidRPr="00A16013">
        <w:rPr>
          <w:rFonts w:ascii="Garamond" w:hAnsi="Garamond"/>
          <w:lang w:val="cs-CZ"/>
        </w:rPr>
        <w:t>[online]. Zdravotnické právo a bioetika, 6.6.2016 [cit. 25.2.2019]. Dostupné na &lt;</w:t>
      </w:r>
      <w:hyperlink r:id="rId24" w:history="1">
        <w:r w:rsidRPr="00A16013">
          <w:rPr>
            <w:rStyle w:val="Hyperlink"/>
            <w:rFonts w:ascii="Garamond" w:hAnsi="Garamond"/>
            <w:lang w:val="cs-CZ"/>
          </w:rPr>
          <w:t>https://zdravotnickepravo.info/je-navrh-zakona-o-dustojne-smrti-dustojny/</w:t>
        </w:r>
      </w:hyperlink>
      <w:r w:rsidRPr="00A16013">
        <w:rPr>
          <w:rFonts w:ascii="Garamond" w:hAnsi="Garamond"/>
          <w:lang w:val="cs-CZ"/>
        </w:rPr>
        <w:t>&gt;.</w:t>
      </w:r>
    </w:p>
    <w:p w14:paraId="06536BFA" w14:textId="771C598A" w:rsidR="004C28DC" w:rsidRDefault="004C28DC" w:rsidP="004C28DC">
      <w:pPr>
        <w:pStyle w:val="ListParagraph"/>
        <w:numPr>
          <w:ilvl w:val="0"/>
          <w:numId w:val="12"/>
        </w:numPr>
        <w:spacing w:line="360" w:lineRule="auto"/>
        <w:jc w:val="both"/>
        <w:rPr>
          <w:rFonts w:ascii="Garamond" w:hAnsi="Garamond"/>
          <w:lang w:val="cs-CZ"/>
        </w:rPr>
      </w:pPr>
      <w:r w:rsidRPr="004C28DC">
        <w:rPr>
          <w:rFonts w:ascii="Garamond" w:hAnsi="Garamond"/>
          <w:lang w:val="cs-CZ"/>
        </w:rPr>
        <w:t xml:space="preserve">ČADOVÁ, Naděžda. </w:t>
      </w:r>
      <w:r w:rsidRPr="004C28DC">
        <w:rPr>
          <w:rFonts w:ascii="Garamond" w:hAnsi="Garamond"/>
          <w:i/>
          <w:lang w:val="cs-CZ"/>
        </w:rPr>
        <w:t xml:space="preserve">Veřejné mínění o interrupci, eutanazii a trestu smrti – květen 2018 </w:t>
      </w:r>
      <w:r w:rsidRPr="004C28DC">
        <w:rPr>
          <w:rFonts w:ascii="Garamond" w:hAnsi="Garamond"/>
          <w:lang w:val="cs-CZ"/>
        </w:rPr>
        <w:t>[online]. Centrum pro výzkum veřejného mínění, 21.6.2018 [cit. 28.2.2018]. Dostupné na &lt;</w:t>
      </w:r>
      <w:hyperlink r:id="rId25" w:history="1">
        <w:r w:rsidRPr="004C28DC">
          <w:rPr>
            <w:rStyle w:val="Hyperlink"/>
            <w:rFonts w:ascii="Garamond" w:hAnsi="Garamond"/>
            <w:lang w:val="cs-CZ"/>
          </w:rPr>
          <w:t>https://cvvm.soc.cas.cz/media/com_form2content/documents/c2/a4657/f9/ov180621.pdf</w:t>
        </w:r>
      </w:hyperlink>
      <w:r w:rsidRPr="004C28DC">
        <w:rPr>
          <w:rFonts w:ascii="Garamond" w:hAnsi="Garamond"/>
          <w:lang w:val="cs-CZ"/>
        </w:rPr>
        <w:t>&gt;.</w:t>
      </w:r>
    </w:p>
    <w:p w14:paraId="15A3ECB6" w14:textId="7E2D9E49" w:rsidR="0026071C" w:rsidRPr="004C28DC" w:rsidRDefault="0026071C" w:rsidP="004C28DC">
      <w:pPr>
        <w:pStyle w:val="ListParagraph"/>
        <w:numPr>
          <w:ilvl w:val="0"/>
          <w:numId w:val="12"/>
        </w:numPr>
        <w:spacing w:line="360" w:lineRule="auto"/>
        <w:jc w:val="both"/>
        <w:rPr>
          <w:rFonts w:ascii="Garamond" w:hAnsi="Garamond"/>
          <w:lang w:val="cs-CZ"/>
        </w:rPr>
      </w:pPr>
      <w:r w:rsidRPr="0026071C">
        <w:rPr>
          <w:rFonts w:ascii="Garamond" w:hAnsi="Garamond"/>
        </w:rPr>
        <w:t xml:space="preserve">SARTORI, Daria. </w:t>
      </w:r>
      <w:r w:rsidRPr="0026071C">
        <w:rPr>
          <w:rFonts w:ascii="Garamond" w:hAnsi="Garamond"/>
          <w:i/>
        </w:rPr>
        <w:t xml:space="preserve">Gross v Switzerland: the Swiss regulation of assisted suicide infringes Article 8 ECHR </w:t>
      </w:r>
      <w:r w:rsidRPr="0026071C">
        <w:rPr>
          <w:rFonts w:ascii="Garamond" w:hAnsi="Garamond"/>
        </w:rPr>
        <w:t xml:space="preserve">[online]. Strasbourg Observers, 26.6.2013 [cit. 1.3.2019]. </w:t>
      </w:r>
      <w:r w:rsidRPr="000D0F86">
        <w:rPr>
          <w:rFonts w:ascii="Garamond" w:hAnsi="Garamond"/>
          <w:lang w:val="cs-CZ"/>
        </w:rPr>
        <w:t>Dostupné na</w:t>
      </w:r>
      <w:r w:rsidRPr="0026071C">
        <w:rPr>
          <w:rFonts w:ascii="Garamond" w:hAnsi="Garamond"/>
        </w:rPr>
        <w:t xml:space="preserve"> </w:t>
      </w:r>
      <w:r w:rsidRPr="0026071C">
        <w:rPr>
          <w:rFonts w:ascii="Garamond" w:hAnsi="Garamond"/>
          <w:lang w:val="cs-CZ"/>
        </w:rPr>
        <w:t>&lt;</w:t>
      </w:r>
      <w:hyperlink r:id="rId26" w:history="1">
        <w:r w:rsidRPr="0026071C">
          <w:rPr>
            <w:rStyle w:val="Hyperlink"/>
            <w:rFonts w:ascii="Garamond" w:hAnsi="Garamond"/>
            <w:lang w:val="cs-CZ"/>
          </w:rPr>
          <w:t>https://strasbourgobservers.com/2013/06/26/gross-v-switzerland-the-swiss-regulation-of-assisted-suicide-infringes-article-8-echr/</w:t>
        </w:r>
      </w:hyperlink>
      <w:r w:rsidRPr="0026071C">
        <w:rPr>
          <w:rFonts w:ascii="Garamond" w:hAnsi="Garamond"/>
          <w:lang w:val="cs-CZ"/>
        </w:rPr>
        <w:t>&gt;.</w:t>
      </w:r>
    </w:p>
    <w:p w14:paraId="46742C66" w14:textId="71D81B72" w:rsidR="00412C93" w:rsidRPr="007759EE" w:rsidRDefault="00412C93" w:rsidP="003F3660">
      <w:pPr>
        <w:spacing w:line="360" w:lineRule="auto"/>
        <w:rPr>
          <w:rFonts w:ascii="Garamond" w:hAnsi="Garamond"/>
          <w:lang w:val="cs-CZ"/>
        </w:rPr>
      </w:pPr>
    </w:p>
    <w:p w14:paraId="0A80D574" w14:textId="1CDAB1D3" w:rsidR="00412C93" w:rsidRPr="007759EE" w:rsidRDefault="00412C93" w:rsidP="003F3660">
      <w:pPr>
        <w:pStyle w:val="Heading2"/>
        <w:numPr>
          <w:ilvl w:val="0"/>
          <w:numId w:val="4"/>
        </w:numPr>
        <w:spacing w:line="360" w:lineRule="auto"/>
        <w:ind w:left="720" w:hanging="720"/>
        <w:rPr>
          <w:lang w:val="cs-CZ"/>
        </w:rPr>
      </w:pPr>
      <w:bookmarkStart w:id="21" w:name="_Toc11919787"/>
      <w:r w:rsidRPr="007759EE">
        <w:rPr>
          <w:lang w:val="cs-CZ"/>
        </w:rPr>
        <w:t>Právní předpisy</w:t>
      </w:r>
      <w:bookmarkEnd w:id="21"/>
    </w:p>
    <w:p w14:paraId="368C5B0F" w14:textId="791A48E2" w:rsidR="00412C93" w:rsidRDefault="006B291C" w:rsidP="003F3660">
      <w:pPr>
        <w:pStyle w:val="ListParagraph"/>
        <w:numPr>
          <w:ilvl w:val="0"/>
          <w:numId w:val="7"/>
        </w:numPr>
        <w:spacing w:line="360" w:lineRule="auto"/>
        <w:jc w:val="both"/>
        <w:rPr>
          <w:rFonts w:ascii="Garamond" w:hAnsi="Garamond"/>
          <w:lang w:val="cs-CZ"/>
        </w:rPr>
      </w:pPr>
      <w:r w:rsidRPr="007759EE">
        <w:rPr>
          <w:rFonts w:ascii="Garamond" w:hAnsi="Garamond"/>
          <w:lang w:val="cs-CZ"/>
        </w:rPr>
        <w:t>Evropská úmluva o ochraně lidských práv a základních svobod</w:t>
      </w:r>
    </w:p>
    <w:p w14:paraId="006AF839" w14:textId="74D6FA3F" w:rsidR="003C6F8F" w:rsidRDefault="003C6F8F" w:rsidP="003C6F8F">
      <w:pPr>
        <w:pStyle w:val="ListParagraph"/>
        <w:numPr>
          <w:ilvl w:val="0"/>
          <w:numId w:val="7"/>
        </w:numPr>
        <w:spacing w:line="360" w:lineRule="auto"/>
        <w:jc w:val="both"/>
        <w:rPr>
          <w:rFonts w:ascii="Garamond" w:hAnsi="Garamond" w:cs="Times New Roman"/>
          <w:lang w:val="cs-CZ"/>
        </w:rPr>
      </w:pPr>
      <w:r w:rsidRPr="003C6F8F">
        <w:rPr>
          <w:rFonts w:ascii="Garamond" w:hAnsi="Garamond" w:cs="Times New Roman"/>
          <w:lang w:val="cs-CZ"/>
        </w:rPr>
        <w:t>Úmluva o právech dítěte publikována ve Sbírce zákonu jako Sdělení Federálního ministerstva zahraničních věcí pod číslem 104/1991 Sb</w:t>
      </w:r>
      <w:r w:rsidR="00E82CFF">
        <w:rPr>
          <w:rFonts w:ascii="Garamond" w:hAnsi="Garamond" w:cs="Times New Roman"/>
          <w:lang w:val="cs-CZ"/>
        </w:rPr>
        <w:t>.</w:t>
      </w:r>
    </w:p>
    <w:p w14:paraId="764B2FAE" w14:textId="13BE4C70" w:rsidR="00E82CFF" w:rsidRPr="003C6F8F" w:rsidRDefault="00E82CFF" w:rsidP="003C6F8F">
      <w:pPr>
        <w:pStyle w:val="ListParagraph"/>
        <w:numPr>
          <w:ilvl w:val="0"/>
          <w:numId w:val="7"/>
        </w:numPr>
        <w:spacing w:line="360" w:lineRule="auto"/>
        <w:jc w:val="both"/>
        <w:rPr>
          <w:rFonts w:ascii="Garamond" w:hAnsi="Garamond" w:cs="Times New Roman"/>
          <w:lang w:val="cs-CZ"/>
        </w:rPr>
      </w:pPr>
      <w:r w:rsidRPr="00B81EB3">
        <w:rPr>
          <w:rFonts w:ascii="Garamond" w:hAnsi="Garamond"/>
          <w:lang w:val="cs-CZ"/>
        </w:rPr>
        <w:t>Listin</w:t>
      </w:r>
      <w:r>
        <w:rPr>
          <w:rFonts w:ascii="Garamond" w:hAnsi="Garamond"/>
          <w:lang w:val="cs-CZ"/>
        </w:rPr>
        <w:t>a</w:t>
      </w:r>
      <w:r w:rsidRPr="00B81EB3">
        <w:rPr>
          <w:rFonts w:ascii="Garamond" w:hAnsi="Garamond"/>
          <w:lang w:val="cs-CZ"/>
        </w:rPr>
        <w:t xml:space="preserve"> základních práv Evropské unie</w:t>
      </w:r>
    </w:p>
    <w:p w14:paraId="3701FB87" w14:textId="1C208B00" w:rsidR="00820905" w:rsidRPr="007759EE" w:rsidRDefault="00820905" w:rsidP="003F3660">
      <w:pPr>
        <w:pStyle w:val="ListParagraph"/>
        <w:numPr>
          <w:ilvl w:val="0"/>
          <w:numId w:val="7"/>
        </w:numPr>
        <w:spacing w:line="360" w:lineRule="auto"/>
        <w:jc w:val="both"/>
        <w:rPr>
          <w:rFonts w:ascii="Garamond" w:hAnsi="Garamond"/>
          <w:lang w:val="cs-CZ"/>
        </w:rPr>
      </w:pPr>
      <w:r w:rsidRPr="007759EE">
        <w:rPr>
          <w:rFonts w:ascii="Garamond" w:hAnsi="Garamond"/>
          <w:lang w:val="cs-CZ"/>
        </w:rPr>
        <w:t xml:space="preserve">Usnesení č. </w:t>
      </w:r>
      <w:r w:rsidR="003F6DB9" w:rsidRPr="007759EE">
        <w:rPr>
          <w:rFonts w:ascii="Garamond" w:hAnsi="Garamond"/>
          <w:lang w:val="cs-CZ"/>
        </w:rPr>
        <w:t>2/1993 Sb., předsednictva České národní rady o vyhlášení Listiny základních práv a svobod jako součásti ústavního pořádku České republiky</w:t>
      </w:r>
    </w:p>
    <w:p w14:paraId="520A4144" w14:textId="77777777" w:rsidR="000106FC" w:rsidRDefault="006C519D" w:rsidP="000106FC">
      <w:pPr>
        <w:pStyle w:val="ListParagraph"/>
        <w:numPr>
          <w:ilvl w:val="0"/>
          <w:numId w:val="7"/>
        </w:numPr>
        <w:spacing w:line="360" w:lineRule="auto"/>
        <w:jc w:val="both"/>
        <w:rPr>
          <w:rFonts w:ascii="Garamond" w:hAnsi="Garamond"/>
          <w:lang w:val="cs-CZ"/>
        </w:rPr>
      </w:pPr>
      <w:r w:rsidRPr="007759EE">
        <w:rPr>
          <w:rFonts w:ascii="Garamond" w:hAnsi="Garamond"/>
          <w:lang w:val="cs-CZ"/>
        </w:rPr>
        <w:lastRenderedPageBreak/>
        <w:t>96/2001 Sb. m. s. Sdělení Ministerstva zahraničních věcí o přijetí Úmluvy na ochranu lidských práv a důstojnosti lidské bytosti v souvislosti s aplikací biologie a medicíny: Úmluva o lidských právech a medicíně</w:t>
      </w:r>
    </w:p>
    <w:p w14:paraId="2A90EB6D" w14:textId="4172D943" w:rsidR="000106FC" w:rsidRDefault="000106FC" w:rsidP="000106FC">
      <w:pPr>
        <w:pStyle w:val="ListParagraph"/>
        <w:numPr>
          <w:ilvl w:val="0"/>
          <w:numId w:val="7"/>
        </w:numPr>
        <w:spacing w:line="360" w:lineRule="auto"/>
        <w:jc w:val="both"/>
        <w:rPr>
          <w:rFonts w:ascii="Garamond" w:hAnsi="Garamond"/>
          <w:lang w:val="cs-CZ"/>
        </w:rPr>
      </w:pPr>
      <w:r w:rsidRPr="000106FC">
        <w:rPr>
          <w:rFonts w:ascii="Garamond" w:hAnsi="Garamond"/>
          <w:lang w:val="cs-CZ"/>
        </w:rPr>
        <w:t>Zákon č. 89/2012 Sb., občanský zákoník</w:t>
      </w:r>
      <w:r w:rsidR="00C8393A">
        <w:rPr>
          <w:rFonts w:ascii="Garamond" w:hAnsi="Garamond"/>
          <w:lang w:val="cs-CZ"/>
        </w:rPr>
        <w:t>, ve znění pozdějších předpisů</w:t>
      </w:r>
    </w:p>
    <w:p w14:paraId="43F4FA9A" w14:textId="4C5B9720" w:rsidR="000106FC" w:rsidRDefault="000106FC" w:rsidP="000106FC">
      <w:pPr>
        <w:pStyle w:val="ListParagraph"/>
        <w:numPr>
          <w:ilvl w:val="0"/>
          <w:numId w:val="7"/>
        </w:numPr>
        <w:spacing w:line="360" w:lineRule="auto"/>
        <w:jc w:val="both"/>
        <w:rPr>
          <w:rFonts w:ascii="Garamond" w:hAnsi="Garamond"/>
          <w:lang w:val="cs-CZ"/>
        </w:rPr>
      </w:pPr>
      <w:r w:rsidRPr="000106FC">
        <w:rPr>
          <w:rFonts w:ascii="Garamond" w:hAnsi="Garamond"/>
          <w:lang w:val="cs-CZ"/>
        </w:rPr>
        <w:t>Zákon č. 40/2009 Sb., trestní zákoník</w:t>
      </w:r>
      <w:r w:rsidR="00C8393A">
        <w:rPr>
          <w:rFonts w:ascii="Garamond" w:hAnsi="Garamond"/>
          <w:lang w:val="cs-CZ"/>
        </w:rPr>
        <w:t>, ve znění pozdějších předpisů</w:t>
      </w:r>
    </w:p>
    <w:p w14:paraId="1FE353AD" w14:textId="25410D34" w:rsidR="00227E30" w:rsidRDefault="000106FC" w:rsidP="00227E30">
      <w:pPr>
        <w:pStyle w:val="ListParagraph"/>
        <w:numPr>
          <w:ilvl w:val="0"/>
          <w:numId w:val="7"/>
        </w:numPr>
        <w:spacing w:line="360" w:lineRule="auto"/>
        <w:jc w:val="both"/>
        <w:rPr>
          <w:rFonts w:ascii="Garamond" w:hAnsi="Garamond"/>
          <w:lang w:val="cs-CZ"/>
        </w:rPr>
      </w:pPr>
      <w:r w:rsidRPr="000106FC">
        <w:rPr>
          <w:rFonts w:ascii="Garamond" w:hAnsi="Garamond"/>
          <w:lang w:val="cs-CZ"/>
        </w:rPr>
        <w:t>Zákon č. 372/2011 Sb., o zdravotních službách a podmínkách jejich poskytování (zákon o zdravotních službách)</w:t>
      </w:r>
      <w:r w:rsidR="00C8393A">
        <w:rPr>
          <w:rFonts w:ascii="Garamond" w:hAnsi="Garamond"/>
          <w:lang w:val="cs-CZ"/>
        </w:rPr>
        <w:t>, ve znění pozdějších předpisů</w:t>
      </w:r>
    </w:p>
    <w:p w14:paraId="4BA43844" w14:textId="03DBAC91" w:rsidR="00A17F03" w:rsidRDefault="00A17F03" w:rsidP="00227E30">
      <w:pPr>
        <w:pStyle w:val="ListParagraph"/>
        <w:numPr>
          <w:ilvl w:val="0"/>
          <w:numId w:val="7"/>
        </w:numPr>
        <w:spacing w:line="360" w:lineRule="auto"/>
        <w:jc w:val="both"/>
        <w:rPr>
          <w:rFonts w:ascii="Garamond" w:hAnsi="Garamond"/>
          <w:lang w:val="cs-CZ"/>
        </w:rPr>
      </w:pPr>
      <w:r>
        <w:rPr>
          <w:rFonts w:ascii="Garamond" w:hAnsi="Garamond"/>
          <w:lang w:val="cs-CZ"/>
        </w:rPr>
        <w:t>Z</w:t>
      </w:r>
      <w:r w:rsidRPr="00A17F03">
        <w:rPr>
          <w:rFonts w:ascii="Garamond" w:hAnsi="Garamond"/>
          <w:lang w:val="cs-CZ"/>
        </w:rPr>
        <w:t>ákon č. 292/2013 Sb., o zvláštních řízeních soudních, ve znění pozdějších předpisů.</w:t>
      </w:r>
    </w:p>
    <w:p w14:paraId="244845A0" w14:textId="6F0DCF0A" w:rsidR="00227E30" w:rsidRPr="00227E30" w:rsidRDefault="00227E30" w:rsidP="00227E30">
      <w:pPr>
        <w:pStyle w:val="ListParagraph"/>
        <w:numPr>
          <w:ilvl w:val="0"/>
          <w:numId w:val="7"/>
        </w:numPr>
        <w:spacing w:line="360" w:lineRule="auto"/>
        <w:jc w:val="both"/>
        <w:rPr>
          <w:rFonts w:ascii="Garamond" w:hAnsi="Garamond"/>
          <w:lang w:val="cs-CZ"/>
        </w:rPr>
      </w:pPr>
      <w:r w:rsidRPr="00227E30">
        <w:rPr>
          <w:rFonts w:ascii="Garamond" w:hAnsi="Garamond"/>
          <w:lang w:val="cs-CZ"/>
        </w:rPr>
        <w:t>Návrh zákona o důstojné smrti, sněmovní tisk 820/0</w:t>
      </w:r>
    </w:p>
    <w:p w14:paraId="3C33598F" w14:textId="436E6E9B" w:rsidR="00510089" w:rsidRPr="007759EE" w:rsidRDefault="00510089" w:rsidP="000106FC">
      <w:pPr>
        <w:pStyle w:val="ListParagraph"/>
        <w:numPr>
          <w:ilvl w:val="0"/>
          <w:numId w:val="7"/>
        </w:numPr>
        <w:spacing w:line="360" w:lineRule="auto"/>
        <w:jc w:val="both"/>
        <w:rPr>
          <w:rFonts w:ascii="Garamond" w:hAnsi="Garamond"/>
          <w:lang w:val="de-DE"/>
        </w:rPr>
      </w:pPr>
      <w:r w:rsidRPr="007759EE">
        <w:rPr>
          <w:rFonts w:ascii="Garamond" w:hAnsi="Garamond"/>
          <w:lang w:val="de-DE"/>
        </w:rPr>
        <w:t>Grundgesetz für die Bundesrepublik Deutschland (SRN)</w:t>
      </w:r>
    </w:p>
    <w:p w14:paraId="2A9F30AE" w14:textId="77777777" w:rsidR="0004098B" w:rsidRPr="007759EE" w:rsidRDefault="0004098B" w:rsidP="000106FC">
      <w:pPr>
        <w:pStyle w:val="ListParagraph"/>
        <w:numPr>
          <w:ilvl w:val="0"/>
          <w:numId w:val="7"/>
        </w:numPr>
        <w:spacing w:line="360" w:lineRule="auto"/>
        <w:jc w:val="both"/>
        <w:rPr>
          <w:rFonts w:ascii="Garamond" w:eastAsia="Times New Roman" w:hAnsi="Garamond" w:cs="Times New Roman"/>
          <w:lang w:val="de-DE"/>
        </w:rPr>
      </w:pPr>
      <w:r w:rsidRPr="007759EE">
        <w:rPr>
          <w:rFonts w:ascii="Garamond" w:eastAsia="Times New Roman" w:hAnsi="Garamond" w:cs="Times New Roman"/>
          <w:lang w:val="cs-CZ"/>
        </w:rPr>
        <w:t xml:space="preserve">Německý trestní zákoník, 1871 </w:t>
      </w:r>
      <w:r w:rsidRPr="007759EE">
        <w:rPr>
          <w:rFonts w:ascii="Garamond" w:eastAsia="Times New Roman" w:hAnsi="Garamond" w:cs="Times New Roman"/>
          <w:lang w:val="de-DE"/>
        </w:rPr>
        <w:t xml:space="preserve">(Strafgesetzbuch, StGB): „Strafgesetzbuch in der Fassung der Bekanntmachung vom 13. November 1998 (BGBl. I S. 3322), das zuletzt durch Artikel 14 Nummer 10 des Gesetzes vom 20. Oktober 2015 (BGBl. I S. 1722) geändert worden ist“. </w:t>
      </w:r>
    </w:p>
    <w:p w14:paraId="7E96177B" w14:textId="45A29A52" w:rsidR="0004098B" w:rsidRPr="007759EE" w:rsidRDefault="009E7FD9" w:rsidP="000106FC">
      <w:pPr>
        <w:pStyle w:val="ListParagraph"/>
        <w:numPr>
          <w:ilvl w:val="0"/>
          <w:numId w:val="7"/>
        </w:numPr>
        <w:spacing w:line="360" w:lineRule="auto"/>
        <w:jc w:val="both"/>
        <w:rPr>
          <w:rFonts w:ascii="Garamond" w:hAnsi="Garamond"/>
          <w:lang w:val="cs-CZ"/>
        </w:rPr>
      </w:pPr>
      <w:r w:rsidRPr="007759EE">
        <w:rPr>
          <w:rFonts w:ascii="Garamond" w:hAnsi="Garamond"/>
        </w:rPr>
        <w:t>SAMS Guidelin</w:t>
      </w:r>
      <w:r w:rsidRPr="00A17E97">
        <w:rPr>
          <w:rFonts w:ascii="Garamond" w:hAnsi="Garamond"/>
        </w:rPr>
        <w:t xml:space="preserve">es “Management of dying and </w:t>
      </w:r>
      <w:proofErr w:type="gramStart"/>
      <w:r w:rsidRPr="00A17E97">
        <w:rPr>
          <w:rFonts w:ascii="Garamond" w:hAnsi="Garamond"/>
        </w:rPr>
        <w:t xml:space="preserve">death“ </w:t>
      </w:r>
      <w:r w:rsidRPr="007759EE">
        <w:rPr>
          <w:rFonts w:ascii="Garamond" w:hAnsi="Garamond"/>
          <w:lang w:val="cs-CZ"/>
        </w:rPr>
        <w:t>(</w:t>
      </w:r>
      <w:proofErr w:type="gramEnd"/>
      <w:r w:rsidRPr="007759EE">
        <w:rPr>
          <w:rFonts w:ascii="Garamond" w:hAnsi="Garamond"/>
          <w:lang w:val="cs-CZ"/>
        </w:rPr>
        <w:t>2018). Dostupné na &lt;</w:t>
      </w:r>
      <w:hyperlink r:id="rId27" w:history="1">
        <w:r w:rsidRPr="007759EE">
          <w:rPr>
            <w:rStyle w:val="Hyperlink"/>
            <w:rFonts w:ascii="Garamond" w:hAnsi="Garamond"/>
            <w:lang w:val="cs-CZ"/>
          </w:rPr>
          <w:t>https://www.samw.ch/en/Publications/Medical-ethical-Guidelines.html</w:t>
        </w:r>
      </w:hyperlink>
      <w:r w:rsidRPr="007759EE">
        <w:rPr>
          <w:rFonts w:ascii="Garamond" w:hAnsi="Garamond"/>
          <w:lang w:val="cs-CZ"/>
        </w:rPr>
        <w:t>&gt;.</w:t>
      </w:r>
    </w:p>
    <w:p w14:paraId="7D69ABD9" w14:textId="2D52FAED" w:rsidR="009E7FD9" w:rsidRDefault="009E7FD9" w:rsidP="000106FC">
      <w:pPr>
        <w:pStyle w:val="ListParagraph"/>
        <w:numPr>
          <w:ilvl w:val="0"/>
          <w:numId w:val="7"/>
        </w:numPr>
        <w:spacing w:line="360" w:lineRule="auto"/>
        <w:jc w:val="both"/>
        <w:rPr>
          <w:rFonts w:ascii="Garamond" w:hAnsi="Garamond"/>
          <w:lang w:val="cs-CZ"/>
        </w:rPr>
      </w:pPr>
      <w:r w:rsidRPr="00A17E97">
        <w:rPr>
          <w:rFonts w:ascii="Garamond" w:hAnsi="Garamond"/>
        </w:rPr>
        <w:t xml:space="preserve">SAMS Guidelines „End-of-life </w:t>
      </w:r>
      <w:proofErr w:type="gramStart"/>
      <w:r w:rsidRPr="00A17E97">
        <w:rPr>
          <w:rFonts w:ascii="Garamond" w:hAnsi="Garamond"/>
        </w:rPr>
        <w:t>care“ (</w:t>
      </w:r>
      <w:proofErr w:type="gramEnd"/>
      <w:r w:rsidRPr="00A17E97">
        <w:rPr>
          <w:rFonts w:ascii="Garamond" w:hAnsi="Garamond"/>
        </w:rPr>
        <w:t>2013).</w:t>
      </w:r>
      <w:r w:rsidRPr="007759EE">
        <w:rPr>
          <w:rFonts w:ascii="Garamond" w:hAnsi="Garamond"/>
          <w:lang w:val="cs-CZ"/>
        </w:rPr>
        <w:t xml:space="preserve"> Dostupné na &lt;</w:t>
      </w:r>
      <w:hyperlink r:id="rId28" w:history="1">
        <w:r w:rsidRPr="007759EE">
          <w:rPr>
            <w:rStyle w:val="Hyperlink"/>
            <w:rFonts w:ascii="Garamond" w:hAnsi="Garamond"/>
            <w:lang w:val="cs-CZ"/>
          </w:rPr>
          <w:t>https://www.samw.ch/en/Ethics/Ethics-in-end-of-life-care/Guidelines-management-dying-death/Background-dying-and-death.html</w:t>
        </w:r>
      </w:hyperlink>
      <w:r w:rsidRPr="007759EE">
        <w:rPr>
          <w:rFonts w:ascii="Garamond" w:hAnsi="Garamond"/>
          <w:lang w:val="cs-CZ"/>
        </w:rPr>
        <w:t xml:space="preserve">&gt;. </w:t>
      </w:r>
    </w:p>
    <w:p w14:paraId="5D148CDE" w14:textId="77777777" w:rsidR="0051466B" w:rsidRPr="0051466B" w:rsidRDefault="006D0514" w:rsidP="000106FC">
      <w:pPr>
        <w:pStyle w:val="ListParagraph"/>
        <w:numPr>
          <w:ilvl w:val="0"/>
          <w:numId w:val="7"/>
        </w:numPr>
        <w:spacing w:line="360" w:lineRule="auto"/>
        <w:jc w:val="both"/>
        <w:rPr>
          <w:rFonts w:ascii="Garamond" w:hAnsi="Garamond"/>
          <w:lang w:val="cs-CZ"/>
        </w:rPr>
      </w:pPr>
      <w:proofErr w:type="spellStart"/>
      <w:r w:rsidRPr="006D0514">
        <w:rPr>
          <w:rFonts w:ascii="Garamond" w:hAnsi="Garamond"/>
        </w:rPr>
        <w:t>Loi</w:t>
      </w:r>
      <w:proofErr w:type="spellEnd"/>
      <w:r w:rsidRPr="006D0514">
        <w:rPr>
          <w:rFonts w:ascii="Garamond" w:hAnsi="Garamond"/>
        </w:rPr>
        <w:t xml:space="preserve"> du 28 </w:t>
      </w:r>
      <w:proofErr w:type="spellStart"/>
      <w:r w:rsidRPr="006D0514">
        <w:rPr>
          <w:rFonts w:ascii="Garamond" w:hAnsi="Garamond"/>
        </w:rPr>
        <w:t>mai</w:t>
      </w:r>
      <w:proofErr w:type="spellEnd"/>
      <w:r w:rsidRPr="006D0514">
        <w:rPr>
          <w:rFonts w:ascii="Garamond" w:hAnsi="Garamond"/>
        </w:rPr>
        <w:t xml:space="preserve"> 2002 relative à </w:t>
      </w:r>
      <w:proofErr w:type="spellStart"/>
      <w:r w:rsidRPr="006D0514">
        <w:rPr>
          <w:rFonts w:ascii="Garamond" w:hAnsi="Garamond"/>
        </w:rPr>
        <w:t>l'euthanasie</w:t>
      </w:r>
      <w:proofErr w:type="spellEnd"/>
    </w:p>
    <w:p w14:paraId="71EC5124" w14:textId="2964F34A" w:rsidR="00412C93" w:rsidRDefault="0051466B" w:rsidP="000106FC">
      <w:pPr>
        <w:pStyle w:val="ListParagraph"/>
        <w:numPr>
          <w:ilvl w:val="0"/>
          <w:numId w:val="7"/>
        </w:numPr>
        <w:spacing w:line="360" w:lineRule="auto"/>
        <w:jc w:val="both"/>
        <w:rPr>
          <w:rFonts w:ascii="Garamond" w:hAnsi="Garamond"/>
          <w:lang w:val="cs-CZ"/>
        </w:rPr>
      </w:pPr>
      <w:proofErr w:type="spellStart"/>
      <w:r w:rsidRPr="0051466B">
        <w:rPr>
          <w:rFonts w:ascii="Garamond" w:hAnsi="Garamond"/>
          <w:lang w:val="cs-CZ"/>
        </w:rPr>
        <w:t>Wet</w:t>
      </w:r>
      <w:proofErr w:type="spellEnd"/>
      <w:r w:rsidRPr="0051466B">
        <w:rPr>
          <w:rFonts w:ascii="Garamond" w:hAnsi="Garamond"/>
          <w:lang w:val="cs-CZ"/>
        </w:rPr>
        <w:t xml:space="preserve"> </w:t>
      </w:r>
      <w:proofErr w:type="spellStart"/>
      <w:r w:rsidRPr="0051466B">
        <w:rPr>
          <w:rFonts w:ascii="Garamond" w:hAnsi="Garamond"/>
          <w:lang w:val="cs-CZ"/>
        </w:rPr>
        <w:t>toetsing</w:t>
      </w:r>
      <w:proofErr w:type="spellEnd"/>
      <w:r w:rsidRPr="0051466B">
        <w:rPr>
          <w:rFonts w:ascii="Garamond" w:hAnsi="Garamond"/>
          <w:lang w:val="cs-CZ"/>
        </w:rPr>
        <w:t xml:space="preserve"> </w:t>
      </w:r>
      <w:proofErr w:type="spellStart"/>
      <w:r w:rsidRPr="0051466B">
        <w:rPr>
          <w:rFonts w:ascii="Garamond" w:hAnsi="Garamond"/>
          <w:lang w:val="cs-CZ"/>
        </w:rPr>
        <w:t>levensbeëindiging</w:t>
      </w:r>
      <w:proofErr w:type="spellEnd"/>
      <w:r w:rsidRPr="0051466B">
        <w:rPr>
          <w:rFonts w:ascii="Garamond" w:hAnsi="Garamond"/>
          <w:lang w:val="cs-CZ"/>
        </w:rPr>
        <w:t xml:space="preserve"> op </w:t>
      </w:r>
      <w:proofErr w:type="spellStart"/>
      <w:r w:rsidRPr="0051466B">
        <w:rPr>
          <w:rFonts w:ascii="Garamond" w:hAnsi="Garamond"/>
          <w:lang w:val="cs-CZ"/>
        </w:rPr>
        <w:t>verzoek</w:t>
      </w:r>
      <w:proofErr w:type="spellEnd"/>
      <w:r w:rsidRPr="0051466B">
        <w:rPr>
          <w:rFonts w:ascii="Garamond" w:hAnsi="Garamond"/>
          <w:lang w:val="cs-CZ"/>
        </w:rPr>
        <w:t xml:space="preserve"> en </w:t>
      </w:r>
      <w:proofErr w:type="spellStart"/>
      <w:r w:rsidRPr="0051466B">
        <w:rPr>
          <w:rFonts w:ascii="Garamond" w:hAnsi="Garamond"/>
          <w:lang w:val="cs-CZ"/>
        </w:rPr>
        <w:t>hulp</w:t>
      </w:r>
      <w:proofErr w:type="spellEnd"/>
      <w:r w:rsidRPr="0051466B">
        <w:rPr>
          <w:rFonts w:ascii="Garamond" w:hAnsi="Garamond"/>
          <w:lang w:val="cs-CZ"/>
        </w:rPr>
        <w:t xml:space="preserve"> bij </w:t>
      </w:r>
      <w:proofErr w:type="spellStart"/>
      <w:r w:rsidRPr="0051466B">
        <w:rPr>
          <w:rFonts w:ascii="Garamond" w:hAnsi="Garamond"/>
          <w:lang w:val="cs-CZ"/>
        </w:rPr>
        <w:t>zelfdoding</w:t>
      </w:r>
      <w:proofErr w:type="spellEnd"/>
    </w:p>
    <w:p w14:paraId="20D61FD2" w14:textId="57B40C14" w:rsidR="00B20F48" w:rsidRPr="00AC6F43" w:rsidRDefault="00B20F48" w:rsidP="000106FC">
      <w:pPr>
        <w:pStyle w:val="ListParagraph"/>
        <w:numPr>
          <w:ilvl w:val="0"/>
          <w:numId w:val="7"/>
        </w:numPr>
        <w:spacing w:line="360" w:lineRule="auto"/>
        <w:jc w:val="both"/>
        <w:rPr>
          <w:rFonts w:ascii="Garamond" w:hAnsi="Garamond"/>
          <w:lang w:val="cs-CZ"/>
        </w:rPr>
      </w:pPr>
      <w:r w:rsidRPr="00B20F48">
        <w:rPr>
          <w:rFonts w:ascii="Garamond" w:hAnsi="Garamond"/>
        </w:rPr>
        <w:t>An Act to amend the Criminal Code and to make related amendments to other Acts (medical assistance in dying) S.C. 2016, c. 3</w:t>
      </w:r>
    </w:p>
    <w:p w14:paraId="314042F8" w14:textId="3F7AB3D9" w:rsidR="00AC6F43" w:rsidRDefault="00AC6F43" w:rsidP="000106FC">
      <w:pPr>
        <w:pStyle w:val="ListParagraph"/>
        <w:numPr>
          <w:ilvl w:val="0"/>
          <w:numId w:val="7"/>
        </w:numPr>
        <w:spacing w:line="360" w:lineRule="auto"/>
        <w:jc w:val="both"/>
        <w:rPr>
          <w:rFonts w:ascii="Garamond" w:hAnsi="Garamond"/>
          <w:lang w:val="cs-CZ"/>
        </w:rPr>
      </w:pPr>
      <w:r w:rsidRPr="00AC6F43">
        <w:rPr>
          <w:rFonts w:ascii="Garamond" w:hAnsi="Garamond"/>
        </w:rPr>
        <w:t>Code de justice administrative</w:t>
      </w:r>
    </w:p>
    <w:p w14:paraId="08033CE3" w14:textId="77777777" w:rsidR="0051466B" w:rsidRPr="0051466B" w:rsidRDefault="0051466B" w:rsidP="0051466B">
      <w:pPr>
        <w:pStyle w:val="ListParagraph"/>
        <w:spacing w:line="360" w:lineRule="auto"/>
        <w:ind w:left="1080"/>
        <w:jc w:val="both"/>
        <w:rPr>
          <w:rFonts w:ascii="Garamond" w:hAnsi="Garamond"/>
          <w:lang w:val="cs-CZ"/>
        </w:rPr>
      </w:pPr>
    </w:p>
    <w:p w14:paraId="16430955" w14:textId="22048ADE" w:rsidR="00412C93" w:rsidRPr="007759EE" w:rsidRDefault="00412C93" w:rsidP="003F3660">
      <w:pPr>
        <w:pStyle w:val="Heading2"/>
        <w:numPr>
          <w:ilvl w:val="0"/>
          <w:numId w:val="4"/>
        </w:numPr>
        <w:spacing w:line="360" w:lineRule="auto"/>
        <w:ind w:left="720" w:hanging="720"/>
        <w:rPr>
          <w:lang w:val="cs-CZ"/>
        </w:rPr>
      </w:pPr>
      <w:bookmarkStart w:id="22" w:name="_Toc11919788"/>
      <w:r w:rsidRPr="007759EE">
        <w:rPr>
          <w:lang w:val="cs-CZ"/>
        </w:rPr>
        <w:t>Judikatura</w:t>
      </w:r>
      <w:bookmarkEnd w:id="22"/>
    </w:p>
    <w:p w14:paraId="64FBA36B" w14:textId="7C59A90C" w:rsidR="00412C93" w:rsidRPr="007759EE" w:rsidRDefault="00412C93" w:rsidP="00FE2CFF">
      <w:pPr>
        <w:spacing w:line="360" w:lineRule="auto"/>
        <w:ind w:left="720"/>
        <w:jc w:val="both"/>
        <w:rPr>
          <w:rFonts w:ascii="Garamond" w:hAnsi="Garamond"/>
          <w:u w:val="single"/>
          <w:lang w:val="cs-CZ"/>
        </w:rPr>
      </w:pPr>
      <w:r w:rsidRPr="007759EE">
        <w:rPr>
          <w:rFonts w:ascii="Garamond" w:hAnsi="Garamond"/>
          <w:u w:val="single"/>
          <w:lang w:val="cs-CZ"/>
        </w:rPr>
        <w:t>Evropský soud pro lidská práva</w:t>
      </w:r>
    </w:p>
    <w:p w14:paraId="7A42E43A" w14:textId="24F0784F" w:rsidR="00412C93" w:rsidRPr="007759EE" w:rsidRDefault="00751097"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 xml:space="preserve">Rozsudek ESLP ze dne 29.4.2002, ve věci </w:t>
      </w:r>
      <w:proofErr w:type="spellStart"/>
      <w:r w:rsidRPr="007759EE">
        <w:rPr>
          <w:rFonts w:ascii="Garamond" w:hAnsi="Garamond"/>
          <w:lang w:val="cs-CZ"/>
        </w:rPr>
        <w:t>Pretty</w:t>
      </w:r>
      <w:proofErr w:type="spellEnd"/>
      <w:r w:rsidRPr="007759EE">
        <w:rPr>
          <w:rFonts w:ascii="Garamond" w:hAnsi="Garamond"/>
          <w:lang w:val="cs-CZ"/>
        </w:rPr>
        <w:t xml:space="preserve"> proti Spojenému království</w:t>
      </w:r>
    </w:p>
    <w:p w14:paraId="38443A27" w14:textId="6EA2E6EF" w:rsidR="00751097" w:rsidRPr="007759EE" w:rsidRDefault="00751097"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Rozsudek ESLP ze dne 20.1.2011, ve věci Haas proti Švýcarsku</w:t>
      </w:r>
    </w:p>
    <w:p w14:paraId="33BDF4E7" w14:textId="0CFED9C4" w:rsidR="00751097" w:rsidRPr="007759EE" w:rsidRDefault="00751097"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Rozsudek ESLP ze dne 19.7.2012, ve věci Koch proti Německu</w:t>
      </w:r>
    </w:p>
    <w:p w14:paraId="27F4E4FC" w14:textId="72F48672" w:rsidR="00A21A9F" w:rsidRPr="007759EE" w:rsidRDefault="00A21A9F"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Rozsudek ELSP ze dne 14.5.2013, ve věci Gross I proti Švýcarsku</w:t>
      </w:r>
    </w:p>
    <w:p w14:paraId="50B4A9B6" w14:textId="6FEA5D01" w:rsidR="00751097" w:rsidRPr="007759EE" w:rsidRDefault="00751097"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Rozsudek ESLP ze dne 30.9.2014, ve věci Gross</w:t>
      </w:r>
      <w:r w:rsidR="00A21A9F" w:rsidRPr="007759EE">
        <w:rPr>
          <w:rFonts w:ascii="Garamond" w:hAnsi="Garamond"/>
          <w:lang w:val="cs-CZ"/>
        </w:rPr>
        <w:t xml:space="preserve"> II</w:t>
      </w:r>
      <w:r w:rsidRPr="007759EE">
        <w:rPr>
          <w:rFonts w:ascii="Garamond" w:hAnsi="Garamond"/>
          <w:lang w:val="cs-CZ"/>
        </w:rPr>
        <w:t xml:space="preserve"> proti Švýcarsku</w:t>
      </w:r>
    </w:p>
    <w:p w14:paraId="076BFDB3" w14:textId="3A00DB0B" w:rsidR="00751097" w:rsidRPr="007759EE" w:rsidRDefault="00751097"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 xml:space="preserve">Rozsudek ESLP ze dne </w:t>
      </w:r>
      <w:r w:rsidR="0005458E" w:rsidRPr="007759EE">
        <w:rPr>
          <w:rFonts w:ascii="Garamond" w:hAnsi="Garamond"/>
          <w:lang w:val="cs-CZ"/>
        </w:rPr>
        <w:t xml:space="preserve">5.6.2015, ve věci Lambert a </w:t>
      </w:r>
      <w:r w:rsidR="006528DC" w:rsidRPr="007759EE">
        <w:rPr>
          <w:rFonts w:ascii="Garamond" w:hAnsi="Garamond"/>
          <w:lang w:val="cs-CZ"/>
        </w:rPr>
        <w:t>další</w:t>
      </w:r>
      <w:r w:rsidR="0005458E" w:rsidRPr="007759EE">
        <w:rPr>
          <w:rFonts w:ascii="Garamond" w:hAnsi="Garamond"/>
          <w:lang w:val="cs-CZ"/>
        </w:rPr>
        <w:t xml:space="preserve"> proti Francii</w:t>
      </w:r>
    </w:p>
    <w:p w14:paraId="3B29AC79" w14:textId="4FEA5717" w:rsidR="00D450AF" w:rsidRPr="007759EE" w:rsidRDefault="00D450AF"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lastRenderedPageBreak/>
        <w:t xml:space="preserve">Rozsudek ESLP ze dne 27.6.2017, ve věci Gard a </w:t>
      </w:r>
      <w:r w:rsidR="006528DC" w:rsidRPr="007759EE">
        <w:rPr>
          <w:rFonts w:ascii="Garamond" w:hAnsi="Garamond"/>
          <w:lang w:val="cs-CZ"/>
        </w:rPr>
        <w:t>další</w:t>
      </w:r>
      <w:r w:rsidRPr="007759EE">
        <w:rPr>
          <w:rFonts w:ascii="Garamond" w:hAnsi="Garamond"/>
          <w:lang w:val="cs-CZ"/>
        </w:rPr>
        <w:t xml:space="preserve"> proti Spojenému </w:t>
      </w:r>
      <w:r w:rsidRPr="007759EE">
        <w:rPr>
          <w:rFonts w:ascii="Garamond" w:hAnsi="Garamond"/>
          <w:lang w:val="cs-CZ"/>
        </w:rPr>
        <w:br/>
        <w:t>království</w:t>
      </w:r>
    </w:p>
    <w:p w14:paraId="15908EBC" w14:textId="616C3707" w:rsidR="0005458E" w:rsidRPr="007759EE" w:rsidRDefault="00D450AF"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 xml:space="preserve">Rozsudek ESLP ze dne 23.1.2018, ve věci </w:t>
      </w:r>
      <w:proofErr w:type="spellStart"/>
      <w:r w:rsidRPr="007759EE">
        <w:rPr>
          <w:rFonts w:ascii="Garamond" w:hAnsi="Garamond"/>
          <w:lang w:val="cs-CZ"/>
        </w:rPr>
        <w:t>Afiri</w:t>
      </w:r>
      <w:proofErr w:type="spellEnd"/>
      <w:r w:rsidRPr="007759EE">
        <w:rPr>
          <w:rFonts w:ascii="Garamond" w:hAnsi="Garamond"/>
          <w:lang w:val="cs-CZ"/>
        </w:rPr>
        <w:t xml:space="preserve"> a </w:t>
      </w:r>
      <w:proofErr w:type="spellStart"/>
      <w:r w:rsidRPr="007759EE">
        <w:rPr>
          <w:rFonts w:ascii="Garamond" w:hAnsi="Garamond"/>
          <w:lang w:val="cs-CZ"/>
        </w:rPr>
        <w:t>Biddarri</w:t>
      </w:r>
      <w:proofErr w:type="spellEnd"/>
      <w:r w:rsidRPr="007759EE">
        <w:rPr>
          <w:rFonts w:ascii="Garamond" w:hAnsi="Garamond"/>
          <w:lang w:val="cs-CZ"/>
        </w:rPr>
        <w:t xml:space="preserve"> proti Francii</w:t>
      </w:r>
    </w:p>
    <w:p w14:paraId="0F87E907" w14:textId="1EEB781D" w:rsidR="008D5519" w:rsidRDefault="008D5519" w:rsidP="00FE2CFF">
      <w:pPr>
        <w:pStyle w:val="ListParagraph"/>
        <w:numPr>
          <w:ilvl w:val="0"/>
          <w:numId w:val="6"/>
        </w:numPr>
        <w:spacing w:line="360" w:lineRule="auto"/>
        <w:jc w:val="both"/>
        <w:rPr>
          <w:rFonts w:ascii="Garamond" w:hAnsi="Garamond"/>
          <w:lang w:val="cs-CZ"/>
        </w:rPr>
      </w:pPr>
      <w:r w:rsidRPr="007759EE">
        <w:rPr>
          <w:rFonts w:ascii="Garamond" w:hAnsi="Garamond"/>
          <w:lang w:val="cs-CZ"/>
        </w:rPr>
        <w:t xml:space="preserve">Rozsudek ESLP ze dne 10.4.2007, ve věci </w:t>
      </w:r>
      <w:proofErr w:type="spellStart"/>
      <w:r w:rsidRPr="007759EE">
        <w:rPr>
          <w:rFonts w:ascii="Garamond" w:hAnsi="Garamond"/>
          <w:lang w:val="cs-CZ"/>
        </w:rPr>
        <w:t>Evans</w:t>
      </w:r>
      <w:proofErr w:type="spellEnd"/>
      <w:r w:rsidRPr="007759EE">
        <w:rPr>
          <w:rFonts w:ascii="Garamond" w:hAnsi="Garamond"/>
          <w:lang w:val="cs-CZ"/>
        </w:rPr>
        <w:t xml:space="preserve"> proti Spojenému království</w:t>
      </w:r>
    </w:p>
    <w:p w14:paraId="4A6BC009" w14:textId="499A5F16" w:rsidR="00B12A1E" w:rsidRDefault="00B12A1E" w:rsidP="00FE2CFF">
      <w:pPr>
        <w:pStyle w:val="ListParagraph"/>
        <w:numPr>
          <w:ilvl w:val="0"/>
          <w:numId w:val="6"/>
        </w:numPr>
        <w:spacing w:line="360" w:lineRule="auto"/>
        <w:jc w:val="both"/>
        <w:rPr>
          <w:rFonts w:ascii="Garamond" w:hAnsi="Garamond"/>
          <w:lang w:val="cs-CZ"/>
        </w:rPr>
      </w:pPr>
      <w:r w:rsidRPr="00B12A1E">
        <w:rPr>
          <w:rFonts w:ascii="Garamond" w:hAnsi="Garamond"/>
          <w:lang w:val="cs-CZ"/>
        </w:rPr>
        <w:t>Rozsudek ESLP ze dne 10.5.2010, ve věci Moskevští Svědci Jehovovi a další proti Rusku</w:t>
      </w:r>
    </w:p>
    <w:p w14:paraId="423EAE4D" w14:textId="2DAB8F22" w:rsidR="008C7965" w:rsidRPr="007759EE" w:rsidRDefault="008C7965" w:rsidP="00FE2CFF">
      <w:pPr>
        <w:pStyle w:val="ListParagraph"/>
        <w:numPr>
          <w:ilvl w:val="0"/>
          <w:numId w:val="6"/>
        </w:numPr>
        <w:spacing w:line="360" w:lineRule="auto"/>
        <w:jc w:val="both"/>
        <w:rPr>
          <w:rFonts w:ascii="Garamond" w:hAnsi="Garamond"/>
          <w:lang w:val="cs-CZ"/>
        </w:rPr>
      </w:pPr>
      <w:r w:rsidRPr="008C7965">
        <w:rPr>
          <w:rFonts w:ascii="Garamond" w:hAnsi="Garamond"/>
          <w:lang w:val="cs-CZ"/>
        </w:rPr>
        <w:t>Rozsudek ESLP ze dne 4.5.2010</w:t>
      </w:r>
      <w:r>
        <w:rPr>
          <w:rFonts w:ascii="Garamond" w:hAnsi="Garamond"/>
          <w:lang w:val="cs-CZ"/>
        </w:rPr>
        <w:t>,</w:t>
      </w:r>
      <w:r w:rsidRPr="008C7965">
        <w:rPr>
          <w:rFonts w:ascii="Garamond" w:hAnsi="Garamond"/>
          <w:lang w:val="cs-CZ"/>
        </w:rPr>
        <w:t xml:space="preserve"> ve věci Peterka proti České republice</w:t>
      </w:r>
    </w:p>
    <w:p w14:paraId="1470AC9C" w14:textId="77777777" w:rsidR="00330C8D" w:rsidRPr="007759EE" w:rsidRDefault="00330C8D" w:rsidP="00330C8D">
      <w:pPr>
        <w:pStyle w:val="ListParagraph"/>
        <w:spacing w:line="360" w:lineRule="auto"/>
        <w:ind w:left="1080"/>
        <w:rPr>
          <w:rFonts w:ascii="Garamond" w:hAnsi="Garamond"/>
          <w:lang w:val="cs-CZ"/>
        </w:rPr>
      </w:pPr>
    </w:p>
    <w:p w14:paraId="5B040F82" w14:textId="6AC2188F" w:rsidR="00F16186" w:rsidRPr="007759EE" w:rsidRDefault="00F16186" w:rsidP="00330C8D">
      <w:pPr>
        <w:spacing w:line="360" w:lineRule="auto"/>
        <w:ind w:left="720"/>
        <w:rPr>
          <w:rFonts w:ascii="Garamond" w:hAnsi="Garamond"/>
          <w:u w:val="single"/>
          <w:lang w:val="cs-CZ"/>
        </w:rPr>
      </w:pPr>
      <w:r w:rsidRPr="007759EE">
        <w:rPr>
          <w:rFonts w:ascii="Garamond" w:hAnsi="Garamond"/>
          <w:u w:val="single"/>
          <w:lang w:val="cs-CZ"/>
        </w:rPr>
        <w:t>Ostatní</w:t>
      </w:r>
    </w:p>
    <w:p w14:paraId="6878684D" w14:textId="6F542C5E" w:rsidR="00F16186" w:rsidRDefault="00F16186"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Rozsudek Spolkového správního soudu</w:t>
      </w:r>
      <w:r w:rsidR="00BE21D7" w:rsidRPr="007759EE">
        <w:rPr>
          <w:rFonts w:ascii="Garamond" w:hAnsi="Garamond"/>
          <w:lang w:val="cs-CZ"/>
        </w:rPr>
        <w:t xml:space="preserve"> Německa</w:t>
      </w:r>
      <w:r w:rsidRPr="007759EE">
        <w:rPr>
          <w:rFonts w:ascii="Garamond" w:hAnsi="Garamond"/>
          <w:lang w:val="cs-CZ"/>
        </w:rPr>
        <w:t xml:space="preserve"> ze dne 2.3.2017</w:t>
      </w:r>
      <w:r w:rsidR="004E412D" w:rsidRPr="007759EE">
        <w:rPr>
          <w:rFonts w:ascii="Garamond" w:hAnsi="Garamond"/>
          <w:lang w:val="cs-CZ"/>
        </w:rPr>
        <w:t xml:space="preserve">, </w:t>
      </w:r>
      <w:proofErr w:type="spellStart"/>
      <w:r w:rsidR="004E412D" w:rsidRPr="007759EE">
        <w:rPr>
          <w:rFonts w:ascii="Garamond" w:hAnsi="Garamond"/>
          <w:lang w:val="cs-CZ"/>
        </w:rPr>
        <w:t>sp</w:t>
      </w:r>
      <w:proofErr w:type="spellEnd"/>
      <w:r w:rsidR="004E412D" w:rsidRPr="007759EE">
        <w:rPr>
          <w:rFonts w:ascii="Garamond" w:hAnsi="Garamond"/>
          <w:lang w:val="cs-CZ"/>
        </w:rPr>
        <w:t xml:space="preserve">. zn. </w:t>
      </w:r>
      <w:proofErr w:type="spellStart"/>
      <w:r w:rsidR="004E412D" w:rsidRPr="007759EE">
        <w:rPr>
          <w:rFonts w:ascii="Garamond" w:hAnsi="Garamond"/>
          <w:lang w:val="cs-CZ"/>
        </w:rPr>
        <w:t>BVerwG</w:t>
      </w:r>
      <w:proofErr w:type="spellEnd"/>
      <w:r w:rsidR="004E412D" w:rsidRPr="007759EE">
        <w:rPr>
          <w:rFonts w:ascii="Garamond" w:hAnsi="Garamond"/>
          <w:lang w:val="cs-CZ"/>
        </w:rPr>
        <w:t xml:space="preserve"> 3 C 19.15</w:t>
      </w:r>
    </w:p>
    <w:p w14:paraId="0B371786" w14:textId="5B8E2F71" w:rsidR="009667D1" w:rsidRPr="007759EE" w:rsidRDefault="009667D1" w:rsidP="00FE2CFF">
      <w:pPr>
        <w:pStyle w:val="ListParagraph"/>
        <w:numPr>
          <w:ilvl w:val="0"/>
          <w:numId w:val="8"/>
        </w:numPr>
        <w:spacing w:line="360" w:lineRule="auto"/>
        <w:jc w:val="both"/>
        <w:rPr>
          <w:rFonts w:ascii="Garamond" w:hAnsi="Garamond"/>
          <w:lang w:val="cs-CZ"/>
        </w:rPr>
      </w:pPr>
      <w:r w:rsidRPr="009667D1">
        <w:rPr>
          <w:rFonts w:ascii="Garamond" w:hAnsi="Garamond"/>
          <w:lang w:val="cs-CZ"/>
        </w:rPr>
        <w:t xml:space="preserve">Rozsudek Nejvyššího soudu Kanady ze dne 6.2.2015, ve věci </w:t>
      </w:r>
      <w:proofErr w:type="spellStart"/>
      <w:r w:rsidRPr="009667D1">
        <w:rPr>
          <w:rFonts w:ascii="Garamond" w:hAnsi="Garamond"/>
          <w:lang w:val="cs-CZ"/>
        </w:rPr>
        <w:t>Carter</w:t>
      </w:r>
      <w:proofErr w:type="spellEnd"/>
      <w:r w:rsidRPr="009667D1">
        <w:rPr>
          <w:rFonts w:ascii="Garamond" w:hAnsi="Garamond"/>
          <w:lang w:val="cs-CZ"/>
        </w:rPr>
        <w:t xml:space="preserve"> proti Kanadě, </w:t>
      </w:r>
      <w:proofErr w:type="spellStart"/>
      <w:r w:rsidRPr="009667D1">
        <w:rPr>
          <w:rFonts w:ascii="Garamond" w:hAnsi="Garamond"/>
          <w:lang w:val="cs-CZ"/>
        </w:rPr>
        <w:t>sp</w:t>
      </w:r>
      <w:proofErr w:type="spellEnd"/>
      <w:r w:rsidRPr="009667D1">
        <w:rPr>
          <w:rFonts w:ascii="Garamond" w:hAnsi="Garamond"/>
          <w:lang w:val="cs-CZ"/>
        </w:rPr>
        <w:t>. zn. [2015] 1 S.C.R. 331</w:t>
      </w:r>
    </w:p>
    <w:p w14:paraId="4AE98BDA" w14:textId="251FE096" w:rsidR="007D5ED8" w:rsidRPr="007759EE" w:rsidRDefault="007D5ED8"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 xml:space="preserve">Rozhodnutí Vysokého soudu </w:t>
      </w:r>
      <w:r w:rsidR="00F3078E" w:rsidRPr="007759EE">
        <w:rPr>
          <w:rFonts w:ascii="Garamond" w:hAnsi="Garamond"/>
          <w:lang w:val="cs-CZ"/>
        </w:rPr>
        <w:t xml:space="preserve">Spojeného království </w:t>
      </w:r>
      <w:r w:rsidRPr="007759EE">
        <w:rPr>
          <w:rFonts w:ascii="Garamond" w:hAnsi="Garamond"/>
          <w:lang w:val="cs-CZ"/>
        </w:rPr>
        <w:t xml:space="preserve">ze dne 11. 4. 2017, ve věci Great </w:t>
      </w:r>
      <w:r w:rsidRPr="00592592">
        <w:rPr>
          <w:rFonts w:ascii="Garamond" w:hAnsi="Garamond"/>
        </w:rPr>
        <w:t>Ormond Street Hospital v. Constance Yates, Chris</w:t>
      </w:r>
      <w:r w:rsidRPr="007759EE">
        <w:rPr>
          <w:rFonts w:ascii="Garamond" w:hAnsi="Garamond"/>
          <w:lang w:val="cs-CZ"/>
        </w:rPr>
        <w:t xml:space="preserve"> Gard and Charles Gard, </w:t>
      </w:r>
      <w:proofErr w:type="spellStart"/>
      <w:r w:rsidRPr="007759EE">
        <w:rPr>
          <w:rFonts w:ascii="Garamond" w:hAnsi="Garamond"/>
          <w:lang w:val="cs-CZ"/>
        </w:rPr>
        <w:t>sp</w:t>
      </w:r>
      <w:proofErr w:type="spellEnd"/>
      <w:r w:rsidRPr="007759EE">
        <w:rPr>
          <w:rFonts w:ascii="Garamond" w:hAnsi="Garamond"/>
          <w:lang w:val="cs-CZ"/>
        </w:rPr>
        <w:t>. zn. [2017] EWHC 972 (</w:t>
      </w:r>
      <w:proofErr w:type="spellStart"/>
      <w:r w:rsidRPr="007759EE">
        <w:rPr>
          <w:rFonts w:ascii="Garamond" w:hAnsi="Garamond"/>
          <w:lang w:val="cs-CZ"/>
        </w:rPr>
        <w:t>Fam</w:t>
      </w:r>
      <w:proofErr w:type="spellEnd"/>
      <w:r w:rsidRPr="007759EE">
        <w:rPr>
          <w:rFonts w:ascii="Garamond" w:hAnsi="Garamond"/>
          <w:lang w:val="cs-CZ"/>
        </w:rPr>
        <w:t>)</w:t>
      </w:r>
    </w:p>
    <w:p w14:paraId="1A1C7173" w14:textId="110CFACB" w:rsidR="00F3078E" w:rsidRPr="007759EE" w:rsidRDefault="00F3078E"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 xml:space="preserve">Rozhodnutí Vysokého soudu Spojeného království ze dne 24.7.2017, </w:t>
      </w:r>
      <w:proofErr w:type="spellStart"/>
      <w:r w:rsidRPr="007759EE">
        <w:rPr>
          <w:rFonts w:ascii="Garamond" w:hAnsi="Garamond"/>
          <w:lang w:val="cs-CZ"/>
        </w:rPr>
        <w:t>sp</w:t>
      </w:r>
      <w:proofErr w:type="spellEnd"/>
      <w:r w:rsidRPr="007759EE">
        <w:rPr>
          <w:rFonts w:ascii="Garamond" w:hAnsi="Garamond"/>
          <w:lang w:val="cs-CZ"/>
        </w:rPr>
        <w:t>. zn.  [2017] EWHC 1909 (</w:t>
      </w:r>
      <w:proofErr w:type="spellStart"/>
      <w:r w:rsidRPr="007759EE">
        <w:rPr>
          <w:rFonts w:ascii="Garamond" w:hAnsi="Garamond"/>
          <w:lang w:val="cs-CZ"/>
        </w:rPr>
        <w:t>Fam</w:t>
      </w:r>
      <w:proofErr w:type="spellEnd"/>
      <w:r w:rsidRPr="007759EE">
        <w:rPr>
          <w:rFonts w:ascii="Garamond" w:hAnsi="Garamond"/>
          <w:lang w:val="cs-CZ"/>
        </w:rPr>
        <w:t>)</w:t>
      </w:r>
    </w:p>
    <w:p w14:paraId="30C6F66C" w14:textId="07DE71F2" w:rsidR="007D5ED8" w:rsidRPr="007759EE" w:rsidRDefault="007D5ED8"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Rozhodnutí Nejvyššího soudu</w:t>
      </w:r>
      <w:r w:rsidR="00F3078E" w:rsidRPr="007759EE">
        <w:rPr>
          <w:rFonts w:ascii="Garamond" w:hAnsi="Garamond"/>
          <w:lang w:val="cs-CZ"/>
        </w:rPr>
        <w:t xml:space="preserve"> Spojeného království</w:t>
      </w:r>
      <w:r w:rsidRPr="007759EE">
        <w:rPr>
          <w:rFonts w:ascii="Garamond" w:hAnsi="Garamond"/>
          <w:lang w:val="cs-CZ"/>
        </w:rPr>
        <w:t xml:space="preserve"> ze dne 30. 10. 2013, ve věci </w:t>
      </w:r>
      <w:r w:rsidRPr="00592592">
        <w:rPr>
          <w:rFonts w:ascii="Garamond" w:hAnsi="Garamond"/>
        </w:rPr>
        <w:t>Aintree University Hospitals NHS Foundation Trust v. James</w:t>
      </w:r>
      <w:r w:rsidRPr="007759EE">
        <w:rPr>
          <w:rFonts w:ascii="Garamond" w:hAnsi="Garamond"/>
          <w:lang w:val="cs-CZ"/>
        </w:rPr>
        <w:t xml:space="preserve">, </w:t>
      </w:r>
      <w:proofErr w:type="spellStart"/>
      <w:r w:rsidRPr="007759EE">
        <w:rPr>
          <w:rFonts w:ascii="Garamond" w:hAnsi="Garamond"/>
          <w:lang w:val="cs-CZ"/>
        </w:rPr>
        <w:t>sp</w:t>
      </w:r>
      <w:proofErr w:type="spellEnd"/>
      <w:r w:rsidRPr="007759EE">
        <w:rPr>
          <w:rFonts w:ascii="Garamond" w:hAnsi="Garamond"/>
          <w:lang w:val="cs-CZ"/>
        </w:rPr>
        <w:t>. zn. [2013] UKSC 67</w:t>
      </w:r>
    </w:p>
    <w:p w14:paraId="6773CB36" w14:textId="044E33CB" w:rsidR="007D5ED8" w:rsidRPr="007759EE" w:rsidRDefault="007D5ED8"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 xml:space="preserve">Rozhodnutí Odvolacího soudu </w:t>
      </w:r>
      <w:r w:rsidR="00F3078E" w:rsidRPr="007759EE">
        <w:rPr>
          <w:rFonts w:ascii="Garamond" w:hAnsi="Garamond"/>
          <w:lang w:val="cs-CZ"/>
        </w:rPr>
        <w:t xml:space="preserve">Spojeného království </w:t>
      </w:r>
      <w:r w:rsidRPr="007759EE">
        <w:rPr>
          <w:rFonts w:ascii="Garamond" w:hAnsi="Garamond"/>
          <w:lang w:val="cs-CZ"/>
        </w:rPr>
        <w:t xml:space="preserve">ze dne 23. 5. 2017, ve věci Constance </w:t>
      </w:r>
      <w:r w:rsidRPr="00592592">
        <w:rPr>
          <w:rFonts w:ascii="Garamond" w:hAnsi="Garamond"/>
        </w:rPr>
        <w:t>Yates and Chris Gard v. Great Ormond Street Hospital</w:t>
      </w:r>
      <w:r w:rsidRPr="007759EE">
        <w:rPr>
          <w:rFonts w:ascii="Garamond" w:hAnsi="Garamond"/>
          <w:lang w:val="cs-CZ"/>
        </w:rPr>
        <w:t xml:space="preserve"> and Charles Gard, </w:t>
      </w:r>
      <w:proofErr w:type="spellStart"/>
      <w:r w:rsidRPr="007759EE">
        <w:rPr>
          <w:rFonts w:ascii="Garamond" w:hAnsi="Garamond"/>
          <w:lang w:val="cs-CZ"/>
        </w:rPr>
        <w:t>sp</w:t>
      </w:r>
      <w:proofErr w:type="spellEnd"/>
      <w:r w:rsidRPr="007759EE">
        <w:rPr>
          <w:rFonts w:ascii="Garamond" w:hAnsi="Garamond"/>
          <w:lang w:val="cs-CZ"/>
        </w:rPr>
        <w:t>. zn. [2017] EWCA Civ 410</w:t>
      </w:r>
    </w:p>
    <w:p w14:paraId="1AED0C22" w14:textId="4F289096" w:rsidR="007D5ED8" w:rsidRPr="007759EE" w:rsidRDefault="007D5ED8"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Rozhodnutí Nejvyššího soudu</w:t>
      </w:r>
      <w:r w:rsidR="00F3078E" w:rsidRPr="007759EE">
        <w:rPr>
          <w:rFonts w:ascii="Garamond" w:hAnsi="Garamond"/>
          <w:lang w:val="cs-CZ"/>
        </w:rPr>
        <w:t xml:space="preserve"> Spojeného království</w:t>
      </w:r>
      <w:r w:rsidRPr="007759EE">
        <w:rPr>
          <w:rFonts w:ascii="Garamond" w:hAnsi="Garamond"/>
          <w:lang w:val="cs-CZ"/>
        </w:rPr>
        <w:t xml:space="preserve"> ze dne </w:t>
      </w:r>
      <w:r w:rsidR="004F3761" w:rsidRPr="007759EE">
        <w:rPr>
          <w:rFonts w:ascii="Garamond" w:hAnsi="Garamond"/>
          <w:lang w:val="cs-CZ"/>
        </w:rPr>
        <w:t>19</w:t>
      </w:r>
      <w:r w:rsidRPr="007759EE">
        <w:rPr>
          <w:rFonts w:ascii="Garamond" w:hAnsi="Garamond"/>
          <w:lang w:val="cs-CZ"/>
        </w:rPr>
        <w:t xml:space="preserve">. 6. 2017, </w:t>
      </w:r>
      <w:r w:rsidR="004F3761" w:rsidRPr="007759EE">
        <w:rPr>
          <w:rFonts w:ascii="Garamond" w:hAnsi="Garamond"/>
          <w:lang w:val="cs-CZ"/>
        </w:rPr>
        <w:t xml:space="preserve">ve věci </w:t>
      </w:r>
      <w:r w:rsidRPr="007759EE">
        <w:rPr>
          <w:rFonts w:ascii="Garamond" w:hAnsi="Garamond"/>
          <w:lang w:val="cs-CZ"/>
        </w:rPr>
        <w:t>Charlie Gard</w:t>
      </w:r>
    </w:p>
    <w:p w14:paraId="3EEEC1BB" w14:textId="77777777" w:rsidR="007E1CAF" w:rsidRPr="007759EE" w:rsidRDefault="00C539C5" w:rsidP="00FE2CFF">
      <w:pPr>
        <w:pStyle w:val="ListParagraph"/>
        <w:numPr>
          <w:ilvl w:val="0"/>
          <w:numId w:val="8"/>
        </w:numPr>
        <w:spacing w:line="360" w:lineRule="auto"/>
        <w:jc w:val="both"/>
        <w:rPr>
          <w:rFonts w:ascii="Garamond" w:hAnsi="Garamond"/>
          <w:lang w:val="cs-CZ"/>
        </w:rPr>
      </w:pPr>
      <w:r w:rsidRPr="007759EE">
        <w:rPr>
          <w:rFonts w:ascii="Garamond" w:hAnsi="Garamond"/>
          <w:lang w:val="cs-CZ"/>
        </w:rPr>
        <w:t xml:space="preserve">Rozhodnutí Odvolacího soudu Spojeného království ze dne 22.9.2000, </w:t>
      </w:r>
      <w:proofErr w:type="spellStart"/>
      <w:r w:rsidRPr="007759EE">
        <w:rPr>
          <w:rFonts w:ascii="Garamond" w:hAnsi="Garamond"/>
          <w:lang w:val="cs-CZ"/>
        </w:rPr>
        <w:t>sp</w:t>
      </w:r>
      <w:proofErr w:type="spellEnd"/>
      <w:r w:rsidRPr="007759EE">
        <w:rPr>
          <w:rFonts w:ascii="Garamond" w:hAnsi="Garamond"/>
          <w:lang w:val="cs-CZ"/>
        </w:rPr>
        <w:t>. zn. Re A (</w:t>
      </w:r>
      <w:r w:rsidRPr="00592592">
        <w:rPr>
          <w:rFonts w:ascii="Garamond" w:hAnsi="Garamond"/>
        </w:rPr>
        <w:t>children) (conjoined twins: surgical separation)</w:t>
      </w:r>
      <w:r w:rsidRPr="007759EE">
        <w:rPr>
          <w:rFonts w:ascii="Garamond" w:hAnsi="Garamond"/>
          <w:lang w:val="cs-CZ"/>
        </w:rPr>
        <w:t xml:space="preserve"> [2001] 2 WLR 480</w:t>
      </w:r>
    </w:p>
    <w:p w14:paraId="1BD2B9B5" w14:textId="720CFB4F" w:rsidR="007E1CAF" w:rsidRPr="007759EE" w:rsidRDefault="007E1CAF" w:rsidP="00FE2CFF">
      <w:pPr>
        <w:pStyle w:val="ListParagraph"/>
        <w:numPr>
          <w:ilvl w:val="0"/>
          <w:numId w:val="8"/>
        </w:numPr>
        <w:spacing w:line="360" w:lineRule="auto"/>
        <w:jc w:val="both"/>
        <w:rPr>
          <w:rFonts w:ascii="Garamond" w:hAnsi="Garamond"/>
          <w:lang w:val="cs-CZ"/>
        </w:rPr>
      </w:pPr>
      <w:r w:rsidRPr="00A17E97">
        <w:rPr>
          <w:rFonts w:ascii="Garamond" w:hAnsi="Garamond"/>
          <w:lang w:val="cs-CZ"/>
        </w:rPr>
        <w:t>Rozhodnutí Okresního soudu</w:t>
      </w:r>
      <w:r w:rsidRPr="007759EE">
        <w:rPr>
          <w:rFonts w:ascii="Garamond" w:hAnsi="Garamond"/>
        </w:rPr>
        <w:t xml:space="preserve"> Pinellas, Florida, USA </w:t>
      </w:r>
      <w:r w:rsidRPr="00D95DF2">
        <w:rPr>
          <w:rFonts w:ascii="Garamond" w:hAnsi="Garamond"/>
          <w:lang w:val="cs-CZ"/>
        </w:rPr>
        <w:t>ze dne</w:t>
      </w:r>
      <w:r w:rsidRPr="007759EE">
        <w:rPr>
          <w:rFonts w:ascii="Garamond" w:hAnsi="Garamond"/>
        </w:rPr>
        <w:t xml:space="preserve"> 11.2.2000, sp. </w:t>
      </w:r>
      <w:proofErr w:type="spellStart"/>
      <w:r w:rsidRPr="007759EE">
        <w:rPr>
          <w:rFonts w:ascii="Garamond" w:hAnsi="Garamond"/>
        </w:rPr>
        <w:t>zn</w:t>
      </w:r>
      <w:proofErr w:type="spellEnd"/>
      <w:r w:rsidRPr="007759EE">
        <w:rPr>
          <w:rFonts w:ascii="Garamond" w:hAnsi="Garamond"/>
        </w:rPr>
        <w:t>. 90-2908</w:t>
      </w:r>
      <w:r w:rsidR="004B5390">
        <w:rPr>
          <w:rFonts w:ascii="Garamond" w:hAnsi="Garamond"/>
        </w:rPr>
        <w:t xml:space="preserve"> </w:t>
      </w:r>
      <w:r w:rsidRPr="007759EE">
        <w:rPr>
          <w:rFonts w:ascii="Garamond" w:hAnsi="Garamond"/>
        </w:rPr>
        <w:t>GD-003</w:t>
      </w:r>
    </w:p>
    <w:p w14:paraId="238D1A1B" w14:textId="77777777" w:rsidR="006A2090" w:rsidRDefault="003606FE" w:rsidP="006A2090">
      <w:pPr>
        <w:pStyle w:val="ListParagraph"/>
        <w:numPr>
          <w:ilvl w:val="0"/>
          <w:numId w:val="8"/>
        </w:numPr>
        <w:spacing w:line="360" w:lineRule="auto"/>
        <w:jc w:val="both"/>
        <w:rPr>
          <w:rFonts w:ascii="Garamond" w:hAnsi="Garamond"/>
          <w:lang w:val="cs-CZ"/>
        </w:rPr>
      </w:pPr>
      <w:r w:rsidRPr="00D95DF2">
        <w:rPr>
          <w:rFonts w:ascii="Garamond" w:hAnsi="Garamond"/>
          <w:lang w:val="cs-CZ"/>
        </w:rPr>
        <w:t>Rozhodnutí</w:t>
      </w:r>
      <w:r w:rsidRPr="007759EE">
        <w:rPr>
          <w:rFonts w:ascii="Garamond" w:hAnsi="Garamond"/>
          <w:lang w:val="cs-CZ"/>
        </w:rPr>
        <w:t xml:space="preserve"> Federálního nejvyššího soudu Švýcarska ze dne 26.8.2010, </w:t>
      </w:r>
      <w:proofErr w:type="spellStart"/>
      <w:r w:rsidRPr="007759EE">
        <w:rPr>
          <w:rFonts w:ascii="Garamond" w:hAnsi="Garamond"/>
          <w:lang w:val="cs-CZ"/>
        </w:rPr>
        <w:t>sp</w:t>
      </w:r>
      <w:proofErr w:type="spellEnd"/>
      <w:r w:rsidRPr="007759EE">
        <w:rPr>
          <w:rFonts w:ascii="Garamond" w:hAnsi="Garamond"/>
          <w:lang w:val="cs-CZ"/>
        </w:rPr>
        <w:t>. zn. BGE 136 IV 97</w:t>
      </w:r>
    </w:p>
    <w:p w14:paraId="4087090F" w14:textId="1632B722" w:rsidR="006A2090" w:rsidRDefault="006A2090" w:rsidP="006A2090">
      <w:pPr>
        <w:pStyle w:val="ListParagraph"/>
        <w:numPr>
          <w:ilvl w:val="0"/>
          <w:numId w:val="8"/>
        </w:numPr>
        <w:spacing w:line="360" w:lineRule="auto"/>
        <w:jc w:val="both"/>
        <w:rPr>
          <w:rFonts w:ascii="Garamond" w:hAnsi="Garamond"/>
          <w:lang w:val="cs-CZ"/>
        </w:rPr>
      </w:pPr>
      <w:r w:rsidRPr="00A17E97">
        <w:rPr>
          <w:rFonts w:ascii="Garamond" w:hAnsi="Garamond"/>
          <w:lang w:val="cs-CZ"/>
        </w:rPr>
        <w:t xml:space="preserve">Rozhodnutí Ústavního soudu Belgie ze dne 29.11.2015, </w:t>
      </w:r>
      <w:proofErr w:type="spellStart"/>
      <w:r w:rsidRPr="00A17E97">
        <w:rPr>
          <w:rFonts w:ascii="Garamond" w:hAnsi="Garamond"/>
          <w:lang w:val="cs-CZ"/>
        </w:rPr>
        <w:t>sp</w:t>
      </w:r>
      <w:proofErr w:type="spellEnd"/>
      <w:r w:rsidRPr="00A17E97">
        <w:rPr>
          <w:rFonts w:ascii="Garamond" w:hAnsi="Garamond"/>
          <w:lang w:val="cs-CZ"/>
        </w:rPr>
        <w:t>. zn. 153/2015</w:t>
      </w:r>
    </w:p>
    <w:p w14:paraId="32A8518B" w14:textId="73290ABC" w:rsidR="00137384" w:rsidRPr="00A17E97" w:rsidRDefault="00137384" w:rsidP="006A2090">
      <w:pPr>
        <w:pStyle w:val="ListParagraph"/>
        <w:numPr>
          <w:ilvl w:val="0"/>
          <w:numId w:val="8"/>
        </w:numPr>
        <w:spacing w:line="360" w:lineRule="auto"/>
        <w:jc w:val="both"/>
        <w:rPr>
          <w:rFonts w:ascii="Garamond" w:hAnsi="Garamond"/>
          <w:lang w:val="cs-CZ"/>
        </w:rPr>
      </w:pPr>
      <w:r>
        <w:rPr>
          <w:rFonts w:ascii="Garamond" w:hAnsi="Garamond"/>
          <w:lang w:val="cs-CZ"/>
        </w:rPr>
        <w:t>N</w:t>
      </w:r>
      <w:r w:rsidRPr="00137384">
        <w:rPr>
          <w:rFonts w:ascii="Garamond" w:hAnsi="Garamond"/>
          <w:lang w:val="cs-CZ"/>
        </w:rPr>
        <w:t xml:space="preserve">ález Ústavního soudu ze dne 29.2.2008, </w:t>
      </w:r>
      <w:proofErr w:type="spellStart"/>
      <w:r w:rsidRPr="00137384">
        <w:rPr>
          <w:rFonts w:ascii="Garamond" w:hAnsi="Garamond"/>
          <w:lang w:val="cs-CZ"/>
        </w:rPr>
        <w:t>sp</w:t>
      </w:r>
      <w:proofErr w:type="spellEnd"/>
      <w:r w:rsidRPr="00137384">
        <w:rPr>
          <w:rFonts w:ascii="Garamond" w:hAnsi="Garamond"/>
          <w:lang w:val="cs-CZ"/>
        </w:rPr>
        <w:t>. zn. II. ÚS 2268/07</w:t>
      </w:r>
    </w:p>
    <w:p w14:paraId="3AF588BA" w14:textId="0C2A17E2" w:rsidR="001323AF" w:rsidRPr="007759EE" w:rsidRDefault="001D5548" w:rsidP="00FE2CFF">
      <w:pPr>
        <w:jc w:val="both"/>
        <w:rPr>
          <w:rFonts w:ascii="Garamond" w:hAnsi="Garamond"/>
          <w:lang w:val="cs-CZ"/>
        </w:rPr>
      </w:pPr>
      <w:r w:rsidRPr="007759EE">
        <w:rPr>
          <w:rFonts w:ascii="Garamond" w:hAnsi="Garamond"/>
          <w:lang w:val="cs-CZ"/>
        </w:rPr>
        <w:br w:type="page"/>
      </w:r>
    </w:p>
    <w:p w14:paraId="6C89ECC8" w14:textId="757CAF5C" w:rsidR="00412C93" w:rsidRPr="007759EE" w:rsidRDefault="00412C93" w:rsidP="00FE2CFF">
      <w:pPr>
        <w:pStyle w:val="Heading1"/>
        <w:spacing w:line="360" w:lineRule="auto"/>
        <w:rPr>
          <w:lang w:val="cs-CZ"/>
        </w:rPr>
      </w:pPr>
      <w:bookmarkStart w:id="23" w:name="_Toc11919789"/>
      <w:r w:rsidRPr="007759EE">
        <w:rPr>
          <w:lang w:val="cs-CZ"/>
        </w:rPr>
        <w:lastRenderedPageBreak/>
        <w:t>Abstrakt a klíčová slova</w:t>
      </w:r>
      <w:bookmarkEnd w:id="23"/>
    </w:p>
    <w:p w14:paraId="6ABFFA03" w14:textId="483D7894" w:rsidR="00412C93" w:rsidRPr="007759EE" w:rsidRDefault="00412C93" w:rsidP="003F3660">
      <w:pPr>
        <w:spacing w:line="360" w:lineRule="auto"/>
        <w:rPr>
          <w:rFonts w:ascii="Garamond" w:hAnsi="Garamond"/>
          <w:b/>
          <w:sz w:val="32"/>
          <w:lang w:val="cs-CZ"/>
        </w:rPr>
      </w:pPr>
    </w:p>
    <w:p w14:paraId="7947B3D5" w14:textId="77777777" w:rsidR="00412C93" w:rsidRPr="007759EE" w:rsidRDefault="00412C93" w:rsidP="003F3660">
      <w:pPr>
        <w:spacing w:line="360" w:lineRule="auto"/>
        <w:jc w:val="both"/>
        <w:rPr>
          <w:rFonts w:ascii="Garamond" w:hAnsi="Garamond"/>
          <w:b/>
          <w:sz w:val="32"/>
          <w:lang w:val="cs-CZ"/>
        </w:rPr>
      </w:pPr>
    </w:p>
    <w:p w14:paraId="7EEA3078" w14:textId="2254D1E4" w:rsidR="00412C93" w:rsidRPr="007759EE" w:rsidRDefault="00412C93" w:rsidP="003F3660">
      <w:pPr>
        <w:spacing w:line="360" w:lineRule="auto"/>
        <w:jc w:val="both"/>
        <w:rPr>
          <w:rFonts w:ascii="Garamond" w:hAnsi="Garamond"/>
          <w:lang w:val="cs-CZ"/>
        </w:rPr>
      </w:pPr>
      <w:r w:rsidRPr="007759EE">
        <w:rPr>
          <w:rFonts w:ascii="Garamond" w:hAnsi="Garamond"/>
          <w:u w:val="single"/>
          <w:lang w:val="cs-CZ"/>
        </w:rPr>
        <w:t>Název:</w:t>
      </w:r>
      <w:r w:rsidRPr="007759EE">
        <w:rPr>
          <w:rFonts w:ascii="Garamond" w:hAnsi="Garamond"/>
          <w:lang w:val="cs-CZ"/>
        </w:rPr>
        <w:tab/>
      </w:r>
      <w:r w:rsidR="00650F7D" w:rsidRPr="007759EE">
        <w:rPr>
          <w:rFonts w:ascii="Garamond" w:hAnsi="Garamond"/>
          <w:lang w:val="cs-CZ"/>
        </w:rPr>
        <w:tab/>
      </w:r>
      <w:r w:rsidRPr="007759EE">
        <w:rPr>
          <w:rFonts w:ascii="Garamond" w:hAnsi="Garamond"/>
          <w:lang w:val="cs-CZ"/>
        </w:rPr>
        <w:t>Eutanazie dětí</w:t>
      </w:r>
    </w:p>
    <w:p w14:paraId="3FAFCD8D" w14:textId="566D6154" w:rsidR="00650F7D" w:rsidRPr="007759EE" w:rsidRDefault="00650F7D" w:rsidP="003F3660">
      <w:pPr>
        <w:spacing w:line="360" w:lineRule="auto"/>
        <w:jc w:val="both"/>
        <w:rPr>
          <w:rFonts w:ascii="Garamond" w:hAnsi="Garamond"/>
          <w:lang w:val="cs-CZ"/>
        </w:rPr>
      </w:pPr>
    </w:p>
    <w:p w14:paraId="39A6AD39" w14:textId="2E238A24" w:rsidR="00650F7D" w:rsidRPr="007759EE" w:rsidRDefault="00650F7D" w:rsidP="003F3660">
      <w:pPr>
        <w:spacing w:line="360" w:lineRule="auto"/>
        <w:jc w:val="both"/>
        <w:rPr>
          <w:rFonts w:ascii="Garamond" w:hAnsi="Garamond"/>
          <w:lang w:val="cs-CZ"/>
        </w:rPr>
      </w:pPr>
    </w:p>
    <w:p w14:paraId="247747BE" w14:textId="551E5C14" w:rsidR="00650F7D" w:rsidRPr="007759EE" w:rsidRDefault="00650F7D" w:rsidP="003F3660">
      <w:pPr>
        <w:spacing w:line="360" w:lineRule="auto"/>
        <w:jc w:val="both"/>
        <w:rPr>
          <w:rFonts w:ascii="Garamond" w:hAnsi="Garamond"/>
          <w:lang w:val="cs-CZ"/>
        </w:rPr>
      </w:pPr>
      <w:r w:rsidRPr="007759EE">
        <w:rPr>
          <w:rFonts w:ascii="Garamond" w:hAnsi="Garamond"/>
          <w:u w:val="single"/>
          <w:lang w:val="cs-CZ"/>
        </w:rPr>
        <w:t>Abstrakt:</w:t>
      </w:r>
      <w:r w:rsidRPr="007759EE">
        <w:rPr>
          <w:rFonts w:ascii="Garamond" w:hAnsi="Garamond"/>
          <w:lang w:val="cs-CZ"/>
        </w:rPr>
        <w:tab/>
      </w:r>
      <w:r w:rsidR="0009360B">
        <w:rPr>
          <w:rFonts w:ascii="Garamond" w:hAnsi="Garamond"/>
          <w:lang w:val="cs-CZ"/>
        </w:rPr>
        <w:t>Práce se zabývá problematikou eutanazie u dětí. Odpovídá na otázku, proč by měla být působnost tohoto institutu rozšířena i na takovou skupinu zranitelných osob, s důrazem na praktické zkušenosti z jurisdikcí, kde již tak učiněno bylo.</w:t>
      </w:r>
      <w:r w:rsidR="003F7645">
        <w:rPr>
          <w:rFonts w:ascii="Garamond" w:hAnsi="Garamond"/>
          <w:lang w:val="cs-CZ"/>
        </w:rPr>
        <w:t xml:space="preserve"> Poukazuje tak na nenaplnění obav ze strany kritiků takového rozšíření.</w:t>
      </w:r>
      <w:r w:rsidR="0009360B">
        <w:rPr>
          <w:rFonts w:ascii="Garamond" w:hAnsi="Garamond"/>
          <w:lang w:val="cs-CZ"/>
        </w:rPr>
        <w:t xml:space="preserve"> Jakožto podpůrný argument využívá závěrů ustálené judikatury Evropského soudu pro lidská práva. </w:t>
      </w:r>
      <w:r w:rsidR="007144CE">
        <w:rPr>
          <w:rFonts w:ascii="Garamond" w:hAnsi="Garamond"/>
          <w:lang w:val="cs-CZ"/>
        </w:rPr>
        <w:t xml:space="preserve">Zároveň poukazuje na fakt, že uzákonění eutanazie pouze pro dospělé pacienty by mohlo představovat diskriminaci nezletilých pacientů v obdobné situaci. </w:t>
      </w:r>
      <w:r w:rsidR="0009360B">
        <w:rPr>
          <w:rFonts w:ascii="Garamond" w:hAnsi="Garamond"/>
          <w:lang w:val="cs-CZ"/>
        </w:rPr>
        <w:t xml:space="preserve">V rámci České republiky analyzuje </w:t>
      </w:r>
      <w:r w:rsidR="00583E11">
        <w:rPr>
          <w:rFonts w:ascii="Garamond" w:hAnsi="Garamond"/>
          <w:lang w:val="cs-CZ"/>
        </w:rPr>
        <w:t xml:space="preserve">zejména </w:t>
      </w:r>
      <w:r w:rsidR="0009360B">
        <w:rPr>
          <w:rFonts w:ascii="Garamond" w:hAnsi="Garamond"/>
          <w:lang w:val="cs-CZ"/>
        </w:rPr>
        <w:t>ústavněprávní mantinely případného přijetí eutanazie dětí v českém právním řádu a v této souvislosti nabízí i legislativní návrh pro takovou možnost</w:t>
      </w:r>
      <w:r w:rsidR="003F7645">
        <w:rPr>
          <w:rFonts w:ascii="Garamond" w:hAnsi="Garamond"/>
          <w:lang w:val="cs-CZ"/>
        </w:rPr>
        <w:t>. S ohledem na dosavadní</w:t>
      </w:r>
      <w:r w:rsidR="008D4CEA">
        <w:rPr>
          <w:rFonts w:ascii="Garamond" w:hAnsi="Garamond"/>
          <w:lang w:val="cs-CZ"/>
        </w:rPr>
        <w:t xml:space="preserve"> neúspěšné</w:t>
      </w:r>
      <w:r w:rsidR="003F7645">
        <w:rPr>
          <w:rFonts w:ascii="Garamond" w:hAnsi="Garamond"/>
          <w:lang w:val="cs-CZ"/>
        </w:rPr>
        <w:t xml:space="preserve"> legislativní snahy však bere</w:t>
      </w:r>
      <w:r w:rsidR="000558F0">
        <w:rPr>
          <w:rFonts w:ascii="Garamond" w:hAnsi="Garamond"/>
          <w:lang w:val="cs-CZ"/>
        </w:rPr>
        <w:t xml:space="preserve"> práce</w:t>
      </w:r>
      <w:r w:rsidR="003F7645">
        <w:rPr>
          <w:rFonts w:ascii="Garamond" w:hAnsi="Garamond"/>
          <w:lang w:val="cs-CZ"/>
        </w:rPr>
        <w:t xml:space="preserve"> v potaz nutný postupný vývoj v rámci české legislativy. </w:t>
      </w:r>
    </w:p>
    <w:p w14:paraId="38375BE0" w14:textId="3ECC62FD" w:rsidR="00650F7D" w:rsidRPr="007759EE" w:rsidRDefault="00650F7D" w:rsidP="003F3660">
      <w:pPr>
        <w:spacing w:line="360" w:lineRule="auto"/>
        <w:jc w:val="both"/>
        <w:rPr>
          <w:rFonts w:ascii="Garamond" w:hAnsi="Garamond"/>
          <w:lang w:val="cs-CZ"/>
        </w:rPr>
      </w:pPr>
    </w:p>
    <w:p w14:paraId="41FE49BE" w14:textId="535FE2F3" w:rsidR="00650F7D" w:rsidRPr="007759EE" w:rsidRDefault="00650F7D" w:rsidP="003F3660">
      <w:pPr>
        <w:spacing w:line="360" w:lineRule="auto"/>
        <w:jc w:val="both"/>
        <w:rPr>
          <w:rFonts w:ascii="Garamond" w:hAnsi="Garamond"/>
          <w:lang w:val="cs-CZ"/>
        </w:rPr>
      </w:pPr>
    </w:p>
    <w:p w14:paraId="6070EC0A" w14:textId="37F40736" w:rsidR="003F7645" w:rsidRDefault="00650F7D" w:rsidP="003F7645">
      <w:pPr>
        <w:spacing w:line="360" w:lineRule="auto"/>
        <w:jc w:val="both"/>
        <w:rPr>
          <w:rFonts w:ascii="Garamond" w:hAnsi="Garamond"/>
          <w:lang w:val="cs-CZ"/>
        </w:rPr>
      </w:pPr>
      <w:r w:rsidRPr="007759EE">
        <w:rPr>
          <w:rFonts w:ascii="Garamond" w:hAnsi="Garamond"/>
          <w:u w:val="single"/>
          <w:lang w:val="cs-CZ"/>
        </w:rPr>
        <w:t>Klíčová slova:</w:t>
      </w:r>
      <w:r w:rsidRPr="007759EE">
        <w:rPr>
          <w:rFonts w:ascii="Garamond" w:hAnsi="Garamond"/>
          <w:lang w:val="cs-CZ"/>
        </w:rPr>
        <w:tab/>
      </w:r>
      <w:r w:rsidR="00D369EE">
        <w:rPr>
          <w:rFonts w:ascii="Garamond" w:hAnsi="Garamond"/>
          <w:lang w:val="cs-CZ"/>
        </w:rPr>
        <w:t xml:space="preserve">eutanazie dětí – lidská práva – právo na život – právo na smrt </w:t>
      </w:r>
    </w:p>
    <w:p w14:paraId="5F2313CB" w14:textId="77777777" w:rsidR="003F7645" w:rsidRDefault="003F7645">
      <w:pPr>
        <w:rPr>
          <w:rFonts w:ascii="Garamond" w:hAnsi="Garamond"/>
          <w:lang w:val="cs-CZ"/>
        </w:rPr>
      </w:pPr>
      <w:r>
        <w:rPr>
          <w:rFonts w:ascii="Garamond" w:hAnsi="Garamond"/>
          <w:lang w:val="cs-CZ"/>
        </w:rPr>
        <w:br w:type="page"/>
      </w:r>
    </w:p>
    <w:p w14:paraId="63C0837B" w14:textId="56DAE589" w:rsidR="00650F7D" w:rsidRPr="003F7645" w:rsidRDefault="00650F7D" w:rsidP="003F7645">
      <w:pPr>
        <w:pStyle w:val="Heading1"/>
        <w:rPr>
          <w:lang w:val="cs-CZ"/>
        </w:rPr>
      </w:pPr>
      <w:bookmarkStart w:id="24" w:name="_Toc11919790"/>
      <w:r w:rsidRPr="007759EE">
        <w:lastRenderedPageBreak/>
        <w:t>Abstract and key words</w:t>
      </w:r>
      <w:bookmarkEnd w:id="24"/>
    </w:p>
    <w:p w14:paraId="6EA5FB9F" w14:textId="70B30117" w:rsidR="00650F7D" w:rsidRPr="007759EE" w:rsidRDefault="00650F7D" w:rsidP="003F3660">
      <w:pPr>
        <w:spacing w:line="360" w:lineRule="auto"/>
        <w:jc w:val="both"/>
        <w:rPr>
          <w:rFonts w:ascii="Garamond" w:hAnsi="Garamond"/>
          <w:b/>
          <w:sz w:val="32"/>
        </w:rPr>
      </w:pPr>
    </w:p>
    <w:p w14:paraId="1E3DB2CA" w14:textId="4000A45C" w:rsidR="00650F7D" w:rsidRPr="007759EE" w:rsidRDefault="00650F7D" w:rsidP="003F3660">
      <w:pPr>
        <w:spacing w:line="360" w:lineRule="auto"/>
        <w:jc w:val="both"/>
        <w:rPr>
          <w:rFonts w:ascii="Garamond" w:hAnsi="Garamond"/>
          <w:b/>
          <w:sz w:val="32"/>
        </w:rPr>
      </w:pPr>
    </w:p>
    <w:p w14:paraId="73AE2101" w14:textId="329C0B72" w:rsidR="00650F7D" w:rsidRPr="007759EE" w:rsidRDefault="00650F7D" w:rsidP="003F3660">
      <w:pPr>
        <w:spacing w:line="360" w:lineRule="auto"/>
        <w:jc w:val="both"/>
        <w:rPr>
          <w:rFonts w:ascii="Garamond" w:hAnsi="Garamond"/>
        </w:rPr>
      </w:pPr>
      <w:r w:rsidRPr="007759EE">
        <w:rPr>
          <w:rFonts w:ascii="Garamond" w:hAnsi="Garamond"/>
          <w:u w:val="single"/>
        </w:rPr>
        <w:t>Title:</w:t>
      </w:r>
      <w:r w:rsidRPr="007759EE">
        <w:rPr>
          <w:rFonts w:ascii="Garamond" w:hAnsi="Garamond"/>
        </w:rPr>
        <w:tab/>
      </w:r>
      <w:r w:rsidRPr="007759EE">
        <w:rPr>
          <w:rFonts w:ascii="Garamond" w:hAnsi="Garamond"/>
        </w:rPr>
        <w:tab/>
        <w:t>Child euthanasia</w:t>
      </w:r>
    </w:p>
    <w:p w14:paraId="6870B0C1" w14:textId="4639C670" w:rsidR="00650F7D" w:rsidRPr="007759EE" w:rsidRDefault="00650F7D" w:rsidP="003F3660">
      <w:pPr>
        <w:spacing w:line="360" w:lineRule="auto"/>
        <w:jc w:val="both"/>
        <w:rPr>
          <w:rFonts w:ascii="Garamond" w:hAnsi="Garamond"/>
        </w:rPr>
      </w:pPr>
    </w:p>
    <w:p w14:paraId="317E86DD" w14:textId="5E088D65" w:rsidR="00650F7D" w:rsidRPr="007759EE" w:rsidRDefault="00650F7D" w:rsidP="003F3660">
      <w:pPr>
        <w:spacing w:line="360" w:lineRule="auto"/>
        <w:jc w:val="both"/>
        <w:rPr>
          <w:rFonts w:ascii="Garamond" w:hAnsi="Garamond"/>
        </w:rPr>
      </w:pPr>
    </w:p>
    <w:p w14:paraId="092555FA" w14:textId="4B798F36" w:rsidR="00650F7D" w:rsidRPr="007759EE" w:rsidRDefault="00650F7D" w:rsidP="003F3660">
      <w:pPr>
        <w:spacing w:line="360" w:lineRule="auto"/>
        <w:jc w:val="both"/>
        <w:rPr>
          <w:rFonts w:ascii="Garamond" w:hAnsi="Garamond"/>
        </w:rPr>
      </w:pPr>
      <w:r w:rsidRPr="007759EE">
        <w:rPr>
          <w:rFonts w:ascii="Garamond" w:hAnsi="Garamond"/>
          <w:u w:val="single"/>
        </w:rPr>
        <w:t>Abstract:</w:t>
      </w:r>
      <w:r w:rsidRPr="007759EE">
        <w:rPr>
          <w:rFonts w:ascii="Garamond" w:hAnsi="Garamond"/>
        </w:rPr>
        <w:tab/>
      </w:r>
      <w:r w:rsidR="00B85928">
        <w:rPr>
          <w:rFonts w:ascii="Garamond" w:hAnsi="Garamond"/>
        </w:rPr>
        <w:t xml:space="preserve">The diploma thesis deals with an issue of child euthanasia. It answers the question on why </w:t>
      </w:r>
      <w:r w:rsidR="006F5252">
        <w:rPr>
          <w:rFonts w:ascii="Garamond" w:hAnsi="Garamond"/>
        </w:rPr>
        <w:t>the scope of</w:t>
      </w:r>
      <w:r w:rsidR="00B85928">
        <w:rPr>
          <w:rFonts w:ascii="Garamond" w:hAnsi="Garamond"/>
        </w:rPr>
        <w:t xml:space="preserve"> the institute of euthanasia </w:t>
      </w:r>
      <w:r w:rsidR="006F5252">
        <w:rPr>
          <w:rFonts w:ascii="Garamond" w:hAnsi="Garamond"/>
        </w:rPr>
        <w:t>should be extended to such a vulnerable group</w:t>
      </w:r>
      <w:r w:rsidR="009223FA">
        <w:rPr>
          <w:rFonts w:ascii="Garamond" w:hAnsi="Garamond"/>
        </w:rPr>
        <w:t>, with an emphasis on the practical experience of jurisdictions, where it has been already extended. It points out that the expressed concerns of critics have not materiali</w:t>
      </w:r>
      <w:r w:rsidR="00F00C66">
        <w:rPr>
          <w:rFonts w:ascii="Garamond" w:hAnsi="Garamond"/>
        </w:rPr>
        <w:t>z</w:t>
      </w:r>
      <w:bookmarkStart w:id="25" w:name="_GoBack"/>
      <w:bookmarkEnd w:id="25"/>
      <w:r w:rsidR="009223FA">
        <w:rPr>
          <w:rFonts w:ascii="Garamond" w:hAnsi="Garamond"/>
        </w:rPr>
        <w:t>e</w:t>
      </w:r>
      <w:r w:rsidR="000D1705">
        <w:rPr>
          <w:rFonts w:ascii="Garamond" w:hAnsi="Garamond"/>
        </w:rPr>
        <w:t>d</w:t>
      </w:r>
      <w:r w:rsidR="009223FA">
        <w:rPr>
          <w:rFonts w:ascii="Garamond" w:hAnsi="Garamond"/>
        </w:rPr>
        <w:t>. As supporting argument, it uses the conclusions of the established case-law of the European Court of Human Rights.</w:t>
      </w:r>
      <w:r w:rsidR="007144CE">
        <w:rPr>
          <w:rFonts w:ascii="Garamond" w:hAnsi="Garamond"/>
        </w:rPr>
        <w:t xml:space="preserve"> Moreover, it points out that legalisation of euthanasia for adult patients alone could discriminate minors in similar situations.</w:t>
      </w:r>
      <w:r w:rsidR="009223FA">
        <w:rPr>
          <w:rFonts w:ascii="Garamond" w:hAnsi="Garamond"/>
        </w:rPr>
        <w:t xml:space="preserve"> Within the Czech Republic, it analyses constitutional limits of the possible adoption of child euthanasia in the Czech legal system and in this context, it also offers a legislative proposal. However, </w:t>
      </w:r>
      <w:r w:rsidR="000558F0">
        <w:rPr>
          <w:rFonts w:ascii="Garamond" w:hAnsi="Garamond"/>
        </w:rPr>
        <w:t>considering</w:t>
      </w:r>
      <w:r w:rsidR="009223FA">
        <w:rPr>
          <w:rFonts w:ascii="Garamond" w:hAnsi="Garamond"/>
        </w:rPr>
        <w:t xml:space="preserve"> the previous</w:t>
      </w:r>
      <w:r w:rsidR="008D4CEA">
        <w:rPr>
          <w:rFonts w:ascii="Garamond" w:hAnsi="Garamond"/>
        </w:rPr>
        <w:t xml:space="preserve"> unsuccessful</w:t>
      </w:r>
      <w:r w:rsidR="009223FA">
        <w:rPr>
          <w:rFonts w:ascii="Garamond" w:hAnsi="Garamond"/>
        </w:rPr>
        <w:t xml:space="preserve"> legislative efforts, it takes into account the necessary gradual development within the Czech legislation.</w:t>
      </w:r>
    </w:p>
    <w:p w14:paraId="08652FB5" w14:textId="2CE3EEC6" w:rsidR="00650F7D" w:rsidRPr="007759EE" w:rsidRDefault="00650F7D" w:rsidP="003F3660">
      <w:pPr>
        <w:spacing w:line="360" w:lineRule="auto"/>
        <w:jc w:val="both"/>
        <w:rPr>
          <w:rFonts w:ascii="Garamond" w:hAnsi="Garamond"/>
        </w:rPr>
      </w:pPr>
    </w:p>
    <w:p w14:paraId="3F4BE85D" w14:textId="5E1E07BB" w:rsidR="00650F7D" w:rsidRPr="007759EE" w:rsidRDefault="00650F7D" w:rsidP="003F3660">
      <w:pPr>
        <w:spacing w:line="360" w:lineRule="auto"/>
        <w:jc w:val="both"/>
        <w:rPr>
          <w:rFonts w:ascii="Garamond" w:hAnsi="Garamond"/>
        </w:rPr>
      </w:pPr>
    </w:p>
    <w:p w14:paraId="411B89DE" w14:textId="5F845D95" w:rsidR="00650F7D" w:rsidRPr="007759EE" w:rsidRDefault="00650F7D" w:rsidP="003F3660">
      <w:pPr>
        <w:spacing w:line="360" w:lineRule="auto"/>
        <w:jc w:val="both"/>
        <w:rPr>
          <w:rFonts w:ascii="Garamond" w:hAnsi="Garamond"/>
        </w:rPr>
      </w:pPr>
      <w:r w:rsidRPr="007759EE">
        <w:rPr>
          <w:rFonts w:ascii="Garamond" w:hAnsi="Garamond"/>
          <w:u w:val="single"/>
        </w:rPr>
        <w:t>Key words:</w:t>
      </w:r>
      <w:r w:rsidRPr="007759EE">
        <w:rPr>
          <w:rFonts w:ascii="Garamond" w:hAnsi="Garamond"/>
        </w:rPr>
        <w:tab/>
      </w:r>
      <w:r w:rsidR="00D369EE">
        <w:rPr>
          <w:rFonts w:ascii="Garamond" w:hAnsi="Garamond"/>
        </w:rPr>
        <w:t xml:space="preserve">child euthanasia </w:t>
      </w:r>
      <w:r w:rsidR="0009360B">
        <w:rPr>
          <w:rFonts w:ascii="Garamond" w:hAnsi="Garamond"/>
        </w:rPr>
        <w:t>–</w:t>
      </w:r>
      <w:r w:rsidR="00D369EE">
        <w:rPr>
          <w:rFonts w:ascii="Garamond" w:hAnsi="Garamond"/>
        </w:rPr>
        <w:t xml:space="preserve"> </w:t>
      </w:r>
      <w:r w:rsidR="0009360B">
        <w:rPr>
          <w:rFonts w:ascii="Garamond" w:hAnsi="Garamond"/>
        </w:rPr>
        <w:t xml:space="preserve">human rights – right to life – right to die </w:t>
      </w:r>
    </w:p>
    <w:p w14:paraId="6A719978" w14:textId="58CDE75C" w:rsidR="00412C93" w:rsidRPr="007759EE" w:rsidRDefault="00412C93" w:rsidP="003F3660">
      <w:pPr>
        <w:pStyle w:val="Heading2"/>
        <w:spacing w:line="360" w:lineRule="auto"/>
      </w:pPr>
    </w:p>
    <w:p w14:paraId="55C53C9C" w14:textId="0AB30850" w:rsidR="004279A7" w:rsidRPr="007759EE" w:rsidRDefault="004279A7" w:rsidP="003F3660">
      <w:pPr>
        <w:spacing w:line="360" w:lineRule="auto"/>
        <w:jc w:val="both"/>
        <w:rPr>
          <w:rFonts w:ascii="Garamond" w:hAnsi="Garamond" w:cs="Times New Roman"/>
        </w:rPr>
      </w:pPr>
      <w:r w:rsidRPr="007759EE">
        <w:rPr>
          <w:rFonts w:ascii="Garamond" w:hAnsi="Garamond" w:cs="Times New Roman"/>
        </w:rPr>
        <w:tab/>
      </w:r>
    </w:p>
    <w:sectPr w:rsidR="004279A7" w:rsidRPr="007759EE" w:rsidSect="00622DBD">
      <w:type w:val="continuous"/>
      <w:pgSz w:w="11900" w:h="16840"/>
      <w:pgMar w:top="1418" w:right="1134" w:bottom="1418"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245FB" w14:textId="77777777" w:rsidR="0058798C" w:rsidRDefault="0058798C" w:rsidP="0001787A">
      <w:r>
        <w:separator/>
      </w:r>
    </w:p>
  </w:endnote>
  <w:endnote w:type="continuationSeparator" w:id="0">
    <w:p w14:paraId="76AC2A62" w14:textId="77777777" w:rsidR="0058798C" w:rsidRDefault="0058798C" w:rsidP="000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EE"/>
    <w:family w:val="swiss"/>
    <w:pitch w:val="variable"/>
    <w:sig w:usb0="E0002AFF" w:usb1="C000ACF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Corbel">
    <w:panose1 w:val="020B0503020204020204"/>
    <w:charset w:val="EE"/>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1408179"/>
      <w:docPartObj>
        <w:docPartGallery w:val="Page Numbers (Bottom of Page)"/>
        <w:docPartUnique/>
      </w:docPartObj>
    </w:sdtPr>
    <w:sdtEndPr>
      <w:rPr>
        <w:rStyle w:val="PageNumber"/>
      </w:rPr>
    </w:sdtEndPr>
    <w:sdtContent>
      <w:p w14:paraId="5F511420" w14:textId="2E91BEF9" w:rsidR="007E0120" w:rsidRDefault="007E0120" w:rsidP="0085324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0F9F5A" w14:textId="77777777" w:rsidR="007E0120" w:rsidRDefault="007E01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9835227"/>
      <w:docPartObj>
        <w:docPartGallery w:val="Page Numbers (Bottom of Page)"/>
        <w:docPartUnique/>
      </w:docPartObj>
    </w:sdtPr>
    <w:sdtEndPr>
      <w:rPr>
        <w:rStyle w:val="PageNumber"/>
      </w:rPr>
    </w:sdtEndPr>
    <w:sdtContent>
      <w:p w14:paraId="5D42EAC0" w14:textId="7BE71675" w:rsidR="007E0120" w:rsidRDefault="007E0120" w:rsidP="0085324F">
        <w:pPr>
          <w:pStyle w:val="Footer"/>
          <w:framePr w:wrap="none" w:vAnchor="text" w:hAnchor="margin" w:xAlign="center" w:y="1"/>
          <w:rPr>
            <w:rStyle w:val="PageNumber"/>
          </w:rPr>
        </w:pPr>
        <w:r w:rsidRPr="00746F4F">
          <w:rPr>
            <w:rStyle w:val="PageNumber"/>
            <w:rFonts w:ascii="Garamond" w:hAnsi="Garamond"/>
            <w:color w:val="000000" w:themeColor="text1"/>
          </w:rPr>
          <w:fldChar w:fldCharType="begin"/>
        </w:r>
        <w:r w:rsidRPr="00746F4F">
          <w:rPr>
            <w:rStyle w:val="PageNumber"/>
            <w:rFonts w:ascii="Garamond" w:hAnsi="Garamond"/>
            <w:color w:val="000000" w:themeColor="text1"/>
          </w:rPr>
          <w:instrText xml:space="preserve"> PAGE </w:instrText>
        </w:r>
        <w:r w:rsidRPr="00746F4F">
          <w:rPr>
            <w:rStyle w:val="PageNumber"/>
            <w:rFonts w:ascii="Garamond" w:hAnsi="Garamond"/>
            <w:color w:val="000000" w:themeColor="text1"/>
          </w:rPr>
          <w:fldChar w:fldCharType="separate"/>
        </w:r>
        <w:r w:rsidRPr="00746F4F">
          <w:rPr>
            <w:rStyle w:val="PageNumber"/>
            <w:rFonts w:ascii="Garamond" w:hAnsi="Garamond"/>
            <w:noProof/>
            <w:color w:val="000000" w:themeColor="text1"/>
          </w:rPr>
          <w:t>2</w:t>
        </w:r>
        <w:r w:rsidRPr="00746F4F">
          <w:rPr>
            <w:rStyle w:val="PageNumber"/>
            <w:rFonts w:ascii="Garamond" w:hAnsi="Garamond"/>
            <w:color w:val="000000" w:themeColor="text1"/>
          </w:rPr>
          <w:fldChar w:fldCharType="end"/>
        </w:r>
      </w:p>
    </w:sdtContent>
  </w:sdt>
  <w:p w14:paraId="18677D1E" w14:textId="77777777" w:rsidR="007E0120" w:rsidRDefault="007E0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A6358" w14:textId="77777777" w:rsidR="0058798C" w:rsidRDefault="0058798C" w:rsidP="0001787A">
      <w:r>
        <w:separator/>
      </w:r>
    </w:p>
  </w:footnote>
  <w:footnote w:type="continuationSeparator" w:id="0">
    <w:p w14:paraId="4F84CD8F" w14:textId="77777777" w:rsidR="0058798C" w:rsidRDefault="0058798C" w:rsidP="0001787A">
      <w:r>
        <w:continuationSeparator/>
      </w:r>
    </w:p>
  </w:footnote>
  <w:footnote w:id="1">
    <w:p w14:paraId="019D6843" w14:textId="749BBB82" w:rsidR="007E0120" w:rsidRPr="00064E0C" w:rsidRDefault="007E0120" w:rsidP="00064E0C">
      <w:pPr>
        <w:pStyle w:val="FootnoteText"/>
        <w:jc w:val="both"/>
        <w:rPr>
          <w:rFonts w:ascii="Garamond" w:hAnsi="Garamond"/>
          <w:lang w:val="cs-CZ"/>
        </w:rPr>
      </w:pPr>
      <w:r w:rsidRPr="00064E0C">
        <w:rPr>
          <w:rStyle w:val="FootnoteReference"/>
          <w:rFonts w:ascii="Garamond" w:hAnsi="Garamond"/>
        </w:rPr>
        <w:footnoteRef/>
      </w:r>
      <w:r w:rsidRPr="00064E0C">
        <w:rPr>
          <w:rFonts w:ascii="Garamond" w:hAnsi="Garamond"/>
        </w:rPr>
        <w:t xml:space="preserve"> </w:t>
      </w:r>
      <w:r w:rsidRPr="00064E0C">
        <w:rPr>
          <w:rFonts w:ascii="Garamond" w:hAnsi="Garamond"/>
          <w:lang w:val="cs-CZ"/>
        </w:rPr>
        <w:t xml:space="preserve">TEDESCO, Matthew. </w:t>
      </w:r>
      <w:r w:rsidRPr="00064E0C">
        <w:rPr>
          <w:rFonts w:ascii="Garamond" w:hAnsi="Garamond"/>
        </w:rPr>
        <w:t xml:space="preserve">Dutch Protocols for Deliberately Ending the Life of Newborns: A Defence. </w:t>
      </w:r>
      <w:r w:rsidRPr="00064E0C">
        <w:rPr>
          <w:rFonts w:ascii="Garamond" w:hAnsi="Garamond"/>
          <w:i/>
        </w:rPr>
        <w:t>Journal of Bioethical Inquiry</w:t>
      </w:r>
      <w:r>
        <w:rPr>
          <w:rFonts w:ascii="Garamond" w:hAnsi="Garamond"/>
        </w:rPr>
        <w:t>,</w:t>
      </w:r>
      <w:r w:rsidRPr="00064E0C">
        <w:rPr>
          <w:rFonts w:ascii="Garamond" w:hAnsi="Garamond"/>
        </w:rPr>
        <w:t xml:space="preserve"> </w:t>
      </w:r>
      <w:r w:rsidRPr="00064E0C">
        <w:rPr>
          <w:rFonts w:ascii="Garamond" w:hAnsi="Garamond"/>
          <w:lang w:val="cs-CZ"/>
        </w:rPr>
        <w:t>2017, roč. 14, č. 2, s. 254.</w:t>
      </w:r>
    </w:p>
  </w:footnote>
  <w:footnote w:id="2">
    <w:p w14:paraId="131F5BFD" w14:textId="36944CCC"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BOUDREAU, J Donald, SOMERVILLE, Margaret A. </w:t>
      </w:r>
      <w:r w:rsidRPr="001B75E0">
        <w:rPr>
          <w:rFonts w:ascii="Garamond" w:hAnsi="Garamond"/>
        </w:rPr>
        <w:t xml:space="preserve">Euthanasia and assisted suicide: a physician’s and ethicist’s perspectives. </w:t>
      </w:r>
      <w:r w:rsidRPr="001B75E0">
        <w:rPr>
          <w:rFonts w:ascii="Garamond" w:hAnsi="Garamond"/>
          <w:i/>
        </w:rPr>
        <w:t>Medicolegal and Bioethics</w:t>
      </w:r>
      <w:r>
        <w:rPr>
          <w:rFonts w:ascii="Garamond" w:hAnsi="Garamond"/>
          <w:lang w:val="cs-CZ"/>
        </w:rPr>
        <w:t>,</w:t>
      </w:r>
      <w:r w:rsidRPr="001B75E0">
        <w:rPr>
          <w:rFonts w:ascii="Garamond" w:hAnsi="Garamond"/>
          <w:lang w:val="cs-CZ"/>
        </w:rPr>
        <w:t xml:space="preserve"> 2014, roč. 4, s. 2.</w:t>
      </w:r>
    </w:p>
  </w:footnote>
  <w:footnote w:id="3">
    <w:p w14:paraId="784BF325" w14:textId="0849C5D1"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The Special Senate Committee on Euthanasia and Assisted Suicide. </w:t>
      </w:r>
      <w:r w:rsidRPr="001B75E0">
        <w:rPr>
          <w:rFonts w:ascii="Garamond" w:hAnsi="Garamond"/>
          <w:i/>
        </w:rPr>
        <w:t xml:space="preserve">Of life and Death – Final Report </w:t>
      </w:r>
      <w:r w:rsidRPr="001B75E0">
        <w:rPr>
          <w:rFonts w:ascii="Garamond" w:hAnsi="Garamond"/>
        </w:rPr>
        <w:t xml:space="preserve">[online]. Senate of Canada, </w:t>
      </w:r>
      <w:r w:rsidRPr="001B75E0">
        <w:rPr>
          <w:rFonts w:ascii="Garamond" w:hAnsi="Garamond"/>
          <w:lang w:val="cs-CZ"/>
        </w:rPr>
        <w:t>červen 1995 [cit. 22.2.2019]. Dostupné na</w:t>
      </w:r>
      <w:r w:rsidRPr="001B75E0">
        <w:rPr>
          <w:rFonts w:ascii="Garamond" w:hAnsi="Garamond"/>
        </w:rPr>
        <w:t xml:space="preserve"> &lt;</w:t>
      </w:r>
      <w:hyperlink r:id="rId1" w:history="1">
        <w:r w:rsidRPr="001B75E0">
          <w:rPr>
            <w:rStyle w:val="Hyperlink"/>
            <w:rFonts w:ascii="Garamond" w:hAnsi="Garamond"/>
          </w:rPr>
          <w:t>https://sencanada.ca/content/sen/committee/351/euth/rep/lad-e.htm</w:t>
        </w:r>
      </w:hyperlink>
      <w:r w:rsidRPr="001B75E0">
        <w:rPr>
          <w:rFonts w:ascii="Garamond" w:hAnsi="Garamond"/>
        </w:rPr>
        <w:t xml:space="preserve">&gt;. </w:t>
      </w:r>
    </w:p>
  </w:footnote>
  <w:footnote w:id="4">
    <w:p w14:paraId="5876971F" w14:textId="54A36635"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MALÍŘ, Jan, DOLEŽAL, Tomáš. </w:t>
      </w:r>
      <w:r w:rsidRPr="001B75E0">
        <w:rPr>
          <w:rFonts w:ascii="Garamond" w:hAnsi="Garamond"/>
          <w:i/>
          <w:lang w:val="cs-CZ"/>
        </w:rPr>
        <w:t>Evropská úmluva o ochraně lidských práv a základních svobod a zdravotnictví: současný stav a perspektivy</w:t>
      </w:r>
      <w:r w:rsidRPr="001B75E0">
        <w:rPr>
          <w:rFonts w:ascii="Garamond" w:hAnsi="Garamond"/>
          <w:lang w:val="cs-CZ"/>
        </w:rPr>
        <w:t xml:space="preserve">. Praha: </w:t>
      </w:r>
      <w:r w:rsidRPr="001B75E0">
        <w:rPr>
          <w:rFonts w:ascii="Garamond" w:hAnsi="Garamond"/>
          <w:lang w:val="cs-CZ"/>
        </w:rPr>
        <w:t>Wolters Kluwer ČR, a.s., 2016, s. 123.</w:t>
      </w:r>
    </w:p>
  </w:footnote>
  <w:footnote w:id="5">
    <w:p w14:paraId="52566B4A" w14:textId="6CCF1FC3"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BOUDREAU, J Donald, SOMERVILLE, Margaret A. </w:t>
      </w:r>
      <w:r w:rsidRPr="001B75E0">
        <w:rPr>
          <w:rFonts w:ascii="Garamond" w:hAnsi="Garamond"/>
        </w:rPr>
        <w:t xml:space="preserve">Euthanasia and assisted suicide: a physician’s and ethicist’s perspectives. </w:t>
      </w:r>
      <w:r w:rsidRPr="001B75E0">
        <w:rPr>
          <w:rFonts w:ascii="Garamond" w:hAnsi="Garamond"/>
          <w:i/>
        </w:rPr>
        <w:t>Medicolegal and Bioethics</w:t>
      </w:r>
      <w:r>
        <w:rPr>
          <w:rFonts w:ascii="Garamond" w:hAnsi="Garamond"/>
          <w:lang w:val="cs-CZ"/>
        </w:rPr>
        <w:t>,</w:t>
      </w:r>
      <w:r w:rsidRPr="001B75E0">
        <w:rPr>
          <w:rFonts w:ascii="Garamond" w:hAnsi="Garamond"/>
          <w:lang w:val="cs-CZ"/>
        </w:rPr>
        <w:t xml:space="preserve"> 2014, roč. 4, s. 2.</w:t>
      </w:r>
    </w:p>
  </w:footnote>
  <w:footnote w:id="6">
    <w:p w14:paraId="29FE7061" w14:textId="19E9ECBB"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RACHELS, James. Active and Passive Euthanasia. </w:t>
      </w:r>
      <w:r w:rsidRPr="001B75E0">
        <w:rPr>
          <w:rFonts w:ascii="Garamond" w:hAnsi="Garamond"/>
          <w:i/>
          <w:iCs/>
        </w:rPr>
        <w:t>New England Journal of Medicine</w:t>
      </w:r>
      <w:r>
        <w:rPr>
          <w:rFonts w:ascii="Garamond" w:hAnsi="Garamond"/>
        </w:rPr>
        <w:t>,</w:t>
      </w:r>
      <w:r w:rsidRPr="001B75E0">
        <w:rPr>
          <w:rFonts w:ascii="Garamond" w:hAnsi="Garamond"/>
        </w:rPr>
        <w:t xml:space="preserve"> 1975, </w:t>
      </w:r>
      <w:r w:rsidRPr="001B75E0">
        <w:rPr>
          <w:rFonts w:ascii="Garamond" w:hAnsi="Garamond"/>
        </w:rPr>
        <w:t>roč. 292, s. 78-80.</w:t>
      </w:r>
    </w:p>
  </w:footnote>
  <w:footnote w:id="7">
    <w:p w14:paraId="45FB6454" w14:textId="21CE06A2"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w:t>
      </w:r>
    </w:p>
  </w:footnote>
  <w:footnote w:id="8">
    <w:p w14:paraId="5E8DD71E" w14:textId="6AB9068A"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ŠUSTEK, P., HOLČAPEK, T. a </w:t>
      </w:r>
      <w:r w:rsidRPr="001B75E0">
        <w:rPr>
          <w:rFonts w:ascii="Garamond" w:hAnsi="Garamond"/>
          <w:lang w:val="cs-CZ"/>
        </w:rPr>
        <w:t xml:space="preserve">kol. </w:t>
      </w:r>
      <w:r w:rsidRPr="001B75E0">
        <w:rPr>
          <w:rFonts w:ascii="Garamond" w:hAnsi="Garamond"/>
          <w:i/>
          <w:lang w:val="cs-CZ"/>
        </w:rPr>
        <w:t>Zdravotnické právo</w:t>
      </w:r>
      <w:r w:rsidRPr="001B75E0">
        <w:rPr>
          <w:rFonts w:ascii="Garamond" w:hAnsi="Garamond"/>
          <w:lang w:val="cs-CZ"/>
        </w:rPr>
        <w:t>.</w:t>
      </w:r>
      <w:r w:rsidRPr="001B75E0">
        <w:rPr>
          <w:rFonts w:ascii="Garamond" w:hAnsi="Garamond"/>
        </w:rPr>
        <w:t xml:space="preserve"> Praha: Wolters Kluwer ČR, 2016, s. 557.</w:t>
      </w:r>
    </w:p>
  </w:footnote>
  <w:footnote w:id="9">
    <w:p w14:paraId="49401A46" w14:textId="1C0F9607" w:rsidR="007E0120" w:rsidRPr="001D648B"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FERREIRA</w:t>
      </w:r>
      <w:r w:rsidRPr="001B75E0">
        <w:rPr>
          <w:rFonts w:ascii="Garamond" w:hAnsi="Garamond"/>
        </w:rPr>
        <w:t xml:space="preserve">, Nuno. Revisiting Euthanasia: A Comparative Analysis of a Right to Die in Dignity. </w:t>
      </w:r>
      <w:r w:rsidRPr="001B75E0">
        <w:rPr>
          <w:rFonts w:ascii="Garamond" w:hAnsi="Garamond"/>
          <w:i/>
        </w:rPr>
        <w:t>ZERP Discussion Papers</w:t>
      </w:r>
      <w:r>
        <w:rPr>
          <w:rFonts w:ascii="Garamond" w:hAnsi="Garamond"/>
          <w:lang w:val="cs-CZ"/>
        </w:rPr>
        <w:t>,</w:t>
      </w:r>
      <w:r w:rsidRPr="001B75E0">
        <w:rPr>
          <w:rFonts w:ascii="Garamond" w:hAnsi="Garamond"/>
          <w:lang w:val="cs-CZ"/>
        </w:rPr>
        <w:t xml:space="preserve"> 2005, č. 4, s. 6.</w:t>
      </w:r>
    </w:p>
  </w:footnote>
  <w:footnote w:id="10">
    <w:p w14:paraId="4AC063FE" w14:textId="4ED9D9E5"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00513C3D" w:rsidRPr="001B75E0">
        <w:rPr>
          <w:rFonts w:ascii="Garamond" w:hAnsi="Garamond"/>
          <w:lang w:val="cs-CZ"/>
        </w:rPr>
        <w:t>FERREIRA</w:t>
      </w:r>
      <w:r w:rsidR="00513C3D" w:rsidRPr="001B75E0">
        <w:rPr>
          <w:rFonts w:ascii="Garamond" w:hAnsi="Garamond"/>
        </w:rPr>
        <w:t xml:space="preserve">, Nuno. Revisiting Euthanasia: A Comparative Analysis of a Right to Die in Dignity. </w:t>
      </w:r>
      <w:r w:rsidR="00513C3D" w:rsidRPr="001B75E0">
        <w:rPr>
          <w:rFonts w:ascii="Garamond" w:hAnsi="Garamond"/>
          <w:i/>
        </w:rPr>
        <w:t>ZERP Discussion Papers</w:t>
      </w:r>
      <w:r w:rsidR="00513C3D">
        <w:rPr>
          <w:rFonts w:ascii="Garamond" w:hAnsi="Garamond"/>
          <w:lang w:val="cs-CZ"/>
        </w:rPr>
        <w:t>,</w:t>
      </w:r>
      <w:r w:rsidR="00513C3D" w:rsidRPr="001B75E0">
        <w:rPr>
          <w:rFonts w:ascii="Garamond" w:hAnsi="Garamond"/>
          <w:lang w:val="cs-CZ"/>
        </w:rPr>
        <w:t xml:space="preserve"> 2005, č. 4, s. 6.</w:t>
      </w:r>
    </w:p>
  </w:footnote>
  <w:footnote w:id="11">
    <w:p w14:paraId="37ABCA52" w14:textId="4503F76B"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00513C3D">
        <w:rPr>
          <w:rFonts w:ascii="Garamond" w:hAnsi="Garamond"/>
          <w:lang w:val="cs-CZ"/>
        </w:rPr>
        <w:t>Tamtéž</w:t>
      </w:r>
      <w:r w:rsidRPr="001B75E0">
        <w:rPr>
          <w:rFonts w:ascii="Garamond" w:hAnsi="Garamond"/>
          <w:lang w:val="cs-CZ"/>
        </w:rPr>
        <w:t>, s. 12.</w:t>
      </w:r>
    </w:p>
  </w:footnote>
  <w:footnote w:id="12">
    <w:p w14:paraId="48F3BD94" w14:textId="4195A3FD"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BOUDREAU, J Donald, SOMERVILLE, Margaret A. </w:t>
      </w:r>
      <w:r w:rsidRPr="001B75E0">
        <w:rPr>
          <w:rFonts w:ascii="Garamond" w:hAnsi="Garamond"/>
        </w:rPr>
        <w:t xml:space="preserve">Euthanasia and assisted suicide: a physician’s and ethicist’s perspectives. </w:t>
      </w:r>
      <w:r w:rsidRPr="001B75E0">
        <w:rPr>
          <w:rFonts w:ascii="Garamond" w:hAnsi="Garamond"/>
          <w:i/>
        </w:rPr>
        <w:t>Medicolegal and Bioethics</w:t>
      </w:r>
      <w:r>
        <w:rPr>
          <w:rFonts w:ascii="Garamond" w:hAnsi="Garamond"/>
          <w:lang w:val="cs-CZ"/>
        </w:rPr>
        <w:t>,</w:t>
      </w:r>
      <w:r w:rsidRPr="001B75E0">
        <w:rPr>
          <w:rFonts w:ascii="Garamond" w:hAnsi="Garamond"/>
          <w:lang w:val="cs-CZ"/>
        </w:rPr>
        <w:t xml:space="preserve"> 2014, roč. 4, s. 2.</w:t>
      </w:r>
    </w:p>
  </w:footnote>
  <w:footnote w:id="13">
    <w:p w14:paraId="0576CC45" w14:textId="6918E313"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b/>
          <w:lang w:val="cs-CZ"/>
        </w:rPr>
        <w:t>Pozn</w:t>
      </w:r>
      <w:r w:rsidRPr="001B75E0">
        <w:rPr>
          <w:rFonts w:ascii="Garamond" w:hAnsi="Garamond"/>
          <w:lang w:val="cs-CZ"/>
        </w:rPr>
        <w:t>. Vyjma výše naznačeného úmyslného ukončení života novorozenců. Zde však ale narážím na skupinu dětí, které jsou již schopny posoudit důsledky rozhodnutí o ukončení života.</w:t>
      </w:r>
    </w:p>
  </w:footnote>
  <w:footnote w:id="14">
    <w:p w14:paraId="61691CD3" w14:textId="0D471146"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Rozsudek Nejvyššího soudu Kanady ze dne 6.2.2015, ve věci </w:t>
      </w:r>
      <w:r w:rsidRPr="001B75E0">
        <w:rPr>
          <w:rFonts w:ascii="Garamond" w:hAnsi="Garamond"/>
          <w:lang w:val="cs-CZ"/>
        </w:rPr>
        <w:t>Carter proti Kanadě, sp. zn. [2015] 1 S.C.R. 331</w:t>
      </w:r>
    </w:p>
  </w:footnote>
  <w:footnote w:id="15">
    <w:p w14:paraId="779C78DF" w14:textId="235ECD4C"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GUICHON, Juliet a kol. </w:t>
      </w:r>
      <w:r w:rsidRPr="001B75E0">
        <w:rPr>
          <w:rFonts w:ascii="Garamond" w:hAnsi="Garamond"/>
        </w:rPr>
        <w:t xml:space="preserve">Autonomy and Beneficence in Assisted Dying in Canada: The Eligibility of Mature Minors. </w:t>
      </w:r>
      <w:r w:rsidRPr="001B75E0">
        <w:rPr>
          <w:rFonts w:ascii="Garamond" w:hAnsi="Garamond"/>
          <w:i/>
        </w:rPr>
        <w:t>Alberta Law Review</w:t>
      </w:r>
      <w:r>
        <w:rPr>
          <w:rFonts w:ascii="Garamond" w:hAnsi="Garamond"/>
        </w:rPr>
        <w:t>,</w:t>
      </w:r>
      <w:r w:rsidRPr="001B75E0">
        <w:rPr>
          <w:rFonts w:ascii="Garamond" w:hAnsi="Garamond"/>
          <w:lang w:val="cs-CZ"/>
        </w:rPr>
        <w:t xml:space="preserve"> 2017, roč. 54, č. 3, s. 776.</w:t>
      </w:r>
    </w:p>
  </w:footnote>
  <w:footnote w:id="16">
    <w:p w14:paraId="05B811A5" w14:textId="1079B945"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An Act to amend the Criminal Code and to make related amendments to other Acts (medical assistance in dying) S.C. 2016, c. 3</w:t>
      </w:r>
    </w:p>
  </w:footnote>
  <w:footnote w:id="17">
    <w:p w14:paraId="15478AD2" w14:textId="3E72319A"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GUICHON, Juliet a kol. </w:t>
      </w:r>
      <w:r w:rsidRPr="001B75E0">
        <w:rPr>
          <w:rFonts w:ascii="Garamond" w:hAnsi="Garamond"/>
        </w:rPr>
        <w:t xml:space="preserve">Autonomy and Beneficence in Assisted Dying in Canada: The Eligibility of Mature Minors. </w:t>
      </w:r>
      <w:r w:rsidRPr="001B75E0">
        <w:rPr>
          <w:rFonts w:ascii="Garamond" w:hAnsi="Garamond"/>
          <w:i/>
        </w:rPr>
        <w:t>Alberta Law Review</w:t>
      </w:r>
      <w:r>
        <w:rPr>
          <w:rFonts w:ascii="Garamond" w:hAnsi="Garamond"/>
        </w:rPr>
        <w:t>,</w:t>
      </w:r>
      <w:r w:rsidRPr="001B75E0">
        <w:rPr>
          <w:rFonts w:ascii="Garamond" w:hAnsi="Garamond"/>
          <w:lang w:val="cs-CZ"/>
        </w:rPr>
        <w:t xml:space="preserve"> 2017, roč. 54, č. 3, s. 776.</w:t>
      </w:r>
    </w:p>
  </w:footnote>
  <w:footnote w:id="18">
    <w:p w14:paraId="77F4CF6A" w14:textId="3F160415" w:rsidR="007E0120" w:rsidRPr="00B20F48" w:rsidRDefault="007E0120" w:rsidP="001B75E0">
      <w:pPr>
        <w:pStyle w:val="FootnoteText"/>
        <w:jc w:val="both"/>
        <w:rPr>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Čl. 9.1 odst.</w:t>
      </w:r>
      <w:r w:rsidRPr="001B75E0">
        <w:rPr>
          <w:rFonts w:ascii="Garamond" w:hAnsi="Garamond"/>
        </w:rPr>
        <w:t xml:space="preserve"> 1 An Act to amend the Criminal Code and to make related amendments to other Acts (medical assistance in dying) S.C. 2016, c. 3</w:t>
      </w:r>
    </w:p>
  </w:footnote>
  <w:footnote w:id="19">
    <w:p w14:paraId="7DD5DC1F" w14:textId="369ADC48" w:rsidR="007E0120" w:rsidRPr="001A3C4E" w:rsidRDefault="007E0120" w:rsidP="001A3C4E">
      <w:pPr>
        <w:jc w:val="both"/>
        <w:rPr>
          <w:rFonts w:ascii="Garamond" w:hAnsi="Garamond"/>
          <w:lang w:val="cs-CZ"/>
        </w:rPr>
      </w:pPr>
      <w:r w:rsidRPr="001A3C4E">
        <w:rPr>
          <w:rStyle w:val="FootnoteReference"/>
          <w:rFonts w:ascii="Garamond" w:hAnsi="Garamond"/>
          <w:sz w:val="20"/>
        </w:rPr>
        <w:footnoteRef/>
      </w:r>
      <w:r>
        <w:rPr>
          <w:rFonts w:ascii="Garamond" w:hAnsi="Garamond"/>
          <w:sz w:val="20"/>
        </w:rPr>
        <w:t xml:space="preserve"> </w:t>
      </w:r>
      <w:r w:rsidRPr="001A3C4E">
        <w:rPr>
          <w:rFonts w:ascii="Garamond" w:hAnsi="Garamond"/>
          <w:sz w:val="20"/>
        </w:rPr>
        <w:t xml:space="preserve">Council of Canadian Academies. </w:t>
      </w:r>
      <w:r w:rsidRPr="001A3C4E">
        <w:rPr>
          <w:rFonts w:ascii="Garamond" w:hAnsi="Garamond"/>
          <w:i/>
          <w:sz w:val="20"/>
        </w:rPr>
        <w:t>The State of Knowledge on Medical Assistance in Dying for Mature Minors</w:t>
      </w:r>
      <w:r w:rsidRPr="001A3C4E">
        <w:rPr>
          <w:rFonts w:ascii="Garamond" w:hAnsi="Garamond"/>
          <w:sz w:val="20"/>
        </w:rPr>
        <w:t>. Ottawa: The Expert Panel Working Group on MAID for Mature Minors, 2018, s. 146</w:t>
      </w:r>
      <w:r>
        <w:rPr>
          <w:rFonts w:ascii="Garamond" w:hAnsi="Garamond"/>
          <w:sz w:val="20"/>
        </w:rPr>
        <w:t>.</w:t>
      </w:r>
    </w:p>
  </w:footnote>
  <w:footnote w:id="20">
    <w:p w14:paraId="5DE51174" w14:textId="16FAA58D" w:rsidR="007E0120" w:rsidRPr="001A3C4E" w:rsidRDefault="007E0120" w:rsidP="001A3C4E">
      <w:pPr>
        <w:pStyle w:val="FootnoteText"/>
        <w:jc w:val="both"/>
        <w:rPr>
          <w:rFonts w:ascii="Garamond" w:hAnsi="Garamond"/>
          <w:lang w:val="cs-CZ"/>
        </w:rPr>
      </w:pPr>
      <w:r w:rsidRPr="001A3C4E">
        <w:rPr>
          <w:rStyle w:val="FootnoteReference"/>
          <w:rFonts w:ascii="Garamond" w:hAnsi="Garamond"/>
        </w:rPr>
        <w:footnoteRef/>
      </w:r>
      <w:r w:rsidRPr="001A3C4E">
        <w:rPr>
          <w:rFonts w:ascii="Garamond" w:hAnsi="Garamond"/>
        </w:rPr>
        <w:t xml:space="preserve"> </w:t>
      </w:r>
      <w:r w:rsidRPr="00C247F6">
        <w:rPr>
          <w:rFonts w:ascii="Garamond" w:hAnsi="Garamond"/>
          <w:lang w:val="cs-CZ"/>
        </w:rPr>
        <w:t>Tamtéž</w:t>
      </w:r>
      <w:r>
        <w:rPr>
          <w:rFonts w:ascii="Garamond" w:hAnsi="Garamond"/>
        </w:rPr>
        <w:t>,</w:t>
      </w:r>
      <w:r w:rsidRPr="001A3C4E">
        <w:rPr>
          <w:rFonts w:ascii="Garamond" w:hAnsi="Garamond"/>
        </w:rPr>
        <w:t xml:space="preserve"> s. 150.</w:t>
      </w:r>
    </w:p>
  </w:footnote>
  <w:footnote w:id="21">
    <w:p w14:paraId="75ABAEB7" w14:textId="7622C6AA" w:rsidR="007E0120" w:rsidRPr="001B75E0" w:rsidRDefault="007E0120" w:rsidP="00E54C2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b/>
          <w:lang w:val="cs-CZ"/>
        </w:rPr>
        <w:t>Pozn</w:t>
      </w:r>
      <w:r w:rsidRPr="001B75E0">
        <w:rPr>
          <w:rFonts w:ascii="Garamond" w:hAnsi="Garamond"/>
          <w:lang w:val="cs-CZ"/>
        </w:rPr>
        <w:t>. Na federální úrovni USA však nikoli.</w:t>
      </w:r>
    </w:p>
  </w:footnote>
  <w:footnote w:id="22">
    <w:p w14:paraId="09C242D0" w14:textId="02E00199" w:rsidR="007E0120" w:rsidRPr="001B75E0" w:rsidRDefault="007E0120" w:rsidP="00831FDA">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STULTIËNS, L. a </w:t>
      </w:r>
      <w:r w:rsidRPr="001B75E0">
        <w:rPr>
          <w:rFonts w:ascii="Garamond" w:hAnsi="Garamond"/>
          <w:lang w:val="cs-CZ"/>
        </w:rPr>
        <w:t>kol.</w:t>
      </w:r>
      <w:r w:rsidRPr="001B75E0">
        <w:rPr>
          <w:rFonts w:ascii="Garamond" w:hAnsi="Garamond"/>
        </w:rPr>
        <w:t xml:space="preserve"> Minors and informed consent: A comparative approach. </w:t>
      </w:r>
      <w:r w:rsidRPr="001B75E0">
        <w:rPr>
          <w:rFonts w:ascii="Garamond" w:hAnsi="Garamond"/>
          <w:i/>
        </w:rPr>
        <w:t>European Journal of Health Law</w:t>
      </w:r>
      <w:r>
        <w:rPr>
          <w:rFonts w:ascii="Garamond" w:hAnsi="Garamond"/>
        </w:rPr>
        <w:t>,</w:t>
      </w:r>
      <w:r w:rsidRPr="001B75E0">
        <w:rPr>
          <w:rFonts w:ascii="Garamond" w:hAnsi="Garamond"/>
        </w:rPr>
        <w:t xml:space="preserve"> 2007, </w:t>
      </w:r>
      <w:r w:rsidRPr="001B75E0">
        <w:rPr>
          <w:rFonts w:ascii="Garamond" w:hAnsi="Garamond"/>
          <w:lang w:val="cs-CZ"/>
        </w:rPr>
        <w:t>roč.</w:t>
      </w:r>
      <w:r w:rsidRPr="001B75E0">
        <w:rPr>
          <w:rFonts w:ascii="Garamond" w:hAnsi="Garamond"/>
        </w:rPr>
        <w:t xml:space="preserve"> 14, č. 1, s. 21–46.</w:t>
      </w:r>
    </w:p>
  </w:footnote>
  <w:footnote w:id="23">
    <w:p w14:paraId="1614EADD" w14:textId="040647D9" w:rsidR="007E0120" w:rsidRPr="001B75E0" w:rsidRDefault="007E0120" w:rsidP="00831FDA">
      <w:pPr>
        <w:pStyle w:val="FootnoteText"/>
        <w:jc w:val="both"/>
        <w:rPr>
          <w:rFonts w:ascii="Garamond" w:hAnsi="Garamond"/>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Evropská komise. </w:t>
      </w:r>
      <w:r w:rsidRPr="001B75E0">
        <w:rPr>
          <w:rFonts w:ascii="Garamond" w:hAnsi="Garamond"/>
        </w:rPr>
        <w:t xml:space="preserve">Evaluation of legislation, policy and practice of child participation in the EU. </w:t>
      </w:r>
      <w:r w:rsidRPr="001B75E0">
        <w:rPr>
          <w:rFonts w:ascii="Garamond" w:hAnsi="Garamond"/>
          <w:lang w:val="cs-CZ"/>
        </w:rPr>
        <w:t>Lucemburk: Úřad pro publikace Evropské Unie,</w:t>
      </w:r>
      <w:r w:rsidRPr="001B75E0">
        <w:rPr>
          <w:rFonts w:ascii="Garamond" w:hAnsi="Garamond"/>
        </w:rPr>
        <w:t xml:space="preserve"> 2015, s. 5.</w:t>
      </w:r>
    </w:p>
  </w:footnote>
  <w:footnote w:id="24">
    <w:p w14:paraId="23142683" w14:textId="3AC7DBFF" w:rsidR="007E0120" w:rsidRPr="001B75E0" w:rsidRDefault="007E0120" w:rsidP="00FE2CFF">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i/>
        </w:rPr>
        <w:t xml:space="preserve">Belgium’s parliament votes through child euthanasia </w:t>
      </w:r>
      <w:r w:rsidRPr="001B75E0">
        <w:rPr>
          <w:rFonts w:ascii="Garamond" w:hAnsi="Garamond"/>
        </w:rPr>
        <w:t>[online]. BBC News,</w:t>
      </w:r>
      <w:r w:rsidRPr="001B75E0">
        <w:rPr>
          <w:rFonts w:ascii="Garamond" w:hAnsi="Garamond"/>
          <w:lang w:val="cs-CZ"/>
        </w:rPr>
        <w:t xml:space="preserve"> 13.2.2014 [cit. 8.2.2019]. Dostupné na &lt;</w:t>
      </w:r>
      <w:hyperlink r:id="rId2" w:history="1">
        <w:r w:rsidRPr="001B75E0">
          <w:rPr>
            <w:rStyle w:val="Hyperlink"/>
            <w:rFonts w:ascii="Garamond" w:hAnsi="Garamond"/>
            <w:lang w:val="cs-CZ"/>
          </w:rPr>
          <w:t>https://www.bbc.com/news/world-europe-26181615</w:t>
        </w:r>
      </w:hyperlink>
      <w:r w:rsidRPr="001B75E0">
        <w:rPr>
          <w:rFonts w:ascii="Garamond" w:hAnsi="Garamond"/>
          <w:lang w:val="cs-CZ"/>
        </w:rPr>
        <w:t xml:space="preserve">&gt;. </w:t>
      </w:r>
    </w:p>
  </w:footnote>
  <w:footnote w:id="25">
    <w:p w14:paraId="04E27576" w14:textId="2B50236D" w:rsidR="007E0120" w:rsidRPr="00FE2CFF" w:rsidRDefault="007E0120" w:rsidP="00FE2CFF">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rPr>
        <w:t>Loi du 28 mai 2002 relative à l'euthanasie</w:t>
      </w:r>
    </w:p>
  </w:footnote>
  <w:footnote w:id="26">
    <w:p w14:paraId="4A518858" w14:textId="24704175" w:rsidR="007E0120" w:rsidRPr="001B75E0" w:rsidRDefault="007E0120" w:rsidP="00B152D9">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b/>
          <w:lang w:val="cs-CZ"/>
        </w:rPr>
        <w:t>Pozn.</w:t>
      </w:r>
      <w:r w:rsidRPr="001B75E0">
        <w:rPr>
          <w:rFonts w:ascii="Garamond" w:hAnsi="Garamond"/>
          <w:lang w:val="cs-CZ"/>
        </w:rPr>
        <w:t xml:space="preserve"> V angličtině termín </w:t>
      </w:r>
      <w:r w:rsidRPr="001B75E0">
        <w:rPr>
          <w:rFonts w:ascii="Garamond" w:hAnsi="Garamond"/>
          <w:i/>
        </w:rPr>
        <w:t>capacity of discernment</w:t>
      </w:r>
      <w:r w:rsidRPr="001B75E0">
        <w:rPr>
          <w:rFonts w:ascii="Garamond" w:hAnsi="Garamond"/>
        </w:rPr>
        <w:t>.</w:t>
      </w:r>
    </w:p>
  </w:footnote>
  <w:footnote w:id="27">
    <w:p w14:paraId="47330DF0" w14:textId="52CEF7F3" w:rsidR="007E0120" w:rsidRPr="001B75E0" w:rsidRDefault="007E0120" w:rsidP="00370593">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b/>
          <w:lang w:val="cs-CZ"/>
        </w:rPr>
        <w:t>Pozn</w:t>
      </w:r>
      <w:r w:rsidRPr="001B75E0">
        <w:rPr>
          <w:rFonts w:ascii="Garamond" w:hAnsi="Garamond"/>
          <w:lang w:val="cs-CZ"/>
        </w:rPr>
        <w:t xml:space="preserve">. Ačkoli zákon skutečně nestanoví žádnou věkovou hranici, tato podmínka představuje faktickou limitaci, neboť se musí jednat o dítě s dostatečnou duševní způsobilostí, kterou u těch nejmladších pacientů dovodit nelze. </w:t>
      </w:r>
    </w:p>
  </w:footnote>
  <w:footnote w:id="28">
    <w:p w14:paraId="64A1D9B1" w14:textId="371B169A" w:rsidR="007E0120" w:rsidRPr="001B75E0" w:rsidRDefault="007E0120" w:rsidP="006D0514">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rPr>
        <w:t>Loi du 28 mai 2002 relative à l'euthanasie</w:t>
      </w:r>
    </w:p>
  </w:footnote>
  <w:footnote w:id="29">
    <w:p w14:paraId="0D054E52" w14:textId="3E8870A8" w:rsidR="007E0120" w:rsidRPr="001B75E0" w:rsidRDefault="007E0120" w:rsidP="006D0514">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BERNARD, Dan, FONTEYNE, Christine, CLEMENT DE CLETY, Stephan. Self-requested euthanasia for children in Belgium. </w:t>
      </w:r>
      <w:r w:rsidRPr="001B75E0">
        <w:rPr>
          <w:rFonts w:ascii="Garamond" w:hAnsi="Garamond"/>
          <w:i/>
        </w:rPr>
        <w:t>Lancet</w:t>
      </w:r>
      <w:r>
        <w:rPr>
          <w:rFonts w:ascii="Garamond" w:hAnsi="Garamond"/>
        </w:rPr>
        <w:t>,</w:t>
      </w:r>
      <w:r w:rsidRPr="001B75E0">
        <w:rPr>
          <w:rFonts w:ascii="Garamond" w:hAnsi="Garamond"/>
        </w:rPr>
        <w:t xml:space="preserve"> 2014, </w:t>
      </w:r>
      <w:r w:rsidRPr="001B75E0">
        <w:rPr>
          <w:rFonts w:ascii="Garamond" w:hAnsi="Garamond"/>
          <w:lang w:val="cs-CZ"/>
        </w:rPr>
        <w:t>roč.</w:t>
      </w:r>
      <w:r w:rsidRPr="001B75E0">
        <w:rPr>
          <w:rFonts w:ascii="Garamond" w:hAnsi="Garamond"/>
        </w:rPr>
        <w:t xml:space="preserve"> 383, č. 9918, s. 672.</w:t>
      </w:r>
    </w:p>
  </w:footnote>
  <w:footnote w:id="30">
    <w:p w14:paraId="74A48590" w14:textId="2807339E" w:rsidR="007E0120" w:rsidRPr="001B75E0" w:rsidRDefault="007E0120" w:rsidP="00C23C3B">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w:t>
      </w:r>
    </w:p>
  </w:footnote>
  <w:footnote w:id="31">
    <w:p w14:paraId="6186BB0C" w14:textId="054AAF5D" w:rsidR="007E0120" w:rsidRPr="001B75E0" w:rsidRDefault="007E0120" w:rsidP="0006202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VERHAGEN, Eduard, SAUER, Pieter J.J. The Groningen Protocol – Euthanasia in Severely Ill Newborns. </w:t>
      </w:r>
      <w:r w:rsidRPr="001B75E0">
        <w:rPr>
          <w:rFonts w:ascii="Garamond" w:hAnsi="Garamond"/>
          <w:i/>
        </w:rPr>
        <w:t>The New England Journal of Medicine</w:t>
      </w:r>
      <w:r>
        <w:rPr>
          <w:rFonts w:ascii="Garamond" w:hAnsi="Garamond"/>
          <w:iCs/>
        </w:rPr>
        <w:t>,</w:t>
      </w:r>
      <w:r w:rsidRPr="001B75E0">
        <w:rPr>
          <w:rFonts w:ascii="Garamond" w:hAnsi="Garamond"/>
        </w:rPr>
        <w:t xml:space="preserve"> 2005, </w:t>
      </w:r>
      <w:r w:rsidRPr="001B75E0">
        <w:rPr>
          <w:rFonts w:ascii="Garamond" w:hAnsi="Garamond"/>
          <w:lang w:val="cs-CZ"/>
        </w:rPr>
        <w:t>roč.</w:t>
      </w:r>
      <w:r w:rsidRPr="001B75E0">
        <w:rPr>
          <w:rFonts w:ascii="Garamond" w:hAnsi="Garamond"/>
        </w:rPr>
        <w:t xml:space="preserve"> 352, č. 10, </w:t>
      </w:r>
      <w:r w:rsidRPr="001B75E0">
        <w:rPr>
          <w:rFonts w:ascii="Garamond" w:hAnsi="Garamond"/>
          <w:lang w:val="cs-CZ"/>
        </w:rPr>
        <w:t>s. 959-962.</w:t>
      </w:r>
    </w:p>
  </w:footnote>
  <w:footnote w:id="32">
    <w:p w14:paraId="42273C19" w14:textId="43D7F97F" w:rsidR="007E0120" w:rsidRPr="001B75E0" w:rsidRDefault="007E0120" w:rsidP="006B631C">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RAUS, Kasper. The extension of Belgium’s Euthanasia Law to Include Competent Minors. </w:t>
      </w:r>
      <w:r w:rsidRPr="001B75E0">
        <w:rPr>
          <w:rFonts w:ascii="Garamond" w:hAnsi="Garamond"/>
          <w:i/>
        </w:rPr>
        <w:t>Journal of Bioethical Inquiry</w:t>
      </w:r>
      <w:r>
        <w:rPr>
          <w:rFonts w:ascii="Garamond" w:hAnsi="Garamond"/>
        </w:rPr>
        <w:t>,</w:t>
      </w:r>
      <w:r w:rsidRPr="001B75E0">
        <w:rPr>
          <w:rFonts w:ascii="Garamond" w:hAnsi="Garamond"/>
          <w:lang w:val="cs-CZ"/>
        </w:rPr>
        <w:t xml:space="preserve"> 2016, roč. 13, č. 2, s. 307.</w:t>
      </w:r>
    </w:p>
  </w:footnote>
  <w:footnote w:id="33">
    <w:p w14:paraId="7E609512" w14:textId="19A05867" w:rsidR="007E0120" w:rsidRPr="001B75E0" w:rsidRDefault="007E0120" w:rsidP="00891076">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WATSON, Rory. Belgium extends euthanasia law to children. </w:t>
      </w:r>
      <w:r w:rsidRPr="001B75E0">
        <w:rPr>
          <w:rFonts w:ascii="Garamond" w:hAnsi="Garamond"/>
          <w:i/>
        </w:rPr>
        <w:t>BMJ: British Medical Journal</w:t>
      </w:r>
      <w:r w:rsidRPr="001B75E0">
        <w:rPr>
          <w:rFonts w:ascii="Garamond" w:hAnsi="Garamond"/>
        </w:rPr>
        <w:t xml:space="preserve">. 2014, </w:t>
      </w:r>
      <w:r w:rsidRPr="001B75E0">
        <w:rPr>
          <w:rFonts w:ascii="Garamond" w:hAnsi="Garamond"/>
        </w:rPr>
        <w:t>roč. 348.</w:t>
      </w:r>
    </w:p>
  </w:footnote>
  <w:footnote w:id="34">
    <w:p w14:paraId="44805316" w14:textId="7CB46755" w:rsidR="007E0120" w:rsidRPr="00CD7713" w:rsidRDefault="007E0120" w:rsidP="00FE6246">
      <w:pPr>
        <w:pStyle w:val="FootnoteText"/>
        <w:jc w:val="both"/>
        <w:rPr>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VAN DE WALLE, Jean-Paul. </w:t>
      </w:r>
      <w:r w:rsidRPr="001B75E0">
        <w:rPr>
          <w:rFonts w:ascii="Garamond" w:hAnsi="Garamond"/>
          <w:i/>
          <w:lang w:val="cs-CZ"/>
        </w:rPr>
        <w:t>Dossier de l’Institut Européen de Bioéthique: L’euthanasie des mineurs en Belgique</w:t>
      </w:r>
      <w:r w:rsidRPr="001B75E0">
        <w:rPr>
          <w:rFonts w:ascii="Garamond" w:hAnsi="Garamond"/>
          <w:lang w:val="cs-CZ"/>
        </w:rPr>
        <w:t xml:space="preserve"> [online]. Institut Européen de Bioéthique, 3.2.2015 [cit. 25.2.2019]. Dostupné na &lt;</w:t>
      </w:r>
      <w:hyperlink r:id="rId3" w:history="1">
        <w:r w:rsidRPr="001B75E0">
          <w:rPr>
            <w:rStyle w:val="Hyperlink"/>
            <w:rFonts w:ascii="Garamond" w:hAnsi="Garamond"/>
            <w:lang w:val="cs-CZ"/>
          </w:rPr>
          <w:t>https://www.ieb-eib.org/en/pdf/20150302-euthanasie-des-enfants.pdf</w:t>
        </w:r>
      </w:hyperlink>
      <w:r w:rsidRPr="001B75E0">
        <w:rPr>
          <w:rFonts w:ascii="Garamond" w:hAnsi="Garamond"/>
          <w:lang w:val="cs-CZ"/>
        </w:rPr>
        <w:t>&gt;.</w:t>
      </w:r>
    </w:p>
  </w:footnote>
  <w:footnote w:id="35">
    <w:p w14:paraId="260B6E9B" w14:textId="373F6641" w:rsidR="007E0120" w:rsidRPr="001B75E0" w:rsidRDefault="007E0120" w:rsidP="006A209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Rozhodnutí Ústavního soudu Belgie ze dne 29.11.2015, </w:t>
      </w:r>
      <w:r w:rsidRPr="001B75E0">
        <w:rPr>
          <w:rFonts w:ascii="Garamond" w:hAnsi="Garamond"/>
          <w:lang w:val="cs-CZ"/>
        </w:rPr>
        <w:t>sp. zn. 153/2015. Vycházeno z anglického znění [cit. 10.2.2019]. Dostupné na</w:t>
      </w:r>
      <w:r w:rsidRPr="001B75E0">
        <w:rPr>
          <w:rFonts w:ascii="Garamond" w:hAnsi="Garamond"/>
        </w:rPr>
        <w:t xml:space="preserve"> &lt;</w:t>
      </w:r>
      <w:hyperlink r:id="rId4" w:history="1">
        <w:r w:rsidRPr="001B75E0">
          <w:rPr>
            <w:rStyle w:val="Hyperlink"/>
            <w:rFonts w:ascii="Garamond" w:hAnsi="Garamond"/>
          </w:rPr>
          <w:t>http://www.const-court.be/public/e/2015/2015-153e.pdf</w:t>
        </w:r>
      </w:hyperlink>
      <w:r w:rsidRPr="001B75E0">
        <w:rPr>
          <w:rFonts w:ascii="Garamond" w:hAnsi="Garamond"/>
        </w:rPr>
        <w:t xml:space="preserve">&gt;. </w:t>
      </w:r>
    </w:p>
  </w:footnote>
  <w:footnote w:id="36">
    <w:p w14:paraId="1E7F5FE0" w14:textId="48149396" w:rsidR="007E0120" w:rsidRPr="001B75E0" w:rsidRDefault="007E0120" w:rsidP="00AE66C2">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 bod B.23.2.</w:t>
      </w:r>
    </w:p>
  </w:footnote>
  <w:footnote w:id="37">
    <w:p w14:paraId="288ED1A7" w14:textId="3363507F" w:rsidR="007E0120" w:rsidRPr="001B75E0" w:rsidRDefault="007E0120" w:rsidP="00AE66C2">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 bod B.24.7.1.</w:t>
      </w:r>
    </w:p>
  </w:footnote>
  <w:footnote w:id="38">
    <w:p w14:paraId="0B67DECF" w14:textId="0C5A728C" w:rsidR="007E0120" w:rsidRPr="001B75E0" w:rsidRDefault="007E0120" w:rsidP="00AE66C2">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 bod B.2.5.</w:t>
      </w:r>
    </w:p>
  </w:footnote>
  <w:footnote w:id="39">
    <w:p w14:paraId="3822E7B3" w14:textId="4EB36D34" w:rsidR="007E0120" w:rsidRPr="001B75E0" w:rsidRDefault="007E0120" w:rsidP="00BD2806">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 bod B.24.8.2.</w:t>
      </w:r>
    </w:p>
  </w:footnote>
  <w:footnote w:id="40">
    <w:p w14:paraId="0112BBE8" w14:textId="5574A259" w:rsidR="007E0120" w:rsidRPr="001B75E0" w:rsidRDefault="007E0120" w:rsidP="00132485">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SAMUEL, Henry. </w:t>
      </w:r>
      <w:r w:rsidRPr="001B75E0">
        <w:rPr>
          <w:rFonts w:ascii="Garamond" w:hAnsi="Garamond"/>
          <w:i/>
        </w:rPr>
        <w:t>Belgium authorised euthanasia of a terminally ill nine and 11-year-old in youngest cases worldwide</w:t>
      </w:r>
      <w:r w:rsidRPr="001B75E0">
        <w:rPr>
          <w:rFonts w:ascii="Garamond" w:hAnsi="Garamond"/>
        </w:rPr>
        <w:t xml:space="preserve"> [online]. The Telegraph, 7.8.2018 [cit. 8.2.2019]. </w:t>
      </w:r>
      <w:r w:rsidRPr="001B75E0">
        <w:rPr>
          <w:rFonts w:ascii="Garamond" w:hAnsi="Garamond"/>
          <w:lang w:val="cs-CZ"/>
        </w:rPr>
        <w:t xml:space="preserve">Dostupné na </w:t>
      </w:r>
      <w:r w:rsidRPr="001B75E0">
        <w:rPr>
          <w:rFonts w:ascii="Garamond" w:hAnsi="Garamond"/>
        </w:rPr>
        <w:t>&lt;</w:t>
      </w:r>
      <w:hyperlink r:id="rId5" w:history="1">
        <w:r w:rsidRPr="001B75E0">
          <w:rPr>
            <w:rStyle w:val="Hyperlink"/>
            <w:rFonts w:ascii="Garamond" w:hAnsi="Garamond"/>
          </w:rPr>
          <w:t>https://www.telegraph.co.uk/news/2018/08/07/belgium-authorised-euthanasia-terminally-nine-11-year-old-youngest/</w:t>
        </w:r>
      </w:hyperlink>
      <w:r w:rsidRPr="001B75E0">
        <w:rPr>
          <w:rFonts w:ascii="Garamond" w:hAnsi="Garamond"/>
        </w:rPr>
        <w:t>&gt;.</w:t>
      </w:r>
    </w:p>
  </w:footnote>
  <w:footnote w:id="41">
    <w:p w14:paraId="60646FB5" w14:textId="394F4E24" w:rsidR="007E0120" w:rsidRPr="001B75E0" w:rsidRDefault="007E0120" w:rsidP="00EF5702">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Commission </w:t>
      </w:r>
      <w:r w:rsidRPr="001B75E0">
        <w:rPr>
          <w:rFonts w:ascii="Garamond" w:hAnsi="Garamond"/>
        </w:rPr>
        <w:t xml:space="preserve">fédérale de Contrôle et d’Évaluation de l’Euthanasie. </w:t>
      </w:r>
      <w:r w:rsidRPr="001B75E0">
        <w:rPr>
          <w:rFonts w:ascii="Garamond" w:hAnsi="Garamond"/>
          <w:i/>
        </w:rPr>
        <w:t>Huitième rap-port aux Chambres législatives années 2016–2017</w:t>
      </w:r>
      <w:r w:rsidRPr="001B75E0">
        <w:rPr>
          <w:rFonts w:ascii="Garamond" w:hAnsi="Garamond"/>
        </w:rPr>
        <w:t xml:space="preserve"> [online]. CFCEE, 12.5.2018 [cit. 25.2.2019]. </w:t>
      </w:r>
      <w:r w:rsidRPr="001B75E0">
        <w:rPr>
          <w:rFonts w:ascii="Garamond" w:hAnsi="Garamond"/>
          <w:lang w:val="cs-CZ"/>
        </w:rPr>
        <w:t>Dostupné na</w:t>
      </w:r>
      <w:r w:rsidRPr="001B75E0">
        <w:rPr>
          <w:rFonts w:ascii="Garamond" w:hAnsi="Garamond"/>
        </w:rPr>
        <w:t xml:space="preserve"> &lt;</w:t>
      </w:r>
      <w:hyperlink r:id="rId6" w:history="1">
        <w:r w:rsidRPr="001B75E0">
          <w:rPr>
            <w:rStyle w:val="Hyperlink"/>
            <w:rFonts w:ascii="Garamond" w:hAnsi="Garamond"/>
          </w:rPr>
          <w:t>https://organesdeconcertation.sante.belgique.be/sites/default/files/documents/8_rapport-euthanasie_2016-2017-fr.pdf</w:t>
        </w:r>
      </w:hyperlink>
      <w:r w:rsidRPr="001B75E0">
        <w:rPr>
          <w:rFonts w:ascii="Garamond" w:hAnsi="Garamond"/>
        </w:rPr>
        <w:t>&gt;.</w:t>
      </w:r>
    </w:p>
  </w:footnote>
  <w:footnote w:id="42">
    <w:p w14:paraId="3611E4CF" w14:textId="5884F9F4" w:rsidR="007E0120" w:rsidRPr="00EF5702" w:rsidRDefault="007E0120" w:rsidP="00EF5702">
      <w:pPr>
        <w:pStyle w:val="FootnoteText"/>
        <w:jc w:val="both"/>
        <w:rPr>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 s. 2-3.</w:t>
      </w:r>
    </w:p>
  </w:footnote>
  <w:footnote w:id="43">
    <w:p w14:paraId="5779B705" w14:textId="66321099" w:rsidR="007E0120" w:rsidRPr="001B75E0" w:rsidRDefault="007E0120" w:rsidP="009C65B9">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rPr>
        <w:t>Loi du 22 aout 2002 relative aux droits du patient</w:t>
      </w:r>
    </w:p>
  </w:footnote>
  <w:footnote w:id="44">
    <w:p w14:paraId="642F0203" w14:textId="4B0CCAAC" w:rsidR="007E0120" w:rsidRPr="001B75E0" w:rsidRDefault="007E0120" w:rsidP="007757A1">
      <w:pPr>
        <w:pStyle w:val="FootnoteText"/>
        <w:jc w:val="both"/>
        <w:rPr>
          <w:rFonts w:ascii="Garamond" w:hAnsi="Garamond"/>
          <w:lang w:val="cs-CZ"/>
        </w:rPr>
      </w:pPr>
      <w:r w:rsidRPr="001B75E0">
        <w:rPr>
          <w:rStyle w:val="FootnoteReference"/>
          <w:rFonts w:ascii="Garamond" w:hAnsi="Garamond"/>
          <w:lang w:val="cs-CZ"/>
        </w:rPr>
        <w:footnoteRef/>
      </w:r>
      <w:r w:rsidRPr="001B75E0">
        <w:rPr>
          <w:rFonts w:ascii="Garamond" w:hAnsi="Garamond"/>
          <w:lang w:val="cs-CZ"/>
        </w:rPr>
        <w:t xml:space="preserve"> Rozhodnutí Ústavního soudu Belgie ze dne 29.11.2015, </w:t>
      </w:r>
      <w:r w:rsidRPr="001B75E0">
        <w:rPr>
          <w:rFonts w:ascii="Garamond" w:hAnsi="Garamond"/>
          <w:lang w:val="cs-CZ"/>
        </w:rPr>
        <w:t>sp. zn. 153/2015. Vycházeno z anglického znění [cit. 10.2.2019]. Dostupné na</w:t>
      </w:r>
      <w:r w:rsidRPr="001B75E0">
        <w:rPr>
          <w:rFonts w:ascii="Garamond" w:hAnsi="Garamond"/>
        </w:rPr>
        <w:t xml:space="preserve"> &lt;</w:t>
      </w:r>
      <w:hyperlink r:id="rId7" w:history="1">
        <w:r w:rsidRPr="001B75E0">
          <w:rPr>
            <w:rStyle w:val="Hyperlink"/>
            <w:rFonts w:ascii="Garamond" w:hAnsi="Garamond"/>
          </w:rPr>
          <w:t>http://www.const-court.be/public/e/2015/2015-153e.pdf</w:t>
        </w:r>
      </w:hyperlink>
      <w:r w:rsidRPr="001B75E0">
        <w:rPr>
          <w:rFonts w:ascii="Garamond" w:hAnsi="Garamond"/>
        </w:rPr>
        <w:t>&gt;. Bod</w:t>
      </w:r>
      <w:r w:rsidRPr="001B75E0">
        <w:rPr>
          <w:rFonts w:ascii="Garamond" w:hAnsi="Garamond"/>
          <w:lang w:val="cs-CZ"/>
        </w:rPr>
        <w:t xml:space="preserve"> B.36.4.</w:t>
      </w:r>
    </w:p>
  </w:footnote>
  <w:footnote w:id="45">
    <w:p w14:paraId="0DCBAB63" w14:textId="71CD7EC8" w:rsidR="007E0120" w:rsidRPr="001B75E0" w:rsidRDefault="007E0120" w:rsidP="004F4618">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 bod B.37.</w:t>
      </w:r>
    </w:p>
  </w:footnote>
  <w:footnote w:id="46">
    <w:p w14:paraId="110D51E3" w14:textId="2D98B2D2" w:rsidR="007E0120" w:rsidRPr="001B75E0" w:rsidRDefault="007E0120" w:rsidP="00511E14">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VAN ASSCHE, Kristof a </w:t>
      </w:r>
      <w:r w:rsidRPr="001B75E0">
        <w:rPr>
          <w:rFonts w:ascii="Garamond" w:hAnsi="Garamond"/>
          <w:lang w:val="cs-CZ"/>
        </w:rPr>
        <w:t>kol.</w:t>
      </w:r>
      <w:r w:rsidRPr="001B75E0">
        <w:rPr>
          <w:rFonts w:ascii="Garamond" w:hAnsi="Garamond"/>
        </w:rPr>
        <w:t xml:space="preserve"> „Capacity for </w:t>
      </w:r>
      <w:r w:rsidRPr="001B75E0">
        <w:rPr>
          <w:rFonts w:ascii="Garamond" w:hAnsi="Garamond"/>
        </w:rPr>
        <w:t xml:space="preserve">Discernment“ and Euthanasia on Minors in Belgium. </w:t>
      </w:r>
      <w:r w:rsidRPr="001B75E0">
        <w:rPr>
          <w:rFonts w:ascii="Garamond" w:hAnsi="Garamond"/>
          <w:i/>
        </w:rPr>
        <w:t>Medical Law Review</w:t>
      </w:r>
      <w:r>
        <w:rPr>
          <w:rFonts w:ascii="Garamond" w:hAnsi="Garamond"/>
        </w:rPr>
        <w:t>,</w:t>
      </w:r>
      <w:r w:rsidRPr="001B75E0">
        <w:rPr>
          <w:rFonts w:ascii="Garamond" w:hAnsi="Garamond"/>
        </w:rPr>
        <w:t xml:space="preserve"> 2018, s. 9.</w:t>
      </w:r>
    </w:p>
  </w:footnote>
  <w:footnote w:id="47">
    <w:p w14:paraId="144E1AB4" w14:textId="34BD2731" w:rsidR="007E0120" w:rsidRPr="001B75E0" w:rsidRDefault="007E0120" w:rsidP="00250BD6">
      <w:pPr>
        <w:pStyle w:val="FootnoteText"/>
        <w:jc w:val="both"/>
        <w:rPr>
          <w:rFonts w:ascii="Garamond" w:hAnsi="Garamond"/>
          <w:lang w:val="cs-CZ"/>
        </w:rPr>
      </w:pPr>
      <w:r w:rsidRPr="001B75E0">
        <w:rPr>
          <w:rStyle w:val="FootnoteReference"/>
          <w:rFonts w:ascii="Garamond" w:hAnsi="Garamond"/>
          <w:lang w:val="cs-CZ"/>
        </w:rPr>
        <w:footnoteRef/>
      </w:r>
      <w:r w:rsidRPr="001B75E0">
        <w:rPr>
          <w:rFonts w:ascii="Garamond" w:hAnsi="Garamond"/>
          <w:lang w:val="cs-CZ"/>
        </w:rPr>
        <w:t xml:space="preserve"> </w:t>
      </w:r>
      <w:r w:rsidRPr="001B75E0">
        <w:rPr>
          <w:rFonts w:ascii="Garamond" w:hAnsi="Garamond"/>
          <w:lang w:val="cs-CZ"/>
        </w:rPr>
        <w:t xml:space="preserve">Orde der Artsen, Nationale Raad. </w:t>
      </w:r>
      <w:r w:rsidRPr="001B75E0">
        <w:rPr>
          <w:rFonts w:ascii="Garamond" w:hAnsi="Garamond"/>
          <w:i/>
          <w:lang w:val="cs-CZ"/>
        </w:rPr>
        <w:t>Advies betreffende palliatieve zorg, euthanasie en an-dere medische beslissingen omtrent het levenseinde</w:t>
      </w:r>
      <w:r w:rsidRPr="001B75E0">
        <w:rPr>
          <w:rFonts w:ascii="Garamond" w:hAnsi="Garamond"/>
          <w:lang w:val="cs-CZ"/>
        </w:rPr>
        <w:t xml:space="preserve"> [online]. Orde der Artsen, 22.3.2003 [cit. 24.2.2019]. Dostupné na &lt;</w:t>
      </w:r>
      <w:hyperlink r:id="rId8" w:history="1">
        <w:r w:rsidRPr="001B75E0">
          <w:rPr>
            <w:rStyle w:val="Hyperlink"/>
            <w:rFonts w:ascii="Garamond" w:hAnsi="Garamond"/>
            <w:lang w:val="cs-CZ"/>
          </w:rPr>
          <w:t>https://www.ordomedic.be/nl/adviezen/advies/advies-betreffende-palliatieve-zorg-euthanasie-en-andere-medische-beslissingen-omtrent-het-levenseinde</w:t>
        </w:r>
      </w:hyperlink>
      <w:r w:rsidRPr="001B75E0">
        <w:rPr>
          <w:rFonts w:ascii="Garamond" w:hAnsi="Garamond"/>
          <w:lang w:val="cs-CZ"/>
        </w:rPr>
        <w:t>&gt;.</w:t>
      </w:r>
    </w:p>
  </w:footnote>
  <w:footnote w:id="48">
    <w:p w14:paraId="6DC316DF" w14:textId="4E75BFBF" w:rsidR="007E0120" w:rsidRPr="001B75E0" w:rsidRDefault="007E0120" w:rsidP="00250BD6">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Rozhodnutí Ústavního soudu Belgie ze dne 29.11.2015, </w:t>
      </w:r>
      <w:r w:rsidRPr="001B75E0">
        <w:rPr>
          <w:rFonts w:ascii="Garamond" w:hAnsi="Garamond"/>
          <w:lang w:val="cs-CZ"/>
        </w:rPr>
        <w:t xml:space="preserve">sp. zn. 153/2015. Vycházeno z anglického znění [cit. 10.2.2019]. Dostupné na </w:t>
      </w:r>
      <w:r w:rsidRPr="001B75E0">
        <w:rPr>
          <w:rFonts w:ascii="Garamond" w:hAnsi="Garamond"/>
        </w:rPr>
        <w:t>&lt;</w:t>
      </w:r>
      <w:hyperlink r:id="rId9" w:history="1">
        <w:r w:rsidRPr="001B75E0">
          <w:rPr>
            <w:rStyle w:val="Hyperlink"/>
            <w:rFonts w:ascii="Garamond" w:hAnsi="Garamond"/>
          </w:rPr>
          <w:t>http://www.const-court.be/public/e/2015/2015-153e.pdf</w:t>
        </w:r>
      </w:hyperlink>
      <w:r w:rsidRPr="001B75E0">
        <w:rPr>
          <w:rFonts w:ascii="Garamond" w:hAnsi="Garamond"/>
        </w:rPr>
        <w:t xml:space="preserve">&gt;. </w:t>
      </w:r>
      <w:r w:rsidRPr="001B75E0">
        <w:rPr>
          <w:rFonts w:ascii="Garamond" w:hAnsi="Garamond"/>
          <w:lang w:val="cs-CZ"/>
        </w:rPr>
        <w:t>Bod B.3.2.</w:t>
      </w:r>
    </w:p>
  </w:footnote>
  <w:footnote w:id="49">
    <w:p w14:paraId="7B4BCDDE" w14:textId="76B74CB6" w:rsidR="007E0120" w:rsidRPr="001B75E0" w:rsidRDefault="007E0120" w:rsidP="003A35F3">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WEITHORN, Lois A., CAMPBELL, Susan B. The Competency of Children and Adolescents to Make Informed Treatment Decisions. </w:t>
      </w:r>
      <w:r w:rsidRPr="001B75E0">
        <w:rPr>
          <w:rFonts w:ascii="Garamond" w:hAnsi="Garamond"/>
          <w:i/>
        </w:rPr>
        <w:t>Child development</w:t>
      </w:r>
      <w:r>
        <w:rPr>
          <w:rFonts w:ascii="Garamond" w:hAnsi="Garamond"/>
          <w:i/>
        </w:rPr>
        <w:t>,</w:t>
      </w:r>
      <w:r w:rsidRPr="001B75E0">
        <w:rPr>
          <w:rFonts w:ascii="Garamond" w:hAnsi="Garamond"/>
        </w:rPr>
        <w:t xml:space="preserve"> 1982, </w:t>
      </w:r>
      <w:r w:rsidRPr="001B75E0">
        <w:rPr>
          <w:rFonts w:ascii="Garamond" w:hAnsi="Garamond"/>
          <w:lang w:val="cs-CZ"/>
        </w:rPr>
        <w:t>roč.</w:t>
      </w:r>
      <w:r w:rsidRPr="001B75E0">
        <w:rPr>
          <w:rFonts w:ascii="Garamond" w:hAnsi="Garamond"/>
        </w:rPr>
        <w:t xml:space="preserve"> 53, č. 6, s. 1595.</w:t>
      </w:r>
    </w:p>
  </w:footnote>
  <w:footnote w:id="50">
    <w:p w14:paraId="61E0FE2F" w14:textId="54DD175E" w:rsidR="007E0120" w:rsidRPr="006056D9" w:rsidRDefault="007E0120" w:rsidP="006056D9">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GROOTENS-WIEGERS, Petronella a </w:t>
      </w:r>
      <w:r w:rsidRPr="001B75E0">
        <w:rPr>
          <w:rFonts w:ascii="Garamond" w:hAnsi="Garamond"/>
          <w:lang w:val="cs-CZ"/>
        </w:rPr>
        <w:t>kol.</w:t>
      </w:r>
      <w:r w:rsidRPr="001B75E0">
        <w:rPr>
          <w:rFonts w:ascii="Garamond" w:hAnsi="Garamond"/>
        </w:rPr>
        <w:t xml:space="preserve"> Medical decision-making in children and adolescents: developmental and neuroscientific aspects. </w:t>
      </w:r>
      <w:r w:rsidRPr="001B75E0">
        <w:rPr>
          <w:rFonts w:ascii="Garamond" w:hAnsi="Garamond"/>
          <w:i/>
        </w:rPr>
        <w:t xml:space="preserve">BMC </w:t>
      </w:r>
      <w:r w:rsidRPr="001B75E0">
        <w:rPr>
          <w:rFonts w:ascii="Garamond" w:hAnsi="Garamond"/>
          <w:i/>
        </w:rPr>
        <w:t>Pediatrics</w:t>
      </w:r>
      <w:r>
        <w:rPr>
          <w:rFonts w:ascii="Garamond" w:hAnsi="Garamond"/>
        </w:rPr>
        <w:t>,</w:t>
      </w:r>
      <w:r w:rsidRPr="001B75E0">
        <w:rPr>
          <w:rFonts w:ascii="Garamond" w:hAnsi="Garamond"/>
        </w:rPr>
        <w:t xml:space="preserve"> 2017, </w:t>
      </w:r>
      <w:r w:rsidRPr="001B75E0">
        <w:rPr>
          <w:rFonts w:ascii="Garamond" w:hAnsi="Garamond"/>
          <w:lang w:val="cs-CZ"/>
        </w:rPr>
        <w:t>roč.</w:t>
      </w:r>
      <w:r w:rsidRPr="001B75E0">
        <w:rPr>
          <w:rFonts w:ascii="Garamond" w:hAnsi="Garamond"/>
        </w:rPr>
        <w:t xml:space="preserve"> 17, č. 120, s. 8.</w:t>
      </w:r>
    </w:p>
  </w:footnote>
  <w:footnote w:id="51">
    <w:p w14:paraId="06275261" w14:textId="11648CC7"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Záznam</w:t>
      </w:r>
      <w:r w:rsidRPr="001B75E0">
        <w:rPr>
          <w:rFonts w:ascii="Garamond" w:hAnsi="Garamond"/>
        </w:rPr>
        <w:t xml:space="preserve"> </w:t>
      </w:r>
      <w:r w:rsidRPr="001B75E0">
        <w:rPr>
          <w:rFonts w:ascii="Garamond" w:hAnsi="Garamond"/>
        </w:rPr>
        <w:t xml:space="preserve">Khattabi a Van Hoof. </w:t>
      </w:r>
      <w:r w:rsidRPr="001B75E0">
        <w:rPr>
          <w:rFonts w:ascii="Garamond" w:hAnsi="Garamond"/>
          <w:i/>
          <w:lang w:val="cs-CZ"/>
        </w:rPr>
        <w:t>Parlamentní řízení (Senát)</w:t>
      </w:r>
      <w:r w:rsidRPr="001B75E0">
        <w:rPr>
          <w:rFonts w:ascii="Garamond" w:hAnsi="Garamond"/>
          <w:i/>
        </w:rPr>
        <w:t xml:space="preserve"> 5-2170/4</w:t>
      </w:r>
      <w:r w:rsidRPr="001B75E0">
        <w:rPr>
          <w:rFonts w:ascii="Garamond" w:hAnsi="Garamond"/>
        </w:rPr>
        <w:t xml:space="preserve"> [online]. De Belgische Senaat, 4.12.2013 [cit. 10.2.2019]. </w:t>
      </w:r>
      <w:r w:rsidRPr="001B75E0">
        <w:rPr>
          <w:rFonts w:ascii="Garamond" w:hAnsi="Garamond"/>
          <w:lang w:val="cs-CZ"/>
        </w:rPr>
        <w:t>Dostupné na</w:t>
      </w:r>
      <w:r w:rsidRPr="001B75E0">
        <w:rPr>
          <w:rFonts w:ascii="Garamond" w:hAnsi="Garamond"/>
        </w:rPr>
        <w:t xml:space="preserve"> &lt;</w:t>
      </w:r>
      <w:hyperlink r:id="rId10" w:history="1">
        <w:r w:rsidRPr="001B75E0">
          <w:rPr>
            <w:rStyle w:val="Hyperlink"/>
            <w:rFonts w:ascii="Garamond" w:hAnsi="Garamond"/>
          </w:rPr>
          <w:t>https://www.senate.be/www/webdriver?MItabObj=pdf&amp;MIcolObj=pdf&amp;MInamObj=pdfid&amp;MItypeObj=application/pdf&amp;MIvalObj=83890649</w:t>
        </w:r>
      </w:hyperlink>
      <w:r w:rsidRPr="001B75E0">
        <w:rPr>
          <w:rFonts w:ascii="Garamond" w:hAnsi="Garamond"/>
        </w:rPr>
        <w:t>&gt;.</w:t>
      </w:r>
    </w:p>
  </w:footnote>
  <w:footnote w:id="52">
    <w:p w14:paraId="725C6069" w14:textId="6D5E16DB"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Rozhodnutí Ústavního soudu Belgie ze dne 29.11.2015, </w:t>
      </w:r>
      <w:r w:rsidRPr="001B75E0">
        <w:rPr>
          <w:rFonts w:ascii="Garamond" w:hAnsi="Garamond"/>
          <w:lang w:val="cs-CZ"/>
        </w:rPr>
        <w:t xml:space="preserve">sp. zn. 153/2015. Vycházeno z anglického znění [cit. 10.2.2019]. Dostupné na </w:t>
      </w:r>
      <w:r w:rsidRPr="001B75E0">
        <w:rPr>
          <w:rFonts w:ascii="Garamond" w:hAnsi="Garamond"/>
        </w:rPr>
        <w:t>&lt;</w:t>
      </w:r>
      <w:hyperlink r:id="rId11" w:history="1">
        <w:r w:rsidRPr="001B75E0">
          <w:rPr>
            <w:rStyle w:val="Hyperlink"/>
            <w:rFonts w:ascii="Garamond" w:hAnsi="Garamond"/>
          </w:rPr>
          <w:t>http://www.const-court.be/public/e/2015/2015-153e.pdf</w:t>
        </w:r>
      </w:hyperlink>
      <w:r w:rsidRPr="001B75E0">
        <w:rPr>
          <w:rFonts w:ascii="Garamond" w:hAnsi="Garamond"/>
        </w:rPr>
        <w:t xml:space="preserve">&gt;. </w:t>
      </w:r>
      <w:r w:rsidRPr="001B75E0">
        <w:rPr>
          <w:rFonts w:ascii="Garamond" w:hAnsi="Garamond"/>
          <w:lang w:val="cs-CZ"/>
        </w:rPr>
        <w:t>Bod B.36.3.</w:t>
      </w:r>
    </w:p>
  </w:footnote>
  <w:footnote w:id="53">
    <w:p w14:paraId="201F6877" w14:textId="0C489D1C"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VAN ASSCHE, Kristof a </w:t>
      </w:r>
      <w:r w:rsidRPr="001B75E0">
        <w:rPr>
          <w:rFonts w:ascii="Garamond" w:hAnsi="Garamond"/>
          <w:lang w:val="cs-CZ"/>
        </w:rPr>
        <w:t>kol.</w:t>
      </w:r>
      <w:r w:rsidRPr="001B75E0">
        <w:rPr>
          <w:rFonts w:ascii="Garamond" w:hAnsi="Garamond"/>
        </w:rPr>
        <w:t xml:space="preserve"> „Capacity for </w:t>
      </w:r>
      <w:r w:rsidRPr="001B75E0">
        <w:rPr>
          <w:rFonts w:ascii="Garamond" w:hAnsi="Garamond"/>
        </w:rPr>
        <w:t xml:space="preserve">Discernment“ and Euthanasia on Minors in Belgium. </w:t>
      </w:r>
      <w:r w:rsidRPr="001B75E0">
        <w:rPr>
          <w:rFonts w:ascii="Garamond" w:hAnsi="Garamond"/>
          <w:i/>
        </w:rPr>
        <w:t>Medical Law Review</w:t>
      </w:r>
      <w:r>
        <w:rPr>
          <w:rFonts w:ascii="Garamond" w:hAnsi="Garamond"/>
        </w:rPr>
        <w:t>,</w:t>
      </w:r>
      <w:r w:rsidRPr="001B75E0">
        <w:rPr>
          <w:rFonts w:ascii="Garamond" w:hAnsi="Garamond"/>
        </w:rPr>
        <w:t xml:space="preserve"> 2018, s. 19.</w:t>
      </w:r>
    </w:p>
  </w:footnote>
  <w:footnote w:id="54">
    <w:p w14:paraId="1474A2A6" w14:textId="08BCAB34"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w:t>
      </w:r>
    </w:p>
  </w:footnote>
  <w:footnote w:id="55">
    <w:p w14:paraId="1A0CF21A" w14:textId="7C977580"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RAUS, </w:t>
      </w:r>
      <w:r w:rsidRPr="001B75E0">
        <w:rPr>
          <w:rFonts w:ascii="Garamond" w:hAnsi="Garamond"/>
        </w:rPr>
        <w:t xml:space="preserve">Kasper. The extension of Belgium’s Euthanasia Law to Include Competent Minors. </w:t>
      </w:r>
      <w:r w:rsidRPr="001B75E0">
        <w:rPr>
          <w:rFonts w:ascii="Garamond" w:hAnsi="Garamond"/>
          <w:i/>
        </w:rPr>
        <w:t>Journal of Bioethical Inquiry</w:t>
      </w:r>
      <w:r>
        <w:rPr>
          <w:rFonts w:ascii="Garamond" w:hAnsi="Garamond"/>
        </w:rPr>
        <w:t>,</w:t>
      </w:r>
      <w:r w:rsidRPr="001B75E0">
        <w:rPr>
          <w:rFonts w:ascii="Garamond" w:hAnsi="Garamond"/>
          <w:lang w:val="cs-CZ"/>
        </w:rPr>
        <w:t xml:space="preserve"> 2016, roč. 13, č. 2, s. 310.</w:t>
      </w:r>
    </w:p>
  </w:footnote>
  <w:footnote w:id="56">
    <w:p w14:paraId="4E8FF4EF" w14:textId="47E5994B"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Tamtéž.</w:t>
      </w:r>
    </w:p>
  </w:footnote>
  <w:footnote w:id="57">
    <w:p w14:paraId="30C9F7D1" w14:textId="2CCFF484"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BOVENS, Luc. Child euthanasia: should we just not talk about it? </w:t>
      </w:r>
      <w:r w:rsidRPr="001B75E0">
        <w:rPr>
          <w:rFonts w:ascii="Garamond" w:hAnsi="Garamond"/>
          <w:i/>
        </w:rPr>
        <w:t>Journal of Medical Ethics</w:t>
      </w:r>
      <w:r>
        <w:rPr>
          <w:rFonts w:ascii="Garamond" w:hAnsi="Garamond"/>
        </w:rPr>
        <w:t>,</w:t>
      </w:r>
      <w:r w:rsidRPr="001B75E0">
        <w:rPr>
          <w:rFonts w:ascii="Garamond" w:hAnsi="Garamond"/>
        </w:rPr>
        <w:t xml:space="preserve"> 2015</w:t>
      </w:r>
      <w:r w:rsidRPr="001B75E0">
        <w:rPr>
          <w:rFonts w:ascii="Garamond" w:hAnsi="Garamond"/>
          <w:lang w:val="cs-CZ"/>
        </w:rPr>
        <w:t>, roč.</w:t>
      </w:r>
      <w:r w:rsidRPr="001B75E0">
        <w:rPr>
          <w:rFonts w:ascii="Garamond" w:hAnsi="Garamond"/>
        </w:rPr>
        <w:t xml:space="preserve"> 41, č. 8, s. 631.</w:t>
      </w:r>
    </w:p>
  </w:footnote>
  <w:footnote w:id="58">
    <w:p w14:paraId="0B3A800C" w14:textId="7CABE35D"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SMIES, Jonathan T. </w:t>
      </w:r>
      <w:r w:rsidRPr="001B75E0">
        <w:rPr>
          <w:rFonts w:ascii="Garamond" w:hAnsi="Garamond"/>
          <w:i/>
        </w:rPr>
        <w:t xml:space="preserve">The Legalization of Euthanasia in the Netherlands </w:t>
      </w:r>
      <w:r w:rsidRPr="001B75E0">
        <w:rPr>
          <w:rFonts w:ascii="Garamond" w:hAnsi="Garamond"/>
        </w:rPr>
        <w:t xml:space="preserve">[online]. Gonzaga Journal of International Law. 2003-2004 [cit. 11.2.2019]. </w:t>
      </w:r>
      <w:r w:rsidRPr="001B75E0">
        <w:rPr>
          <w:rFonts w:ascii="Garamond" w:hAnsi="Garamond"/>
          <w:lang w:val="cs-CZ"/>
        </w:rPr>
        <w:t>Dostupné na</w:t>
      </w:r>
      <w:r w:rsidRPr="001B75E0">
        <w:rPr>
          <w:rFonts w:ascii="Garamond" w:hAnsi="Garamond"/>
        </w:rPr>
        <w:t xml:space="preserve"> &lt;</w:t>
      </w:r>
      <w:hyperlink r:id="rId12" w:history="1">
        <w:r w:rsidRPr="001B75E0">
          <w:rPr>
            <w:rStyle w:val="Hyperlink"/>
            <w:rFonts w:ascii="Garamond" w:hAnsi="Garamond"/>
          </w:rPr>
          <w:t xml:space="preserve">https://www.law.gonzaga.edu/gjil/2006/03/the-legalization-of-euthanasia-in-the- </w:t>
        </w:r>
        <w:r w:rsidRPr="001B75E0">
          <w:rPr>
            <w:rStyle w:val="Hyperlink"/>
            <w:rFonts w:ascii="Garamond" w:hAnsi="Garamond"/>
          </w:rPr>
          <w:t>netherlands/</w:t>
        </w:r>
      </w:hyperlink>
      <w:r w:rsidRPr="001B75E0">
        <w:rPr>
          <w:rFonts w:ascii="Garamond" w:hAnsi="Garamond"/>
        </w:rPr>
        <w:t>&gt; .</w:t>
      </w:r>
    </w:p>
  </w:footnote>
  <w:footnote w:id="59">
    <w:p w14:paraId="78F85BA6" w14:textId="55BF580C" w:rsidR="007E0120" w:rsidRPr="00C93141"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 293, 294 </w:t>
      </w:r>
      <w:r w:rsidRPr="001B75E0">
        <w:rPr>
          <w:rFonts w:ascii="Garamond" w:hAnsi="Garamond"/>
          <w:lang w:val="cs-CZ"/>
        </w:rPr>
        <w:t xml:space="preserve">Wetboek van Strafrecht z r. 1881. </w:t>
      </w:r>
      <w:r w:rsidRPr="001B75E0">
        <w:rPr>
          <w:rFonts w:ascii="Garamond" w:hAnsi="Garamond"/>
          <w:b/>
          <w:lang w:val="cs-CZ"/>
        </w:rPr>
        <w:t>Pozn</w:t>
      </w:r>
      <w:r w:rsidRPr="001B75E0">
        <w:rPr>
          <w:rFonts w:ascii="Garamond" w:hAnsi="Garamond"/>
          <w:lang w:val="cs-CZ"/>
        </w:rPr>
        <w:t>. Společně s přijetím zákona o eutanazii v roce 2002 došlo i k novelizaci daných ustanovení.</w:t>
      </w:r>
    </w:p>
  </w:footnote>
  <w:footnote w:id="60">
    <w:p w14:paraId="53DAC9AA" w14:textId="6C026EA0" w:rsidR="007E0120" w:rsidRPr="001B75E0" w:rsidRDefault="007E0120" w:rsidP="001B75E0">
      <w:pPr>
        <w:jc w:val="both"/>
        <w:rPr>
          <w:rFonts w:ascii="Garamond" w:hAnsi="Garamond"/>
          <w:sz w:val="20"/>
        </w:rPr>
      </w:pPr>
      <w:r w:rsidRPr="001B75E0">
        <w:rPr>
          <w:rStyle w:val="FootnoteReference"/>
          <w:rFonts w:ascii="Garamond" w:hAnsi="Garamond"/>
          <w:sz w:val="20"/>
        </w:rPr>
        <w:footnoteRef/>
      </w:r>
      <w:r w:rsidRPr="001B75E0">
        <w:rPr>
          <w:rFonts w:ascii="Garamond" w:hAnsi="Garamond"/>
          <w:sz w:val="20"/>
          <w:lang w:val="cs-CZ"/>
        </w:rPr>
        <w:t xml:space="preserve"> GRIFFITHS, John, BOOD, Alex, WEY</w:t>
      </w:r>
      <w:r w:rsidRPr="001B75E0">
        <w:rPr>
          <w:rFonts w:ascii="Garamond" w:hAnsi="Garamond"/>
          <w:sz w:val="20"/>
        </w:rPr>
        <w:t xml:space="preserve">ERS, </w:t>
      </w:r>
      <w:r w:rsidRPr="001B75E0">
        <w:rPr>
          <w:rFonts w:ascii="Garamond" w:hAnsi="Garamond"/>
          <w:sz w:val="20"/>
        </w:rPr>
        <w:t xml:space="preserve">Heleen. </w:t>
      </w:r>
      <w:r w:rsidRPr="001B75E0">
        <w:rPr>
          <w:rFonts w:ascii="Garamond" w:hAnsi="Garamond"/>
          <w:i/>
          <w:sz w:val="20"/>
        </w:rPr>
        <w:t>Euthanasia and law in the Netherlands</w:t>
      </w:r>
      <w:r w:rsidRPr="001B75E0">
        <w:rPr>
          <w:rFonts w:ascii="Garamond" w:hAnsi="Garamond"/>
          <w:sz w:val="20"/>
        </w:rPr>
        <w:t>. Amsterdam: Amsterdam University Press, 1998, s. 18-19.</w:t>
      </w:r>
    </w:p>
  </w:footnote>
  <w:footnote w:id="61">
    <w:p w14:paraId="1813A78A" w14:textId="2E07CF63" w:rsidR="007E0120" w:rsidRPr="001B75E0" w:rsidRDefault="007E0120" w:rsidP="001B75E0">
      <w:pPr>
        <w:pStyle w:val="FootnoteText"/>
        <w:jc w:val="both"/>
        <w:rPr>
          <w:rFonts w:ascii="Garamond" w:hAnsi="Garamond"/>
          <w:lang w:val="cs-CZ"/>
        </w:rPr>
      </w:pPr>
      <w:r w:rsidRPr="001B75E0">
        <w:rPr>
          <w:rStyle w:val="FootnoteReference"/>
          <w:rFonts w:ascii="Garamond" w:hAnsi="Garamond"/>
          <w:lang w:val="cs-CZ"/>
        </w:rPr>
        <w:footnoteRef/>
      </w:r>
      <w:r w:rsidRPr="001B75E0">
        <w:rPr>
          <w:rFonts w:ascii="Garamond" w:hAnsi="Garamond"/>
          <w:lang w:val="cs-CZ"/>
        </w:rPr>
        <w:t xml:space="preserve"> Tamtéž, s. 19.</w:t>
      </w:r>
    </w:p>
  </w:footnote>
  <w:footnote w:id="62">
    <w:p w14:paraId="3B5F7812" w14:textId="6B8B019D" w:rsidR="007E0120" w:rsidRPr="001B75E0" w:rsidRDefault="007E0120" w:rsidP="001B75E0">
      <w:pPr>
        <w:pStyle w:val="FootnoteText"/>
        <w:jc w:val="both"/>
        <w:rPr>
          <w:rFonts w:ascii="Garamond" w:hAnsi="Garamond"/>
        </w:rPr>
      </w:pPr>
      <w:r w:rsidRPr="001B75E0">
        <w:rPr>
          <w:rStyle w:val="FootnoteReference"/>
          <w:rFonts w:ascii="Garamond" w:hAnsi="Garamond"/>
        </w:rPr>
        <w:footnoteRef/>
      </w:r>
      <w:r w:rsidRPr="001B75E0">
        <w:rPr>
          <w:rFonts w:ascii="Garamond" w:hAnsi="Garamond"/>
        </w:rPr>
        <w:t xml:space="preserve"> Wet </w:t>
      </w:r>
      <w:r w:rsidRPr="001B75E0">
        <w:rPr>
          <w:rFonts w:ascii="Garamond" w:hAnsi="Garamond"/>
        </w:rPr>
        <w:t>toetsing levensbeëindiging op verzoek en hulp bij zelfdoding</w:t>
      </w:r>
    </w:p>
  </w:footnote>
  <w:footnote w:id="63">
    <w:p w14:paraId="7F2B9326" w14:textId="315F7853"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BERGHMANS, Ron L., WIDDERSHOVEN, Guy A.M. Euthanasia in the Netherlands: Consultation and Review. </w:t>
      </w:r>
      <w:r w:rsidRPr="001B75E0">
        <w:rPr>
          <w:rFonts w:ascii="Garamond" w:hAnsi="Garamond"/>
          <w:i/>
        </w:rPr>
        <w:t>King’s Law Journal</w:t>
      </w:r>
      <w:r>
        <w:rPr>
          <w:rFonts w:ascii="Garamond" w:hAnsi="Garamond"/>
        </w:rPr>
        <w:t>,</w:t>
      </w:r>
      <w:r w:rsidRPr="001B75E0">
        <w:rPr>
          <w:rFonts w:ascii="Garamond" w:hAnsi="Garamond"/>
        </w:rPr>
        <w:t xml:space="preserve"> 2012, </w:t>
      </w:r>
      <w:r w:rsidRPr="001B75E0">
        <w:rPr>
          <w:rFonts w:ascii="Garamond" w:hAnsi="Garamond"/>
          <w:lang w:val="cs-CZ"/>
        </w:rPr>
        <w:t>roč.</w:t>
      </w:r>
      <w:r w:rsidRPr="001B75E0">
        <w:rPr>
          <w:rFonts w:ascii="Garamond" w:hAnsi="Garamond"/>
        </w:rPr>
        <w:t xml:space="preserve"> 23, č. 2, s. 111. </w:t>
      </w:r>
      <w:r w:rsidRPr="001B75E0">
        <w:rPr>
          <w:rFonts w:ascii="Garamond" w:hAnsi="Garamond"/>
          <w:b/>
          <w:lang w:val="cs-CZ"/>
        </w:rPr>
        <w:t xml:space="preserve">Pozn. </w:t>
      </w:r>
      <w:r w:rsidRPr="001B75E0">
        <w:rPr>
          <w:rFonts w:ascii="Garamond" w:hAnsi="Garamond"/>
          <w:lang w:val="cs-CZ"/>
        </w:rPr>
        <w:t xml:space="preserve">V angličtině termín </w:t>
      </w:r>
      <w:r w:rsidRPr="001B75E0">
        <w:rPr>
          <w:rFonts w:ascii="Garamond" w:hAnsi="Garamond"/>
          <w:i/>
        </w:rPr>
        <w:t>due care</w:t>
      </w:r>
      <w:r w:rsidRPr="001B75E0">
        <w:rPr>
          <w:rFonts w:ascii="Garamond" w:hAnsi="Garamond"/>
          <w:lang w:val="cs-CZ"/>
        </w:rPr>
        <w:t>.</w:t>
      </w:r>
    </w:p>
  </w:footnote>
  <w:footnote w:id="64">
    <w:p w14:paraId="686D0991" w14:textId="3335CC37"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Článek 2 odst. 1</w:t>
      </w:r>
      <w:r w:rsidRPr="001B75E0">
        <w:rPr>
          <w:rFonts w:ascii="Garamond" w:hAnsi="Garamond"/>
        </w:rPr>
        <w:t xml:space="preserve"> Wet </w:t>
      </w:r>
      <w:r w:rsidRPr="001B75E0">
        <w:rPr>
          <w:rFonts w:ascii="Garamond" w:hAnsi="Garamond"/>
        </w:rPr>
        <w:t>toetsing levensbeëindiging op verzoek en hulp bij zelfdoding</w:t>
      </w:r>
    </w:p>
  </w:footnote>
  <w:footnote w:id="65">
    <w:p w14:paraId="29BF7A88" w14:textId="2282500D" w:rsidR="007E0120" w:rsidRPr="001B75E0" w:rsidRDefault="007E0120" w:rsidP="001B75E0">
      <w:pPr>
        <w:pStyle w:val="FootnoteText"/>
        <w:jc w:val="both"/>
        <w:rPr>
          <w:rFonts w:ascii="Garamond" w:hAnsi="Garamond"/>
          <w:i/>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b/>
          <w:lang w:val="cs-CZ"/>
        </w:rPr>
        <w:t>Pozn</w:t>
      </w:r>
      <w:r w:rsidRPr="001B75E0">
        <w:rPr>
          <w:rFonts w:ascii="Garamond" w:hAnsi="Garamond"/>
          <w:lang w:val="cs-CZ"/>
        </w:rPr>
        <w:t xml:space="preserve">. V angličtině termín </w:t>
      </w:r>
      <w:r w:rsidRPr="001B75E0">
        <w:rPr>
          <w:rFonts w:ascii="Garamond" w:hAnsi="Garamond"/>
          <w:i/>
        </w:rPr>
        <w:t>capable of making a reasonable appraisal</w:t>
      </w:r>
      <w:r w:rsidRPr="001B75E0">
        <w:rPr>
          <w:rFonts w:ascii="Garamond" w:hAnsi="Garamond"/>
          <w:i/>
          <w:lang w:val="cs-CZ"/>
        </w:rPr>
        <w:t>.</w:t>
      </w:r>
    </w:p>
  </w:footnote>
  <w:footnote w:id="66">
    <w:p w14:paraId="31CC897B" w14:textId="62A1D4B4" w:rsidR="007E0120" w:rsidRPr="001B75E0" w:rsidRDefault="007E0120" w:rsidP="001B75E0">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Článek 2 odst. 3</w:t>
      </w:r>
      <w:r w:rsidRPr="001B75E0">
        <w:rPr>
          <w:rFonts w:ascii="Garamond" w:hAnsi="Garamond"/>
        </w:rPr>
        <w:t xml:space="preserve"> Wet </w:t>
      </w:r>
      <w:r w:rsidRPr="001B75E0">
        <w:rPr>
          <w:rFonts w:ascii="Garamond" w:hAnsi="Garamond"/>
        </w:rPr>
        <w:t>toetsing levensbeëindiging op verzoek en hulp bij zelfdoding</w:t>
      </w:r>
    </w:p>
  </w:footnote>
  <w:footnote w:id="67">
    <w:p w14:paraId="5FA3F388" w14:textId="7C441822" w:rsidR="007E0120" w:rsidRPr="001B75E0" w:rsidRDefault="007E0120" w:rsidP="001B75E0">
      <w:pPr>
        <w:pStyle w:val="FootnoteText"/>
        <w:jc w:val="both"/>
        <w:rPr>
          <w:rFonts w:ascii="Garamond" w:hAnsi="Garamond"/>
          <w:lang w:val="cs-CZ"/>
        </w:rPr>
      </w:pPr>
      <w:r w:rsidRPr="001B75E0">
        <w:rPr>
          <w:rStyle w:val="FootnoteReference"/>
          <w:rFonts w:ascii="Garamond" w:hAnsi="Garamond"/>
          <w:lang w:val="cs-CZ"/>
        </w:rPr>
        <w:footnoteRef/>
      </w:r>
      <w:r w:rsidRPr="001B75E0">
        <w:rPr>
          <w:rFonts w:ascii="Garamond" w:hAnsi="Garamond"/>
          <w:lang w:val="cs-CZ"/>
        </w:rPr>
        <w:t xml:space="preserve"> Článek 2 odst. 2</w:t>
      </w:r>
      <w:r w:rsidRPr="001B75E0">
        <w:rPr>
          <w:rFonts w:ascii="Garamond" w:hAnsi="Garamond"/>
        </w:rPr>
        <w:t xml:space="preserve"> Wet </w:t>
      </w:r>
      <w:r w:rsidRPr="001B75E0">
        <w:rPr>
          <w:rFonts w:ascii="Garamond" w:hAnsi="Garamond"/>
        </w:rPr>
        <w:t>toetsing levensbeëindiging op verzoek en hulp bij zelfdoding</w:t>
      </w:r>
    </w:p>
  </w:footnote>
  <w:footnote w:id="68">
    <w:p w14:paraId="203D4DBF" w14:textId="3E2B921B" w:rsidR="007E0120" w:rsidRPr="00A41566" w:rsidRDefault="007E0120" w:rsidP="001B75E0">
      <w:pPr>
        <w:pStyle w:val="FootnoteText"/>
        <w:jc w:val="both"/>
        <w:rPr>
          <w:lang w:val="cs-CZ"/>
        </w:rPr>
      </w:pPr>
      <w:r w:rsidRPr="001B75E0">
        <w:rPr>
          <w:rStyle w:val="FootnoteReference"/>
          <w:rFonts w:ascii="Garamond" w:hAnsi="Garamond"/>
        </w:rPr>
        <w:footnoteRef/>
      </w:r>
      <w:r w:rsidRPr="001B75E0">
        <w:rPr>
          <w:rFonts w:ascii="Garamond" w:hAnsi="Garamond"/>
        </w:rPr>
        <w:t xml:space="preserve"> SMIES, Jonathan T. </w:t>
      </w:r>
      <w:r w:rsidRPr="001B75E0">
        <w:rPr>
          <w:rFonts w:ascii="Garamond" w:hAnsi="Garamond"/>
          <w:i/>
        </w:rPr>
        <w:t xml:space="preserve">The Legalization of Euthanasia in the Netherlands </w:t>
      </w:r>
      <w:r w:rsidRPr="001B75E0">
        <w:rPr>
          <w:rFonts w:ascii="Garamond" w:hAnsi="Garamond"/>
        </w:rPr>
        <w:t xml:space="preserve">[online]. Gonzaga Journal of International Law. 2003-2004 [cit. 11.2.2019]. </w:t>
      </w:r>
      <w:r w:rsidRPr="001B75E0">
        <w:rPr>
          <w:rFonts w:ascii="Garamond" w:hAnsi="Garamond"/>
          <w:lang w:val="cs-CZ"/>
        </w:rPr>
        <w:t>Dostupné na</w:t>
      </w:r>
      <w:r w:rsidRPr="001B75E0">
        <w:rPr>
          <w:rFonts w:ascii="Garamond" w:hAnsi="Garamond"/>
        </w:rPr>
        <w:t xml:space="preserve"> &lt;</w:t>
      </w:r>
      <w:hyperlink r:id="rId13" w:history="1">
        <w:r w:rsidRPr="001B75E0">
          <w:rPr>
            <w:rStyle w:val="Hyperlink"/>
            <w:rFonts w:ascii="Garamond" w:hAnsi="Garamond"/>
          </w:rPr>
          <w:t xml:space="preserve">https://www.law.gonzaga.edu/gjil/2006/03/the-legalization-of-euthanasia-in-the- </w:t>
        </w:r>
        <w:r w:rsidRPr="001B75E0">
          <w:rPr>
            <w:rStyle w:val="Hyperlink"/>
            <w:rFonts w:ascii="Garamond" w:hAnsi="Garamond"/>
          </w:rPr>
          <w:t>netherlands/</w:t>
        </w:r>
      </w:hyperlink>
      <w:r w:rsidRPr="001B75E0">
        <w:rPr>
          <w:rFonts w:ascii="Garamond" w:hAnsi="Garamond"/>
        </w:rPr>
        <w:t>&gt;.</w:t>
      </w:r>
    </w:p>
  </w:footnote>
  <w:footnote w:id="69">
    <w:p w14:paraId="6AE9A22E" w14:textId="5C65CC82" w:rsidR="007E0120" w:rsidRPr="001B75E0" w:rsidRDefault="007E0120" w:rsidP="00A41566">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Článek 2 odst. 4</w:t>
      </w:r>
      <w:r w:rsidRPr="001B75E0">
        <w:rPr>
          <w:rFonts w:ascii="Garamond" w:hAnsi="Garamond"/>
        </w:rPr>
        <w:t xml:space="preserve"> Wet </w:t>
      </w:r>
      <w:r w:rsidRPr="001B75E0">
        <w:rPr>
          <w:rFonts w:ascii="Garamond" w:hAnsi="Garamond"/>
        </w:rPr>
        <w:t>toetsing levensbeëindiging op verzoek en hulp bij zelfdoding</w:t>
      </w:r>
    </w:p>
  </w:footnote>
  <w:footnote w:id="70">
    <w:p w14:paraId="5F57E392" w14:textId="2C31711D" w:rsidR="007E0120" w:rsidRPr="001B75E0" w:rsidRDefault="007E0120" w:rsidP="00D2055D">
      <w:pPr>
        <w:pStyle w:val="FootnoteText"/>
        <w:jc w:val="both"/>
        <w:rPr>
          <w:rFonts w:ascii="Garamond" w:hAnsi="Garamond"/>
          <w:lang w:val="cs-CZ"/>
        </w:rPr>
      </w:pPr>
      <w:r w:rsidRPr="001B75E0">
        <w:rPr>
          <w:rStyle w:val="FootnoteReference"/>
          <w:rFonts w:ascii="Garamond" w:hAnsi="Garamond"/>
          <w:lang w:val="cs-CZ"/>
        </w:rPr>
        <w:footnoteRef/>
      </w:r>
      <w:r w:rsidRPr="001B75E0">
        <w:rPr>
          <w:rFonts w:ascii="Garamond" w:hAnsi="Garamond"/>
          <w:lang w:val="cs-CZ"/>
        </w:rPr>
        <w:t xml:space="preserve"> Článek 3 odst. 1</w:t>
      </w:r>
      <w:r w:rsidRPr="001B75E0">
        <w:rPr>
          <w:rFonts w:ascii="Garamond" w:hAnsi="Garamond"/>
        </w:rPr>
        <w:t xml:space="preserve"> a 2 Wet </w:t>
      </w:r>
      <w:r w:rsidRPr="001B75E0">
        <w:rPr>
          <w:rFonts w:ascii="Garamond" w:hAnsi="Garamond"/>
        </w:rPr>
        <w:t>toetsing levensbeëindiging op verzoek en hulp bij zelfdoding</w:t>
      </w:r>
    </w:p>
  </w:footnote>
  <w:footnote w:id="71">
    <w:p w14:paraId="05C1D0E3" w14:textId="7DC91147" w:rsidR="007E0120" w:rsidRPr="001B75E0" w:rsidRDefault="007E0120" w:rsidP="00D2055D">
      <w:pPr>
        <w:pStyle w:val="FootnoteText"/>
        <w:jc w:val="both"/>
        <w:rPr>
          <w:rFonts w:ascii="Garamond" w:hAnsi="Garamond"/>
          <w:lang w:val="cs-CZ"/>
        </w:rPr>
      </w:pPr>
      <w:r w:rsidRPr="001B75E0">
        <w:rPr>
          <w:rStyle w:val="FootnoteReference"/>
          <w:rFonts w:ascii="Garamond" w:hAnsi="Garamond"/>
          <w:lang w:val="cs-CZ"/>
        </w:rPr>
        <w:footnoteRef/>
      </w:r>
      <w:r w:rsidRPr="001B75E0">
        <w:rPr>
          <w:rFonts w:ascii="Garamond" w:hAnsi="Garamond"/>
          <w:lang w:val="cs-CZ"/>
        </w:rPr>
        <w:t xml:space="preserve"> Článek 9 odst. 2</w:t>
      </w:r>
      <w:r w:rsidRPr="001B75E0">
        <w:rPr>
          <w:rFonts w:ascii="Garamond" w:hAnsi="Garamond"/>
        </w:rPr>
        <w:t xml:space="preserve"> Wet </w:t>
      </w:r>
      <w:r w:rsidRPr="001B75E0">
        <w:rPr>
          <w:rFonts w:ascii="Garamond" w:hAnsi="Garamond"/>
        </w:rPr>
        <w:t>toetsing levensbeëindiging op verzoek en hulp bij zelfdoding</w:t>
      </w:r>
    </w:p>
  </w:footnote>
  <w:footnote w:id="72">
    <w:p w14:paraId="3DD998AE" w14:textId="3821DE63" w:rsidR="007E0120" w:rsidRPr="001B75E0" w:rsidRDefault="007E0120" w:rsidP="000D585E">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Regionale Toetsingscommissies Euthanasie. </w:t>
      </w:r>
      <w:r w:rsidRPr="001B75E0">
        <w:rPr>
          <w:rFonts w:ascii="Garamond" w:hAnsi="Garamond"/>
          <w:i/>
          <w:lang w:val="cs-CZ"/>
        </w:rPr>
        <w:t>Annual Report 2017</w:t>
      </w:r>
      <w:r w:rsidRPr="001B75E0">
        <w:rPr>
          <w:rFonts w:ascii="Garamond" w:hAnsi="Garamond"/>
          <w:lang w:val="cs-CZ"/>
        </w:rPr>
        <w:t xml:space="preserve"> [online]. RTE, 28.9.2017 [cit. 13.2.2019]. Dostupné na &lt;</w:t>
      </w:r>
      <w:hyperlink r:id="rId14" w:history="1">
        <w:r w:rsidRPr="001B75E0">
          <w:rPr>
            <w:rStyle w:val="Hyperlink"/>
            <w:rFonts w:ascii="Garamond" w:hAnsi="Garamond"/>
            <w:lang w:val="cs-CZ"/>
          </w:rPr>
          <w:t>https://english.euthanasiecommissie.nl/the-committees/documents/publications/annual-reports/2002/annual-reports/annual-reports</w:t>
        </w:r>
      </w:hyperlink>
      <w:r w:rsidRPr="001B75E0">
        <w:rPr>
          <w:rFonts w:ascii="Garamond" w:hAnsi="Garamond"/>
          <w:lang w:val="cs-CZ"/>
        </w:rPr>
        <w:t>&gt;.</w:t>
      </w:r>
    </w:p>
  </w:footnote>
  <w:footnote w:id="73">
    <w:p w14:paraId="458DC553" w14:textId="67B139C9" w:rsidR="007E0120" w:rsidRPr="001B75E0" w:rsidRDefault="007E0120" w:rsidP="003811C5">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rPr>
        <w:t xml:space="preserve">Regionale Toetsingscommissies Euthanasie. </w:t>
      </w:r>
      <w:r w:rsidRPr="001B75E0">
        <w:rPr>
          <w:rFonts w:ascii="Garamond" w:hAnsi="Garamond"/>
          <w:i/>
        </w:rPr>
        <w:t>Minors</w:t>
      </w:r>
      <w:r w:rsidRPr="001B75E0">
        <w:rPr>
          <w:rFonts w:ascii="Garamond" w:hAnsi="Garamond"/>
        </w:rPr>
        <w:t xml:space="preserve"> [online]. RTE [cit. 13.2.2019]. </w:t>
      </w:r>
      <w:r w:rsidRPr="001B75E0">
        <w:rPr>
          <w:rFonts w:ascii="Garamond" w:hAnsi="Garamond"/>
          <w:lang w:val="cs-CZ"/>
        </w:rPr>
        <w:t>Dostupné na</w:t>
      </w:r>
      <w:r w:rsidRPr="001B75E0">
        <w:rPr>
          <w:rFonts w:ascii="Garamond" w:hAnsi="Garamond"/>
        </w:rPr>
        <w:t xml:space="preserve"> &lt;</w:t>
      </w:r>
      <w:hyperlink r:id="rId15" w:history="1">
        <w:r w:rsidRPr="001B75E0">
          <w:rPr>
            <w:rStyle w:val="Hyperlink"/>
            <w:rFonts w:ascii="Garamond" w:hAnsi="Garamond"/>
          </w:rPr>
          <w:t>https://www.euthanasiecommissie.nl/uitspraken-en-uitleg/l/l-minderjarigen</w:t>
        </w:r>
      </w:hyperlink>
      <w:r w:rsidRPr="001B75E0">
        <w:rPr>
          <w:rFonts w:ascii="Garamond" w:hAnsi="Garamond"/>
        </w:rPr>
        <w:t>&gt;.</w:t>
      </w:r>
    </w:p>
  </w:footnote>
  <w:footnote w:id="74">
    <w:p w14:paraId="6A9D6117" w14:textId="54EF22F0" w:rsidR="007E0120" w:rsidRPr="001B75E0" w:rsidRDefault="007E0120" w:rsidP="003811C5">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Regionale Toetsingscommissies Euthanasie. </w:t>
      </w:r>
      <w:r w:rsidRPr="001B75E0">
        <w:rPr>
          <w:rFonts w:ascii="Garamond" w:hAnsi="Garamond"/>
          <w:i/>
        </w:rPr>
        <w:t>Annual</w:t>
      </w:r>
      <w:r w:rsidRPr="001B75E0">
        <w:rPr>
          <w:rFonts w:ascii="Garamond" w:hAnsi="Garamond"/>
          <w:i/>
          <w:lang w:val="cs-CZ"/>
        </w:rPr>
        <w:t xml:space="preserve"> Report 2017</w:t>
      </w:r>
      <w:r w:rsidRPr="001B75E0">
        <w:rPr>
          <w:rFonts w:ascii="Garamond" w:hAnsi="Garamond"/>
          <w:lang w:val="cs-CZ"/>
        </w:rPr>
        <w:t xml:space="preserve"> [online]. RTE, 28.9.2017 [cit. 13.2.2019]. Dostupné na &lt;</w:t>
      </w:r>
      <w:hyperlink r:id="rId16" w:history="1">
        <w:r w:rsidRPr="001B75E0">
          <w:rPr>
            <w:rStyle w:val="Hyperlink"/>
            <w:rFonts w:ascii="Garamond" w:hAnsi="Garamond"/>
            <w:lang w:val="cs-CZ"/>
          </w:rPr>
          <w:t>https://english.euthanasiecommissie.nl/the-committees/documents/publications/annual-reports/2002/annual-reports/annual-reports</w:t>
        </w:r>
      </w:hyperlink>
      <w:r w:rsidRPr="001B75E0">
        <w:rPr>
          <w:rFonts w:ascii="Garamond" w:hAnsi="Garamond"/>
          <w:lang w:val="cs-CZ"/>
        </w:rPr>
        <w:t xml:space="preserve">&gt;. </w:t>
      </w:r>
    </w:p>
  </w:footnote>
  <w:footnote w:id="75">
    <w:p w14:paraId="11B1670B" w14:textId="5D51AD70" w:rsidR="007E0120" w:rsidRPr="001B75E0" w:rsidRDefault="007E0120" w:rsidP="00442414">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VERHAGEN, Eduard, SAUER, Pieter J.J. The Groningen Protocol – Euthanasia in Severely Ill Newborns. </w:t>
      </w:r>
      <w:r w:rsidRPr="001B75E0">
        <w:rPr>
          <w:rFonts w:ascii="Garamond" w:hAnsi="Garamond"/>
          <w:i/>
          <w:iCs/>
        </w:rPr>
        <w:t>The New England Journal of Medicine</w:t>
      </w:r>
      <w:r w:rsidRPr="001B75E0">
        <w:rPr>
          <w:rFonts w:ascii="Garamond" w:hAnsi="Garamond"/>
        </w:rPr>
        <w:t xml:space="preserve">, 2005, </w:t>
      </w:r>
      <w:r w:rsidRPr="001B75E0">
        <w:rPr>
          <w:rFonts w:ascii="Garamond" w:hAnsi="Garamond"/>
        </w:rPr>
        <w:t>roč. 352, č. 10, s. 959-962.</w:t>
      </w:r>
    </w:p>
  </w:footnote>
  <w:footnote w:id="76">
    <w:p w14:paraId="408F9A1A" w14:textId="5D0F4AA8" w:rsidR="007E0120" w:rsidRPr="001B75E0" w:rsidRDefault="007E0120" w:rsidP="003662C6">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w:t>
      </w:r>
      <w:r w:rsidRPr="001B75E0">
        <w:rPr>
          <w:rFonts w:ascii="Garamond" w:hAnsi="Garamond"/>
          <w:lang w:val="cs-CZ"/>
        </w:rPr>
        <w:t xml:space="preserve">TEDESCO, Matthew. </w:t>
      </w:r>
      <w:r w:rsidRPr="001B75E0">
        <w:rPr>
          <w:rFonts w:ascii="Garamond" w:hAnsi="Garamond"/>
        </w:rPr>
        <w:t xml:space="preserve">Dutch Protocols for Deliberately Ending the Life of Newborns: A Defence. </w:t>
      </w:r>
      <w:r w:rsidRPr="001B75E0">
        <w:rPr>
          <w:rFonts w:ascii="Garamond" w:hAnsi="Garamond"/>
          <w:i/>
        </w:rPr>
        <w:t>Journal of Bioethical Inquiry</w:t>
      </w:r>
      <w:r>
        <w:rPr>
          <w:rFonts w:ascii="Garamond" w:hAnsi="Garamond"/>
        </w:rPr>
        <w:t>,</w:t>
      </w:r>
      <w:r w:rsidRPr="001B75E0">
        <w:rPr>
          <w:rFonts w:ascii="Garamond" w:hAnsi="Garamond"/>
        </w:rPr>
        <w:t xml:space="preserve"> </w:t>
      </w:r>
      <w:r w:rsidRPr="001B75E0">
        <w:rPr>
          <w:rFonts w:ascii="Garamond" w:hAnsi="Garamond"/>
          <w:lang w:val="cs-CZ"/>
        </w:rPr>
        <w:t>2017, roč. 14, č. 2, s. 251.</w:t>
      </w:r>
    </w:p>
  </w:footnote>
  <w:footnote w:id="77">
    <w:p w14:paraId="6F42C5CE" w14:textId="024E9EC0" w:rsidR="007E0120" w:rsidRPr="00367FED" w:rsidRDefault="007E0120" w:rsidP="00367FED">
      <w:pPr>
        <w:pStyle w:val="FootnoteText"/>
        <w:jc w:val="both"/>
        <w:rPr>
          <w:rFonts w:ascii="Garamond" w:hAnsi="Garamond"/>
          <w:lang w:val="cs-CZ"/>
        </w:rPr>
      </w:pPr>
      <w:r w:rsidRPr="001B75E0">
        <w:rPr>
          <w:rStyle w:val="FootnoteReference"/>
          <w:rFonts w:ascii="Garamond" w:hAnsi="Garamond"/>
        </w:rPr>
        <w:footnoteRef/>
      </w:r>
      <w:r w:rsidRPr="001B75E0">
        <w:rPr>
          <w:rFonts w:ascii="Garamond" w:hAnsi="Garamond"/>
        </w:rPr>
        <w:t xml:space="preserve"> VERHAGEN, Eduard, SAUER, Pieter J.J. The Groningen Protocol – Euthanasia in Severely Ill Newborns. </w:t>
      </w:r>
      <w:r w:rsidRPr="001B75E0">
        <w:rPr>
          <w:rFonts w:ascii="Garamond" w:hAnsi="Garamond"/>
          <w:i/>
          <w:iCs/>
        </w:rPr>
        <w:t>The New England Journal of Medicine</w:t>
      </w:r>
      <w:r>
        <w:rPr>
          <w:rFonts w:ascii="Garamond" w:hAnsi="Garamond"/>
        </w:rPr>
        <w:t>,</w:t>
      </w:r>
      <w:r w:rsidRPr="001B75E0">
        <w:rPr>
          <w:rFonts w:ascii="Garamond" w:hAnsi="Garamond"/>
        </w:rPr>
        <w:t xml:space="preserve"> 2005, </w:t>
      </w:r>
      <w:r w:rsidRPr="001B75E0">
        <w:rPr>
          <w:rFonts w:ascii="Garamond" w:hAnsi="Garamond"/>
          <w:lang w:val="cs-CZ"/>
        </w:rPr>
        <w:t>roč.</w:t>
      </w:r>
      <w:r w:rsidRPr="001B75E0">
        <w:rPr>
          <w:rFonts w:ascii="Garamond" w:hAnsi="Garamond"/>
        </w:rPr>
        <w:t xml:space="preserve"> 352, č. 10, s. 961.</w:t>
      </w:r>
    </w:p>
  </w:footnote>
  <w:footnote w:id="78">
    <w:p w14:paraId="35A9BB5A" w14:textId="0FDCD79B" w:rsidR="007E0120" w:rsidRPr="00367FED" w:rsidRDefault="007E0120" w:rsidP="00367FED">
      <w:pPr>
        <w:pStyle w:val="FootnoteText"/>
        <w:jc w:val="both"/>
        <w:rPr>
          <w:rFonts w:ascii="Garamond" w:hAnsi="Garamond"/>
          <w:lang w:val="cs-CZ"/>
        </w:rPr>
      </w:pPr>
      <w:r w:rsidRPr="00367FED">
        <w:rPr>
          <w:rStyle w:val="FootnoteReference"/>
          <w:rFonts w:ascii="Garamond" w:hAnsi="Garamond"/>
        </w:rPr>
        <w:footnoteRef/>
      </w:r>
      <w:r w:rsidRPr="00367FED">
        <w:rPr>
          <w:rFonts w:ascii="Garamond" w:hAnsi="Garamond"/>
        </w:rPr>
        <w:t xml:space="preserve"> </w:t>
      </w:r>
      <w:r w:rsidR="00513C3D" w:rsidRPr="001B75E0">
        <w:rPr>
          <w:rFonts w:ascii="Garamond" w:hAnsi="Garamond"/>
        </w:rPr>
        <w:t xml:space="preserve">VERHAGEN, Eduard, SAUER, Pieter J.J. The Groningen Protocol – Euthanasia in Severely Ill Newborns. </w:t>
      </w:r>
      <w:r w:rsidR="00513C3D" w:rsidRPr="001B75E0">
        <w:rPr>
          <w:rFonts w:ascii="Garamond" w:hAnsi="Garamond"/>
          <w:i/>
          <w:iCs/>
        </w:rPr>
        <w:t>The New England Journal of Medicine</w:t>
      </w:r>
      <w:r w:rsidR="00513C3D">
        <w:rPr>
          <w:rFonts w:ascii="Garamond" w:hAnsi="Garamond"/>
        </w:rPr>
        <w:t>,</w:t>
      </w:r>
      <w:r w:rsidR="00513C3D" w:rsidRPr="001B75E0">
        <w:rPr>
          <w:rFonts w:ascii="Garamond" w:hAnsi="Garamond"/>
        </w:rPr>
        <w:t xml:space="preserve"> 2005, </w:t>
      </w:r>
      <w:r w:rsidR="00513C3D" w:rsidRPr="001B75E0">
        <w:rPr>
          <w:rFonts w:ascii="Garamond" w:hAnsi="Garamond"/>
          <w:lang w:val="cs-CZ"/>
        </w:rPr>
        <w:t>roč.</w:t>
      </w:r>
      <w:r w:rsidR="00513C3D" w:rsidRPr="001B75E0">
        <w:rPr>
          <w:rFonts w:ascii="Garamond" w:hAnsi="Garamond"/>
        </w:rPr>
        <w:t xml:space="preserve"> 352, č. 10, s. 961.</w:t>
      </w:r>
    </w:p>
  </w:footnote>
  <w:footnote w:id="79">
    <w:p w14:paraId="026DAAD4" w14:textId="341F8191" w:rsidR="007E0120" w:rsidRPr="00C5421D" w:rsidRDefault="007E0120" w:rsidP="00C5421D">
      <w:pPr>
        <w:pStyle w:val="FootnoteText"/>
        <w:jc w:val="both"/>
        <w:rPr>
          <w:rFonts w:ascii="Garamond" w:hAnsi="Garamond"/>
          <w:lang w:val="cs-CZ"/>
        </w:rPr>
      </w:pPr>
      <w:r w:rsidRPr="00C5421D">
        <w:rPr>
          <w:rStyle w:val="FootnoteReference"/>
          <w:rFonts w:ascii="Garamond" w:hAnsi="Garamond"/>
        </w:rPr>
        <w:footnoteRef/>
      </w:r>
      <w:r w:rsidRPr="00C5421D">
        <w:rPr>
          <w:rFonts w:ascii="Garamond" w:hAnsi="Garamond"/>
        </w:rPr>
        <w:t xml:space="preserve"> </w:t>
      </w:r>
      <w:r w:rsidRPr="00C5421D">
        <w:rPr>
          <w:rFonts w:ascii="Garamond" w:hAnsi="Garamond"/>
          <w:lang w:val="cs-CZ"/>
        </w:rPr>
        <w:t>Tamtéž.</w:t>
      </w:r>
    </w:p>
  </w:footnote>
  <w:footnote w:id="80">
    <w:p w14:paraId="47F885E2" w14:textId="39FF3C18" w:rsidR="007E0120" w:rsidRPr="00A36652" w:rsidRDefault="007E0120" w:rsidP="00A36652">
      <w:pPr>
        <w:pStyle w:val="FootnoteText"/>
        <w:jc w:val="both"/>
        <w:rPr>
          <w:rFonts w:ascii="Garamond" w:hAnsi="Garamond"/>
          <w:lang w:val="cs-CZ"/>
        </w:rPr>
      </w:pPr>
      <w:r w:rsidRPr="00A36652">
        <w:rPr>
          <w:rStyle w:val="FootnoteReference"/>
          <w:rFonts w:ascii="Garamond" w:hAnsi="Garamond"/>
        </w:rPr>
        <w:footnoteRef/>
      </w:r>
      <w:r w:rsidRPr="00A36652">
        <w:rPr>
          <w:rFonts w:ascii="Garamond" w:hAnsi="Garamond"/>
        </w:rPr>
        <w:t xml:space="preserve"> BROUWER, </w:t>
      </w:r>
      <w:r w:rsidRPr="00A36652">
        <w:rPr>
          <w:rFonts w:ascii="Garamond" w:hAnsi="Garamond"/>
        </w:rPr>
        <w:t xml:space="preserve">Marije </w:t>
      </w:r>
      <w:r w:rsidRPr="00E348E3">
        <w:rPr>
          <w:rFonts w:ascii="Garamond" w:hAnsi="Garamond"/>
          <w:lang w:val="cs-CZ"/>
        </w:rPr>
        <w:t xml:space="preserve">a kol. </w:t>
      </w:r>
      <w:r w:rsidRPr="00A36652">
        <w:rPr>
          <w:rFonts w:ascii="Garamond" w:hAnsi="Garamond"/>
        </w:rPr>
        <w:t xml:space="preserve">Pediatric Palliative Care and End-of-Life Decisions in the Netherlands. </w:t>
      </w:r>
      <w:r w:rsidRPr="00A36652">
        <w:rPr>
          <w:rFonts w:ascii="Garamond" w:hAnsi="Garamond"/>
          <w:i/>
        </w:rPr>
        <w:t>Cambridge Quarterly of Healthcare Ethics</w:t>
      </w:r>
      <w:r>
        <w:rPr>
          <w:rFonts w:ascii="Garamond" w:hAnsi="Garamond"/>
        </w:rPr>
        <w:t>,</w:t>
      </w:r>
      <w:r w:rsidRPr="00A36652">
        <w:rPr>
          <w:rFonts w:ascii="Garamond" w:hAnsi="Garamond"/>
        </w:rPr>
        <w:t xml:space="preserve"> 2018, </w:t>
      </w:r>
      <w:r w:rsidRPr="00B67A1C">
        <w:rPr>
          <w:rFonts w:ascii="Garamond" w:hAnsi="Garamond"/>
          <w:lang w:val="cs-CZ"/>
        </w:rPr>
        <w:t>roč.</w:t>
      </w:r>
      <w:r w:rsidRPr="00A36652">
        <w:rPr>
          <w:rFonts w:ascii="Garamond" w:hAnsi="Garamond"/>
        </w:rPr>
        <w:t xml:space="preserve"> 27, s. 376-377.</w:t>
      </w:r>
    </w:p>
  </w:footnote>
  <w:footnote w:id="81">
    <w:p w14:paraId="1E2447C3" w14:textId="1CD0F019" w:rsidR="007E0120" w:rsidRPr="00747FD5" w:rsidRDefault="007E0120" w:rsidP="00747FD5">
      <w:pPr>
        <w:pStyle w:val="FootnoteText"/>
        <w:jc w:val="both"/>
        <w:rPr>
          <w:rFonts w:ascii="Garamond" w:hAnsi="Garamond"/>
          <w:lang w:val="cs-CZ"/>
        </w:rPr>
      </w:pPr>
      <w:r w:rsidRPr="00747FD5">
        <w:rPr>
          <w:rStyle w:val="FootnoteReference"/>
          <w:rFonts w:ascii="Garamond" w:hAnsi="Garamond"/>
        </w:rPr>
        <w:footnoteRef/>
      </w:r>
      <w:r w:rsidRPr="00747FD5">
        <w:rPr>
          <w:rFonts w:ascii="Garamond" w:hAnsi="Garamond"/>
        </w:rPr>
        <w:t xml:space="preserve"> </w:t>
      </w:r>
      <w:r w:rsidRPr="00747FD5">
        <w:rPr>
          <w:rFonts w:ascii="Garamond" w:hAnsi="Garamond"/>
          <w:lang w:val="cs-CZ"/>
        </w:rPr>
        <w:t xml:space="preserve">GRISSO, Thomas, VIERLING, Linda. </w:t>
      </w:r>
      <w:r w:rsidRPr="006F3217">
        <w:rPr>
          <w:rFonts w:ascii="Garamond" w:hAnsi="Garamond"/>
        </w:rPr>
        <w:t>Minors‘ Consent to Treatment: A Developmental Perspective</w:t>
      </w:r>
      <w:r w:rsidRPr="00747FD5">
        <w:rPr>
          <w:rFonts w:ascii="Garamond" w:hAnsi="Garamond"/>
          <w:lang w:val="cs-CZ"/>
        </w:rPr>
        <w:t xml:space="preserve">. </w:t>
      </w:r>
      <w:r w:rsidRPr="00747FD5">
        <w:rPr>
          <w:rFonts w:ascii="Garamond" w:hAnsi="Garamond"/>
          <w:i/>
          <w:lang w:val="cs-CZ"/>
        </w:rPr>
        <w:t>Professional Psychology</w:t>
      </w:r>
      <w:r>
        <w:rPr>
          <w:rFonts w:ascii="Garamond" w:hAnsi="Garamond"/>
          <w:lang w:val="cs-CZ"/>
        </w:rPr>
        <w:t>,</w:t>
      </w:r>
      <w:r w:rsidRPr="00747FD5">
        <w:rPr>
          <w:rFonts w:ascii="Garamond" w:hAnsi="Garamond"/>
          <w:lang w:val="cs-CZ"/>
        </w:rPr>
        <w:t xml:space="preserve"> 1978, roč. 9, č. 3, s. 421.</w:t>
      </w:r>
    </w:p>
  </w:footnote>
  <w:footnote w:id="82">
    <w:p w14:paraId="4C1F1D08" w14:textId="2A3EDDA8" w:rsidR="007E0120" w:rsidRPr="00A36652" w:rsidRDefault="007E0120" w:rsidP="00A36652">
      <w:pPr>
        <w:pStyle w:val="FootnoteText"/>
        <w:jc w:val="both"/>
        <w:rPr>
          <w:lang w:val="cs-CZ"/>
        </w:rPr>
      </w:pPr>
      <w:r w:rsidRPr="00A36652">
        <w:rPr>
          <w:rStyle w:val="FootnoteReference"/>
          <w:rFonts w:ascii="Garamond" w:hAnsi="Garamond"/>
        </w:rPr>
        <w:footnoteRef/>
      </w:r>
      <w:r w:rsidRPr="00A36652">
        <w:rPr>
          <w:rFonts w:ascii="Garamond" w:hAnsi="Garamond"/>
        </w:rPr>
        <w:t xml:space="preserve"> </w:t>
      </w:r>
      <w:r>
        <w:rPr>
          <w:rFonts w:ascii="Garamond" w:hAnsi="Garamond"/>
          <w:lang w:val="cs-CZ"/>
        </w:rPr>
        <w:t>Tamtéž,</w:t>
      </w:r>
      <w:r w:rsidRPr="00A36652">
        <w:rPr>
          <w:rFonts w:ascii="Garamond" w:hAnsi="Garamond"/>
          <w:lang w:val="cs-CZ"/>
        </w:rPr>
        <w:t xml:space="preserve"> s. 423.</w:t>
      </w:r>
    </w:p>
  </w:footnote>
  <w:footnote w:id="83">
    <w:p w14:paraId="6D3B32E3" w14:textId="4249F0F0" w:rsidR="007E0120" w:rsidRPr="000022D5" w:rsidRDefault="007E0120" w:rsidP="000022D5">
      <w:pPr>
        <w:pStyle w:val="FootnoteText"/>
        <w:jc w:val="both"/>
        <w:rPr>
          <w:rFonts w:ascii="Garamond" w:hAnsi="Garamond"/>
          <w:lang w:val="cs-CZ"/>
        </w:rPr>
      </w:pPr>
      <w:r w:rsidRPr="000022D5">
        <w:rPr>
          <w:rStyle w:val="FootnoteReference"/>
          <w:rFonts w:ascii="Garamond" w:hAnsi="Garamond"/>
        </w:rPr>
        <w:footnoteRef/>
      </w:r>
      <w:r w:rsidRPr="000022D5">
        <w:rPr>
          <w:rFonts w:ascii="Garamond" w:hAnsi="Garamond"/>
        </w:rPr>
        <w:t xml:space="preserve"> </w:t>
      </w:r>
      <w:r w:rsidRPr="000022D5">
        <w:rPr>
          <w:rFonts w:ascii="Garamond" w:hAnsi="Garamond"/>
          <w:lang w:val="cs-CZ"/>
        </w:rPr>
        <w:t xml:space="preserve">STEINBERG, Laurence. </w:t>
      </w:r>
      <w:r w:rsidRPr="006F3217">
        <w:rPr>
          <w:rFonts w:ascii="Garamond" w:hAnsi="Garamond"/>
        </w:rPr>
        <w:t xml:space="preserve">Does Recent Research on Adolescent Brain Development Inform the Mature Minor Doctrine? </w:t>
      </w:r>
      <w:r w:rsidRPr="006F3217">
        <w:rPr>
          <w:rFonts w:ascii="Garamond" w:hAnsi="Garamond"/>
          <w:i/>
        </w:rPr>
        <w:t>Journal of Medicine and Philosophy</w:t>
      </w:r>
      <w:r>
        <w:rPr>
          <w:rFonts w:ascii="Garamond" w:hAnsi="Garamond"/>
        </w:rPr>
        <w:t>,</w:t>
      </w:r>
      <w:r w:rsidRPr="006F3217">
        <w:rPr>
          <w:rFonts w:ascii="Garamond" w:hAnsi="Garamond"/>
        </w:rPr>
        <w:t xml:space="preserve"> 2013, </w:t>
      </w:r>
      <w:r w:rsidRPr="00B67A1C">
        <w:rPr>
          <w:rFonts w:ascii="Garamond" w:hAnsi="Garamond"/>
          <w:lang w:val="cs-CZ"/>
        </w:rPr>
        <w:t>roč.</w:t>
      </w:r>
      <w:r w:rsidRPr="006F3217">
        <w:rPr>
          <w:rFonts w:ascii="Garamond" w:hAnsi="Garamond"/>
        </w:rPr>
        <w:t xml:space="preserve"> 38, s. 258.; CUMAN, G., GASTMANS, C. Minors and euthanasia: a systematic review of argument-based ethics literature. </w:t>
      </w:r>
      <w:r w:rsidRPr="006F3217">
        <w:rPr>
          <w:rFonts w:ascii="Garamond" w:hAnsi="Garamond"/>
          <w:i/>
        </w:rPr>
        <w:t xml:space="preserve">European Journal of </w:t>
      </w:r>
      <w:r w:rsidRPr="006F3217">
        <w:rPr>
          <w:rFonts w:ascii="Garamond" w:hAnsi="Garamond"/>
          <w:i/>
        </w:rPr>
        <w:t>Pediatrics</w:t>
      </w:r>
      <w:r>
        <w:rPr>
          <w:rFonts w:ascii="Garamond" w:hAnsi="Garamond"/>
        </w:rPr>
        <w:t>,</w:t>
      </w:r>
      <w:r w:rsidRPr="006F3217">
        <w:rPr>
          <w:rFonts w:ascii="Garamond" w:hAnsi="Garamond"/>
        </w:rPr>
        <w:t xml:space="preserve"> 2017, </w:t>
      </w:r>
      <w:r w:rsidRPr="00B67A1C">
        <w:rPr>
          <w:rFonts w:ascii="Garamond" w:hAnsi="Garamond"/>
          <w:lang w:val="cs-CZ"/>
        </w:rPr>
        <w:t>roč.</w:t>
      </w:r>
      <w:r w:rsidRPr="006F3217">
        <w:rPr>
          <w:rFonts w:ascii="Garamond" w:hAnsi="Garamond"/>
        </w:rPr>
        <w:t xml:space="preserve"> 176, č. 7, s. 845.</w:t>
      </w:r>
    </w:p>
  </w:footnote>
  <w:footnote w:id="84">
    <w:p w14:paraId="058C4BDF" w14:textId="6F0164B6" w:rsidR="007E0120" w:rsidRPr="00703A25" w:rsidRDefault="007E0120" w:rsidP="00B75062">
      <w:pPr>
        <w:pStyle w:val="FootnoteText"/>
        <w:jc w:val="both"/>
        <w:rPr>
          <w:rFonts w:ascii="Garamond" w:hAnsi="Garamond"/>
          <w:lang w:val="cs-CZ"/>
        </w:rPr>
      </w:pPr>
      <w:r w:rsidRPr="00703A25">
        <w:rPr>
          <w:rStyle w:val="FootnoteReference"/>
          <w:rFonts w:ascii="Garamond" w:hAnsi="Garamond"/>
        </w:rPr>
        <w:footnoteRef/>
      </w:r>
      <w:r w:rsidRPr="00703A25">
        <w:rPr>
          <w:rFonts w:ascii="Garamond" w:hAnsi="Garamond"/>
        </w:rPr>
        <w:t xml:space="preserve"> </w:t>
      </w:r>
      <w:r w:rsidRPr="00703A25">
        <w:rPr>
          <w:rFonts w:ascii="Garamond" w:hAnsi="Garamond"/>
          <w:lang w:val="cs-CZ"/>
        </w:rPr>
        <w:t xml:space="preserve">CUMAN, G., GASTMANS, C. </w:t>
      </w:r>
      <w:r w:rsidRPr="006F3217">
        <w:rPr>
          <w:rFonts w:ascii="Garamond" w:hAnsi="Garamond"/>
        </w:rPr>
        <w:t xml:space="preserve">Minors and euthanasia: a systematic review of argument-based ethics literature. </w:t>
      </w:r>
      <w:r w:rsidRPr="006F3217">
        <w:rPr>
          <w:rFonts w:ascii="Garamond" w:hAnsi="Garamond"/>
          <w:i/>
        </w:rPr>
        <w:t xml:space="preserve">European Journal of </w:t>
      </w:r>
      <w:r w:rsidRPr="006F3217">
        <w:rPr>
          <w:rFonts w:ascii="Garamond" w:hAnsi="Garamond"/>
          <w:i/>
        </w:rPr>
        <w:t>Pediatrics</w:t>
      </w:r>
      <w:r>
        <w:rPr>
          <w:rFonts w:ascii="Garamond" w:hAnsi="Garamond"/>
        </w:rPr>
        <w:t>,</w:t>
      </w:r>
      <w:r w:rsidRPr="006F3217">
        <w:rPr>
          <w:rFonts w:ascii="Garamond" w:hAnsi="Garamond"/>
        </w:rPr>
        <w:t xml:space="preserve"> </w:t>
      </w:r>
      <w:r w:rsidRPr="00703A25">
        <w:rPr>
          <w:rFonts w:ascii="Garamond" w:hAnsi="Garamond"/>
          <w:lang w:val="cs-CZ"/>
        </w:rPr>
        <w:t>2017, roč. 176, č. 7, s. 838.</w:t>
      </w:r>
    </w:p>
  </w:footnote>
  <w:footnote w:id="85">
    <w:p w14:paraId="5BC20057" w14:textId="5DAF41F9" w:rsidR="007E0120" w:rsidRPr="007E4F84" w:rsidRDefault="007E0120" w:rsidP="00F426B9">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b/>
          <w:lang w:val="cs-CZ"/>
        </w:rPr>
        <w:t>Pozn</w:t>
      </w:r>
      <w:r w:rsidRPr="007E4F84">
        <w:rPr>
          <w:rFonts w:ascii="Garamond" w:hAnsi="Garamond"/>
          <w:lang w:val="cs-CZ"/>
        </w:rPr>
        <w:t>. Belgie (</w:t>
      </w:r>
      <w:r w:rsidRPr="007E4F84">
        <w:rPr>
          <w:rFonts w:ascii="Garamond" w:hAnsi="Garamond"/>
          <w:lang w:val="cs-CZ"/>
        </w:rPr>
        <w:t>Loi du 28 mai 2002 relative à l'euthanasie), Lucembursko (Loi du 16 mars 2009 sur l’euthanasie et l’assistance au suicide), Nizozemsko (Wet toetsing levensbeëindiging op verzoek en hulp bij zelfdoding) a Švýcarsko (Code pénal suisse du 21 décembre 1937; Loi fédérale sur les stupéfiants et les substances psychotropes du 3 octobre 1951; Loi fédérale sur les médicaments et les dispositifs médicaux du 15 décembre 2000).</w:t>
      </w:r>
    </w:p>
  </w:footnote>
  <w:footnote w:id="86">
    <w:p w14:paraId="1BD0949E" w14:textId="1349980C" w:rsidR="007E0120" w:rsidRPr="007E4F84" w:rsidRDefault="007E0120" w:rsidP="00FE3DA5">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w:t>
      </w:r>
      <w:r w:rsidRPr="007E4F84">
        <w:rPr>
          <w:rFonts w:ascii="Garamond" w:hAnsi="Garamond"/>
          <w:b/>
          <w:lang w:val="cs-CZ"/>
        </w:rPr>
        <w:t>Srov.</w:t>
      </w:r>
      <w:r w:rsidRPr="007E4F84">
        <w:rPr>
          <w:rFonts w:ascii="Garamond" w:hAnsi="Garamond"/>
          <w:lang w:val="cs-CZ"/>
        </w:rPr>
        <w:t xml:space="preserve"> Deklarace Světové lékařské asociace o eutanazii, přijatá na 53. shromáždění WMA ve Washingtonu ve Spojených státech v listopadu 2002.</w:t>
      </w:r>
    </w:p>
  </w:footnote>
  <w:footnote w:id="87">
    <w:p w14:paraId="0D02BF62" w14:textId="78917B27" w:rsidR="007E0120" w:rsidRPr="007E4F84" w:rsidRDefault="007E0120" w:rsidP="00FE3DA5">
      <w:pPr>
        <w:pStyle w:val="FootnoteText"/>
        <w:jc w:val="both"/>
        <w:rPr>
          <w:rFonts w:ascii="Garamond" w:hAnsi="Garamond" w:cs="Times New Roman"/>
          <w:lang w:val="cs-CZ"/>
        </w:rPr>
      </w:pPr>
      <w:r w:rsidRPr="007E4F84">
        <w:rPr>
          <w:rStyle w:val="FootnoteReference"/>
          <w:rFonts w:ascii="Garamond" w:hAnsi="Garamond" w:cs="Times New Roman"/>
        </w:rPr>
        <w:footnoteRef/>
      </w:r>
      <w:r w:rsidRPr="007E4F84">
        <w:rPr>
          <w:rFonts w:ascii="Garamond" w:hAnsi="Garamond" w:cs="Times New Roman"/>
        </w:rPr>
        <w:t xml:space="preserve"> HENDRIKS, A. C. </w:t>
      </w:r>
      <w:r w:rsidRPr="007E4F84">
        <w:rPr>
          <w:rFonts w:ascii="Garamond" w:hAnsi="Garamond" w:cs="Times New Roman"/>
          <w:i/>
        </w:rPr>
        <w:t>End-of-life decisions. Recent jurisprudence of the European Court of Human Rights</w:t>
      </w:r>
      <w:r w:rsidRPr="007E4F84">
        <w:rPr>
          <w:rFonts w:ascii="Garamond" w:hAnsi="Garamond" w:cs="Times New Roman"/>
        </w:rPr>
        <w:t xml:space="preserve"> [online]. ERA Forum</w:t>
      </w:r>
      <w:r w:rsidRPr="007E4F84">
        <w:rPr>
          <w:rFonts w:ascii="Garamond" w:hAnsi="Garamond" w:cs="Times New Roman"/>
          <w:lang w:val="cs-CZ"/>
        </w:rPr>
        <w:t>, 19.9.2018 [cit. 4.2.2019]. Dostupné na &lt;</w:t>
      </w:r>
      <w:hyperlink r:id="rId17" w:history="1">
        <w:r w:rsidRPr="007E4F84">
          <w:rPr>
            <w:rStyle w:val="Hyperlink"/>
            <w:rFonts w:ascii="Garamond" w:hAnsi="Garamond" w:cs="Times New Roman"/>
            <w:lang w:val="cs-CZ"/>
          </w:rPr>
          <w:t>https://doi.org/10.1007/s12027-018-0530-7</w:t>
        </w:r>
      </w:hyperlink>
      <w:r w:rsidRPr="007E4F84">
        <w:rPr>
          <w:rFonts w:ascii="Garamond" w:hAnsi="Garamond" w:cs="Times New Roman"/>
          <w:lang w:val="cs-CZ"/>
        </w:rPr>
        <w:t xml:space="preserve">&gt;. </w:t>
      </w:r>
    </w:p>
  </w:footnote>
  <w:footnote w:id="88">
    <w:p w14:paraId="08740C8C" w14:textId="37AA5F37" w:rsidR="007E0120" w:rsidRPr="007E4F84" w:rsidRDefault="007E0120" w:rsidP="0044241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Rozsudek ESLP ze dne 10.4.2007, ve věci </w:t>
      </w:r>
      <w:r w:rsidRPr="007E4F84">
        <w:rPr>
          <w:rFonts w:ascii="Garamond" w:hAnsi="Garamond"/>
          <w:lang w:val="cs-CZ"/>
        </w:rPr>
        <w:t>Evans proti Spojenému království</w:t>
      </w:r>
    </w:p>
  </w:footnote>
  <w:footnote w:id="89">
    <w:p w14:paraId="79E37DA3" w14:textId="229014C5" w:rsidR="007E0120" w:rsidRPr="007E4F84" w:rsidRDefault="007E0120" w:rsidP="008D5519">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Tamtéž, body 233-234.</w:t>
      </w:r>
    </w:p>
  </w:footnote>
  <w:footnote w:id="90">
    <w:p w14:paraId="1D574904" w14:textId="1416D2DF" w:rsidR="007E0120" w:rsidRPr="007E4F84" w:rsidRDefault="007E0120" w:rsidP="00B81EB3">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Článek 24 odst. 1 Listiny základních práv Evropské unie</w:t>
      </w:r>
    </w:p>
  </w:footnote>
  <w:footnote w:id="91">
    <w:p w14:paraId="7FB9F47C" w14:textId="71DD40CF" w:rsidR="007E0120" w:rsidRPr="007E4F84" w:rsidRDefault="007E0120" w:rsidP="00B81EB3">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Sdělení Komise Evropskému parlamentu, Radě, Evropskému hospodářskému a sociálnímu výboru a Výboru regionů. </w:t>
      </w:r>
      <w:r w:rsidRPr="007E4F84">
        <w:rPr>
          <w:rFonts w:ascii="Garamond" w:hAnsi="Garamond"/>
          <w:i/>
          <w:lang w:val="cs-CZ"/>
        </w:rPr>
        <w:t>Agenda EU v oblasti práv dítěte</w:t>
      </w:r>
      <w:r w:rsidRPr="007E4F84">
        <w:rPr>
          <w:rFonts w:ascii="Garamond" w:hAnsi="Garamond"/>
          <w:lang w:val="cs-CZ"/>
        </w:rPr>
        <w:t>. KOM/2011/0060.</w:t>
      </w:r>
    </w:p>
  </w:footnote>
  <w:footnote w:id="92">
    <w:p w14:paraId="06E49BE5" w14:textId="3BC89570" w:rsidR="007E0120" w:rsidRPr="00B81EB3" w:rsidRDefault="007E0120" w:rsidP="00B81EB3">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Článek 12 odst. 1 Úmluvy o právech dítěte</w:t>
      </w:r>
    </w:p>
  </w:footnote>
  <w:footnote w:id="93">
    <w:p w14:paraId="2FAA1389" w14:textId="4C6BF7C9" w:rsidR="007E0120" w:rsidRPr="00442414" w:rsidRDefault="007E0120" w:rsidP="00442414">
      <w:pPr>
        <w:pStyle w:val="FootnoteText"/>
        <w:jc w:val="both"/>
        <w:rPr>
          <w:rFonts w:ascii="Garamond" w:hAnsi="Garamond"/>
          <w:lang w:val="cs-CZ"/>
        </w:rPr>
      </w:pPr>
      <w:r w:rsidRPr="00442414">
        <w:rPr>
          <w:rStyle w:val="FootnoteReference"/>
          <w:rFonts w:ascii="Garamond" w:hAnsi="Garamond"/>
        </w:rPr>
        <w:footnoteRef/>
      </w:r>
      <w:r w:rsidRPr="00442414">
        <w:rPr>
          <w:rFonts w:ascii="Garamond" w:hAnsi="Garamond"/>
        </w:rPr>
        <w:t xml:space="preserve"> </w:t>
      </w:r>
      <w:r w:rsidRPr="00442414">
        <w:rPr>
          <w:rFonts w:ascii="Garamond" w:hAnsi="Garamond"/>
          <w:lang w:val="cs-CZ"/>
        </w:rPr>
        <w:t xml:space="preserve">Rozsudek ESLP ze dne 29.4.2002, ve věci </w:t>
      </w:r>
      <w:r w:rsidRPr="00442414">
        <w:rPr>
          <w:rFonts w:ascii="Garamond" w:hAnsi="Garamond"/>
          <w:lang w:val="cs-CZ"/>
        </w:rPr>
        <w:t>Pretty proti Spojenému království.</w:t>
      </w:r>
    </w:p>
  </w:footnote>
  <w:footnote w:id="94">
    <w:p w14:paraId="34755A0F" w14:textId="13B9D8F0" w:rsidR="007E0120" w:rsidRPr="006A27A6" w:rsidRDefault="007E0120" w:rsidP="006A27A6">
      <w:pPr>
        <w:pStyle w:val="FootnoteText"/>
        <w:jc w:val="both"/>
        <w:rPr>
          <w:rFonts w:ascii="Garamond" w:hAnsi="Garamond"/>
          <w:lang w:val="cs-CZ"/>
        </w:rPr>
      </w:pPr>
      <w:r w:rsidRPr="006A27A6">
        <w:rPr>
          <w:rStyle w:val="FootnoteReference"/>
          <w:rFonts w:ascii="Garamond" w:hAnsi="Garamond"/>
        </w:rPr>
        <w:footnoteRef/>
      </w:r>
      <w:r w:rsidRPr="006A27A6">
        <w:rPr>
          <w:rFonts w:ascii="Garamond" w:hAnsi="Garamond"/>
        </w:rPr>
        <w:t xml:space="preserve"> </w:t>
      </w:r>
      <w:r w:rsidRPr="00E348E3">
        <w:rPr>
          <w:rFonts w:ascii="Garamond" w:hAnsi="Garamond"/>
          <w:b/>
          <w:lang w:val="cs-CZ"/>
        </w:rPr>
        <w:t>Pozn.</w:t>
      </w:r>
      <w:r w:rsidRPr="006A27A6">
        <w:rPr>
          <w:rFonts w:ascii="Garamond" w:hAnsi="Garamond"/>
          <w:b/>
        </w:rPr>
        <w:t xml:space="preserve"> </w:t>
      </w:r>
      <w:r w:rsidRPr="006A27A6">
        <w:rPr>
          <w:rFonts w:ascii="Garamond" w:hAnsi="Garamond"/>
        </w:rPr>
        <w:t>Director of public prosecutions.</w:t>
      </w:r>
    </w:p>
  </w:footnote>
  <w:footnote w:id="95">
    <w:p w14:paraId="4CADF58A" w14:textId="4FD10AE6" w:rsidR="007E0120" w:rsidRPr="00426FA1" w:rsidRDefault="007E0120" w:rsidP="00426FA1">
      <w:pPr>
        <w:pStyle w:val="FootnoteText"/>
        <w:jc w:val="both"/>
        <w:rPr>
          <w:rFonts w:ascii="Garamond" w:hAnsi="Garamond"/>
          <w:lang w:val="cs-CZ"/>
        </w:rPr>
      </w:pPr>
      <w:r w:rsidRPr="00426FA1">
        <w:rPr>
          <w:rStyle w:val="FootnoteReference"/>
          <w:rFonts w:ascii="Garamond" w:hAnsi="Garamond"/>
        </w:rPr>
        <w:footnoteRef/>
      </w:r>
      <w:r w:rsidRPr="00426FA1">
        <w:rPr>
          <w:rFonts w:ascii="Garamond" w:hAnsi="Garamond"/>
        </w:rPr>
        <w:t xml:space="preserve"> </w:t>
      </w:r>
      <w:r w:rsidRPr="00426FA1">
        <w:rPr>
          <w:rFonts w:ascii="Garamond" w:hAnsi="Garamond"/>
          <w:lang w:val="cs-CZ"/>
        </w:rPr>
        <w:t xml:space="preserve">Rozsudek ESLP ze dne 29.4.2002, ve věci </w:t>
      </w:r>
      <w:r w:rsidRPr="00426FA1">
        <w:rPr>
          <w:rFonts w:ascii="Garamond" w:hAnsi="Garamond"/>
          <w:lang w:val="cs-CZ"/>
        </w:rPr>
        <w:t>Pretty proti Spojenému království, bod 38.</w:t>
      </w:r>
    </w:p>
  </w:footnote>
  <w:footnote w:id="96">
    <w:p w14:paraId="79C6597A" w14:textId="3CF5A288" w:rsidR="007E0120" w:rsidRPr="00426FA1" w:rsidRDefault="007E0120" w:rsidP="00426FA1">
      <w:pPr>
        <w:pStyle w:val="FootnoteText"/>
        <w:jc w:val="both"/>
        <w:rPr>
          <w:rFonts w:ascii="Garamond" w:hAnsi="Garamond"/>
          <w:lang w:val="cs-CZ"/>
        </w:rPr>
      </w:pPr>
      <w:r w:rsidRPr="00426FA1">
        <w:rPr>
          <w:rStyle w:val="FootnoteReference"/>
          <w:rFonts w:ascii="Garamond" w:hAnsi="Garamond"/>
        </w:rPr>
        <w:footnoteRef/>
      </w:r>
      <w:r w:rsidRPr="00426FA1">
        <w:rPr>
          <w:rFonts w:ascii="Garamond" w:hAnsi="Garamond"/>
        </w:rPr>
        <w:t xml:space="preserve"> </w:t>
      </w:r>
      <w:r w:rsidRPr="00426FA1">
        <w:rPr>
          <w:rFonts w:ascii="Garamond" w:hAnsi="Garamond"/>
          <w:lang w:val="cs-CZ"/>
        </w:rPr>
        <w:t>Tamtéž, bod. 39.</w:t>
      </w:r>
    </w:p>
  </w:footnote>
  <w:footnote w:id="97">
    <w:p w14:paraId="75DFE065" w14:textId="2724C31D" w:rsidR="007E0120" w:rsidRPr="00426FA1" w:rsidRDefault="007E0120" w:rsidP="00426FA1">
      <w:pPr>
        <w:pStyle w:val="FootnoteText"/>
        <w:jc w:val="both"/>
        <w:rPr>
          <w:rFonts w:ascii="Garamond" w:hAnsi="Garamond"/>
          <w:lang w:val="cs-CZ"/>
        </w:rPr>
      </w:pPr>
      <w:r w:rsidRPr="00426FA1">
        <w:rPr>
          <w:rStyle w:val="FootnoteReference"/>
          <w:rFonts w:ascii="Garamond" w:hAnsi="Garamond"/>
        </w:rPr>
        <w:footnoteRef/>
      </w:r>
      <w:r w:rsidRPr="00426FA1">
        <w:rPr>
          <w:rFonts w:ascii="Garamond" w:hAnsi="Garamond"/>
        </w:rPr>
        <w:t xml:space="preserve"> </w:t>
      </w:r>
      <w:r w:rsidRPr="00426FA1">
        <w:rPr>
          <w:rFonts w:ascii="Garamond" w:hAnsi="Garamond"/>
          <w:lang w:val="cs-CZ"/>
        </w:rPr>
        <w:t>Tamtéž, bod 40.</w:t>
      </w:r>
    </w:p>
  </w:footnote>
  <w:footnote w:id="98">
    <w:p w14:paraId="569B3E97" w14:textId="0B242FA5" w:rsidR="007E0120" w:rsidRPr="007E4F84" w:rsidRDefault="007E0120" w:rsidP="00426FA1">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00513C3D" w:rsidRPr="00426FA1">
        <w:rPr>
          <w:rFonts w:ascii="Garamond" w:hAnsi="Garamond"/>
          <w:lang w:val="cs-CZ"/>
        </w:rPr>
        <w:t xml:space="preserve">Rozsudek ESLP ze dne 29.4.2002, ve věci </w:t>
      </w:r>
      <w:r w:rsidR="00513C3D" w:rsidRPr="00426FA1">
        <w:rPr>
          <w:rFonts w:ascii="Garamond" w:hAnsi="Garamond"/>
          <w:lang w:val="cs-CZ"/>
        </w:rPr>
        <w:t>Pretty proti Spojenému království</w:t>
      </w:r>
      <w:r w:rsidRPr="007E4F84">
        <w:rPr>
          <w:rFonts w:ascii="Garamond" w:hAnsi="Garamond"/>
          <w:lang w:val="cs-CZ"/>
        </w:rPr>
        <w:t>, bod 54.</w:t>
      </w:r>
    </w:p>
  </w:footnote>
  <w:footnote w:id="99">
    <w:p w14:paraId="45FDF11C" w14:textId="727FCBB9" w:rsidR="007E0120" w:rsidRPr="007E4F84" w:rsidRDefault="007E0120" w:rsidP="004F28C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55.</w:t>
      </w:r>
    </w:p>
  </w:footnote>
  <w:footnote w:id="100">
    <w:p w14:paraId="7559443C" w14:textId="6BBF12E2" w:rsidR="007E0120" w:rsidRPr="007E4F84" w:rsidRDefault="007E0120" w:rsidP="004F28C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74.</w:t>
      </w:r>
    </w:p>
  </w:footnote>
  <w:footnote w:id="101">
    <w:p w14:paraId="05FAFA54" w14:textId="37A94003" w:rsidR="007E0120" w:rsidRPr="007E4F84" w:rsidRDefault="007E0120" w:rsidP="004F28C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w:t>
      </w:r>
    </w:p>
  </w:footnote>
  <w:footnote w:id="102">
    <w:p w14:paraId="50989652" w14:textId="01B2CEBA" w:rsidR="007E0120" w:rsidRPr="007E4F84" w:rsidRDefault="007E0120" w:rsidP="004F28C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76.</w:t>
      </w:r>
    </w:p>
  </w:footnote>
  <w:footnote w:id="103">
    <w:p w14:paraId="6E15F28D" w14:textId="78D1D8FA" w:rsidR="007E0120" w:rsidRPr="002B4F91" w:rsidRDefault="007E0120" w:rsidP="002B4F91">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House of Lords Select Committee on Medical Ethics Report</w:t>
      </w:r>
      <w:r w:rsidRPr="007E4F84">
        <w:rPr>
          <w:rFonts w:ascii="Garamond" w:hAnsi="Garamond"/>
          <w:lang w:val="cs-CZ"/>
        </w:rPr>
        <w:t xml:space="preserve"> (HL </w:t>
      </w:r>
      <w:r w:rsidRPr="007E4F84">
        <w:rPr>
          <w:rFonts w:ascii="Garamond" w:hAnsi="Garamond"/>
        </w:rPr>
        <w:t>Paper</w:t>
      </w:r>
      <w:r w:rsidRPr="007E4F84">
        <w:rPr>
          <w:rFonts w:ascii="Garamond" w:hAnsi="Garamond"/>
          <w:lang w:val="cs-CZ"/>
        </w:rPr>
        <w:t xml:space="preserve"> 21-I) [online]. 9.5.1994 [cit. 13.2.2019]. Dostupné na &lt;</w:t>
      </w:r>
      <w:hyperlink r:id="rId18" w:anchor="S5LV0554P0_19940509_HOL_89" w:history="1">
        <w:r w:rsidRPr="007E4F84">
          <w:rPr>
            <w:rStyle w:val="Hyperlink"/>
            <w:rFonts w:ascii="Garamond" w:hAnsi="Garamond"/>
            <w:lang w:val="cs-CZ"/>
          </w:rPr>
          <w:t>https://api.parliament.uk/historic-hansard/lords/1994/may/09/medical-ethics-select-committee-report#S5LV0554P0_19940509_HOL_89</w:t>
        </w:r>
      </w:hyperlink>
      <w:r w:rsidRPr="007E4F84">
        <w:rPr>
          <w:rFonts w:ascii="Garamond" w:hAnsi="Garamond"/>
          <w:lang w:val="cs-CZ"/>
        </w:rPr>
        <w:t>&gt;. Bod 128</w:t>
      </w:r>
    </w:p>
  </w:footnote>
  <w:footnote w:id="104">
    <w:p w14:paraId="2BAF667D" w14:textId="139C795B" w:rsidR="007E0120" w:rsidRPr="004F28C8" w:rsidRDefault="007E0120" w:rsidP="004F28C8">
      <w:pPr>
        <w:pStyle w:val="FootnoteText"/>
        <w:jc w:val="both"/>
        <w:rPr>
          <w:rFonts w:ascii="Garamond" w:hAnsi="Garamond"/>
          <w:lang w:val="cs-CZ"/>
        </w:rPr>
      </w:pPr>
      <w:r w:rsidRPr="004F28C8">
        <w:rPr>
          <w:rStyle w:val="FootnoteReference"/>
          <w:rFonts w:ascii="Garamond" w:hAnsi="Garamond"/>
        </w:rPr>
        <w:footnoteRef/>
      </w:r>
      <w:r w:rsidRPr="004F28C8">
        <w:rPr>
          <w:rFonts w:ascii="Garamond" w:hAnsi="Garamond"/>
        </w:rPr>
        <w:t xml:space="preserve"> </w:t>
      </w:r>
      <w:r w:rsidRPr="004F28C8">
        <w:rPr>
          <w:rFonts w:ascii="Garamond" w:hAnsi="Garamond"/>
          <w:lang w:val="cs-CZ"/>
        </w:rPr>
        <w:t xml:space="preserve">Rozsudek ESLP ze dne 29.4.2002, ve věci </w:t>
      </w:r>
      <w:r w:rsidRPr="004F28C8">
        <w:rPr>
          <w:rFonts w:ascii="Garamond" w:hAnsi="Garamond"/>
          <w:lang w:val="cs-CZ"/>
        </w:rPr>
        <w:t>Pretty proti Spojenému království, bod 89.</w:t>
      </w:r>
    </w:p>
  </w:footnote>
  <w:footnote w:id="105">
    <w:p w14:paraId="115E3926" w14:textId="267F7484" w:rsidR="007E0120" w:rsidRPr="004F28C8" w:rsidRDefault="007E0120" w:rsidP="004F28C8">
      <w:pPr>
        <w:pStyle w:val="FootnoteText"/>
        <w:jc w:val="both"/>
        <w:rPr>
          <w:rFonts w:ascii="Garamond" w:hAnsi="Garamond"/>
          <w:lang w:val="cs-CZ"/>
        </w:rPr>
      </w:pPr>
      <w:r w:rsidRPr="004F28C8">
        <w:rPr>
          <w:rStyle w:val="FootnoteReference"/>
          <w:rFonts w:ascii="Garamond" w:hAnsi="Garamond"/>
        </w:rPr>
        <w:footnoteRef/>
      </w:r>
      <w:r w:rsidRPr="004F28C8">
        <w:rPr>
          <w:rFonts w:ascii="Garamond" w:hAnsi="Garamond"/>
        </w:rPr>
        <w:t xml:space="preserve"> </w:t>
      </w:r>
      <w:r w:rsidRPr="004F28C8">
        <w:rPr>
          <w:rFonts w:ascii="Garamond" w:hAnsi="Garamond"/>
          <w:lang w:val="cs-CZ"/>
        </w:rPr>
        <w:t>Tamtéž.</w:t>
      </w:r>
    </w:p>
  </w:footnote>
  <w:footnote w:id="106">
    <w:p w14:paraId="378D8EC7" w14:textId="71E64E78" w:rsidR="007E0120" w:rsidRPr="00BE4735" w:rsidRDefault="007E0120" w:rsidP="00BE4735">
      <w:pPr>
        <w:pStyle w:val="FootnoteText"/>
        <w:jc w:val="both"/>
        <w:rPr>
          <w:rFonts w:ascii="Garamond" w:hAnsi="Garamond"/>
          <w:lang w:val="cs-CZ"/>
        </w:rPr>
      </w:pPr>
      <w:r w:rsidRPr="00BE4735">
        <w:rPr>
          <w:rStyle w:val="FootnoteReference"/>
          <w:rFonts w:ascii="Garamond" w:hAnsi="Garamond"/>
        </w:rPr>
        <w:footnoteRef/>
      </w:r>
      <w:r w:rsidRPr="00BE4735">
        <w:rPr>
          <w:rFonts w:ascii="Garamond" w:hAnsi="Garamond"/>
        </w:rPr>
        <w:t xml:space="preserve"> </w:t>
      </w:r>
      <w:r w:rsidRPr="00BE4735">
        <w:rPr>
          <w:rFonts w:ascii="Garamond" w:hAnsi="Garamond"/>
          <w:lang w:val="cs-CZ"/>
        </w:rPr>
        <w:t>Rozsudek ESLP ze dne 20.1.2011, ve věci Haas proti Švýcarsku</w:t>
      </w:r>
    </w:p>
  </w:footnote>
  <w:footnote w:id="107">
    <w:p w14:paraId="760C2BC6" w14:textId="4E82F3F3" w:rsidR="007E0120" w:rsidRPr="008D5519" w:rsidRDefault="007E0120" w:rsidP="008D5519">
      <w:pPr>
        <w:pStyle w:val="FootnoteText"/>
        <w:jc w:val="both"/>
        <w:rPr>
          <w:rFonts w:ascii="Garamond" w:hAnsi="Garamond"/>
          <w:lang w:val="cs-CZ"/>
        </w:rPr>
      </w:pPr>
      <w:r w:rsidRPr="008D5519">
        <w:rPr>
          <w:rStyle w:val="FootnoteReference"/>
          <w:rFonts w:ascii="Garamond" w:hAnsi="Garamond"/>
        </w:rPr>
        <w:footnoteRef/>
      </w:r>
      <w:r w:rsidRPr="008D5519">
        <w:rPr>
          <w:rFonts w:ascii="Garamond" w:hAnsi="Garamond"/>
        </w:rPr>
        <w:t xml:space="preserve"> </w:t>
      </w:r>
      <w:r w:rsidRPr="004F28C8">
        <w:rPr>
          <w:rFonts w:ascii="Garamond" w:hAnsi="Garamond"/>
          <w:lang w:val="cs-CZ"/>
        </w:rPr>
        <w:t xml:space="preserve">Rozsudek ESLP ze dne 29.4.2002, ve věci </w:t>
      </w:r>
      <w:r w:rsidRPr="004F28C8">
        <w:rPr>
          <w:rFonts w:ascii="Garamond" w:hAnsi="Garamond"/>
          <w:lang w:val="cs-CZ"/>
        </w:rPr>
        <w:t xml:space="preserve">Pretty proti Spojenému království, </w:t>
      </w:r>
      <w:r w:rsidRPr="008D5519">
        <w:rPr>
          <w:rFonts w:ascii="Garamond" w:hAnsi="Garamond"/>
          <w:lang w:val="cs-CZ"/>
        </w:rPr>
        <w:t>body 61-67.</w:t>
      </w:r>
    </w:p>
  </w:footnote>
  <w:footnote w:id="108">
    <w:p w14:paraId="5210FFE4" w14:textId="1229F5EB" w:rsidR="007E0120" w:rsidRPr="008D5519" w:rsidRDefault="007E0120" w:rsidP="008D5519">
      <w:pPr>
        <w:pStyle w:val="FootnoteText"/>
        <w:jc w:val="both"/>
        <w:rPr>
          <w:rFonts w:ascii="Garamond" w:hAnsi="Garamond"/>
          <w:lang w:val="cs-CZ"/>
        </w:rPr>
      </w:pPr>
      <w:r w:rsidRPr="008D5519">
        <w:rPr>
          <w:rStyle w:val="FootnoteReference"/>
          <w:rFonts w:ascii="Garamond" w:hAnsi="Garamond"/>
        </w:rPr>
        <w:footnoteRef/>
      </w:r>
      <w:r w:rsidRPr="008D5519">
        <w:rPr>
          <w:rFonts w:ascii="Garamond" w:hAnsi="Garamond"/>
        </w:rPr>
        <w:t xml:space="preserve"> </w:t>
      </w:r>
      <w:r w:rsidRPr="008D5519">
        <w:rPr>
          <w:rFonts w:ascii="Garamond" w:hAnsi="Garamond"/>
          <w:b/>
        </w:rPr>
        <w:t xml:space="preserve">Srov. </w:t>
      </w:r>
      <w:r w:rsidRPr="008D5519">
        <w:rPr>
          <w:rFonts w:ascii="Garamond" w:hAnsi="Garamond"/>
          <w:lang w:val="cs-CZ"/>
        </w:rPr>
        <w:t xml:space="preserve">MADEJ, Martin. </w:t>
      </w:r>
      <w:r w:rsidRPr="008D5519">
        <w:rPr>
          <w:rFonts w:ascii="Garamond" w:hAnsi="Garamond"/>
          <w:i/>
          <w:lang w:val="cs-CZ"/>
        </w:rPr>
        <w:t>Meze základních práv v České republice</w:t>
      </w:r>
      <w:r w:rsidRPr="008D5519">
        <w:rPr>
          <w:rFonts w:ascii="Garamond" w:hAnsi="Garamond"/>
          <w:lang w:val="cs-CZ"/>
        </w:rPr>
        <w:t>. Praha: Leges, 2018, s. 1</w:t>
      </w:r>
      <w:r>
        <w:rPr>
          <w:rFonts w:ascii="Garamond" w:hAnsi="Garamond"/>
          <w:lang w:val="cs-CZ"/>
        </w:rPr>
        <w:t>33</w:t>
      </w:r>
      <w:r w:rsidRPr="008D5519">
        <w:rPr>
          <w:rFonts w:ascii="Garamond" w:hAnsi="Garamond"/>
          <w:lang w:val="cs-CZ"/>
        </w:rPr>
        <w:t>.</w:t>
      </w:r>
    </w:p>
  </w:footnote>
  <w:footnote w:id="109">
    <w:p w14:paraId="58251D6D" w14:textId="563ACBF8" w:rsidR="007E0120" w:rsidRPr="00475B21" w:rsidRDefault="007E0120" w:rsidP="00475B21">
      <w:pPr>
        <w:pStyle w:val="FootnoteText"/>
        <w:jc w:val="both"/>
        <w:rPr>
          <w:rFonts w:ascii="Garamond" w:hAnsi="Garamond"/>
          <w:lang w:val="cs-CZ"/>
        </w:rPr>
      </w:pPr>
      <w:r w:rsidRPr="00475B21">
        <w:rPr>
          <w:rStyle w:val="FootnoteReference"/>
          <w:rFonts w:ascii="Garamond" w:hAnsi="Garamond"/>
        </w:rPr>
        <w:footnoteRef/>
      </w:r>
      <w:r w:rsidRPr="00475B21">
        <w:rPr>
          <w:rFonts w:ascii="Garamond" w:hAnsi="Garamond"/>
        </w:rPr>
        <w:t xml:space="preserve"> </w:t>
      </w:r>
      <w:r w:rsidRPr="0019729F">
        <w:rPr>
          <w:rFonts w:ascii="Garamond" w:hAnsi="Garamond"/>
        </w:rPr>
        <w:t xml:space="preserve">BLACK, </w:t>
      </w:r>
      <w:r w:rsidRPr="0019729F">
        <w:rPr>
          <w:rFonts w:ascii="Garamond" w:hAnsi="Garamond"/>
        </w:rPr>
        <w:t xml:space="preserve">Isra. Refusing Life-Prolonging Medical Treatment and the ECHR. </w:t>
      </w:r>
      <w:r w:rsidRPr="003A6ADD">
        <w:rPr>
          <w:rFonts w:ascii="Garamond" w:hAnsi="Garamond"/>
          <w:i/>
        </w:rPr>
        <w:t>Oxford Journal of Legal Studies</w:t>
      </w:r>
      <w:r>
        <w:rPr>
          <w:rFonts w:ascii="Garamond" w:hAnsi="Garamond"/>
          <w:iCs/>
        </w:rPr>
        <w:t>,</w:t>
      </w:r>
      <w:r w:rsidRPr="0019729F">
        <w:rPr>
          <w:rFonts w:ascii="Garamond" w:hAnsi="Garamond"/>
        </w:rPr>
        <w:t xml:space="preserve"> 2018, </w:t>
      </w:r>
      <w:r w:rsidRPr="00B67A1C">
        <w:rPr>
          <w:rFonts w:ascii="Garamond" w:hAnsi="Garamond"/>
          <w:lang w:val="cs-CZ"/>
        </w:rPr>
        <w:t>roč.</w:t>
      </w:r>
      <w:r w:rsidRPr="0019729F">
        <w:rPr>
          <w:rFonts w:ascii="Garamond" w:hAnsi="Garamond"/>
        </w:rPr>
        <w:t xml:space="preserve"> 38, č. 2, s. 299-327.</w:t>
      </w:r>
    </w:p>
  </w:footnote>
  <w:footnote w:id="110">
    <w:p w14:paraId="15609B42" w14:textId="488E5688" w:rsidR="007E0120" w:rsidRPr="00802732" w:rsidRDefault="007E0120" w:rsidP="00802732">
      <w:pPr>
        <w:pStyle w:val="FootnoteText"/>
        <w:jc w:val="both"/>
        <w:rPr>
          <w:rFonts w:ascii="Garamond" w:hAnsi="Garamond"/>
          <w:lang w:val="cs-CZ"/>
        </w:rPr>
      </w:pPr>
      <w:r w:rsidRPr="00802732">
        <w:rPr>
          <w:rStyle w:val="FootnoteReference"/>
          <w:rFonts w:ascii="Garamond" w:hAnsi="Garamond"/>
        </w:rPr>
        <w:footnoteRef/>
      </w:r>
      <w:r w:rsidRPr="00802732">
        <w:rPr>
          <w:rFonts w:ascii="Garamond" w:hAnsi="Garamond"/>
        </w:rPr>
        <w:t xml:space="preserve"> </w:t>
      </w:r>
      <w:r w:rsidRPr="00802732">
        <w:rPr>
          <w:rFonts w:ascii="Garamond" w:hAnsi="Garamond"/>
          <w:lang w:val="cs-CZ"/>
        </w:rPr>
        <w:t>Tamtéž, s. 322.</w:t>
      </w:r>
    </w:p>
  </w:footnote>
  <w:footnote w:id="111">
    <w:p w14:paraId="6ADF23B6" w14:textId="1C70D16A" w:rsidR="007E0120" w:rsidRPr="00475B21" w:rsidRDefault="007E0120" w:rsidP="00475B21">
      <w:pPr>
        <w:pStyle w:val="FootnoteText"/>
        <w:jc w:val="both"/>
        <w:rPr>
          <w:lang w:val="cs-CZ"/>
        </w:rPr>
      </w:pPr>
      <w:r w:rsidRPr="00475B21">
        <w:rPr>
          <w:rStyle w:val="FootnoteReference"/>
          <w:rFonts w:ascii="Garamond" w:hAnsi="Garamond"/>
        </w:rPr>
        <w:footnoteRef/>
      </w:r>
      <w:r w:rsidRPr="00475B21">
        <w:rPr>
          <w:rFonts w:ascii="Garamond" w:hAnsi="Garamond"/>
        </w:rPr>
        <w:t xml:space="preserve"> </w:t>
      </w:r>
      <w:r w:rsidRPr="00475B21">
        <w:rPr>
          <w:rFonts w:ascii="Garamond" w:hAnsi="Garamond"/>
          <w:lang w:val="cs-CZ"/>
        </w:rPr>
        <w:t xml:space="preserve">Článek 5 Úmluvy o lidských právech a biomedicíně stanoví: </w:t>
      </w:r>
      <w:r w:rsidRPr="00475B21">
        <w:rPr>
          <w:rFonts w:ascii="Garamond" w:hAnsi="Garamond"/>
          <w:i/>
          <w:lang w:val="cs-CZ"/>
        </w:rPr>
        <w:t>Jakýkoli zákrok v oblasti péče o zdraví je možno provést pouze za podmínky, že k němu dotčená osoba poskytla svobodný a informovaný souhlas</w:t>
      </w:r>
      <w:r w:rsidRPr="00475B21">
        <w:rPr>
          <w:rFonts w:ascii="Garamond" w:hAnsi="Garamond"/>
          <w:lang w:val="cs-CZ"/>
        </w:rPr>
        <w:t>.</w:t>
      </w:r>
    </w:p>
  </w:footnote>
  <w:footnote w:id="112">
    <w:p w14:paraId="048AD3AB" w14:textId="7A3AB7F7" w:rsidR="007E0120" w:rsidRPr="0019729F" w:rsidRDefault="007E0120" w:rsidP="0019729F">
      <w:pPr>
        <w:pStyle w:val="FootnoteText"/>
        <w:jc w:val="both"/>
        <w:rPr>
          <w:rFonts w:ascii="Garamond" w:hAnsi="Garamond"/>
          <w:lang w:val="cs-CZ"/>
        </w:rPr>
      </w:pPr>
      <w:r w:rsidRPr="0019729F">
        <w:rPr>
          <w:rStyle w:val="FootnoteReference"/>
          <w:rFonts w:ascii="Garamond" w:hAnsi="Garamond"/>
        </w:rPr>
        <w:footnoteRef/>
      </w:r>
      <w:r w:rsidRPr="0019729F">
        <w:rPr>
          <w:rFonts w:ascii="Garamond" w:hAnsi="Garamond"/>
        </w:rPr>
        <w:t xml:space="preserve"> </w:t>
      </w:r>
      <w:r w:rsidRPr="0019729F">
        <w:rPr>
          <w:rFonts w:ascii="Garamond" w:hAnsi="Garamond"/>
          <w:lang w:val="cs-CZ"/>
        </w:rPr>
        <w:t xml:space="preserve">BLACK, </w:t>
      </w:r>
      <w:r w:rsidRPr="003A6ADD">
        <w:rPr>
          <w:rFonts w:ascii="Garamond" w:hAnsi="Garamond"/>
        </w:rPr>
        <w:t xml:space="preserve">Isra. Refusing Life-Prolonging Medical Treatment and the ECHR. </w:t>
      </w:r>
      <w:r w:rsidRPr="003A6ADD">
        <w:rPr>
          <w:rFonts w:ascii="Garamond" w:hAnsi="Garamond"/>
          <w:i/>
        </w:rPr>
        <w:t>Oxford Journal of Legal Studies</w:t>
      </w:r>
      <w:r>
        <w:rPr>
          <w:rFonts w:ascii="Garamond" w:hAnsi="Garamond"/>
        </w:rPr>
        <w:t>,</w:t>
      </w:r>
      <w:r w:rsidRPr="0019729F">
        <w:rPr>
          <w:rFonts w:ascii="Garamond" w:hAnsi="Garamond"/>
          <w:lang w:val="cs-CZ"/>
        </w:rPr>
        <w:t xml:space="preserve"> 2018, roč. 38, č. 2, s.</w:t>
      </w:r>
      <w:r>
        <w:rPr>
          <w:rFonts w:ascii="Garamond" w:hAnsi="Garamond"/>
          <w:lang w:val="cs-CZ"/>
        </w:rPr>
        <w:t xml:space="preserve"> 323.</w:t>
      </w:r>
    </w:p>
  </w:footnote>
  <w:footnote w:id="113">
    <w:p w14:paraId="1043582F" w14:textId="66607B9F" w:rsidR="007E0120" w:rsidRPr="008A7D0F" w:rsidRDefault="007E0120" w:rsidP="008A7D0F">
      <w:pPr>
        <w:pStyle w:val="FootnoteText"/>
        <w:jc w:val="both"/>
        <w:rPr>
          <w:rFonts w:ascii="Garamond" w:hAnsi="Garamond"/>
          <w:lang w:val="cs-CZ"/>
        </w:rPr>
      </w:pPr>
      <w:r w:rsidRPr="008A7D0F">
        <w:rPr>
          <w:rStyle w:val="FootnoteReference"/>
          <w:rFonts w:ascii="Garamond" w:hAnsi="Garamond"/>
        </w:rPr>
        <w:footnoteRef/>
      </w:r>
      <w:r w:rsidRPr="008A7D0F">
        <w:rPr>
          <w:rFonts w:ascii="Garamond" w:hAnsi="Garamond"/>
        </w:rPr>
        <w:t xml:space="preserve"> </w:t>
      </w:r>
      <w:r w:rsidRPr="008A7D0F">
        <w:rPr>
          <w:rFonts w:ascii="Garamond" w:hAnsi="Garamond"/>
          <w:lang w:val="cs-CZ"/>
        </w:rPr>
        <w:t>Rozsudek ESLP ze dne 20.1.2011, ve věci Haas proti Švýcarsku</w:t>
      </w:r>
    </w:p>
  </w:footnote>
  <w:footnote w:id="114">
    <w:p w14:paraId="0FF6C0BB" w14:textId="12D905AD" w:rsidR="007E0120" w:rsidRPr="00F165B8" w:rsidRDefault="007E0120" w:rsidP="004C67A8">
      <w:pPr>
        <w:pStyle w:val="FootnoteText"/>
        <w:jc w:val="both"/>
        <w:rPr>
          <w:rFonts w:ascii="Garamond" w:hAnsi="Garamond"/>
          <w:lang w:val="cs-CZ"/>
        </w:rPr>
      </w:pPr>
      <w:r w:rsidRPr="00F165B8">
        <w:rPr>
          <w:rStyle w:val="FootnoteReference"/>
          <w:rFonts w:ascii="Garamond" w:hAnsi="Garamond"/>
          <w:lang w:val="cs-CZ"/>
        </w:rPr>
        <w:footnoteRef/>
      </w:r>
      <w:r w:rsidRPr="00F165B8">
        <w:rPr>
          <w:rFonts w:ascii="Garamond" w:hAnsi="Garamond"/>
          <w:lang w:val="cs-CZ"/>
        </w:rPr>
        <w:t xml:space="preserve"> </w:t>
      </w:r>
      <w:r>
        <w:rPr>
          <w:rFonts w:ascii="Garamond" w:hAnsi="Garamond"/>
          <w:lang w:val="cs-CZ"/>
        </w:rPr>
        <w:t>Tamtéž</w:t>
      </w:r>
      <w:r w:rsidRPr="00F165B8">
        <w:rPr>
          <w:rFonts w:ascii="Garamond" w:hAnsi="Garamond"/>
          <w:lang w:val="cs-CZ"/>
        </w:rPr>
        <w:t>, bod 51.</w:t>
      </w:r>
    </w:p>
  </w:footnote>
  <w:footnote w:id="115">
    <w:p w14:paraId="5872CCCF" w14:textId="794025FD" w:rsidR="007E0120" w:rsidRPr="004C67A8" w:rsidRDefault="007E0120" w:rsidP="004C67A8">
      <w:pPr>
        <w:pStyle w:val="FootnoteText"/>
        <w:jc w:val="both"/>
        <w:rPr>
          <w:rFonts w:ascii="Garamond" w:hAnsi="Garamond"/>
          <w:lang w:val="cs-CZ"/>
        </w:rPr>
      </w:pPr>
      <w:r w:rsidRPr="004C67A8">
        <w:rPr>
          <w:rStyle w:val="FootnoteReference"/>
          <w:rFonts w:ascii="Garamond" w:hAnsi="Garamond"/>
        </w:rPr>
        <w:footnoteRef/>
      </w:r>
      <w:r w:rsidRPr="004C67A8">
        <w:rPr>
          <w:rFonts w:ascii="Garamond" w:hAnsi="Garamond"/>
        </w:rPr>
        <w:t xml:space="preserve"> </w:t>
      </w:r>
      <w:r w:rsidRPr="004C67A8">
        <w:rPr>
          <w:rFonts w:ascii="Garamond" w:hAnsi="Garamond"/>
          <w:lang w:val="cs-CZ"/>
        </w:rPr>
        <w:t>Tamtéž, bod 55.</w:t>
      </w:r>
    </w:p>
  </w:footnote>
  <w:footnote w:id="116">
    <w:p w14:paraId="34E05A86" w14:textId="33821FFB" w:rsidR="007E0120" w:rsidRPr="004C67A8" w:rsidRDefault="007E0120" w:rsidP="004C67A8">
      <w:pPr>
        <w:pStyle w:val="FootnoteText"/>
        <w:jc w:val="both"/>
        <w:rPr>
          <w:rFonts w:ascii="Garamond" w:hAnsi="Garamond"/>
          <w:lang w:val="cs-CZ"/>
        </w:rPr>
      </w:pPr>
      <w:r w:rsidRPr="004C67A8">
        <w:rPr>
          <w:rStyle w:val="FootnoteReference"/>
          <w:rFonts w:ascii="Garamond" w:hAnsi="Garamond"/>
        </w:rPr>
        <w:footnoteRef/>
      </w:r>
      <w:r w:rsidRPr="004C67A8">
        <w:rPr>
          <w:rFonts w:ascii="Garamond" w:hAnsi="Garamond"/>
        </w:rPr>
        <w:t xml:space="preserve"> </w:t>
      </w:r>
      <w:r w:rsidRPr="004C67A8">
        <w:rPr>
          <w:rFonts w:ascii="Garamond" w:hAnsi="Garamond"/>
          <w:lang w:val="cs-CZ"/>
        </w:rPr>
        <w:t>Tamtéž, bod 56.</w:t>
      </w:r>
    </w:p>
  </w:footnote>
  <w:footnote w:id="117">
    <w:p w14:paraId="1AA1E64E" w14:textId="182240B4" w:rsidR="007E0120" w:rsidRPr="004C67A8" w:rsidRDefault="007E0120" w:rsidP="004C67A8">
      <w:pPr>
        <w:pStyle w:val="FootnoteText"/>
        <w:jc w:val="both"/>
        <w:rPr>
          <w:lang w:val="cs-CZ"/>
        </w:rPr>
      </w:pPr>
      <w:r w:rsidRPr="004C67A8">
        <w:rPr>
          <w:rStyle w:val="FootnoteReference"/>
          <w:rFonts w:ascii="Garamond" w:hAnsi="Garamond"/>
        </w:rPr>
        <w:footnoteRef/>
      </w:r>
      <w:r w:rsidRPr="004C67A8">
        <w:rPr>
          <w:rFonts w:ascii="Garamond" w:hAnsi="Garamond"/>
        </w:rPr>
        <w:t xml:space="preserve"> </w:t>
      </w:r>
      <w:r w:rsidRPr="004C67A8">
        <w:rPr>
          <w:rFonts w:ascii="Garamond" w:hAnsi="Garamond"/>
          <w:lang w:val="cs-CZ"/>
        </w:rPr>
        <w:t>Tamtéž, bod 57.</w:t>
      </w:r>
    </w:p>
  </w:footnote>
  <w:footnote w:id="118">
    <w:p w14:paraId="681D7593" w14:textId="4452B95D" w:rsidR="007E0120" w:rsidRPr="00493BF9" w:rsidRDefault="007E0120" w:rsidP="00493BF9">
      <w:pPr>
        <w:pStyle w:val="FootnoteText"/>
        <w:jc w:val="both"/>
        <w:rPr>
          <w:rFonts w:ascii="Garamond" w:hAnsi="Garamond"/>
          <w:lang w:val="cs-CZ"/>
        </w:rPr>
      </w:pPr>
      <w:r w:rsidRPr="00493BF9">
        <w:rPr>
          <w:rStyle w:val="FootnoteReference"/>
          <w:rFonts w:ascii="Garamond" w:hAnsi="Garamond"/>
        </w:rPr>
        <w:footnoteRef/>
      </w:r>
      <w:r w:rsidRPr="00493BF9">
        <w:rPr>
          <w:rFonts w:ascii="Garamond" w:hAnsi="Garamond"/>
        </w:rPr>
        <w:t xml:space="preserve"> HARMON, Shawn H.E., SETHI, </w:t>
      </w:r>
      <w:r w:rsidRPr="00493BF9">
        <w:rPr>
          <w:rFonts w:ascii="Garamond" w:hAnsi="Garamond"/>
        </w:rPr>
        <w:t xml:space="preserve">Nayha. Preserving Life and Facilitating Death: What role for Government after Haas v. Switzerland. </w:t>
      </w:r>
      <w:r w:rsidRPr="00493BF9">
        <w:rPr>
          <w:rFonts w:ascii="Garamond" w:hAnsi="Garamond"/>
          <w:i/>
        </w:rPr>
        <w:t xml:space="preserve">European Journal of Health </w:t>
      </w:r>
      <w:r w:rsidRPr="00493BF9">
        <w:rPr>
          <w:rFonts w:ascii="Garamond" w:hAnsi="Garamond"/>
        </w:rPr>
        <w:t>Law</w:t>
      </w:r>
      <w:r>
        <w:rPr>
          <w:rFonts w:ascii="Garamond" w:hAnsi="Garamond"/>
        </w:rPr>
        <w:t>,</w:t>
      </w:r>
      <w:r w:rsidRPr="00493BF9">
        <w:rPr>
          <w:rFonts w:ascii="Garamond" w:hAnsi="Garamond"/>
        </w:rPr>
        <w:t xml:space="preserve"> 2011, </w:t>
      </w:r>
      <w:r w:rsidRPr="00B67A1C">
        <w:rPr>
          <w:rFonts w:ascii="Garamond" w:hAnsi="Garamond"/>
          <w:lang w:val="cs-CZ"/>
        </w:rPr>
        <w:t>roč.</w:t>
      </w:r>
      <w:r w:rsidRPr="00493BF9">
        <w:rPr>
          <w:rFonts w:ascii="Garamond" w:hAnsi="Garamond"/>
        </w:rPr>
        <w:t xml:space="preserve"> 18, č. 4, </w:t>
      </w:r>
      <w:r w:rsidRPr="00493BF9">
        <w:rPr>
          <w:rFonts w:ascii="Garamond" w:hAnsi="Garamond"/>
          <w:lang w:val="cs-CZ"/>
        </w:rPr>
        <w:t>s. 362</w:t>
      </w:r>
    </w:p>
  </w:footnote>
  <w:footnote w:id="119">
    <w:p w14:paraId="67D80C9E" w14:textId="5ED69FCF" w:rsidR="007E0120" w:rsidRPr="004C67A8" w:rsidRDefault="007E0120" w:rsidP="004C67A8">
      <w:pPr>
        <w:pStyle w:val="FootnoteText"/>
        <w:jc w:val="both"/>
        <w:rPr>
          <w:rFonts w:ascii="Garamond" w:hAnsi="Garamond"/>
          <w:lang w:val="cs-CZ"/>
        </w:rPr>
      </w:pPr>
      <w:r w:rsidRPr="004C67A8">
        <w:rPr>
          <w:rStyle w:val="FootnoteReference"/>
          <w:rFonts w:ascii="Garamond" w:hAnsi="Garamond"/>
        </w:rPr>
        <w:footnoteRef/>
      </w:r>
      <w:r w:rsidRPr="004C67A8">
        <w:rPr>
          <w:rFonts w:ascii="Garamond" w:hAnsi="Garamond"/>
        </w:rPr>
        <w:t xml:space="preserve"> </w:t>
      </w:r>
      <w:r w:rsidRPr="004C67A8">
        <w:rPr>
          <w:rFonts w:ascii="Garamond" w:hAnsi="Garamond"/>
          <w:lang w:val="cs-CZ"/>
        </w:rPr>
        <w:t>Tamtéž, s. 362.</w:t>
      </w:r>
    </w:p>
  </w:footnote>
  <w:footnote w:id="120">
    <w:p w14:paraId="5BC12DBB" w14:textId="0CE361C5" w:rsidR="007E0120" w:rsidRPr="00493BF9" w:rsidRDefault="007E0120" w:rsidP="00493BF9">
      <w:pPr>
        <w:pStyle w:val="FootnoteText"/>
        <w:jc w:val="both"/>
        <w:rPr>
          <w:rFonts w:ascii="Garamond" w:hAnsi="Garamond"/>
          <w:lang w:val="cs-CZ"/>
        </w:rPr>
      </w:pPr>
      <w:r w:rsidRPr="00493BF9">
        <w:rPr>
          <w:rStyle w:val="FootnoteReference"/>
          <w:rFonts w:ascii="Garamond" w:hAnsi="Garamond"/>
        </w:rPr>
        <w:footnoteRef/>
      </w:r>
      <w:r w:rsidRPr="00493BF9">
        <w:rPr>
          <w:rFonts w:ascii="Garamond" w:hAnsi="Garamond"/>
        </w:rPr>
        <w:t xml:space="preserve"> </w:t>
      </w:r>
      <w:r w:rsidRPr="006F3217">
        <w:rPr>
          <w:rFonts w:ascii="Garamond" w:hAnsi="Garamond"/>
          <w:lang w:val="cs-CZ"/>
        </w:rPr>
        <w:t>Tamtéž</w:t>
      </w:r>
      <w:r w:rsidRPr="00493BF9">
        <w:rPr>
          <w:rFonts w:ascii="Garamond" w:hAnsi="Garamond"/>
        </w:rPr>
        <w:t xml:space="preserve">, s. </w:t>
      </w:r>
      <w:r w:rsidRPr="00493BF9">
        <w:rPr>
          <w:rFonts w:ascii="Garamond" w:hAnsi="Garamond"/>
          <w:lang w:val="cs-CZ"/>
        </w:rPr>
        <w:t>363-364</w:t>
      </w:r>
    </w:p>
  </w:footnote>
  <w:footnote w:id="121">
    <w:p w14:paraId="2E4E3B66" w14:textId="197AE85A" w:rsidR="007E0120" w:rsidRPr="00F165B8" w:rsidRDefault="007E0120" w:rsidP="00F165B8">
      <w:pPr>
        <w:pStyle w:val="FootnoteText"/>
        <w:jc w:val="both"/>
        <w:rPr>
          <w:rFonts w:ascii="Garamond" w:hAnsi="Garamond"/>
          <w:lang w:val="cs-CZ"/>
        </w:rPr>
      </w:pPr>
      <w:r w:rsidRPr="00F165B8">
        <w:rPr>
          <w:rStyle w:val="FootnoteReference"/>
          <w:rFonts w:ascii="Garamond" w:hAnsi="Garamond"/>
        </w:rPr>
        <w:footnoteRef/>
      </w:r>
      <w:r w:rsidRPr="00F165B8">
        <w:rPr>
          <w:rFonts w:ascii="Garamond" w:hAnsi="Garamond"/>
        </w:rPr>
        <w:t xml:space="preserve"> </w:t>
      </w:r>
      <w:r w:rsidRPr="00F165B8">
        <w:rPr>
          <w:rFonts w:ascii="Garamond" w:hAnsi="Garamond"/>
          <w:lang w:val="cs-CZ"/>
        </w:rPr>
        <w:t>Rozsudek ESLP ze dne 19.7.2012, ve věci Koch proti Německu, bod 45.</w:t>
      </w:r>
    </w:p>
  </w:footnote>
  <w:footnote w:id="122">
    <w:p w14:paraId="3AD7601E" w14:textId="49F75630" w:rsidR="007E0120" w:rsidRPr="00F165B8" w:rsidRDefault="007E0120" w:rsidP="00F165B8">
      <w:pPr>
        <w:pStyle w:val="FootnoteText"/>
        <w:jc w:val="both"/>
        <w:rPr>
          <w:rFonts w:ascii="Garamond" w:hAnsi="Garamond"/>
          <w:lang w:val="cs-CZ"/>
        </w:rPr>
      </w:pPr>
      <w:r w:rsidRPr="00F165B8">
        <w:rPr>
          <w:rStyle w:val="FootnoteReference"/>
          <w:rFonts w:ascii="Garamond" w:hAnsi="Garamond"/>
        </w:rPr>
        <w:footnoteRef/>
      </w:r>
      <w:r w:rsidRPr="00F165B8">
        <w:rPr>
          <w:rFonts w:ascii="Garamond" w:hAnsi="Garamond"/>
        </w:rPr>
        <w:t xml:space="preserve"> </w:t>
      </w:r>
      <w:r w:rsidR="00513C3D" w:rsidRPr="00F165B8">
        <w:rPr>
          <w:rFonts w:ascii="Garamond" w:hAnsi="Garamond"/>
          <w:lang w:val="cs-CZ"/>
        </w:rPr>
        <w:t>Rozsudek ESLP ze dne 19.7.2012, ve věci Koch proti Německu</w:t>
      </w:r>
      <w:r w:rsidRPr="00F165B8">
        <w:rPr>
          <w:rFonts w:ascii="Garamond" w:hAnsi="Garamond"/>
          <w:lang w:val="cs-CZ"/>
        </w:rPr>
        <w:t>, bod 45-50.</w:t>
      </w:r>
    </w:p>
  </w:footnote>
  <w:footnote w:id="123">
    <w:p w14:paraId="689299EB" w14:textId="3EACEBAD" w:rsidR="007E0120" w:rsidRPr="00F165B8" w:rsidRDefault="007E0120" w:rsidP="00F165B8">
      <w:pPr>
        <w:pStyle w:val="FootnoteText"/>
        <w:jc w:val="both"/>
        <w:rPr>
          <w:rFonts w:ascii="Garamond" w:hAnsi="Garamond"/>
          <w:lang w:val="cs-CZ"/>
        </w:rPr>
      </w:pPr>
      <w:r w:rsidRPr="00F165B8">
        <w:rPr>
          <w:rStyle w:val="FootnoteReference"/>
          <w:rFonts w:ascii="Garamond" w:hAnsi="Garamond"/>
        </w:rPr>
        <w:footnoteRef/>
      </w:r>
      <w:r w:rsidRPr="00F165B8">
        <w:rPr>
          <w:rFonts w:ascii="Garamond" w:hAnsi="Garamond"/>
        </w:rPr>
        <w:t xml:space="preserve"> </w:t>
      </w:r>
      <w:r w:rsidRPr="00F165B8">
        <w:rPr>
          <w:rFonts w:ascii="Garamond" w:hAnsi="Garamond"/>
          <w:lang w:val="cs-CZ"/>
        </w:rPr>
        <w:t>Tamtéž, bod 65.</w:t>
      </w:r>
    </w:p>
  </w:footnote>
  <w:footnote w:id="124">
    <w:p w14:paraId="6C1E770A" w14:textId="28CBA4BE" w:rsidR="007E0120" w:rsidRPr="00F165B8" w:rsidRDefault="007E0120" w:rsidP="00F165B8">
      <w:pPr>
        <w:pStyle w:val="FootnoteText"/>
        <w:jc w:val="both"/>
        <w:rPr>
          <w:rFonts w:ascii="Garamond" w:hAnsi="Garamond"/>
          <w:lang w:val="cs-CZ"/>
        </w:rPr>
      </w:pPr>
      <w:r w:rsidRPr="00F165B8">
        <w:rPr>
          <w:rStyle w:val="FootnoteReference"/>
          <w:rFonts w:ascii="Garamond" w:hAnsi="Garamond"/>
        </w:rPr>
        <w:footnoteRef/>
      </w:r>
      <w:r w:rsidRPr="00F165B8">
        <w:rPr>
          <w:rFonts w:ascii="Garamond" w:hAnsi="Garamond"/>
        </w:rPr>
        <w:t xml:space="preserve"> </w:t>
      </w:r>
      <w:r w:rsidRPr="00F165B8">
        <w:rPr>
          <w:rFonts w:ascii="Garamond" w:hAnsi="Garamond"/>
          <w:lang w:val="cs-CZ"/>
        </w:rPr>
        <w:t>Tamtéž, bod 67.</w:t>
      </w:r>
    </w:p>
  </w:footnote>
  <w:footnote w:id="125">
    <w:p w14:paraId="522479B4" w14:textId="340CE372" w:rsidR="007E0120" w:rsidRPr="00F165B8" w:rsidRDefault="007E0120" w:rsidP="00F165B8">
      <w:pPr>
        <w:pStyle w:val="FootnoteText"/>
        <w:jc w:val="both"/>
        <w:rPr>
          <w:lang w:val="cs-CZ"/>
        </w:rPr>
      </w:pPr>
      <w:r w:rsidRPr="00F165B8">
        <w:rPr>
          <w:rStyle w:val="FootnoteReference"/>
          <w:rFonts w:ascii="Garamond" w:hAnsi="Garamond"/>
        </w:rPr>
        <w:footnoteRef/>
      </w:r>
      <w:r w:rsidRPr="00F165B8">
        <w:rPr>
          <w:rFonts w:ascii="Garamond" w:hAnsi="Garamond"/>
        </w:rPr>
        <w:t xml:space="preserve"> </w:t>
      </w:r>
      <w:r w:rsidRPr="00F165B8">
        <w:rPr>
          <w:rFonts w:ascii="Garamond" w:hAnsi="Garamond"/>
          <w:lang w:val="cs-CZ"/>
        </w:rPr>
        <w:t>Tamtéž, bod 70-71.</w:t>
      </w:r>
    </w:p>
  </w:footnote>
  <w:footnote w:id="126">
    <w:p w14:paraId="4DE3267E" w14:textId="5FC9D4C8" w:rsidR="007E0120" w:rsidRPr="00102A34" w:rsidRDefault="007E0120" w:rsidP="00102A34">
      <w:pPr>
        <w:pStyle w:val="FootnoteText"/>
        <w:jc w:val="both"/>
        <w:rPr>
          <w:rFonts w:ascii="Garamond" w:hAnsi="Garamond"/>
          <w:lang w:val="cs-CZ"/>
        </w:rPr>
      </w:pPr>
      <w:r w:rsidRPr="00102A34">
        <w:rPr>
          <w:rStyle w:val="FootnoteReference"/>
          <w:rFonts w:ascii="Garamond" w:hAnsi="Garamond"/>
        </w:rPr>
        <w:footnoteRef/>
      </w:r>
      <w:r w:rsidRPr="00102A34">
        <w:rPr>
          <w:rFonts w:ascii="Garamond" w:hAnsi="Garamond"/>
        </w:rPr>
        <w:t xml:space="preserve"> </w:t>
      </w:r>
      <w:r w:rsidRPr="00102A34">
        <w:rPr>
          <w:rFonts w:ascii="Garamond" w:hAnsi="Garamond"/>
          <w:lang w:val="cs-CZ"/>
        </w:rPr>
        <w:t xml:space="preserve">Rozsudek Spolkového správního soudu Německa ze dne 2.3.2017, </w:t>
      </w:r>
      <w:r w:rsidRPr="00102A34">
        <w:rPr>
          <w:rFonts w:ascii="Garamond" w:hAnsi="Garamond"/>
          <w:lang w:val="cs-CZ"/>
        </w:rPr>
        <w:t>sp. zn. BVerwG 3 C 19.15</w:t>
      </w:r>
    </w:p>
  </w:footnote>
  <w:footnote w:id="127">
    <w:p w14:paraId="14F1ADD9" w14:textId="2B003E4A" w:rsidR="007E0120" w:rsidRPr="00361F19" w:rsidRDefault="007E0120" w:rsidP="00361F19">
      <w:pPr>
        <w:pStyle w:val="FootnoteText"/>
        <w:jc w:val="both"/>
        <w:rPr>
          <w:rFonts w:ascii="Garamond" w:hAnsi="Garamond"/>
          <w:lang w:val="cs-CZ"/>
        </w:rPr>
      </w:pPr>
      <w:r w:rsidRPr="00361F19">
        <w:rPr>
          <w:rStyle w:val="FootnoteReference"/>
          <w:rFonts w:ascii="Garamond" w:hAnsi="Garamond"/>
        </w:rPr>
        <w:footnoteRef/>
      </w:r>
      <w:r w:rsidRPr="00361F19">
        <w:rPr>
          <w:rFonts w:ascii="Garamond" w:hAnsi="Garamond"/>
        </w:rPr>
        <w:t xml:space="preserve"> </w:t>
      </w:r>
      <w:r w:rsidRPr="00361F19">
        <w:rPr>
          <w:rFonts w:ascii="Garamond" w:hAnsi="Garamond"/>
          <w:lang w:val="cs-CZ"/>
        </w:rPr>
        <w:t>Tamtéž, bod 27-31.</w:t>
      </w:r>
    </w:p>
  </w:footnote>
  <w:footnote w:id="128">
    <w:p w14:paraId="3C9C0092" w14:textId="7CA44F83" w:rsidR="007E0120" w:rsidRPr="00361F19" w:rsidRDefault="007E0120" w:rsidP="00361F19">
      <w:pPr>
        <w:pStyle w:val="FootnoteText"/>
        <w:jc w:val="both"/>
        <w:rPr>
          <w:rFonts w:ascii="Garamond" w:hAnsi="Garamond"/>
          <w:lang w:val="cs-CZ"/>
        </w:rPr>
      </w:pPr>
      <w:r w:rsidRPr="00361F19">
        <w:rPr>
          <w:rStyle w:val="FootnoteReference"/>
          <w:rFonts w:ascii="Garamond" w:hAnsi="Garamond"/>
        </w:rPr>
        <w:footnoteRef/>
      </w:r>
      <w:r w:rsidRPr="00361F19">
        <w:rPr>
          <w:rFonts w:ascii="Garamond" w:hAnsi="Garamond"/>
        </w:rPr>
        <w:t xml:space="preserve"> </w:t>
      </w:r>
      <w:r w:rsidRPr="00361F19">
        <w:rPr>
          <w:rFonts w:ascii="Garamond" w:hAnsi="Garamond"/>
          <w:lang w:val="cs-CZ"/>
        </w:rPr>
        <w:t>Tamtéž, bod 42.</w:t>
      </w:r>
    </w:p>
  </w:footnote>
  <w:footnote w:id="129">
    <w:p w14:paraId="38C2FC8A" w14:textId="3542D28B" w:rsidR="007E0120" w:rsidRPr="00445421" w:rsidRDefault="007E0120" w:rsidP="00510089">
      <w:pPr>
        <w:pStyle w:val="FootnoteText"/>
        <w:jc w:val="both"/>
        <w:rPr>
          <w:rFonts w:ascii="Garamond" w:hAnsi="Garamond"/>
          <w:lang w:val="de-DE"/>
        </w:rPr>
      </w:pPr>
      <w:r w:rsidRPr="00445421">
        <w:rPr>
          <w:rStyle w:val="FootnoteReference"/>
          <w:rFonts w:ascii="Garamond" w:hAnsi="Garamond"/>
          <w:lang w:val="de-DE"/>
        </w:rPr>
        <w:footnoteRef/>
      </w:r>
      <w:r w:rsidRPr="00445421">
        <w:rPr>
          <w:rFonts w:ascii="Garamond" w:hAnsi="Garamond"/>
          <w:lang w:val="de-DE"/>
        </w:rPr>
        <w:t xml:space="preserve"> Grundgesetz für die Bundesrepublik Deutschland (SRN)</w:t>
      </w:r>
    </w:p>
  </w:footnote>
  <w:footnote w:id="130">
    <w:p w14:paraId="67FC5C6F" w14:textId="74449213" w:rsidR="007E0120" w:rsidRPr="00445421" w:rsidRDefault="007E0120" w:rsidP="00906E21">
      <w:pPr>
        <w:pStyle w:val="FootnoteText"/>
        <w:jc w:val="both"/>
        <w:rPr>
          <w:rFonts w:ascii="Garamond" w:hAnsi="Garamond"/>
          <w:lang w:val="cs-CZ"/>
        </w:rPr>
      </w:pPr>
      <w:r w:rsidRPr="00445421">
        <w:rPr>
          <w:rStyle w:val="FootnoteReference"/>
          <w:rFonts w:ascii="Garamond" w:hAnsi="Garamond"/>
          <w:lang w:val="cs-CZ"/>
        </w:rPr>
        <w:footnoteRef/>
      </w:r>
      <w:r w:rsidRPr="00445421">
        <w:rPr>
          <w:rFonts w:ascii="Garamond" w:hAnsi="Garamond"/>
          <w:lang w:val="cs-CZ"/>
        </w:rPr>
        <w:t xml:space="preserve"> Rozsudek Spolkového správního soudu Německa ze dne 2.3.2017, </w:t>
      </w:r>
      <w:r w:rsidRPr="00445421">
        <w:rPr>
          <w:rFonts w:ascii="Garamond" w:hAnsi="Garamond"/>
          <w:lang w:val="cs-CZ"/>
        </w:rPr>
        <w:t>sp. zn. BVerwG 3 C 19.15</w:t>
      </w:r>
      <w:r>
        <w:rPr>
          <w:rFonts w:ascii="Garamond" w:hAnsi="Garamond"/>
          <w:lang w:val="cs-CZ"/>
        </w:rPr>
        <w:t>, bod 31.</w:t>
      </w:r>
    </w:p>
  </w:footnote>
  <w:footnote w:id="131">
    <w:p w14:paraId="12980FB0" w14:textId="6BD3DC75" w:rsidR="007E0120" w:rsidRPr="0004098B" w:rsidRDefault="007E0120" w:rsidP="0004098B">
      <w:pPr>
        <w:pStyle w:val="FootnoteText"/>
        <w:jc w:val="both"/>
        <w:rPr>
          <w:rFonts w:ascii="Garamond" w:hAnsi="Garamond"/>
          <w:lang w:val="cs-CZ"/>
        </w:rPr>
      </w:pPr>
      <w:r w:rsidRPr="0004098B">
        <w:rPr>
          <w:rStyle w:val="FootnoteReference"/>
          <w:rFonts w:ascii="Garamond" w:hAnsi="Garamond"/>
        </w:rPr>
        <w:footnoteRef/>
      </w:r>
      <w:r w:rsidRPr="0004098B">
        <w:rPr>
          <w:rFonts w:ascii="Garamond" w:hAnsi="Garamond"/>
        </w:rPr>
        <w:t xml:space="preserve"> </w:t>
      </w:r>
      <w:r w:rsidRPr="0004098B">
        <w:rPr>
          <w:rFonts w:ascii="Garamond" w:hAnsi="Garamond"/>
          <w:lang w:val="cs-CZ"/>
        </w:rPr>
        <w:t xml:space="preserve">§ 216 Německý trestní zákoník, </w:t>
      </w:r>
      <w:r w:rsidRPr="00445421">
        <w:rPr>
          <w:rFonts w:ascii="Garamond" w:hAnsi="Garamond"/>
          <w:lang w:val="de-DE"/>
        </w:rPr>
        <w:t>1871 (Strafgesetzbuch, StGB): „Strafgesetzbuch in der Fassung der Bekanntmachung vom 13. November 1998 (BGBl. I S. 3322), das zuletzt durch Artikel 14 Nummer 10 des Gesetzes vom 20. Oktober 2015 (BGBl. I S. 1722) geändert worden ist“.</w:t>
      </w:r>
    </w:p>
  </w:footnote>
  <w:footnote w:id="132">
    <w:p w14:paraId="2BA4F123" w14:textId="6F279051" w:rsidR="007E0120" w:rsidRPr="00A04E81" w:rsidRDefault="007E0120" w:rsidP="00A04E81">
      <w:pPr>
        <w:pStyle w:val="FootnoteText"/>
        <w:jc w:val="both"/>
        <w:rPr>
          <w:rFonts w:ascii="Garamond" w:hAnsi="Garamond"/>
          <w:lang w:val="cs-CZ"/>
        </w:rPr>
      </w:pPr>
      <w:r w:rsidRPr="00A04E81">
        <w:rPr>
          <w:rStyle w:val="FootnoteReference"/>
          <w:rFonts w:ascii="Garamond" w:hAnsi="Garamond"/>
        </w:rPr>
        <w:footnoteRef/>
      </w:r>
      <w:r w:rsidRPr="00A04E81">
        <w:rPr>
          <w:rFonts w:ascii="Garamond" w:hAnsi="Garamond"/>
        </w:rPr>
        <w:t xml:space="preserve"> WOLFSLAST, G. Physician-Assisted Suicide and the German Criminal Law. In BIRNBACHER, D., DAHL E. (ed). Giving Death a Helping Hand</w:t>
      </w:r>
      <w:r w:rsidRPr="00AE7BD8">
        <w:rPr>
          <w:rFonts w:ascii="Garamond" w:hAnsi="Garamond"/>
          <w:i/>
        </w:rPr>
        <w:t>. International Library of Ethics, Law, and the New Medicine</w:t>
      </w:r>
      <w:r>
        <w:rPr>
          <w:rFonts w:ascii="Garamond" w:hAnsi="Garamond"/>
        </w:rPr>
        <w:t>.</w:t>
      </w:r>
      <w:r w:rsidRPr="00A04E81">
        <w:rPr>
          <w:rFonts w:ascii="Garamond" w:hAnsi="Garamond"/>
        </w:rPr>
        <w:t xml:space="preserve"> Dordrecht: Springer, 2008, s. 88.</w:t>
      </w:r>
    </w:p>
  </w:footnote>
  <w:footnote w:id="133">
    <w:p w14:paraId="60650A1D" w14:textId="177D13BF" w:rsidR="007E0120" w:rsidRPr="000971D4" w:rsidRDefault="007E0120" w:rsidP="000971D4">
      <w:pPr>
        <w:pStyle w:val="FootnoteText"/>
        <w:jc w:val="both"/>
        <w:rPr>
          <w:rFonts w:ascii="Garamond" w:hAnsi="Garamond"/>
          <w:lang w:val="cs-CZ"/>
        </w:rPr>
      </w:pPr>
      <w:r w:rsidRPr="000971D4">
        <w:rPr>
          <w:rStyle w:val="FootnoteReference"/>
          <w:rFonts w:ascii="Garamond" w:hAnsi="Garamond"/>
        </w:rPr>
        <w:footnoteRef/>
      </w:r>
      <w:r w:rsidRPr="000971D4">
        <w:rPr>
          <w:rFonts w:ascii="Garamond" w:hAnsi="Garamond"/>
        </w:rPr>
        <w:t xml:space="preserve"> </w:t>
      </w:r>
      <w:r w:rsidRPr="000971D4">
        <w:rPr>
          <w:rFonts w:ascii="Garamond" w:hAnsi="Garamond"/>
          <w:lang w:val="cs-CZ"/>
        </w:rPr>
        <w:t>Rozsudek ELSP ze dne 14.5.2013, ve věci Gross I proti Švýcarsku</w:t>
      </w:r>
    </w:p>
  </w:footnote>
  <w:footnote w:id="134">
    <w:p w14:paraId="56EC4075" w14:textId="57F063A2" w:rsidR="007E0120" w:rsidRPr="00773374" w:rsidRDefault="007E0120" w:rsidP="00773374">
      <w:pPr>
        <w:pStyle w:val="FootnoteText"/>
        <w:jc w:val="both"/>
        <w:rPr>
          <w:rFonts w:ascii="Garamond" w:hAnsi="Garamond"/>
          <w:lang w:val="cs-CZ"/>
        </w:rPr>
      </w:pPr>
      <w:r w:rsidRPr="00773374">
        <w:rPr>
          <w:rStyle w:val="FootnoteReference"/>
          <w:rFonts w:ascii="Garamond" w:hAnsi="Garamond"/>
        </w:rPr>
        <w:footnoteRef/>
      </w:r>
      <w:r w:rsidRPr="00773374">
        <w:rPr>
          <w:rFonts w:ascii="Garamond" w:hAnsi="Garamond"/>
        </w:rPr>
        <w:t xml:space="preserve"> </w:t>
      </w:r>
      <w:r w:rsidRPr="00773374">
        <w:rPr>
          <w:rFonts w:ascii="Garamond" w:hAnsi="Garamond"/>
          <w:lang w:val="cs-CZ"/>
        </w:rPr>
        <w:t>Jednalo se o lékařsko-etická pravidla, která podle judikatury nemají povahu právního předpisu, viz níže.</w:t>
      </w:r>
    </w:p>
  </w:footnote>
  <w:footnote w:id="135">
    <w:p w14:paraId="47028A16" w14:textId="223E6463" w:rsidR="007E0120" w:rsidRPr="003E2198" w:rsidRDefault="007E0120" w:rsidP="003E2198">
      <w:pPr>
        <w:pStyle w:val="FootnoteText"/>
        <w:jc w:val="both"/>
        <w:rPr>
          <w:rFonts w:ascii="Garamond" w:hAnsi="Garamond"/>
          <w:lang w:val="cs-CZ"/>
        </w:rPr>
      </w:pPr>
      <w:r w:rsidRPr="003E2198">
        <w:rPr>
          <w:rStyle w:val="FootnoteReference"/>
          <w:rFonts w:ascii="Garamond" w:hAnsi="Garamond"/>
        </w:rPr>
        <w:footnoteRef/>
      </w:r>
      <w:r w:rsidRPr="003E2198">
        <w:rPr>
          <w:rFonts w:ascii="Garamond" w:hAnsi="Garamond"/>
        </w:rPr>
        <w:t xml:space="preserve"> </w:t>
      </w:r>
      <w:r w:rsidRPr="003E2198">
        <w:rPr>
          <w:rFonts w:ascii="Garamond" w:hAnsi="Garamond"/>
          <w:lang w:val="cs-CZ"/>
        </w:rPr>
        <w:t>Rozsudek ELSP ze dne 14.5.2013, ve věci Gross I proti Švýcarsku, bod 67</w:t>
      </w:r>
    </w:p>
  </w:footnote>
  <w:footnote w:id="136">
    <w:p w14:paraId="220A485A" w14:textId="5E164405" w:rsidR="007E0120" w:rsidRPr="003E2198" w:rsidRDefault="007E0120" w:rsidP="003E2198">
      <w:pPr>
        <w:pStyle w:val="FootnoteText"/>
        <w:jc w:val="both"/>
        <w:rPr>
          <w:rFonts w:ascii="Garamond" w:hAnsi="Garamond"/>
          <w:lang w:val="cs-CZ"/>
        </w:rPr>
      </w:pPr>
      <w:r w:rsidRPr="003E2198">
        <w:rPr>
          <w:rStyle w:val="FootnoteReference"/>
          <w:rFonts w:ascii="Garamond" w:hAnsi="Garamond"/>
        </w:rPr>
        <w:footnoteRef/>
      </w:r>
      <w:r w:rsidRPr="003E2198">
        <w:rPr>
          <w:rFonts w:ascii="Garamond" w:hAnsi="Garamond"/>
        </w:rPr>
        <w:t xml:space="preserve"> </w:t>
      </w:r>
      <w:r w:rsidRPr="003E2198">
        <w:rPr>
          <w:rFonts w:ascii="Garamond" w:hAnsi="Garamond"/>
          <w:lang w:val="cs-CZ"/>
        </w:rPr>
        <w:t>Tamtéž, bod 66.</w:t>
      </w:r>
    </w:p>
  </w:footnote>
  <w:footnote w:id="137">
    <w:p w14:paraId="072C15FC" w14:textId="5C27E46C" w:rsidR="007E0120" w:rsidRPr="003606FE" w:rsidRDefault="007E0120" w:rsidP="003606FE">
      <w:pPr>
        <w:pStyle w:val="FootnoteText"/>
        <w:jc w:val="both"/>
        <w:rPr>
          <w:rFonts w:ascii="Garamond" w:hAnsi="Garamond"/>
          <w:lang w:val="cs-CZ"/>
        </w:rPr>
      </w:pPr>
      <w:r w:rsidRPr="003606FE">
        <w:rPr>
          <w:rStyle w:val="FootnoteReference"/>
          <w:rFonts w:ascii="Garamond" w:hAnsi="Garamond"/>
        </w:rPr>
        <w:footnoteRef/>
      </w:r>
      <w:r w:rsidRPr="003606FE">
        <w:rPr>
          <w:rFonts w:ascii="Garamond" w:hAnsi="Garamond"/>
        </w:rPr>
        <w:t xml:space="preserve"> </w:t>
      </w:r>
      <w:r w:rsidRPr="003A6ADD">
        <w:rPr>
          <w:rFonts w:ascii="Garamond" w:hAnsi="Garamond"/>
          <w:lang w:val="cs-CZ"/>
        </w:rPr>
        <w:t>Rozhodnutí</w:t>
      </w:r>
      <w:r w:rsidRPr="003606FE">
        <w:rPr>
          <w:rFonts w:ascii="Garamond" w:hAnsi="Garamond"/>
          <w:lang w:val="cs-CZ"/>
        </w:rPr>
        <w:t xml:space="preserve"> Federálního nejvyššího soudu Švýcarska ze dne 26.8.2010, </w:t>
      </w:r>
      <w:r w:rsidRPr="003606FE">
        <w:rPr>
          <w:rFonts w:ascii="Garamond" w:hAnsi="Garamond"/>
          <w:lang w:val="cs-CZ"/>
        </w:rPr>
        <w:t>sp. zn. BGE 136 IV 97</w:t>
      </w:r>
    </w:p>
  </w:footnote>
  <w:footnote w:id="138">
    <w:p w14:paraId="15447EFF" w14:textId="6C8DA7DD" w:rsidR="007E0120" w:rsidRPr="003A6ADD" w:rsidRDefault="007E0120" w:rsidP="00A21A9F">
      <w:pPr>
        <w:pStyle w:val="FootnoteText"/>
        <w:jc w:val="both"/>
        <w:rPr>
          <w:rFonts w:ascii="Garamond" w:hAnsi="Garamond"/>
          <w:lang w:val="cs-CZ"/>
        </w:rPr>
      </w:pPr>
      <w:r w:rsidRPr="003A6ADD">
        <w:rPr>
          <w:rStyle w:val="FootnoteReference"/>
          <w:rFonts w:ascii="Garamond" w:hAnsi="Garamond"/>
          <w:lang w:val="cs-CZ"/>
        </w:rPr>
        <w:footnoteRef/>
      </w:r>
      <w:r w:rsidRPr="003A6ADD">
        <w:rPr>
          <w:rFonts w:ascii="Garamond" w:hAnsi="Garamond"/>
          <w:lang w:val="cs-CZ"/>
        </w:rPr>
        <w:t xml:space="preserve"> Rozsudek ELSP ze dne 14.5.2013, ve věci Gross I proti Švýcarsku, bod 65.</w:t>
      </w:r>
    </w:p>
  </w:footnote>
  <w:footnote w:id="139">
    <w:p w14:paraId="7EF7BDA6" w14:textId="522C6102" w:rsidR="007E0120" w:rsidRPr="007E4F84" w:rsidRDefault="007E0120" w:rsidP="003E219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00513C3D" w:rsidRPr="003A6ADD">
        <w:rPr>
          <w:rFonts w:ascii="Garamond" w:hAnsi="Garamond"/>
          <w:lang w:val="cs-CZ"/>
        </w:rPr>
        <w:t>Rozsudek ELSP ze dne 14.5.2013, ve věci Gross I proti Švýcarsku</w:t>
      </w:r>
      <w:r w:rsidRPr="007E4F84">
        <w:rPr>
          <w:rFonts w:ascii="Garamond" w:hAnsi="Garamond"/>
          <w:lang w:val="cs-CZ"/>
        </w:rPr>
        <w:t>, bod 67.</w:t>
      </w:r>
    </w:p>
  </w:footnote>
  <w:footnote w:id="140">
    <w:p w14:paraId="7CBE5BD3" w14:textId="133715E8" w:rsidR="007E0120" w:rsidRPr="007E4F84" w:rsidRDefault="007E0120" w:rsidP="00A21A9F">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SAMS Guidelines “Management of dying and </w:t>
      </w:r>
      <w:r w:rsidRPr="007E4F84">
        <w:rPr>
          <w:rFonts w:ascii="Garamond" w:hAnsi="Garamond"/>
        </w:rPr>
        <w:t>death“ (</w:t>
      </w:r>
      <w:r w:rsidRPr="007E4F84">
        <w:rPr>
          <w:rFonts w:ascii="Garamond" w:hAnsi="Garamond"/>
          <w:lang w:val="cs-CZ"/>
        </w:rPr>
        <w:t>2018). Dostupné na &lt;</w:t>
      </w:r>
      <w:hyperlink r:id="rId19" w:history="1">
        <w:r w:rsidRPr="007E4F84">
          <w:rPr>
            <w:rStyle w:val="Hyperlink"/>
            <w:rFonts w:ascii="Garamond" w:hAnsi="Garamond"/>
            <w:lang w:val="cs-CZ"/>
          </w:rPr>
          <w:t>https://www.samw.ch/en/Publications/Medical-ethical-Guidelines.html</w:t>
        </w:r>
      </w:hyperlink>
      <w:r w:rsidRPr="007E4F84">
        <w:rPr>
          <w:rFonts w:ascii="Garamond" w:hAnsi="Garamond"/>
          <w:lang w:val="cs-CZ"/>
        </w:rPr>
        <w:t xml:space="preserve">&gt;. </w:t>
      </w:r>
    </w:p>
  </w:footnote>
  <w:footnote w:id="141">
    <w:p w14:paraId="6B74A5EA" w14:textId="6B7AA395" w:rsidR="007E0120" w:rsidRPr="007E4F84" w:rsidRDefault="007E0120" w:rsidP="00A21A9F">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SAMS </w:t>
      </w:r>
      <w:r w:rsidRPr="007E4F84">
        <w:rPr>
          <w:rFonts w:ascii="Garamond" w:hAnsi="Garamond"/>
        </w:rPr>
        <w:t>Guidelines „End-of-life care“</w:t>
      </w:r>
      <w:r w:rsidRPr="007E4F84">
        <w:rPr>
          <w:rFonts w:ascii="Garamond" w:hAnsi="Garamond"/>
          <w:lang w:val="cs-CZ"/>
        </w:rPr>
        <w:t xml:space="preserve"> (2013), s. 9. Dostupné na &lt;</w:t>
      </w:r>
      <w:hyperlink r:id="rId20" w:history="1">
        <w:r w:rsidRPr="007E4F84">
          <w:rPr>
            <w:rStyle w:val="Hyperlink"/>
            <w:rFonts w:ascii="Garamond" w:hAnsi="Garamond"/>
            <w:lang w:val="cs-CZ"/>
          </w:rPr>
          <w:t>https://www.samw.ch/en/Ethics/Ethics-in-end-of-life-care/Guidelines-management-dying-death/Background-dying-and-death.html</w:t>
        </w:r>
      </w:hyperlink>
      <w:r w:rsidRPr="007E4F84">
        <w:rPr>
          <w:rFonts w:ascii="Garamond" w:hAnsi="Garamond"/>
          <w:lang w:val="cs-CZ"/>
        </w:rPr>
        <w:t>&gt; .</w:t>
      </w:r>
    </w:p>
  </w:footnote>
  <w:footnote w:id="142">
    <w:p w14:paraId="7D6DBA97" w14:textId="6CCAA9A3" w:rsidR="007E0120" w:rsidRPr="00BB4696" w:rsidRDefault="007E0120" w:rsidP="009E7FD9">
      <w:pPr>
        <w:pStyle w:val="FootnoteText"/>
        <w:jc w:val="both"/>
        <w:rPr>
          <w:lang w:val="cs-CZ"/>
        </w:rPr>
      </w:pPr>
      <w:r w:rsidRPr="007E4F84">
        <w:rPr>
          <w:rStyle w:val="FootnoteReference"/>
          <w:rFonts w:ascii="Garamond" w:hAnsi="Garamond"/>
        </w:rPr>
        <w:footnoteRef/>
      </w:r>
      <w:r w:rsidRPr="007E4F84">
        <w:rPr>
          <w:rFonts w:ascii="Garamond" w:hAnsi="Garamond"/>
        </w:rPr>
        <w:t xml:space="preserve"> SAMS Guidelines “Management of dying and </w:t>
      </w:r>
      <w:r w:rsidRPr="007E4F84">
        <w:rPr>
          <w:rFonts w:ascii="Garamond" w:hAnsi="Garamond"/>
        </w:rPr>
        <w:t>death“</w:t>
      </w:r>
      <w:r w:rsidRPr="007E4F84">
        <w:rPr>
          <w:rFonts w:ascii="Garamond" w:hAnsi="Garamond"/>
          <w:lang w:val="cs-CZ"/>
        </w:rPr>
        <w:t xml:space="preserve"> (2018), s. 23. Dostupné na &lt;</w:t>
      </w:r>
      <w:hyperlink r:id="rId21" w:history="1">
        <w:r w:rsidRPr="007E4F84">
          <w:rPr>
            <w:rStyle w:val="Hyperlink"/>
            <w:rFonts w:ascii="Garamond" w:hAnsi="Garamond"/>
            <w:lang w:val="cs-CZ"/>
          </w:rPr>
          <w:t>https://www.samw.ch/en/Publications/Medical-ethical-Guidelines.html</w:t>
        </w:r>
      </w:hyperlink>
      <w:r w:rsidRPr="007E4F84">
        <w:rPr>
          <w:rFonts w:ascii="Garamond" w:hAnsi="Garamond"/>
          <w:lang w:val="cs-CZ"/>
        </w:rPr>
        <w:t>&gt;.</w:t>
      </w:r>
    </w:p>
  </w:footnote>
  <w:footnote w:id="143">
    <w:p w14:paraId="5E1175F7" w14:textId="411DC903" w:rsidR="007E0120" w:rsidRPr="005B00C8" w:rsidRDefault="007E0120" w:rsidP="005B00C8">
      <w:pPr>
        <w:pStyle w:val="FootnoteText"/>
        <w:jc w:val="both"/>
        <w:rPr>
          <w:rFonts w:ascii="Garamond" w:hAnsi="Garamond"/>
          <w:lang w:val="cs-CZ"/>
        </w:rPr>
      </w:pPr>
      <w:r w:rsidRPr="005B00C8">
        <w:rPr>
          <w:rStyle w:val="FootnoteReference"/>
          <w:rFonts w:ascii="Garamond" w:hAnsi="Garamond"/>
        </w:rPr>
        <w:footnoteRef/>
      </w:r>
      <w:r w:rsidRPr="005B00C8">
        <w:rPr>
          <w:rFonts w:ascii="Garamond" w:hAnsi="Garamond"/>
        </w:rPr>
        <w:t xml:space="preserve"> </w:t>
      </w:r>
      <w:r w:rsidRPr="005B00C8">
        <w:rPr>
          <w:rFonts w:ascii="Garamond" w:hAnsi="Garamond"/>
          <w:b/>
          <w:lang w:val="cs-CZ"/>
        </w:rPr>
        <w:t xml:space="preserve">Pozn. </w:t>
      </w:r>
      <w:r w:rsidRPr="005B00C8">
        <w:rPr>
          <w:rFonts w:ascii="Garamond" w:hAnsi="Garamond"/>
          <w:lang w:val="cs-CZ"/>
        </w:rPr>
        <w:t xml:space="preserve">V angličtině termín </w:t>
      </w:r>
      <w:r w:rsidRPr="006F3217">
        <w:rPr>
          <w:rFonts w:ascii="Garamond" w:hAnsi="Garamond"/>
          <w:i/>
        </w:rPr>
        <w:t>unreasonable obstinacy</w:t>
      </w:r>
      <w:r w:rsidRPr="005B00C8">
        <w:rPr>
          <w:rFonts w:ascii="Garamond" w:hAnsi="Garamond"/>
          <w:lang w:val="cs-CZ"/>
        </w:rPr>
        <w:t>.</w:t>
      </w:r>
    </w:p>
  </w:footnote>
  <w:footnote w:id="144">
    <w:p w14:paraId="1B223442" w14:textId="63A2DFFF" w:rsidR="007E0120" w:rsidRPr="003E2198" w:rsidRDefault="007E0120" w:rsidP="003E2198">
      <w:pPr>
        <w:pStyle w:val="FootnoteText"/>
        <w:jc w:val="both"/>
        <w:rPr>
          <w:rFonts w:ascii="Garamond" w:hAnsi="Garamond"/>
          <w:lang w:val="cs-CZ"/>
        </w:rPr>
      </w:pPr>
      <w:r w:rsidRPr="003E2198">
        <w:rPr>
          <w:rStyle w:val="FootnoteReference"/>
          <w:rFonts w:ascii="Garamond" w:hAnsi="Garamond"/>
        </w:rPr>
        <w:footnoteRef/>
      </w:r>
      <w:r w:rsidRPr="003E2198">
        <w:rPr>
          <w:rFonts w:ascii="Garamond" w:hAnsi="Garamond"/>
        </w:rPr>
        <w:t xml:space="preserve"> </w:t>
      </w:r>
      <w:r w:rsidRPr="000F4F1D">
        <w:rPr>
          <w:rFonts w:ascii="Garamond" w:hAnsi="Garamond"/>
          <w:lang w:val="cs-CZ"/>
        </w:rPr>
        <w:t>Rozsudek ESLP ze dne 5.6.2015, ve věci Lambert a další proti Francii</w:t>
      </w:r>
      <w:r>
        <w:rPr>
          <w:rFonts w:ascii="Garamond" w:hAnsi="Garamond"/>
          <w:lang w:val="cs-CZ"/>
        </w:rPr>
        <w:t>,</w:t>
      </w:r>
      <w:r w:rsidRPr="003E2198">
        <w:rPr>
          <w:rFonts w:ascii="Garamond" w:hAnsi="Garamond"/>
          <w:lang w:val="cs-CZ"/>
        </w:rPr>
        <w:t xml:space="preserve"> bod 102. </w:t>
      </w:r>
    </w:p>
  </w:footnote>
  <w:footnote w:id="145">
    <w:p w14:paraId="40ED958A" w14:textId="5B9B080E" w:rsidR="007E0120" w:rsidRPr="003E2198" w:rsidRDefault="007E0120" w:rsidP="003E2198">
      <w:pPr>
        <w:pStyle w:val="FootnoteText"/>
        <w:jc w:val="both"/>
        <w:rPr>
          <w:rFonts w:ascii="Garamond" w:hAnsi="Garamond"/>
          <w:lang w:val="cs-CZ"/>
        </w:rPr>
      </w:pPr>
      <w:r w:rsidRPr="003E2198">
        <w:rPr>
          <w:rStyle w:val="FootnoteReference"/>
          <w:rFonts w:ascii="Garamond" w:hAnsi="Garamond"/>
        </w:rPr>
        <w:footnoteRef/>
      </w:r>
      <w:r w:rsidRPr="003E2198">
        <w:rPr>
          <w:rFonts w:ascii="Garamond" w:hAnsi="Garamond"/>
        </w:rPr>
        <w:t xml:space="preserve"> </w:t>
      </w:r>
      <w:r w:rsidRPr="003E2198">
        <w:rPr>
          <w:rFonts w:ascii="Garamond" w:hAnsi="Garamond"/>
          <w:lang w:val="cs-CZ"/>
        </w:rPr>
        <w:t>Tamtéž, bod 103.</w:t>
      </w:r>
    </w:p>
  </w:footnote>
  <w:footnote w:id="146">
    <w:p w14:paraId="03BDCA28" w14:textId="5F0C4632" w:rsidR="007E0120" w:rsidRPr="003E2198" w:rsidRDefault="007E0120" w:rsidP="003E2198">
      <w:pPr>
        <w:pStyle w:val="FootnoteText"/>
        <w:jc w:val="both"/>
        <w:rPr>
          <w:rFonts w:ascii="Garamond" w:hAnsi="Garamond"/>
          <w:lang w:val="cs-CZ"/>
        </w:rPr>
      </w:pPr>
      <w:r w:rsidRPr="003E2198">
        <w:rPr>
          <w:rStyle w:val="FootnoteReference"/>
          <w:rFonts w:ascii="Garamond" w:hAnsi="Garamond"/>
        </w:rPr>
        <w:footnoteRef/>
      </w:r>
      <w:r w:rsidRPr="003E2198">
        <w:rPr>
          <w:rFonts w:ascii="Garamond" w:hAnsi="Garamond"/>
        </w:rPr>
        <w:t xml:space="preserve"> </w:t>
      </w:r>
      <w:r w:rsidRPr="003E2198">
        <w:rPr>
          <w:rFonts w:ascii="Garamond" w:hAnsi="Garamond"/>
          <w:lang w:val="cs-CZ"/>
        </w:rPr>
        <w:t>Tamtéž, bod 112.</w:t>
      </w:r>
    </w:p>
  </w:footnote>
  <w:footnote w:id="147">
    <w:p w14:paraId="60A6C7F9" w14:textId="1BDBF54C" w:rsidR="007E0120" w:rsidRPr="003E2198" w:rsidRDefault="007E0120" w:rsidP="003E2198">
      <w:pPr>
        <w:pStyle w:val="FootnoteText"/>
        <w:jc w:val="both"/>
        <w:rPr>
          <w:lang w:val="cs-CZ"/>
        </w:rPr>
      </w:pPr>
      <w:r w:rsidRPr="003E2198">
        <w:rPr>
          <w:rStyle w:val="FootnoteReference"/>
          <w:rFonts w:ascii="Garamond" w:hAnsi="Garamond"/>
        </w:rPr>
        <w:footnoteRef/>
      </w:r>
      <w:r w:rsidRPr="003E2198">
        <w:rPr>
          <w:rFonts w:ascii="Garamond" w:hAnsi="Garamond"/>
        </w:rPr>
        <w:t xml:space="preserve"> </w:t>
      </w:r>
      <w:r w:rsidRPr="003E2198">
        <w:rPr>
          <w:rFonts w:ascii="Garamond" w:hAnsi="Garamond"/>
          <w:lang w:val="cs-CZ"/>
        </w:rPr>
        <w:t>Tamtéž, bod 117.</w:t>
      </w:r>
    </w:p>
  </w:footnote>
  <w:footnote w:id="148">
    <w:p w14:paraId="04B8A381" w14:textId="660D37A4" w:rsidR="007E0120" w:rsidRPr="00F860F5" w:rsidRDefault="007E0120" w:rsidP="00F860F5">
      <w:pPr>
        <w:pStyle w:val="FootnoteText"/>
        <w:jc w:val="both"/>
        <w:rPr>
          <w:rFonts w:ascii="Garamond" w:hAnsi="Garamond"/>
          <w:lang w:val="cs-CZ"/>
        </w:rPr>
      </w:pPr>
      <w:r w:rsidRPr="00F860F5">
        <w:rPr>
          <w:rStyle w:val="FootnoteReference"/>
          <w:rFonts w:ascii="Garamond" w:hAnsi="Garamond"/>
        </w:rPr>
        <w:footnoteRef/>
      </w:r>
      <w:r w:rsidRPr="00F860F5">
        <w:rPr>
          <w:rFonts w:ascii="Garamond" w:hAnsi="Garamond"/>
        </w:rPr>
        <w:t xml:space="preserve"> </w:t>
      </w:r>
      <w:r w:rsidRPr="00F860F5">
        <w:rPr>
          <w:rFonts w:ascii="Garamond" w:hAnsi="Garamond"/>
          <w:b/>
          <w:lang w:val="cs-CZ"/>
        </w:rPr>
        <w:t xml:space="preserve">Pozn. </w:t>
      </w:r>
      <w:r w:rsidRPr="00F860F5">
        <w:rPr>
          <w:rFonts w:ascii="Garamond" w:hAnsi="Garamond"/>
          <w:lang w:val="cs-CZ"/>
        </w:rPr>
        <w:t xml:space="preserve">Označována jako tzv. </w:t>
      </w:r>
      <w:r w:rsidRPr="00F860F5">
        <w:rPr>
          <w:rFonts w:ascii="Garamond" w:hAnsi="Garamond"/>
          <w:lang w:val="cs-CZ"/>
        </w:rPr>
        <w:t>Lambertova kritéria</w:t>
      </w:r>
    </w:p>
  </w:footnote>
  <w:footnote w:id="149">
    <w:p w14:paraId="5A7559C1" w14:textId="492CA467" w:rsidR="007E0120" w:rsidRPr="000F4F1D" w:rsidRDefault="007E0120" w:rsidP="000F4F1D">
      <w:pPr>
        <w:jc w:val="both"/>
        <w:rPr>
          <w:rFonts w:ascii="Garamond" w:hAnsi="Garamond"/>
          <w:sz w:val="20"/>
          <w:szCs w:val="20"/>
          <w:lang w:val="cs-CZ"/>
        </w:rPr>
      </w:pPr>
      <w:r w:rsidRPr="000F4F1D">
        <w:rPr>
          <w:rStyle w:val="FootnoteReference"/>
          <w:rFonts w:ascii="Garamond" w:hAnsi="Garamond"/>
          <w:sz w:val="20"/>
          <w:szCs w:val="20"/>
        </w:rPr>
        <w:footnoteRef/>
      </w:r>
      <w:r w:rsidRPr="000F4F1D">
        <w:rPr>
          <w:rFonts w:ascii="Garamond" w:hAnsi="Garamond"/>
          <w:sz w:val="20"/>
          <w:szCs w:val="20"/>
          <w:lang w:val="cs-CZ"/>
        </w:rPr>
        <w:t xml:space="preserve"> Rozsudek ESLP ze dne 5.6.2015, ve věci Lambert a další proti Francii, bod 143 </w:t>
      </w:r>
    </w:p>
  </w:footnote>
  <w:footnote w:id="150">
    <w:p w14:paraId="4F3A8417" w14:textId="11D3177E" w:rsidR="007E0120" w:rsidRPr="007E4F84" w:rsidRDefault="007E0120" w:rsidP="00F9708E">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00513C3D" w:rsidRPr="000F4F1D">
        <w:rPr>
          <w:rFonts w:ascii="Garamond" w:hAnsi="Garamond"/>
          <w:lang w:val="cs-CZ"/>
        </w:rPr>
        <w:t>Rozsudek ESLP ze dne 5.6.2015, ve věci Lambert a další proti Francii</w:t>
      </w:r>
      <w:r w:rsidRPr="007E4F84">
        <w:rPr>
          <w:rFonts w:ascii="Garamond" w:hAnsi="Garamond"/>
          <w:lang w:val="cs-CZ"/>
        </w:rPr>
        <w:t>, bod 148.</w:t>
      </w:r>
    </w:p>
  </w:footnote>
  <w:footnote w:id="151">
    <w:p w14:paraId="5BC9BB9D" w14:textId="19C102D5" w:rsidR="007E0120" w:rsidRPr="007E4F84" w:rsidRDefault="007E0120" w:rsidP="00F9708E">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159.</w:t>
      </w:r>
    </w:p>
  </w:footnote>
  <w:footnote w:id="152">
    <w:p w14:paraId="524853C9" w14:textId="714C0BB1" w:rsidR="007E0120" w:rsidRPr="007E4F84" w:rsidRDefault="007E0120" w:rsidP="00F9708E">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168.</w:t>
      </w:r>
    </w:p>
  </w:footnote>
  <w:footnote w:id="153">
    <w:p w14:paraId="21EBFD54" w14:textId="1C635705" w:rsidR="007E0120" w:rsidRPr="007E4F84" w:rsidRDefault="007E0120" w:rsidP="00F9708E">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169-180.</w:t>
      </w:r>
    </w:p>
  </w:footnote>
  <w:footnote w:id="154">
    <w:p w14:paraId="5C476C52" w14:textId="03333BE5" w:rsidR="007E0120" w:rsidRPr="007E4F84" w:rsidRDefault="007E0120" w:rsidP="000F4F1D">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Disent k Rozsudku ESLP ze dne 5.6.2015, ve věci Lambert a další proti Francii, bod 4.</w:t>
      </w:r>
    </w:p>
  </w:footnote>
  <w:footnote w:id="155">
    <w:p w14:paraId="57DA8B9A" w14:textId="25A35FCC" w:rsidR="007E0120" w:rsidRPr="00F9708E" w:rsidRDefault="007E0120" w:rsidP="000F4F1D">
      <w:pPr>
        <w:pStyle w:val="FootnoteText"/>
        <w:jc w:val="both"/>
        <w:rPr>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5.</w:t>
      </w:r>
    </w:p>
  </w:footnote>
  <w:footnote w:id="156">
    <w:p w14:paraId="0F848574" w14:textId="5CCD8414" w:rsidR="007E0120" w:rsidRPr="007E4F84" w:rsidRDefault="007E0120" w:rsidP="00B308D3">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DOLEŽAL, Adam. </w:t>
      </w:r>
      <w:r w:rsidRPr="007E4F84">
        <w:rPr>
          <w:rFonts w:ascii="Garamond" w:hAnsi="Garamond"/>
          <w:lang w:val="cs-CZ"/>
        </w:rPr>
        <w:t>Dříve vyslovená přání (</w:t>
      </w:r>
      <w:r w:rsidRPr="007E4F84">
        <w:rPr>
          <w:rFonts w:ascii="Garamond" w:hAnsi="Garamond"/>
        </w:rPr>
        <w:t>advance directives</w:t>
      </w:r>
      <w:r w:rsidRPr="007E4F84">
        <w:rPr>
          <w:rFonts w:ascii="Garamond" w:hAnsi="Garamond"/>
          <w:lang w:val="cs-CZ"/>
        </w:rPr>
        <w:t xml:space="preserve">). Právní a etické úvahy. </w:t>
      </w:r>
      <w:r w:rsidRPr="007E4F84">
        <w:rPr>
          <w:rFonts w:ascii="Garamond" w:hAnsi="Garamond"/>
          <w:i/>
          <w:lang w:val="cs-CZ"/>
        </w:rPr>
        <w:t>Časopis zdravotnického práva a bioetiky</w:t>
      </w:r>
      <w:r w:rsidRPr="007E4F84">
        <w:rPr>
          <w:rFonts w:ascii="Garamond" w:hAnsi="Garamond"/>
          <w:lang w:val="cs-CZ"/>
        </w:rPr>
        <w:t>, 2017, roč. 7, č. 2/2017, s. 7.</w:t>
      </w:r>
    </w:p>
  </w:footnote>
  <w:footnote w:id="157">
    <w:p w14:paraId="49A186CE" w14:textId="179F4A16" w:rsidR="007E0120" w:rsidRPr="007E4F84" w:rsidRDefault="007E0120" w:rsidP="003C6DBA">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w:t>
      </w:r>
    </w:p>
  </w:footnote>
  <w:footnote w:id="158">
    <w:p w14:paraId="72002BBF" w14:textId="77C84A97" w:rsidR="007E0120" w:rsidRPr="007E4F84" w:rsidRDefault="007E0120" w:rsidP="00790C21">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Článek 9 Úmluvy o lidských právech a biomedicíně</w:t>
      </w:r>
    </w:p>
  </w:footnote>
  <w:footnote w:id="159">
    <w:p w14:paraId="44F0D2A8" w14:textId="19406B8E" w:rsidR="007E0120" w:rsidRPr="007E4F84" w:rsidRDefault="007E0120" w:rsidP="0085197E">
      <w:pPr>
        <w:pStyle w:val="FootnoteText"/>
        <w:jc w:val="both"/>
        <w:rPr>
          <w:rFonts w:ascii="Garamond" w:hAnsi="Garamond"/>
        </w:rPr>
      </w:pPr>
      <w:r w:rsidRPr="007E4F84">
        <w:rPr>
          <w:rStyle w:val="FootnoteReference"/>
          <w:rFonts w:ascii="Garamond" w:hAnsi="Garamond"/>
        </w:rPr>
        <w:footnoteRef/>
      </w:r>
      <w:r w:rsidRPr="007E4F84">
        <w:rPr>
          <w:rFonts w:ascii="Garamond" w:hAnsi="Garamond"/>
        </w:rPr>
        <w:t xml:space="preserve"> VAN WIJMEN, MPS a </w:t>
      </w:r>
      <w:r w:rsidRPr="007E4F84">
        <w:rPr>
          <w:rFonts w:ascii="Garamond" w:hAnsi="Garamond"/>
          <w:lang w:val="cs-CZ"/>
        </w:rPr>
        <w:t>kol.</w:t>
      </w:r>
      <w:r w:rsidRPr="007E4F84">
        <w:rPr>
          <w:rFonts w:ascii="Garamond" w:hAnsi="Garamond"/>
        </w:rPr>
        <w:t xml:space="preserve"> Stability of end-of-life preferences in relation to health status and life-events: A cohort study with a 6-year follow-up among holders of an advance directive. </w:t>
      </w:r>
      <w:r w:rsidRPr="007E4F84">
        <w:rPr>
          <w:rFonts w:ascii="Garamond" w:hAnsi="Garamond"/>
        </w:rPr>
        <w:t>PLoS ONE</w:t>
      </w:r>
      <w:r>
        <w:rPr>
          <w:rFonts w:ascii="Garamond" w:hAnsi="Garamond"/>
        </w:rPr>
        <w:t>,</w:t>
      </w:r>
      <w:r w:rsidRPr="007E4F84">
        <w:rPr>
          <w:rFonts w:ascii="Garamond" w:hAnsi="Garamond"/>
        </w:rPr>
        <w:t xml:space="preserve"> 2018, </w:t>
      </w:r>
      <w:r w:rsidRPr="007E4F84">
        <w:rPr>
          <w:rFonts w:ascii="Garamond" w:hAnsi="Garamond"/>
          <w:lang w:val="cs-CZ"/>
        </w:rPr>
        <w:t>roč.</w:t>
      </w:r>
      <w:r w:rsidRPr="007E4F84">
        <w:rPr>
          <w:rFonts w:ascii="Garamond" w:hAnsi="Garamond"/>
        </w:rPr>
        <w:t xml:space="preserve"> 13, č. 12, s. 1-14.</w:t>
      </w:r>
    </w:p>
  </w:footnote>
  <w:footnote w:id="160">
    <w:p w14:paraId="7A5D8FB7" w14:textId="466D14B4" w:rsidR="007E0120" w:rsidRPr="007E4F84" w:rsidRDefault="007E0120" w:rsidP="00E82DC7">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s. 7.</w:t>
      </w:r>
    </w:p>
  </w:footnote>
  <w:footnote w:id="161">
    <w:p w14:paraId="694B2EC1" w14:textId="35A2E5DE" w:rsidR="007E0120" w:rsidRPr="001E2909" w:rsidRDefault="007E0120" w:rsidP="001E2909">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Dlouhotrvající soudní spor mezi rodiči a manželem pacientky, uměle udržované při životě, se týkal taktéž otázky, zda pacientku od přístrojů odpojit či nikoliv. Vzhledem k velké medializaci případu po celých Spojených státech, Kongres USA přijal zvláštní zákon, umožňující rodičům podat žalobu až k federálnímu soudu, která by za normální situace nebyla přípustná. Případ byl nakonec rozhodnut v neprospěch rodičů a pacientka byla odpojena od přístrojů a následně v roce 2005 zemřela.</w:t>
      </w:r>
    </w:p>
  </w:footnote>
  <w:footnote w:id="162">
    <w:p w14:paraId="09F549F9" w14:textId="486233E8"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Rozhodnutí Okresního soudu</w:t>
      </w:r>
      <w:r w:rsidRPr="007E4F84">
        <w:rPr>
          <w:rFonts w:ascii="Garamond" w:hAnsi="Garamond"/>
        </w:rPr>
        <w:t xml:space="preserve"> Pinellas, Florida, USA </w:t>
      </w:r>
      <w:r w:rsidRPr="007E4F84">
        <w:rPr>
          <w:rFonts w:ascii="Garamond" w:hAnsi="Garamond"/>
          <w:lang w:val="cs-CZ"/>
        </w:rPr>
        <w:t>ze dne</w:t>
      </w:r>
      <w:r w:rsidRPr="007E4F84">
        <w:rPr>
          <w:rFonts w:ascii="Garamond" w:hAnsi="Garamond"/>
        </w:rPr>
        <w:t xml:space="preserve"> 11.2.2000, sp. </w:t>
      </w:r>
      <w:r w:rsidRPr="007E4F84">
        <w:rPr>
          <w:rFonts w:ascii="Garamond" w:hAnsi="Garamond"/>
        </w:rPr>
        <w:t xml:space="preserve">zn. </w:t>
      </w:r>
      <w:r w:rsidRPr="007E4F84">
        <w:rPr>
          <w:rFonts w:ascii="Garamond" w:hAnsi="Garamond"/>
        </w:rPr>
        <w:t>90-2908GD-003</w:t>
      </w:r>
    </w:p>
  </w:footnote>
  <w:footnote w:id="163">
    <w:p w14:paraId="1C2984A0" w14:textId="460F3662" w:rsidR="007E0120" w:rsidRPr="007E4F84" w:rsidRDefault="007E0120" w:rsidP="007E4F84">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Rozhodnutí Vysokého soudu Spojeného království ze dne 11. 4. 2017, ve věci Great </w:t>
      </w:r>
      <w:r w:rsidRPr="007E4F84">
        <w:rPr>
          <w:rFonts w:ascii="Garamond" w:hAnsi="Garamond"/>
        </w:rPr>
        <w:t>Ormond Street Hospital v. Constance Yates,</w:t>
      </w:r>
      <w:r w:rsidRPr="007E4F84">
        <w:rPr>
          <w:rFonts w:ascii="Garamond" w:hAnsi="Garamond"/>
          <w:lang w:val="cs-CZ"/>
        </w:rPr>
        <w:t xml:space="preserve"> </w:t>
      </w:r>
      <w:r w:rsidRPr="007E4F84">
        <w:rPr>
          <w:rFonts w:ascii="Garamond" w:hAnsi="Garamond"/>
        </w:rPr>
        <w:t>Chris</w:t>
      </w:r>
      <w:r w:rsidRPr="007E4F84">
        <w:rPr>
          <w:rFonts w:ascii="Garamond" w:hAnsi="Garamond"/>
          <w:lang w:val="cs-CZ"/>
        </w:rPr>
        <w:t xml:space="preserve"> Gard and Charles Gard, </w:t>
      </w:r>
      <w:r w:rsidRPr="007E4F84">
        <w:rPr>
          <w:rFonts w:ascii="Garamond" w:hAnsi="Garamond"/>
          <w:lang w:val="cs-CZ"/>
        </w:rPr>
        <w:t>sp. zn. [2017] EWHC 972 (Fam)</w:t>
      </w:r>
    </w:p>
  </w:footnote>
  <w:footnote w:id="164">
    <w:p w14:paraId="5A2990A2" w14:textId="0DC359CA" w:rsidR="007E0120" w:rsidRPr="007E4F84" w:rsidRDefault="007E0120" w:rsidP="007E4F84">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Rozhodnutí Nejvyššího soudu Spojeného království ze dne 30. 10. 2013, ve věci </w:t>
      </w:r>
      <w:r w:rsidRPr="007E4F84">
        <w:rPr>
          <w:rFonts w:ascii="Garamond" w:hAnsi="Garamond"/>
        </w:rPr>
        <w:t>Aintree University Hospitals NHS Foundation Trust v. James</w:t>
      </w:r>
      <w:r w:rsidRPr="007E4F84">
        <w:rPr>
          <w:rFonts w:ascii="Garamond" w:hAnsi="Garamond"/>
          <w:lang w:val="cs-CZ"/>
        </w:rPr>
        <w:t xml:space="preserve">, </w:t>
      </w:r>
      <w:r w:rsidRPr="007E4F84">
        <w:rPr>
          <w:rFonts w:ascii="Garamond" w:hAnsi="Garamond"/>
          <w:lang w:val="cs-CZ"/>
        </w:rPr>
        <w:t>sp. zn. [2013] UKSC 67, odst. 22.</w:t>
      </w:r>
    </w:p>
  </w:footnote>
  <w:footnote w:id="165">
    <w:p w14:paraId="19D91225" w14:textId="6EBDF302"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Rozhodnutí Vysokého soudu Spojeného království ze dne 11. 4. 2017, ve věci Great </w:t>
      </w:r>
      <w:r w:rsidRPr="007E4F84">
        <w:rPr>
          <w:rFonts w:ascii="Garamond" w:hAnsi="Garamond"/>
        </w:rPr>
        <w:t>Ormond Street Hospital v. Constance Yates,</w:t>
      </w:r>
      <w:r w:rsidRPr="007E4F84">
        <w:rPr>
          <w:rFonts w:ascii="Garamond" w:hAnsi="Garamond"/>
          <w:lang w:val="cs-CZ"/>
        </w:rPr>
        <w:t xml:space="preserve"> </w:t>
      </w:r>
      <w:r w:rsidRPr="007E4F84">
        <w:rPr>
          <w:rFonts w:ascii="Garamond" w:hAnsi="Garamond"/>
        </w:rPr>
        <w:t>Chris</w:t>
      </w:r>
      <w:r w:rsidRPr="007E4F84">
        <w:rPr>
          <w:rFonts w:ascii="Garamond" w:hAnsi="Garamond"/>
          <w:lang w:val="cs-CZ"/>
        </w:rPr>
        <w:t xml:space="preserve"> Gard and Charles Gard, </w:t>
      </w:r>
      <w:r w:rsidRPr="007E4F84">
        <w:rPr>
          <w:rFonts w:ascii="Garamond" w:hAnsi="Garamond"/>
          <w:lang w:val="cs-CZ"/>
        </w:rPr>
        <w:t>sp. zn. [2017] EWHC 972 (Fam), bod 126.</w:t>
      </w:r>
    </w:p>
  </w:footnote>
  <w:footnote w:id="166">
    <w:p w14:paraId="2B99452B" w14:textId="32FD6E5A" w:rsidR="007E0120" w:rsidRPr="007E4F84" w:rsidRDefault="007E0120" w:rsidP="007E4F84">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Rozhodnutí Odvolacího soudu Spojeného království ze dne 23. 5. 2017, ve věci </w:t>
      </w:r>
      <w:r w:rsidRPr="007E4F84">
        <w:rPr>
          <w:rFonts w:ascii="Garamond" w:hAnsi="Garamond"/>
        </w:rPr>
        <w:t>Constance Yates and Chris Gard v. Great Ormond Street Hospital and Charles Gar</w:t>
      </w:r>
      <w:r w:rsidRPr="007E4F84">
        <w:rPr>
          <w:rFonts w:ascii="Garamond" w:hAnsi="Garamond"/>
          <w:lang w:val="cs-CZ"/>
        </w:rPr>
        <w:t xml:space="preserve">d, </w:t>
      </w:r>
      <w:r w:rsidRPr="007E4F84">
        <w:rPr>
          <w:rFonts w:ascii="Garamond" w:hAnsi="Garamond"/>
          <w:lang w:val="cs-CZ"/>
        </w:rPr>
        <w:t xml:space="preserve">sp. zn. [2017] EWCA Civ 410; Rozhodnutí Nejvyššího soudu Spojeného království z 8. 6. 2017, ve věci Charlie Gard. </w:t>
      </w:r>
    </w:p>
  </w:footnote>
  <w:footnote w:id="167">
    <w:p w14:paraId="77D82E7A" w14:textId="741BD600" w:rsidR="007E0120" w:rsidRPr="000F4F1D" w:rsidRDefault="007E0120" w:rsidP="007E4F84">
      <w:pPr>
        <w:pStyle w:val="FootnoteText"/>
        <w:jc w:val="both"/>
        <w:rPr>
          <w:rFonts w:ascii="Garamond" w:hAnsi="Garamond"/>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Rozsudek ESLP ze dne 27.6.2017, ve věci Gard a další proti Spojenému království, bod 98.</w:t>
      </w:r>
    </w:p>
  </w:footnote>
  <w:footnote w:id="168">
    <w:p w14:paraId="7A76AD05" w14:textId="50E4CD39" w:rsidR="007E0120" w:rsidRPr="0043451C" w:rsidRDefault="007E0120" w:rsidP="0043451C">
      <w:pPr>
        <w:pStyle w:val="FootnoteText"/>
        <w:jc w:val="both"/>
        <w:rPr>
          <w:lang w:val="cs-CZ"/>
        </w:rPr>
      </w:pPr>
      <w:r w:rsidRPr="0043451C">
        <w:rPr>
          <w:rStyle w:val="FootnoteReference"/>
          <w:rFonts w:ascii="Garamond" w:hAnsi="Garamond"/>
        </w:rPr>
        <w:footnoteRef/>
      </w:r>
      <w:r w:rsidRPr="0043451C">
        <w:rPr>
          <w:rFonts w:ascii="Garamond" w:hAnsi="Garamond"/>
        </w:rPr>
        <w:t xml:space="preserve"> </w:t>
      </w:r>
      <w:r w:rsidR="00513C3D" w:rsidRPr="007E4F84">
        <w:rPr>
          <w:rFonts w:ascii="Garamond" w:hAnsi="Garamond"/>
          <w:lang w:val="cs-CZ"/>
        </w:rPr>
        <w:t>Rozsudek ESLP ze dne 27.6.2017, ve věci Gard a další proti Spojenému království</w:t>
      </w:r>
      <w:r w:rsidRPr="0043451C">
        <w:rPr>
          <w:rFonts w:ascii="Garamond" w:hAnsi="Garamond"/>
          <w:lang w:val="cs-CZ"/>
        </w:rPr>
        <w:t>, bod 89-97.</w:t>
      </w:r>
    </w:p>
  </w:footnote>
  <w:footnote w:id="169">
    <w:p w14:paraId="7C1EA188" w14:textId="7021DB76" w:rsidR="007E0120" w:rsidRPr="00C539C5" w:rsidRDefault="007E0120" w:rsidP="00C539C5">
      <w:pPr>
        <w:pStyle w:val="FootnoteText"/>
        <w:jc w:val="both"/>
        <w:rPr>
          <w:rFonts w:ascii="Garamond" w:hAnsi="Garamond"/>
          <w:lang w:val="cs-CZ"/>
        </w:rPr>
      </w:pPr>
      <w:r w:rsidRPr="00C539C5">
        <w:rPr>
          <w:rStyle w:val="FootnoteReference"/>
          <w:rFonts w:ascii="Garamond" w:hAnsi="Garamond"/>
        </w:rPr>
        <w:footnoteRef/>
      </w:r>
      <w:r w:rsidRPr="00C539C5">
        <w:rPr>
          <w:rFonts w:ascii="Garamond" w:hAnsi="Garamond"/>
        </w:rPr>
        <w:t xml:space="preserve"> </w:t>
      </w:r>
      <w:r w:rsidRPr="00CC09EE">
        <w:rPr>
          <w:rFonts w:ascii="Garamond" w:hAnsi="Garamond"/>
          <w:b/>
          <w:lang w:val="cs-CZ"/>
        </w:rPr>
        <w:t>Srov</w:t>
      </w:r>
      <w:r w:rsidRPr="00CC09EE">
        <w:rPr>
          <w:rFonts w:ascii="Garamond" w:hAnsi="Garamond"/>
          <w:lang w:val="cs-CZ"/>
        </w:rPr>
        <w:t>.</w:t>
      </w:r>
      <w:r w:rsidRPr="00C539C5">
        <w:rPr>
          <w:rFonts w:ascii="Garamond" w:hAnsi="Garamond"/>
        </w:rPr>
        <w:t xml:space="preserve"> </w:t>
      </w:r>
      <w:r w:rsidRPr="00C539C5">
        <w:rPr>
          <w:rFonts w:ascii="Garamond" w:hAnsi="Garamond"/>
          <w:lang w:val="cs-CZ"/>
        </w:rPr>
        <w:t xml:space="preserve">Rozhodnutí Odvolacího soudu Spojeného království ze dne 22.9.2000, </w:t>
      </w:r>
      <w:r w:rsidRPr="00C539C5">
        <w:rPr>
          <w:rFonts w:ascii="Garamond" w:hAnsi="Garamond"/>
          <w:lang w:val="cs-CZ"/>
        </w:rPr>
        <w:t xml:space="preserve">sp. zn. </w:t>
      </w:r>
      <w:r w:rsidRPr="006F3217">
        <w:rPr>
          <w:rFonts w:ascii="Garamond" w:hAnsi="Garamond"/>
        </w:rPr>
        <w:t>Re A (children) (conjoined twins: surgical separation</w:t>
      </w:r>
      <w:r w:rsidRPr="00C539C5">
        <w:rPr>
          <w:rFonts w:ascii="Garamond" w:hAnsi="Garamond"/>
          <w:lang w:val="cs-CZ"/>
        </w:rPr>
        <w:t xml:space="preserve">) [2001] </w:t>
      </w:r>
      <w:r>
        <w:rPr>
          <w:rFonts w:ascii="Garamond" w:hAnsi="Garamond"/>
          <w:lang w:val="cs-CZ"/>
        </w:rPr>
        <w:t>2 WLR 480.</w:t>
      </w:r>
    </w:p>
  </w:footnote>
  <w:footnote w:id="170">
    <w:p w14:paraId="04160B4E" w14:textId="5F47876F" w:rsidR="007E0120" w:rsidRPr="00B61252" w:rsidRDefault="007E0120" w:rsidP="00B61252">
      <w:pPr>
        <w:pStyle w:val="FootnoteText"/>
        <w:jc w:val="both"/>
        <w:rPr>
          <w:rFonts w:ascii="Garamond" w:hAnsi="Garamond"/>
          <w:lang w:val="cs-CZ"/>
        </w:rPr>
      </w:pPr>
      <w:r w:rsidRPr="00B61252">
        <w:rPr>
          <w:rStyle w:val="FootnoteReference"/>
          <w:rFonts w:ascii="Garamond" w:hAnsi="Garamond"/>
        </w:rPr>
        <w:footnoteRef/>
      </w:r>
      <w:r w:rsidRPr="00B61252">
        <w:rPr>
          <w:rFonts w:ascii="Garamond" w:hAnsi="Garamond"/>
        </w:rPr>
        <w:t xml:space="preserve"> DAUBER, M. S. Bioethics and the law: Should courts be allowed to make end of life decisions? Reflections on the Charlie Gard and Alfie Evans controversies. </w:t>
      </w:r>
      <w:r w:rsidRPr="00B61252">
        <w:rPr>
          <w:rFonts w:ascii="Garamond" w:hAnsi="Garamond"/>
          <w:i/>
        </w:rPr>
        <w:t>Ethics, Medicine and Public Health</w:t>
      </w:r>
      <w:r w:rsidRPr="00B61252">
        <w:rPr>
          <w:rFonts w:ascii="Garamond" w:hAnsi="Garamond"/>
        </w:rPr>
        <w:t xml:space="preserve">, 2018, </w:t>
      </w:r>
      <w:r w:rsidRPr="00CC09EE">
        <w:rPr>
          <w:rFonts w:ascii="Garamond" w:hAnsi="Garamond"/>
          <w:lang w:val="cs-CZ"/>
        </w:rPr>
        <w:t>roč.</w:t>
      </w:r>
      <w:r w:rsidRPr="00B61252">
        <w:rPr>
          <w:rFonts w:ascii="Garamond" w:hAnsi="Garamond"/>
        </w:rPr>
        <w:t xml:space="preserve"> 6, s. 98.</w:t>
      </w:r>
    </w:p>
  </w:footnote>
  <w:footnote w:id="171">
    <w:p w14:paraId="3AB6F4CF" w14:textId="3CFF5E29" w:rsidR="007E0120" w:rsidRPr="001D5147" w:rsidRDefault="007E0120" w:rsidP="001D5147">
      <w:pPr>
        <w:pStyle w:val="FootnoteText"/>
        <w:jc w:val="both"/>
        <w:rPr>
          <w:rFonts w:ascii="Garamond" w:hAnsi="Garamond"/>
          <w:lang w:val="cs-CZ"/>
        </w:rPr>
      </w:pPr>
      <w:r w:rsidRPr="001D5147">
        <w:rPr>
          <w:rStyle w:val="FootnoteReference"/>
          <w:rFonts w:ascii="Garamond" w:hAnsi="Garamond"/>
        </w:rPr>
        <w:footnoteRef/>
      </w:r>
      <w:r w:rsidRPr="001D5147">
        <w:rPr>
          <w:rFonts w:ascii="Garamond" w:hAnsi="Garamond"/>
        </w:rPr>
        <w:t xml:space="preserve"> </w:t>
      </w:r>
      <w:r w:rsidRPr="006F3217">
        <w:rPr>
          <w:rFonts w:ascii="Garamond" w:hAnsi="Garamond"/>
        </w:rPr>
        <w:t xml:space="preserve">BROAD, Rosalyn. Gard v. United Kingdom: Does the State Know Best. </w:t>
      </w:r>
      <w:r w:rsidRPr="006F3217">
        <w:rPr>
          <w:rFonts w:ascii="Garamond" w:hAnsi="Garamond"/>
          <w:i/>
        </w:rPr>
        <w:t>Tulane Journal of International and Comparative Law</w:t>
      </w:r>
      <w:r>
        <w:rPr>
          <w:rFonts w:ascii="Garamond" w:hAnsi="Garamond"/>
        </w:rPr>
        <w:t>,</w:t>
      </w:r>
      <w:r w:rsidRPr="006F3217">
        <w:rPr>
          <w:rFonts w:ascii="Garamond" w:hAnsi="Garamond"/>
        </w:rPr>
        <w:t xml:space="preserve"> 2018, </w:t>
      </w:r>
      <w:r w:rsidRPr="00D5601C">
        <w:rPr>
          <w:rFonts w:ascii="Garamond" w:hAnsi="Garamond"/>
          <w:lang w:val="cs-CZ"/>
        </w:rPr>
        <w:t>roč.</w:t>
      </w:r>
      <w:r w:rsidRPr="006F3217">
        <w:rPr>
          <w:rFonts w:ascii="Garamond" w:hAnsi="Garamond"/>
        </w:rPr>
        <w:t xml:space="preserve"> 26, č. 2, s. 413-414.</w:t>
      </w:r>
    </w:p>
  </w:footnote>
  <w:footnote w:id="172">
    <w:p w14:paraId="50B91FB9" w14:textId="090C473F" w:rsidR="007E0120" w:rsidRPr="00025EBF" w:rsidRDefault="007E0120" w:rsidP="00C75271">
      <w:pPr>
        <w:pStyle w:val="FootnoteText"/>
        <w:jc w:val="both"/>
        <w:rPr>
          <w:lang w:val="cs-CZ"/>
        </w:rPr>
      </w:pPr>
      <w:r w:rsidRPr="00C75271">
        <w:rPr>
          <w:rStyle w:val="FootnoteReference"/>
          <w:rFonts w:ascii="Garamond" w:hAnsi="Garamond"/>
        </w:rPr>
        <w:footnoteRef/>
      </w:r>
      <w:r w:rsidRPr="00C75271">
        <w:rPr>
          <w:rFonts w:ascii="Garamond" w:hAnsi="Garamond"/>
        </w:rPr>
        <w:t xml:space="preserve"> </w:t>
      </w:r>
      <w:r w:rsidRPr="00C75271">
        <w:rPr>
          <w:rFonts w:ascii="Garamond" w:hAnsi="Garamond"/>
          <w:lang w:val="cs-CZ"/>
        </w:rPr>
        <w:t xml:space="preserve">HARE, J., PRATT, C., NELSON C. </w:t>
      </w:r>
      <w:r w:rsidRPr="00A17E97">
        <w:rPr>
          <w:rFonts w:ascii="Garamond" w:hAnsi="Garamond"/>
        </w:rPr>
        <w:t xml:space="preserve">Agreement between patients and their self-elected surrogates on difficult medical decisions. </w:t>
      </w:r>
      <w:r w:rsidRPr="00C75271">
        <w:rPr>
          <w:rFonts w:ascii="Garamond" w:hAnsi="Garamond"/>
          <w:i/>
          <w:lang w:val="cs-CZ"/>
        </w:rPr>
        <w:t xml:space="preserve">Arch </w:t>
      </w:r>
      <w:r w:rsidRPr="00C75271">
        <w:rPr>
          <w:rFonts w:ascii="Garamond" w:hAnsi="Garamond"/>
          <w:i/>
          <w:lang w:val="cs-CZ"/>
        </w:rPr>
        <w:t>Intern Med</w:t>
      </w:r>
      <w:r w:rsidRPr="00C75271">
        <w:rPr>
          <w:rFonts w:ascii="Garamond" w:hAnsi="Garamond"/>
          <w:lang w:val="cs-CZ"/>
        </w:rPr>
        <w:t xml:space="preserve">, 1992, č. 152, s. 1049-1054; </w:t>
      </w:r>
      <w:r w:rsidR="004A2EF9">
        <w:rPr>
          <w:rFonts w:ascii="Garamond" w:hAnsi="Garamond"/>
          <w:lang w:val="cs-CZ"/>
        </w:rPr>
        <w:t>cit. In:</w:t>
      </w:r>
      <w:r w:rsidRPr="00C75271">
        <w:rPr>
          <w:rFonts w:ascii="Garamond" w:hAnsi="Garamond"/>
          <w:lang w:val="cs-CZ"/>
        </w:rPr>
        <w:t xml:space="preserve"> JONES, James W., MCCULLOUGH, Laurence B., RICHMAN, </w:t>
      </w:r>
      <w:r w:rsidRPr="00A17E97">
        <w:rPr>
          <w:rFonts w:ascii="Garamond" w:hAnsi="Garamond"/>
        </w:rPr>
        <w:t xml:space="preserve">Bruce W. </w:t>
      </w:r>
      <w:r w:rsidRPr="00A17E97">
        <w:rPr>
          <w:rFonts w:ascii="Garamond" w:hAnsi="Garamond"/>
          <w:i/>
        </w:rPr>
        <w:t>The Ethics of Surgical Practice: Cases, Dilemmas, and Resolutions</w:t>
      </w:r>
      <w:r w:rsidRPr="00A17E97">
        <w:rPr>
          <w:rFonts w:ascii="Garamond" w:hAnsi="Garamond"/>
        </w:rPr>
        <w:t>.</w:t>
      </w:r>
      <w:r w:rsidRPr="00C75271">
        <w:rPr>
          <w:rFonts w:ascii="Garamond" w:hAnsi="Garamond"/>
          <w:lang w:val="cs-CZ"/>
        </w:rPr>
        <w:t xml:space="preserve"> New York: Oxford University </w:t>
      </w:r>
      <w:r w:rsidRPr="00CC09EE">
        <w:rPr>
          <w:rFonts w:ascii="Garamond" w:hAnsi="Garamond"/>
        </w:rPr>
        <w:t>Press</w:t>
      </w:r>
      <w:r w:rsidRPr="00C75271">
        <w:rPr>
          <w:rFonts w:ascii="Garamond" w:hAnsi="Garamond"/>
          <w:lang w:val="cs-CZ"/>
        </w:rPr>
        <w:t xml:space="preserve">, 2008. </w:t>
      </w:r>
      <w:r>
        <w:rPr>
          <w:rFonts w:ascii="Garamond" w:hAnsi="Garamond"/>
          <w:lang w:val="cs-CZ"/>
        </w:rPr>
        <w:t>s. 27.</w:t>
      </w:r>
    </w:p>
  </w:footnote>
  <w:footnote w:id="173">
    <w:p w14:paraId="02F766D9" w14:textId="4F1DA071" w:rsidR="007E0120" w:rsidRPr="00F3078E" w:rsidRDefault="007E0120" w:rsidP="00F3078E">
      <w:pPr>
        <w:pStyle w:val="FootnoteText"/>
        <w:jc w:val="both"/>
        <w:rPr>
          <w:rFonts w:ascii="Garamond" w:hAnsi="Garamond"/>
          <w:lang w:val="cs-CZ"/>
        </w:rPr>
      </w:pPr>
      <w:r w:rsidRPr="00F3078E">
        <w:rPr>
          <w:rStyle w:val="FootnoteReference"/>
          <w:rFonts w:ascii="Garamond" w:hAnsi="Garamond"/>
        </w:rPr>
        <w:footnoteRef/>
      </w:r>
      <w:r w:rsidRPr="00F3078E">
        <w:rPr>
          <w:rFonts w:ascii="Garamond" w:hAnsi="Garamond"/>
        </w:rPr>
        <w:t xml:space="preserve"> </w:t>
      </w:r>
      <w:r w:rsidRPr="00F3078E">
        <w:rPr>
          <w:rFonts w:ascii="Garamond" w:hAnsi="Garamond"/>
          <w:lang w:val="cs-CZ"/>
        </w:rPr>
        <w:t xml:space="preserve">Rozhodnutí Vrchního soudu Spojeného království ze dne 24.7.2017, </w:t>
      </w:r>
      <w:r w:rsidRPr="00F3078E">
        <w:rPr>
          <w:rFonts w:ascii="Garamond" w:hAnsi="Garamond"/>
          <w:lang w:val="cs-CZ"/>
        </w:rPr>
        <w:t>sp. zn.  [2017] EWHC 1909 (Fam)</w:t>
      </w:r>
    </w:p>
  </w:footnote>
  <w:footnote w:id="174">
    <w:p w14:paraId="3AAEED38" w14:textId="51ACF1D7" w:rsidR="007E0120" w:rsidRPr="00EB34C0" w:rsidRDefault="007E0120" w:rsidP="00EB34C0">
      <w:pPr>
        <w:pStyle w:val="FootnoteText"/>
        <w:jc w:val="both"/>
        <w:rPr>
          <w:rFonts w:ascii="Garamond" w:hAnsi="Garamond"/>
          <w:lang w:val="cs-CZ"/>
        </w:rPr>
      </w:pPr>
      <w:r w:rsidRPr="00EB34C0">
        <w:rPr>
          <w:rStyle w:val="FootnoteReference"/>
          <w:rFonts w:ascii="Garamond" w:hAnsi="Garamond"/>
        </w:rPr>
        <w:footnoteRef/>
      </w:r>
      <w:r w:rsidRPr="00EB34C0">
        <w:rPr>
          <w:rFonts w:ascii="Garamond" w:hAnsi="Garamond"/>
        </w:rPr>
        <w:t xml:space="preserve"> </w:t>
      </w:r>
      <w:r w:rsidRPr="00EB34C0">
        <w:rPr>
          <w:rFonts w:ascii="Garamond" w:hAnsi="Garamond"/>
          <w:lang w:val="cs-CZ"/>
        </w:rPr>
        <w:t xml:space="preserve">CAVE, Emma, NOTTINGHAM, Emma. </w:t>
      </w:r>
      <w:r w:rsidRPr="00EB34C0">
        <w:rPr>
          <w:rFonts w:ascii="Garamond" w:hAnsi="Garamond"/>
        </w:rPr>
        <w:t xml:space="preserve">Who Knows Best (Interests)? The Case of Charlie Gard. </w:t>
      </w:r>
      <w:r w:rsidRPr="00EB34C0">
        <w:rPr>
          <w:rFonts w:ascii="Garamond" w:hAnsi="Garamond"/>
          <w:i/>
        </w:rPr>
        <w:t>Medical Law Review</w:t>
      </w:r>
      <w:r>
        <w:rPr>
          <w:rFonts w:ascii="Garamond" w:hAnsi="Garamond"/>
        </w:rPr>
        <w:t>,</w:t>
      </w:r>
      <w:r w:rsidRPr="00EB34C0">
        <w:rPr>
          <w:rFonts w:ascii="Garamond" w:hAnsi="Garamond"/>
          <w:lang w:val="cs-CZ"/>
        </w:rPr>
        <w:t xml:space="preserve"> 2017, roč. 26, č. 3, s. 500-513.</w:t>
      </w:r>
    </w:p>
  </w:footnote>
  <w:footnote w:id="175">
    <w:p w14:paraId="6EE8DA0A" w14:textId="7D5AD682" w:rsidR="007E0120" w:rsidRPr="00B26DC4" w:rsidRDefault="007E0120" w:rsidP="00B26DC4">
      <w:pPr>
        <w:pStyle w:val="FootnoteText"/>
        <w:jc w:val="both"/>
        <w:rPr>
          <w:rFonts w:ascii="Garamond" w:hAnsi="Garamond"/>
          <w:lang w:val="cs-CZ"/>
        </w:rPr>
      </w:pPr>
      <w:r w:rsidRPr="00B26DC4">
        <w:rPr>
          <w:rStyle w:val="FootnoteReference"/>
          <w:rFonts w:ascii="Garamond" w:hAnsi="Garamond"/>
        </w:rPr>
        <w:footnoteRef/>
      </w:r>
      <w:r w:rsidRPr="00B26DC4">
        <w:rPr>
          <w:rFonts w:ascii="Garamond" w:hAnsi="Garamond"/>
        </w:rPr>
        <w:t xml:space="preserve"> </w:t>
      </w:r>
      <w:r w:rsidRPr="00B26DC4">
        <w:rPr>
          <w:rFonts w:ascii="Garamond" w:hAnsi="Garamond"/>
          <w:lang w:val="cs-CZ"/>
        </w:rPr>
        <w:t xml:space="preserve">CAVE, Emma, NOTTINGHAM, Emma. </w:t>
      </w:r>
      <w:r w:rsidRPr="006F3217">
        <w:rPr>
          <w:rFonts w:ascii="Garamond" w:hAnsi="Garamond"/>
        </w:rPr>
        <w:t xml:space="preserve">Who Knows Best (Interests)? The Case of Charlie Gard. </w:t>
      </w:r>
      <w:r w:rsidRPr="006F3217">
        <w:rPr>
          <w:rFonts w:ascii="Garamond" w:hAnsi="Garamond"/>
          <w:i/>
        </w:rPr>
        <w:t>Medical Law Review</w:t>
      </w:r>
      <w:r w:rsidRPr="006F3217">
        <w:rPr>
          <w:rFonts w:ascii="Garamond" w:hAnsi="Garamond"/>
        </w:rPr>
        <w:t>.</w:t>
      </w:r>
      <w:r w:rsidRPr="00B26DC4">
        <w:rPr>
          <w:rFonts w:ascii="Garamond" w:hAnsi="Garamond"/>
          <w:lang w:val="cs-CZ"/>
        </w:rPr>
        <w:t xml:space="preserve"> 2017, roč. 26, č. 3, s. 512-513.</w:t>
      </w:r>
    </w:p>
  </w:footnote>
  <w:footnote w:id="176">
    <w:p w14:paraId="2EC5FB62" w14:textId="481D237A" w:rsidR="007E0120" w:rsidRPr="00F13AFF" w:rsidRDefault="007E0120" w:rsidP="00F13AFF">
      <w:pPr>
        <w:pStyle w:val="FootnoteText"/>
        <w:jc w:val="both"/>
        <w:rPr>
          <w:rFonts w:ascii="Garamond" w:hAnsi="Garamond"/>
          <w:lang w:val="cs-CZ"/>
        </w:rPr>
      </w:pPr>
      <w:r w:rsidRPr="00F13AFF">
        <w:rPr>
          <w:rStyle w:val="FootnoteReference"/>
          <w:rFonts w:ascii="Garamond" w:hAnsi="Garamond"/>
        </w:rPr>
        <w:footnoteRef/>
      </w:r>
      <w:r w:rsidRPr="00F13AFF">
        <w:rPr>
          <w:rFonts w:ascii="Garamond" w:hAnsi="Garamond"/>
        </w:rPr>
        <w:t xml:space="preserve"> WILKINSON, D., SAVULESCU, J. Hard lessons: learning from the Charlie Gard case. </w:t>
      </w:r>
      <w:r w:rsidRPr="00F13AFF">
        <w:rPr>
          <w:rFonts w:ascii="Garamond" w:hAnsi="Garamond"/>
          <w:i/>
        </w:rPr>
        <w:t>Journal of Medical Ethics</w:t>
      </w:r>
      <w:r>
        <w:rPr>
          <w:rFonts w:ascii="Garamond" w:hAnsi="Garamond"/>
        </w:rPr>
        <w:t>,</w:t>
      </w:r>
      <w:r w:rsidRPr="00F13AFF">
        <w:rPr>
          <w:rFonts w:ascii="Garamond" w:hAnsi="Garamond"/>
        </w:rPr>
        <w:t xml:space="preserve"> 2018, </w:t>
      </w:r>
      <w:r w:rsidRPr="00CC09EE">
        <w:rPr>
          <w:rFonts w:ascii="Garamond" w:hAnsi="Garamond"/>
          <w:lang w:val="cs-CZ"/>
        </w:rPr>
        <w:t>roč.</w:t>
      </w:r>
      <w:r w:rsidRPr="00F13AFF">
        <w:rPr>
          <w:rFonts w:ascii="Garamond" w:hAnsi="Garamond"/>
        </w:rPr>
        <w:t xml:space="preserve"> 44, s. 438.</w:t>
      </w:r>
    </w:p>
  </w:footnote>
  <w:footnote w:id="177">
    <w:p w14:paraId="452D2002" w14:textId="51882683" w:rsidR="007E0120" w:rsidRPr="000F4F1D" w:rsidRDefault="007E0120" w:rsidP="000F4F1D">
      <w:pPr>
        <w:pStyle w:val="FootnoteText"/>
        <w:jc w:val="both"/>
        <w:rPr>
          <w:rFonts w:ascii="Garamond" w:hAnsi="Garamond"/>
          <w:lang w:val="cs-CZ"/>
        </w:rPr>
      </w:pPr>
      <w:r w:rsidRPr="000F4F1D">
        <w:rPr>
          <w:rStyle w:val="FootnoteReference"/>
          <w:rFonts w:ascii="Garamond" w:hAnsi="Garamond"/>
        </w:rPr>
        <w:footnoteRef/>
      </w:r>
      <w:r w:rsidRPr="000F4F1D">
        <w:rPr>
          <w:rFonts w:ascii="Garamond" w:hAnsi="Garamond"/>
        </w:rPr>
        <w:t xml:space="preserve"> </w:t>
      </w:r>
      <w:r w:rsidRPr="00D95DF2">
        <w:rPr>
          <w:rFonts w:ascii="Garamond" w:hAnsi="Garamond"/>
          <w:lang w:val="cs-CZ"/>
        </w:rPr>
        <w:t>Rozsudek</w:t>
      </w:r>
      <w:r>
        <w:rPr>
          <w:rFonts w:ascii="Garamond" w:hAnsi="Garamond"/>
        </w:rPr>
        <w:t xml:space="preserve"> ESLP </w:t>
      </w:r>
      <w:r w:rsidRPr="00D95DF2">
        <w:rPr>
          <w:rFonts w:ascii="Garamond" w:hAnsi="Garamond"/>
          <w:lang w:val="cs-CZ"/>
        </w:rPr>
        <w:t>ze dne</w:t>
      </w:r>
      <w:r>
        <w:rPr>
          <w:rFonts w:ascii="Garamond" w:hAnsi="Garamond"/>
        </w:rPr>
        <w:t xml:space="preserve"> 23.1.2018, </w:t>
      </w:r>
      <w:r w:rsidRPr="00D95DF2">
        <w:rPr>
          <w:rFonts w:ascii="Garamond" w:hAnsi="Garamond"/>
          <w:lang w:val="cs-CZ"/>
        </w:rPr>
        <w:t>ve věci</w:t>
      </w:r>
      <w:r>
        <w:rPr>
          <w:rFonts w:ascii="Garamond" w:hAnsi="Garamond"/>
        </w:rPr>
        <w:t xml:space="preserve"> </w:t>
      </w:r>
      <w:r>
        <w:rPr>
          <w:rFonts w:ascii="Garamond" w:hAnsi="Garamond"/>
        </w:rPr>
        <w:t xml:space="preserve">Afiri a Biddarri proti Francii, </w:t>
      </w:r>
      <w:r>
        <w:rPr>
          <w:rFonts w:ascii="Garamond" w:hAnsi="Garamond"/>
          <w:lang w:val="cs-CZ"/>
        </w:rPr>
        <w:t>b</w:t>
      </w:r>
      <w:r w:rsidRPr="000F4F1D">
        <w:rPr>
          <w:rFonts w:ascii="Garamond" w:hAnsi="Garamond"/>
          <w:lang w:val="cs-CZ"/>
        </w:rPr>
        <w:t>od 33</w:t>
      </w:r>
    </w:p>
  </w:footnote>
  <w:footnote w:id="178">
    <w:p w14:paraId="5153547D" w14:textId="6C191DB3" w:rsidR="007E0120" w:rsidRPr="000F4F1D" w:rsidRDefault="007E0120" w:rsidP="000F4F1D">
      <w:pPr>
        <w:pStyle w:val="FootnoteText"/>
        <w:jc w:val="both"/>
        <w:rPr>
          <w:rFonts w:ascii="Garamond" w:hAnsi="Garamond"/>
          <w:lang w:val="cs-CZ"/>
        </w:rPr>
      </w:pPr>
      <w:r w:rsidRPr="000F4F1D">
        <w:rPr>
          <w:rStyle w:val="FootnoteReference"/>
          <w:rFonts w:ascii="Garamond" w:hAnsi="Garamond"/>
        </w:rPr>
        <w:footnoteRef/>
      </w:r>
      <w:r w:rsidRPr="000F4F1D">
        <w:rPr>
          <w:rFonts w:ascii="Garamond" w:hAnsi="Garamond"/>
        </w:rPr>
        <w:t xml:space="preserve"> </w:t>
      </w:r>
      <w:r w:rsidRPr="000F4F1D">
        <w:rPr>
          <w:rFonts w:ascii="Garamond" w:hAnsi="Garamond"/>
          <w:lang w:val="cs-CZ"/>
        </w:rPr>
        <w:t>Tamtéž, bod 36.</w:t>
      </w:r>
    </w:p>
  </w:footnote>
  <w:footnote w:id="179">
    <w:p w14:paraId="6BD299B4" w14:textId="0DAB7815" w:rsidR="007E0120" w:rsidRPr="000F4F1D" w:rsidRDefault="007E0120" w:rsidP="000F4F1D">
      <w:pPr>
        <w:pStyle w:val="FootnoteText"/>
        <w:jc w:val="both"/>
        <w:rPr>
          <w:rFonts w:ascii="Garamond" w:hAnsi="Garamond"/>
          <w:lang w:val="cs-CZ"/>
        </w:rPr>
      </w:pPr>
      <w:r w:rsidRPr="000F4F1D">
        <w:rPr>
          <w:rStyle w:val="FootnoteReference"/>
          <w:rFonts w:ascii="Garamond" w:hAnsi="Garamond"/>
        </w:rPr>
        <w:footnoteRef/>
      </w:r>
      <w:r w:rsidRPr="000F4F1D">
        <w:rPr>
          <w:rFonts w:ascii="Garamond" w:hAnsi="Garamond"/>
        </w:rPr>
        <w:t xml:space="preserve"> </w:t>
      </w:r>
      <w:r w:rsidRPr="000F4F1D">
        <w:rPr>
          <w:rFonts w:ascii="Garamond" w:hAnsi="Garamond"/>
          <w:lang w:val="cs-CZ"/>
        </w:rPr>
        <w:t>Tamtéž, bod 37.</w:t>
      </w:r>
    </w:p>
  </w:footnote>
  <w:footnote w:id="180">
    <w:p w14:paraId="2683DBFF" w14:textId="6851EF0A" w:rsidR="007E0120" w:rsidRPr="000F4F1D" w:rsidRDefault="007E0120" w:rsidP="000F4F1D">
      <w:pPr>
        <w:pStyle w:val="FootnoteText"/>
        <w:jc w:val="both"/>
        <w:rPr>
          <w:lang w:val="cs-CZ"/>
        </w:rPr>
      </w:pPr>
      <w:r w:rsidRPr="000F4F1D">
        <w:rPr>
          <w:rStyle w:val="FootnoteReference"/>
          <w:rFonts w:ascii="Garamond" w:hAnsi="Garamond"/>
        </w:rPr>
        <w:footnoteRef/>
      </w:r>
      <w:r w:rsidRPr="000F4F1D">
        <w:rPr>
          <w:rFonts w:ascii="Garamond" w:hAnsi="Garamond"/>
        </w:rPr>
        <w:t xml:space="preserve"> </w:t>
      </w:r>
      <w:r w:rsidRPr="000F4F1D">
        <w:rPr>
          <w:rFonts w:ascii="Garamond" w:hAnsi="Garamond"/>
          <w:lang w:val="cs-CZ"/>
        </w:rPr>
        <w:t>Tamtéž, bod 38.</w:t>
      </w:r>
    </w:p>
  </w:footnote>
  <w:footnote w:id="181">
    <w:p w14:paraId="4D466B16" w14:textId="74C09AD1" w:rsidR="007E0120" w:rsidRPr="000F4F1D" w:rsidRDefault="007E0120" w:rsidP="000F4F1D">
      <w:pPr>
        <w:pStyle w:val="FootnoteText"/>
        <w:jc w:val="both"/>
        <w:rPr>
          <w:rFonts w:ascii="Garamond" w:hAnsi="Garamond"/>
          <w:lang w:val="cs-CZ"/>
        </w:rPr>
      </w:pPr>
      <w:r w:rsidRPr="000F4F1D">
        <w:rPr>
          <w:rStyle w:val="FootnoteReference"/>
          <w:rFonts w:ascii="Garamond" w:hAnsi="Garamond"/>
        </w:rPr>
        <w:footnoteRef/>
      </w:r>
      <w:r w:rsidRPr="000F4F1D">
        <w:rPr>
          <w:rFonts w:ascii="Garamond" w:hAnsi="Garamond"/>
        </w:rPr>
        <w:t xml:space="preserve"> </w:t>
      </w:r>
      <w:r w:rsidRPr="000F4F1D">
        <w:rPr>
          <w:rFonts w:ascii="Garamond" w:hAnsi="Garamond"/>
          <w:lang w:val="cs-CZ"/>
        </w:rPr>
        <w:t>Tamtéž, bod 46.</w:t>
      </w:r>
    </w:p>
  </w:footnote>
  <w:footnote w:id="182">
    <w:p w14:paraId="4E0C5CB9" w14:textId="0AF0848D" w:rsidR="007E0120" w:rsidRPr="000F4F1D" w:rsidRDefault="007E0120" w:rsidP="000F4F1D">
      <w:pPr>
        <w:pStyle w:val="FootnoteText"/>
        <w:jc w:val="both"/>
        <w:rPr>
          <w:lang w:val="cs-CZ"/>
        </w:rPr>
      </w:pPr>
      <w:r w:rsidRPr="000F4F1D">
        <w:rPr>
          <w:rStyle w:val="FootnoteReference"/>
          <w:rFonts w:ascii="Garamond" w:hAnsi="Garamond"/>
        </w:rPr>
        <w:footnoteRef/>
      </w:r>
      <w:r w:rsidRPr="000F4F1D">
        <w:rPr>
          <w:rFonts w:ascii="Garamond" w:hAnsi="Garamond"/>
        </w:rPr>
        <w:t xml:space="preserve"> </w:t>
      </w:r>
      <w:r w:rsidRPr="000F4F1D">
        <w:rPr>
          <w:rFonts w:ascii="Garamond" w:hAnsi="Garamond"/>
          <w:lang w:val="cs-CZ"/>
        </w:rPr>
        <w:t>Tamtéž, bod 49-50.</w:t>
      </w:r>
    </w:p>
  </w:footnote>
  <w:footnote w:id="183">
    <w:p w14:paraId="3D5FBD4B" w14:textId="41AC7CC2" w:rsidR="007E0120" w:rsidRPr="007E4F84" w:rsidRDefault="007E0120" w:rsidP="00BD09A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Článek 28 odst. 1, písm. a) Úmluvy</w:t>
      </w:r>
    </w:p>
  </w:footnote>
  <w:footnote w:id="184">
    <w:p w14:paraId="7B534C8D" w14:textId="70F1B2A4" w:rsidR="007E0120" w:rsidRPr="007E4F84" w:rsidRDefault="007E0120" w:rsidP="00BD09A8">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SARTORI Daria. </w:t>
      </w:r>
      <w:r w:rsidRPr="007E4F84">
        <w:rPr>
          <w:rFonts w:ascii="Garamond" w:hAnsi="Garamond"/>
          <w:i/>
        </w:rPr>
        <w:t>End-of-life issues at the European Court of Human Rights. The value of personal autonomy within a „</w:t>
      </w:r>
      <w:r w:rsidRPr="007E4F84">
        <w:rPr>
          <w:rFonts w:ascii="Garamond" w:hAnsi="Garamond"/>
          <w:i/>
        </w:rPr>
        <w:t>proceduralized“ review</w:t>
      </w:r>
      <w:r w:rsidRPr="007E4F84">
        <w:rPr>
          <w:rFonts w:ascii="Garamond" w:hAnsi="Garamond"/>
        </w:rPr>
        <w:t xml:space="preserve"> [online]. Questions of International Law,</w:t>
      </w:r>
      <w:r w:rsidRPr="007E4F84">
        <w:rPr>
          <w:rFonts w:ascii="Garamond" w:hAnsi="Garamond"/>
          <w:lang w:val="cs-CZ"/>
        </w:rPr>
        <w:t xml:space="preserve"> 30.6.2018 [cit. 4.2.2019]. Dostupné na &lt;</w:t>
      </w:r>
      <w:hyperlink r:id="rId22" w:history="1">
        <w:r w:rsidRPr="007E4F84">
          <w:rPr>
            <w:rStyle w:val="Hyperlink"/>
            <w:rFonts w:ascii="Garamond" w:hAnsi="Garamond"/>
            <w:lang w:val="cs-CZ"/>
          </w:rPr>
          <w:t>http://www.qil-qdi.org/wp-content/uploads/2018/06/03_End-Life_SARTORI_FIN.pdf</w:t>
        </w:r>
      </w:hyperlink>
      <w:r w:rsidRPr="007E4F84">
        <w:rPr>
          <w:rFonts w:ascii="Garamond" w:hAnsi="Garamond"/>
          <w:lang w:val="cs-CZ"/>
        </w:rPr>
        <w:t xml:space="preserve">&gt;. </w:t>
      </w:r>
    </w:p>
  </w:footnote>
  <w:footnote w:id="185">
    <w:p w14:paraId="2E300B9D" w14:textId="0D1D2085" w:rsidR="007E0120" w:rsidRPr="007E4F84" w:rsidRDefault="007E0120" w:rsidP="00BC1D77">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w:t>
      </w:r>
    </w:p>
  </w:footnote>
  <w:footnote w:id="186">
    <w:p w14:paraId="2A432480" w14:textId="4A22EAA0" w:rsidR="007E0120" w:rsidRPr="007E4F84" w:rsidRDefault="007E0120" w:rsidP="001923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MALÍŘ, Jan, DOLEŽAL, Tomáš. </w:t>
      </w:r>
      <w:r w:rsidRPr="007E4F84">
        <w:rPr>
          <w:rFonts w:ascii="Garamond" w:hAnsi="Garamond"/>
          <w:i/>
          <w:lang w:val="cs-CZ"/>
        </w:rPr>
        <w:t>Evropská úmluva o ochraně lidských práv a základních svobod a zdravotnictví: současný stav a perspektivy</w:t>
      </w:r>
      <w:r w:rsidRPr="007E4F84">
        <w:rPr>
          <w:rFonts w:ascii="Garamond" w:hAnsi="Garamond"/>
          <w:lang w:val="cs-CZ"/>
        </w:rPr>
        <w:t xml:space="preserve">. Praha: </w:t>
      </w:r>
      <w:r w:rsidRPr="007E4F84">
        <w:rPr>
          <w:rFonts w:ascii="Garamond" w:hAnsi="Garamond"/>
          <w:lang w:val="cs-CZ"/>
        </w:rPr>
        <w:t>Wolters Kluwer ČR, a.s., 2016, s. 70.</w:t>
      </w:r>
    </w:p>
  </w:footnote>
  <w:footnote w:id="187">
    <w:p w14:paraId="731F3646" w14:textId="5A775C90" w:rsidR="007E0120" w:rsidRPr="007E4F84" w:rsidRDefault="007E0120" w:rsidP="001923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Rozsudek ESLP ze dne 29.4.2002, ve věci </w:t>
      </w:r>
      <w:r w:rsidRPr="007E4F84">
        <w:rPr>
          <w:rFonts w:ascii="Garamond" w:hAnsi="Garamond"/>
          <w:lang w:val="cs-CZ"/>
        </w:rPr>
        <w:t>Pretty proti Spojenému království, bod 63.</w:t>
      </w:r>
    </w:p>
  </w:footnote>
  <w:footnote w:id="188">
    <w:p w14:paraId="0EC10E3D" w14:textId="729C6745" w:rsidR="007E0120" w:rsidRPr="007E4F84" w:rsidRDefault="007E0120" w:rsidP="00210C26">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Rozsudek ESLP ze dne 10.5.2010, ve věci Moskevští Svědci Jehovovi a další proti Rusku</w:t>
      </w:r>
    </w:p>
  </w:footnote>
  <w:footnote w:id="189">
    <w:p w14:paraId="5A0CEEE2" w14:textId="3602520B" w:rsidR="007E0120" w:rsidRPr="007E4F84" w:rsidRDefault="007E0120" w:rsidP="00B12A1E">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 bod 136-140.</w:t>
      </w:r>
    </w:p>
  </w:footnote>
  <w:footnote w:id="190">
    <w:p w14:paraId="2272E801" w14:textId="3E027C69" w:rsidR="007E0120" w:rsidRPr="00B12A1E" w:rsidRDefault="007E0120" w:rsidP="00B12A1E">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MALÍŘ, Jan, DOLEŽAL, Tomáš. </w:t>
      </w:r>
      <w:r w:rsidRPr="007E4F84">
        <w:rPr>
          <w:rFonts w:ascii="Garamond" w:hAnsi="Garamond"/>
          <w:i/>
          <w:lang w:val="cs-CZ"/>
        </w:rPr>
        <w:t>Evropská úmluva o ochraně lidských práv a základních svobod a zdravotnictví: současný stav a perspektivy</w:t>
      </w:r>
      <w:r w:rsidRPr="007E4F84">
        <w:rPr>
          <w:rFonts w:ascii="Garamond" w:hAnsi="Garamond"/>
          <w:lang w:val="cs-CZ"/>
        </w:rPr>
        <w:t xml:space="preserve">. Praha: </w:t>
      </w:r>
      <w:r w:rsidRPr="007E4F84">
        <w:rPr>
          <w:rFonts w:ascii="Garamond" w:hAnsi="Garamond"/>
          <w:lang w:val="cs-CZ"/>
        </w:rPr>
        <w:t>Wolters Kluwer ČR, a.s., 2016, s. 72.</w:t>
      </w:r>
    </w:p>
  </w:footnote>
  <w:footnote w:id="191">
    <w:p w14:paraId="59A855D2" w14:textId="24A80641" w:rsidR="007E0120" w:rsidRPr="007E4F84" w:rsidRDefault="007E0120" w:rsidP="0026071C">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SARTORI, Daria. </w:t>
      </w:r>
      <w:r w:rsidRPr="007E4F84">
        <w:rPr>
          <w:rFonts w:ascii="Garamond" w:hAnsi="Garamond"/>
          <w:i/>
        </w:rPr>
        <w:t xml:space="preserve">Gross v Switzerland: the Swiss regulation of assisted suicide infringes Article 8 ECHR </w:t>
      </w:r>
      <w:r w:rsidRPr="007E4F84">
        <w:rPr>
          <w:rFonts w:ascii="Garamond" w:hAnsi="Garamond"/>
        </w:rPr>
        <w:t xml:space="preserve">[online]. Strasbourg Observers, 26.6.2013 [cit. 1.3.2019]. </w:t>
      </w:r>
      <w:r w:rsidRPr="007E4F84">
        <w:rPr>
          <w:rFonts w:ascii="Garamond" w:hAnsi="Garamond"/>
          <w:lang w:val="cs-CZ"/>
        </w:rPr>
        <w:t>Dostupné na</w:t>
      </w:r>
      <w:r w:rsidRPr="007E4F84">
        <w:rPr>
          <w:rFonts w:ascii="Garamond" w:hAnsi="Garamond"/>
        </w:rPr>
        <w:t xml:space="preserve"> </w:t>
      </w:r>
      <w:r w:rsidRPr="007E4F84">
        <w:rPr>
          <w:rFonts w:ascii="Garamond" w:hAnsi="Garamond"/>
          <w:lang w:val="cs-CZ"/>
        </w:rPr>
        <w:t>&lt;</w:t>
      </w:r>
      <w:hyperlink r:id="rId23" w:history="1">
        <w:r w:rsidRPr="007E4F84">
          <w:rPr>
            <w:rStyle w:val="Hyperlink"/>
            <w:rFonts w:ascii="Garamond" w:hAnsi="Garamond"/>
            <w:lang w:val="cs-CZ"/>
          </w:rPr>
          <w:t>https://strasbourgobservers.com/2013/06/26/gross-v-switzerland-the-swiss-regulation-of-assisted-suicide-infringes-article-8-echr/</w:t>
        </w:r>
      </w:hyperlink>
      <w:r w:rsidRPr="007E4F84">
        <w:rPr>
          <w:rFonts w:ascii="Garamond" w:hAnsi="Garamond"/>
          <w:lang w:val="cs-CZ"/>
        </w:rPr>
        <w:t>&gt;.</w:t>
      </w:r>
    </w:p>
  </w:footnote>
  <w:footnote w:id="192">
    <w:p w14:paraId="1FE0E0C1" w14:textId="6E84B19C" w:rsidR="007E0120" w:rsidRPr="007E4F84" w:rsidRDefault="007E0120" w:rsidP="0026071C">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Rozsudek ESLP ze dne 29.4.2002, ve věci </w:t>
      </w:r>
      <w:r w:rsidRPr="007E4F84">
        <w:rPr>
          <w:rFonts w:ascii="Garamond" w:hAnsi="Garamond"/>
          <w:lang w:val="cs-CZ"/>
        </w:rPr>
        <w:t>Pretty proti Spojenému království, bod 65</w:t>
      </w:r>
    </w:p>
  </w:footnote>
  <w:footnote w:id="193">
    <w:p w14:paraId="1F3DF249" w14:textId="3F0192D9" w:rsidR="007E0120" w:rsidRPr="00EB34C0" w:rsidRDefault="007E0120" w:rsidP="00EB34C0">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HENDRIKS, A. C. </w:t>
      </w:r>
      <w:r w:rsidRPr="007E4F84">
        <w:rPr>
          <w:rFonts w:ascii="Garamond" w:hAnsi="Garamond"/>
          <w:i/>
        </w:rPr>
        <w:t>End-of-life decisions</w:t>
      </w:r>
      <w:r w:rsidRPr="007E4F84">
        <w:rPr>
          <w:rFonts w:ascii="Garamond" w:hAnsi="Garamond"/>
        </w:rPr>
        <w:t xml:space="preserve">. </w:t>
      </w:r>
      <w:r w:rsidRPr="007E4F84">
        <w:rPr>
          <w:rFonts w:ascii="Garamond" w:hAnsi="Garamond"/>
          <w:i/>
        </w:rPr>
        <w:t>Recent jurisprudence of the European Court of Human Rights</w:t>
      </w:r>
      <w:r w:rsidRPr="007E4F84">
        <w:rPr>
          <w:rFonts w:ascii="Garamond" w:hAnsi="Garamond"/>
        </w:rPr>
        <w:t xml:space="preserve"> [online]. ERA Forum, 19.9.2018 [cit. 4.2.2019]. </w:t>
      </w:r>
      <w:r w:rsidRPr="007E4F84">
        <w:rPr>
          <w:rFonts w:ascii="Garamond" w:hAnsi="Garamond"/>
          <w:lang w:val="cs-CZ"/>
        </w:rPr>
        <w:t xml:space="preserve">Dostupné na </w:t>
      </w:r>
      <w:r w:rsidRPr="007E4F84">
        <w:rPr>
          <w:rFonts w:ascii="Garamond" w:hAnsi="Garamond"/>
        </w:rPr>
        <w:t>&lt;</w:t>
      </w:r>
      <w:hyperlink r:id="rId24" w:history="1">
        <w:r w:rsidRPr="007E4F84">
          <w:rPr>
            <w:rStyle w:val="Hyperlink"/>
            <w:rFonts w:ascii="Garamond" w:hAnsi="Garamond"/>
          </w:rPr>
          <w:t>https://doi.org/10.1007/s12027-018-0530-7</w:t>
        </w:r>
      </w:hyperlink>
      <w:r w:rsidRPr="007E4F84">
        <w:rPr>
          <w:rFonts w:ascii="Garamond" w:hAnsi="Garamond"/>
        </w:rPr>
        <w:t>&gt;.</w:t>
      </w:r>
    </w:p>
  </w:footnote>
  <w:footnote w:id="194">
    <w:p w14:paraId="2616A717" w14:textId="508529D4" w:rsidR="007E0120" w:rsidRPr="007E4F84" w:rsidRDefault="007E0120" w:rsidP="001B75E0">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CUMAN, G., GASTMANS, C. Minors and euthanasia: a systematic review of argument-based ethics literature. </w:t>
      </w:r>
      <w:r w:rsidRPr="007E4F84">
        <w:rPr>
          <w:rFonts w:ascii="Garamond" w:hAnsi="Garamond"/>
          <w:i/>
        </w:rPr>
        <w:t xml:space="preserve">European Journal of </w:t>
      </w:r>
      <w:r w:rsidRPr="007E4F84">
        <w:rPr>
          <w:rFonts w:ascii="Garamond" w:hAnsi="Garamond"/>
          <w:i/>
        </w:rPr>
        <w:t>Pediatrics</w:t>
      </w:r>
      <w:r>
        <w:rPr>
          <w:rFonts w:ascii="Garamond" w:hAnsi="Garamond"/>
        </w:rPr>
        <w:t>,</w:t>
      </w:r>
      <w:r w:rsidRPr="007E4F84">
        <w:rPr>
          <w:rFonts w:ascii="Garamond" w:hAnsi="Garamond"/>
        </w:rPr>
        <w:t xml:space="preserve"> 2017, </w:t>
      </w:r>
      <w:r w:rsidRPr="007E4F84">
        <w:rPr>
          <w:rFonts w:ascii="Garamond" w:hAnsi="Garamond"/>
          <w:lang w:val="cs-CZ"/>
        </w:rPr>
        <w:t>roč.</w:t>
      </w:r>
      <w:r w:rsidRPr="007E4F84">
        <w:rPr>
          <w:rFonts w:ascii="Garamond" w:hAnsi="Garamond"/>
        </w:rPr>
        <w:t xml:space="preserve"> 176, č. 7, s. 844.</w:t>
      </w:r>
    </w:p>
  </w:footnote>
  <w:footnote w:id="195">
    <w:p w14:paraId="4E14E596" w14:textId="77777777" w:rsidR="007E0120" w:rsidRPr="007E4F84" w:rsidRDefault="007E0120" w:rsidP="001B75E0">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DIERICKX, Sigrid a </w:t>
      </w:r>
      <w:r w:rsidRPr="007E4F84">
        <w:rPr>
          <w:rFonts w:ascii="Garamond" w:hAnsi="Garamond"/>
          <w:lang w:val="cs-CZ"/>
        </w:rPr>
        <w:t>kol.</w:t>
      </w:r>
      <w:r w:rsidRPr="007E4F84">
        <w:rPr>
          <w:rFonts w:ascii="Garamond" w:hAnsi="Garamond"/>
        </w:rPr>
        <w:t xml:space="preserve"> </w:t>
      </w:r>
      <w:r w:rsidRPr="007E4F84">
        <w:rPr>
          <w:rFonts w:ascii="Garamond" w:hAnsi="Garamond"/>
          <w:i/>
        </w:rPr>
        <w:t>Euthanasia in Belgium: trends in reported cases between 2003 and 2013</w:t>
      </w:r>
      <w:r w:rsidRPr="007E4F84">
        <w:rPr>
          <w:rFonts w:ascii="Garamond" w:hAnsi="Garamond"/>
        </w:rPr>
        <w:t xml:space="preserve"> [online]. CMAJ, 1.11.2016 [cit. 15.2.2019]. </w:t>
      </w:r>
      <w:r w:rsidRPr="007E4F84">
        <w:rPr>
          <w:rFonts w:ascii="Garamond" w:hAnsi="Garamond"/>
          <w:lang w:val="cs-CZ"/>
        </w:rPr>
        <w:t>Dostupné na</w:t>
      </w:r>
      <w:r w:rsidRPr="007E4F84">
        <w:rPr>
          <w:rFonts w:ascii="Garamond" w:hAnsi="Garamond"/>
        </w:rPr>
        <w:t xml:space="preserve"> &lt;</w:t>
      </w:r>
      <w:hyperlink r:id="rId25" w:history="1">
        <w:r w:rsidRPr="007E4F84">
          <w:rPr>
            <w:rStyle w:val="Hyperlink"/>
            <w:rFonts w:ascii="Garamond" w:hAnsi="Garamond"/>
          </w:rPr>
          <w:t>https://doi.org/10.1503/cmaj.160202</w:t>
        </w:r>
      </w:hyperlink>
      <w:r w:rsidRPr="007E4F84">
        <w:rPr>
          <w:rFonts w:ascii="Garamond" w:hAnsi="Garamond"/>
        </w:rPr>
        <w:t xml:space="preserve">&gt;. </w:t>
      </w:r>
    </w:p>
  </w:footnote>
  <w:footnote w:id="196">
    <w:p w14:paraId="12B8893B" w14:textId="77777777" w:rsidR="007E0120" w:rsidRPr="007E4F84" w:rsidRDefault="007E0120" w:rsidP="001B75E0">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b/>
          <w:lang w:val="cs-CZ"/>
        </w:rPr>
        <w:t xml:space="preserve">Pozn. </w:t>
      </w:r>
      <w:r w:rsidRPr="007E4F84">
        <w:rPr>
          <w:rFonts w:ascii="Garamond" w:hAnsi="Garamond"/>
          <w:lang w:val="cs-CZ"/>
        </w:rPr>
        <w:t>Viz statistické údaje níže v jednotlivých kapitolách.</w:t>
      </w:r>
    </w:p>
  </w:footnote>
  <w:footnote w:id="197">
    <w:p w14:paraId="4C7558D3" w14:textId="2FF1F3DB" w:rsidR="007E0120" w:rsidRPr="007E4F84" w:rsidRDefault="007E0120" w:rsidP="001B75E0">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VERHAGEN, Eduard. The Groningen Protocol for newborn euthanasia; which way did the slippery slope tilt? </w:t>
      </w:r>
      <w:r w:rsidRPr="007E4F84">
        <w:rPr>
          <w:rFonts w:ascii="Garamond" w:hAnsi="Garamond"/>
          <w:i/>
        </w:rPr>
        <w:t>Journal of Medical Ethics</w:t>
      </w:r>
      <w:r>
        <w:rPr>
          <w:rFonts w:ascii="Garamond" w:hAnsi="Garamond"/>
        </w:rPr>
        <w:t>,</w:t>
      </w:r>
      <w:r w:rsidRPr="007E4F84">
        <w:rPr>
          <w:rFonts w:ascii="Garamond" w:hAnsi="Garamond"/>
        </w:rPr>
        <w:t xml:space="preserve"> 2013, </w:t>
      </w:r>
      <w:r w:rsidRPr="007E4F84">
        <w:rPr>
          <w:rFonts w:ascii="Garamond" w:hAnsi="Garamond"/>
          <w:lang w:val="cs-CZ"/>
        </w:rPr>
        <w:t>roč.</w:t>
      </w:r>
      <w:r w:rsidRPr="007E4F84">
        <w:rPr>
          <w:rFonts w:ascii="Garamond" w:hAnsi="Garamond"/>
        </w:rPr>
        <w:t xml:space="preserve"> 39, č. 5, s. 294.</w:t>
      </w:r>
    </w:p>
  </w:footnote>
  <w:footnote w:id="198">
    <w:p w14:paraId="4CDD7FED" w14:textId="77777777" w:rsidR="007E0120" w:rsidRPr="00B333DA" w:rsidRDefault="007E0120" w:rsidP="001B75E0">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Tamtéž.</w:t>
      </w:r>
    </w:p>
  </w:footnote>
  <w:footnote w:id="199">
    <w:p w14:paraId="5E9E64E9" w14:textId="530F94C3" w:rsidR="007E0120" w:rsidRPr="00F90E79" w:rsidRDefault="007E0120" w:rsidP="001B75E0">
      <w:pPr>
        <w:pStyle w:val="FootnoteText"/>
        <w:jc w:val="both"/>
        <w:rPr>
          <w:rFonts w:ascii="Garamond" w:hAnsi="Garamond"/>
          <w:lang w:val="cs-CZ"/>
        </w:rPr>
      </w:pPr>
      <w:r w:rsidRPr="00F90E79">
        <w:rPr>
          <w:rStyle w:val="FootnoteReference"/>
          <w:rFonts w:ascii="Garamond" w:hAnsi="Garamond"/>
        </w:rPr>
        <w:footnoteRef/>
      </w:r>
      <w:r w:rsidRPr="00F90E79">
        <w:rPr>
          <w:rFonts w:ascii="Garamond" w:hAnsi="Garamond"/>
        </w:rPr>
        <w:t xml:space="preserve"> CHERVENAK, Frank A., MCCULLOUGH, Laurence B. Why the Groningen Protocol Should be Rejected. </w:t>
      </w:r>
      <w:r w:rsidRPr="00F90E79">
        <w:rPr>
          <w:rFonts w:ascii="Garamond" w:hAnsi="Garamond"/>
          <w:i/>
        </w:rPr>
        <w:t xml:space="preserve">The Hastings </w:t>
      </w:r>
      <w:r w:rsidRPr="00F90E79">
        <w:rPr>
          <w:rFonts w:ascii="Garamond" w:hAnsi="Garamond"/>
          <w:i/>
        </w:rPr>
        <w:t>Center Report</w:t>
      </w:r>
      <w:r>
        <w:rPr>
          <w:rFonts w:ascii="Garamond" w:hAnsi="Garamond"/>
        </w:rPr>
        <w:t>,</w:t>
      </w:r>
      <w:r w:rsidRPr="00F90E79">
        <w:rPr>
          <w:rFonts w:ascii="Garamond" w:hAnsi="Garamond"/>
        </w:rPr>
        <w:t xml:space="preserve"> 2006, </w:t>
      </w:r>
      <w:r w:rsidRPr="00F90E79">
        <w:rPr>
          <w:rFonts w:ascii="Garamond" w:hAnsi="Garamond"/>
          <w:lang w:val="cs-CZ"/>
        </w:rPr>
        <w:t>roč.</w:t>
      </w:r>
      <w:r w:rsidRPr="00F90E79">
        <w:rPr>
          <w:rFonts w:ascii="Garamond" w:hAnsi="Garamond"/>
        </w:rPr>
        <w:t xml:space="preserve"> 36, č. 5, s. 32.</w:t>
      </w:r>
    </w:p>
  </w:footnote>
  <w:footnote w:id="200">
    <w:p w14:paraId="4C6A1B48" w14:textId="5D668E30" w:rsidR="007E0120" w:rsidRPr="006F3217" w:rsidRDefault="007E0120" w:rsidP="001B75E0">
      <w:pPr>
        <w:pStyle w:val="FootnoteText"/>
        <w:jc w:val="both"/>
        <w:rPr>
          <w:rFonts w:ascii="Garamond" w:hAnsi="Garamond"/>
        </w:rPr>
      </w:pPr>
      <w:r w:rsidRPr="006F3217">
        <w:rPr>
          <w:rStyle w:val="FootnoteReference"/>
          <w:rFonts w:ascii="Garamond" w:hAnsi="Garamond"/>
        </w:rPr>
        <w:footnoteRef/>
      </w:r>
      <w:r w:rsidRPr="006F3217">
        <w:rPr>
          <w:rFonts w:ascii="Garamond" w:hAnsi="Garamond"/>
        </w:rPr>
        <w:t xml:space="preserve"> MUNIM, </w:t>
      </w:r>
      <w:r w:rsidRPr="006F3217">
        <w:rPr>
          <w:rFonts w:ascii="Garamond" w:hAnsi="Garamond"/>
        </w:rPr>
        <w:t xml:space="preserve">Shama, NADEEM, Salva, KHUWAJA, Nadya Ali. The Accuracy of Ultrasound in the Diagnosis of Congenital Abnormalities. </w:t>
      </w:r>
      <w:r w:rsidRPr="006F3217">
        <w:rPr>
          <w:rFonts w:ascii="Garamond" w:hAnsi="Garamond"/>
          <w:i/>
        </w:rPr>
        <w:t>Journal of the Pakistan Medical Association</w:t>
      </w:r>
      <w:r>
        <w:rPr>
          <w:rFonts w:ascii="Garamond" w:hAnsi="Garamond"/>
        </w:rPr>
        <w:t>,</w:t>
      </w:r>
      <w:r w:rsidRPr="006F3217">
        <w:rPr>
          <w:rFonts w:ascii="Garamond" w:hAnsi="Garamond"/>
        </w:rPr>
        <w:t xml:space="preserve"> 2006</w:t>
      </w:r>
      <w:r w:rsidRPr="00B67A1C">
        <w:rPr>
          <w:rFonts w:ascii="Garamond" w:hAnsi="Garamond"/>
          <w:lang w:val="cs-CZ"/>
        </w:rPr>
        <w:t>, roč.</w:t>
      </w:r>
      <w:r w:rsidRPr="006F3217">
        <w:rPr>
          <w:rFonts w:ascii="Garamond" w:hAnsi="Garamond"/>
        </w:rPr>
        <w:t xml:space="preserve"> 56, č. 1, s. 17.</w:t>
      </w:r>
    </w:p>
  </w:footnote>
  <w:footnote w:id="201">
    <w:p w14:paraId="7CCFC972" w14:textId="6DF77D70" w:rsidR="007E0120" w:rsidRPr="00F805D1" w:rsidRDefault="007E0120" w:rsidP="001B75E0">
      <w:pPr>
        <w:pStyle w:val="FootnoteText"/>
        <w:jc w:val="both"/>
        <w:rPr>
          <w:rFonts w:ascii="Garamond" w:hAnsi="Garamond"/>
          <w:lang w:val="cs-CZ"/>
        </w:rPr>
      </w:pPr>
      <w:r w:rsidRPr="00F805D1">
        <w:rPr>
          <w:rStyle w:val="FootnoteReference"/>
          <w:rFonts w:ascii="Garamond" w:hAnsi="Garamond"/>
        </w:rPr>
        <w:footnoteRef/>
      </w:r>
      <w:r w:rsidRPr="00F805D1">
        <w:rPr>
          <w:rFonts w:ascii="Garamond" w:hAnsi="Garamond"/>
        </w:rPr>
        <w:t xml:space="preserve"> </w:t>
      </w:r>
      <w:r w:rsidRPr="00F805D1">
        <w:rPr>
          <w:rFonts w:ascii="Garamond" w:hAnsi="Garamond"/>
          <w:lang w:val="cs-CZ"/>
        </w:rPr>
        <w:t xml:space="preserve">SAMANTA, Jo. </w:t>
      </w:r>
      <w:r w:rsidRPr="006F3217">
        <w:rPr>
          <w:rFonts w:ascii="Garamond" w:hAnsi="Garamond"/>
        </w:rPr>
        <w:t xml:space="preserve">Children and euthanasia: Belgium’s controversial new law. </w:t>
      </w:r>
      <w:r w:rsidRPr="006F3217">
        <w:rPr>
          <w:rFonts w:ascii="Garamond" w:hAnsi="Garamond"/>
          <w:i/>
        </w:rPr>
        <w:t>Diversity and Equality in Health Care</w:t>
      </w:r>
      <w:r>
        <w:rPr>
          <w:rFonts w:ascii="Garamond" w:hAnsi="Garamond"/>
          <w:lang w:val="cs-CZ"/>
        </w:rPr>
        <w:t>,</w:t>
      </w:r>
      <w:r w:rsidRPr="00F805D1">
        <w:rPr>
          <w:rFonts w:ascii="Garamond" w:hAnsi="Garamond"/>
          <w:lang w:val="cs-CZ"/>
        </w:rPr>
        <w:t xml:space="preserve"> 2015, roč. 12, č. 1. s. 5.</w:t>
      </w:r>
    </w:p>
  </w:footnote>
  <w:footnote w:id="202">
    <w:p w14:paraId="051F363F" w14:textId="50D5487E"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KMEC, Jiří a kol. </w:t>
      </w:r>
      <w:r w:rsidRPr="007E4F84">
        <w:rPr>
          <w:rFonts w:ascii="Garamond" w:hAnsi="Garamond"/>
          <w:i/>
          <w:lang w:val="cs-CZ"/>
        </w:rPr>
        <w:t>Evropská úmluva o lidských právech</w:t>
      </w:r>
      <w:r w:rsidRPr="007E4F84">
        <w:rPr>
          <w:rFonts w:ascii="Garamond" w:hAnsi="Garamond"/>
          <w:lang w:val="cs-CZ"/>
        </w:rPr>
        <w:t xml:space="preserve">. </w:t>
      </w:r>
      <w:r w:rsidRPr="007E4F84">
        <w:rPr>
          <w:rFonts w:ascii="Garamond" w:hAnsi="Garamond"/>
          <w:i/>
          <w:lang w:val="cs-CZ"/>
        </w:rPr>
        <w:t>Komentář</w:t>
      </w:r>
      <w:r w:rsidRPr="007E4F84">
        <w:rPr>
          <w:rFonts w:ascii="Garamond" w:hAnsi="Garamond"/>
          <w:lang w:val="cs-CZ"/>
        </w:rPr>
        <w:t>. 1. vydání. Praha: C. H. Beck, 2012, s. 1214.</w:t>
      </w:r>
    </w:p>
  </w:footnote>
  <w:footnote w:id="203">
    <w:p w14:paraId="6D061022" w14:textId="299ECEB7"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b/>
          <w:lang w:val="cs-CZ"/>
        </w:rPr>
        <w:t>Srov</w:t>
      </w:r>
      <w:r w:rsidRPr="007E4F84">
        <w:rPr>
          <w:rFonts w:ascii="Garamond" w:hAnsi="Garamond"/>
          <w:lang w:val="cs-CZ"/>
        </w:rPr>
        <w:t>. Rozsudek ESLP ze dne 4.5.2010, ve věci Peterka proti České republice</w:t>
      </w:r>
    </w:p>
  </w:footnote>
  <w:footnote w:id="204">
    <w:p w14:paraId="06DC8E77" w14:textId="75D03767"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KMEC, Jiří a kol. </w:t>
      </w:r>
      <w:r w:rsidRPr="007E4F84">
        <w:rPr>
          <w:rFonts w:ascii="Garamond" w:hAnsi="Garamond"/>
          <w:i/>
          <w:lang w:val="cs-CZ"/>
        </w:rPr>
        <w:t>Evropská úmluva o lidských právech</w:t>
      </w:r>
      <w:r w:rsidRPr="007E4F84">
        <w:rPr>
          <w:rFonts w:ascii="Garamond" w:hAnsi="Garamond"/>
          <w:lang w:val="cs-CZ"/>
        </w:rPr>
        <w:t xml:space="preserve">. </w:t>
      </w:r>
      <w:r w:rsidRPr="007E4F84">
        <w:rPr>
          <w:rFonts w:ascii="Garamond" w:hAnsi="Garamond"/>
          <w:i/>
          <w:lang w:val="cs-CZ"/>
        </w:rPr>
        <w:t>Komentář</w:t>
      </w:r>
      <w:r w:rsidRPr="007E4F84">
        <w:rPr>
          <w:rFonts w:ascii="Garamond" w:hAnsi="Garamond"/>
          <w:lang w:val="cs-CZ"/>
        </w:rPr>
        <w:t>. 1. vydání. Praha: C. H. Beck, 2012, s. 1215.</w:t>
      </w:r>
    </w:p>
  </w:footnote>
  <w:footnote w:id="205">
    <w:p w14:paraId="0C1D758C" w14:textId="7A201E24"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Rozsudek ESLP ze dne 20.1.2011, ve věci Haas proti Švýcarsku, bod 51.</w:t>
      </w:r>
    </w:p>
  </w:footnote>
  <w:footnote w:id="206">
    <w:p w14:paraId="664C008C" w14:textId="410E82D6"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KMEC, Jiří a kol. </w:t>
      </w:r>
      <w:r w:rsidRPr="007E4F84">
        <w:rPr>
          <w:rFonts w:ascii="Garamond" w:hAnsi="Garamond"/>
          <w:i/>
          <w:lang w:val="cs-CZ"/>
        </w:rPr>
        <w:t>Evropská úmluva o lidských právech</w:t>
      </w:r>
      <w:r w:rsidRPr="007E4F84">
        <w:rPr>
          <w:rFonts w:ascii="Garamond" w:hAnsi="Garamond"/>
          <w:lang w:val="cs-CZ"/>
        </w:rPr>
        <w:t xml:space="preserve">. </w:t>
      </w:r>
      <w:r w:rsidRPr="007E4F84">
        <w:rPr>
          <w:rFonts w:ascii="Garamond" w:hAnsi="Garamond"/>
          <w:i/>
          <w:lang w:val="cs-CZ"/>
        </w:rPr>
        <w:t>Komentář</w:t>
      </w:r>
      <w:r w:rsidRPr="007E4F84">
        <w:rPr>
          <w:rFonts w:ascii="Garamond" w:hAnsi="Garamond"/>
          <w:lang w:val="cs-CZ"/>
        </w:rPr>
        <w:t>. 1. vydání. Praha: C. H. Beck, 2012, s. 1221.</w:t>
      </w:r>
    </w:p>
  </w:footnote>
  <w:footnote w:id="207">
    <w:p w14:paraId="24B7B369" w14:textId="5D161A28" w:rsidR="007E0120" w:rsidRPr="0012695A" w:rsidRDefault="007E0120" w:rsidP="007E4F84">
      <w:pPr>
        <w:pStyle w:val="FootnoteText"/>
        <w:jc w:val="both"/>
        <w:rPr>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KMEC, Jiří a kol. </w:t>
      </w:r>
      <w:r w:rsidRPr="007E4F84">
        <w:rPr>
          <w:rFonts w:ascii="Garamond" w:hAnsi="Garamond"/>
          <w:i/>
          <w:lang w:val="cs-CZ"/>
        </w:rPr>
        <w:t>Evropská úmluva o lidských právech</w:t>
      </w:r>
      <w:r w:rsidRPr="007E4F84">
        <w:rPr>
          <w:rFonts w:ascii="Garamond" w:hAnsi="Garamond"/>
          <w:lang w:val="cs-CZ"/>
        </w:rPr>
        <w:t xml:space="preserve">. </w:t>
      </w:r>
      <w:r w:rsidRPr="007E4F84">
        <w:rPr>
          <w:rFonts w:ascii="Garamond" w:hAnsi="Garamond"/>
          <w:i/>
          <w:lang w:val="cs-CZ"/>
        </w:rPr>
        <w:t>Komentář</w:t>
      </w:r>
      <w:r w:rsidRPr="007E4F84">
        <w:rPr>
          <w:rFonts w:ascii="Garamond" w:hAnsi="Garamond"/>
          <w:lang w:val="cs-CZ"/>
        </w:rPr>
        <w:t>. 1. vydání. Praha: C. H. Beck, 2012, s. 1226.</w:t>
      </w:r>
    </w:p>
  </w:footnote>
  <w:footnote w:id="208">
    <w:p w14:paraId="08879CF5" w14:textId="259B1B13"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LINDEMANN, Hilde, VERKERK, Marian. Ending the Life of a Newborn: The Groningen Protocol. </w:t>
      </w:r>
      <w:r w:rsidRPr="007E4F84">
        <w:rPr>
          <w:rFonts w:ascii="Garamond" w:hAnsi="Garamond"/>
          <w:i/>
        </w:rPr>
        <w:t xml:space="preserve">The Hastings </w:t>
      </w:r>
      <w:r w:rsidRPr="007E4F84">
        <w:rPr>
          <w:rFonts w:ascii="Garamond" w:hAnsi="Garamond"/>
          <w:i/>
        </w:rPr>
        <w:t>Center Report</w:t>
      </w:r>
      <w:r>
        <w:rPr>
          <w:rFonts w:ascii="Garamond" w:hAnsi="Garamond"/>
        </w:rPr>
        <w:t>,</w:t>
      </w:r>
      <w:r w:rsidRPr="007E4F84">
        <w:rPr>
          <w:rFonts w:ascii="Garamond" w:hAnsi="Garamond"/>
        </w:rPr>
        <w:t xml:space="preserve"> 2008, </w:t>
      </w:r>
      <w:r w:rsidRPr="007E4F84">
        <w:rPr>
          <w:rFonts w:ascii="Garamond" w:hAnsi="Garamond"/>
          <w:lang w:val="cs-CZ"/>
        </w:rPr>
        <w:t>roč.</w:t>
      </w:r>
      <w:r w:rsidRPr="007E4F84">
        <w:rPr>
          <w:rFonts w:ascii="Garamond" w:hAnsi="Garamond"/>
        </w:rPr>
        <w:t xml:space="preserve"> 38, č. 1, s. 42-51.</w:t>
      </w:r>
    </w:p>
  </w:footnote>
  <w:footnote w:id="209">
    <w:p w14:paraId="5AC52BCD" w14:textId="72E5F944" w:rsidR="007E0120" w:rsidRPr="007E4F84" w:rsidRDefault="007E0120" w:rsidP="007E4F84">
      <w:pPr>
        <w:pStyle w:val="FootnoteText"/>
        <w:jc w:val="both"/>
        <w:rPr>
          <w:rFonts w:ascii="Garamond" w:hAnsi="Garamond"/>
        </w:rPr>
      </w:pPr>
      <w:r w:rsidRPr="007E4F84">
        <w:rPr>
          <w:rStyle w:val="FootnoteReference"/>
          <w:rFonts w:ascii="Garamond" w:hAnsi="Garamond"/>
        </w:rPr>
        <w:footnoteRef/>
      </w:r>
      <w:r w:rsidRPr="007E4F84">
        <w:rPr>
          <w:rFonts w:ascii="Garamond" w:hAnsi="Garamond"/>
        </w:rPr>
        <w:t xml:space="preserve"> LINDEMANN, Hilde, VERKERK, Marian. Ending the Life of a Newborn: The Groningen Protocol. </w:t>
      </w:r>
      <w:r w:rsidRPr="007E4F84">
        <w:rPr>
          <w:rFonts w:ascii="Garamond" w:hAnsi="Garamond"/>
          <w:i/>
        </w:rPr>
        <w:t xml:space="preserve">The Hastings </w:t>
      </w:r>
      <w:r w:rsidRPr="007E4F84">
        <w:rPr>
          <w:rFonts w:ascii="Garamond" w:hAnsi="Garamond"/>
          <w:i/>
        </w:rPr>
        <w:t>Center Report</w:t>
      </w:r>
      <w:r>
        <w:rPr>
          <w:rFonts w:ascii="Garamond" w:hAnsi="Garamond"/>
        </w:rPr>
        <w:t>,</w:t>
      </w:r>
      <w:r w:rsidRPr="007E4F84">
        <w:rPr>
          <w:rFonts w:ascii="Garamond" w:hAnsi="Garamond"/>
        </w:rPr>
        <w:t xml:space="preserve"> 2008, </w:t>
      </w:r>
      <w:r w:rsidRPr="007E4F84">
        <w:rPr>
          <w:rFonts w:ascii="Garamond" w:hAnsi="Garamond"/>
          <w:lang w:val="cs-CZ"/>
        </w:rPr>
        <w:t>roč.</w:t>
      </w:r>
      <w:r w:rsidRPr="007E4F84">
        <w:rPr>
          <w:rFonts w:ascii="Garamond" w:hAnsi="Garamond"/>
        </w:rPr>
        <w:t xml:space="preserve"> 38, č. 1, s. 48.</w:t>
      </w:r>
    </w:p>
  </w:footnote>
  <w:footnote w:id="210">
    <w:p w14:paraId="592E374E" w14:textId="77777777" w:rsidR="007E0120" w:rsidRPr="007E4F84" w:rsidRDefault="007E0120" w:rsidP="007E4F84">
      <w:pPr>
        <w:pStyle w:val="FootnoteText"/>
        <w:jc w:val="both"/>
        <w:rPr>
          <w:rFonts w:ascii="Garamond" w:hAnsi="Garamond"/>
          <w:lang w:val="cs-CZ"/>
        </w:rPr>
      </w:pPr>
      <w:r w:rsidRPr="007E4F84">
        <w:rPr>
          <w:rStyle w:val="FootnoteReference"/>
          <w:rFonts w:ascii="Garamond" w:hAnsi="Garamond"/>
          <w:lang w:val="cs-CZ"/>
        </w:rPr>
        <w:footnoteRef/>
      </w:r>
      <w:r w:rsidRPr="007E4F84">
        <w:rPr>
          <w:rFonts w:ascii="Garamond" w:hAnsi="Garamond"/>
          <w:lang w:val="cs-CZ"/>
        </w:rPr>
        <w:t xml:space="preserve"> Tamtéž.</w:t>
      </w:r>
    </w:p>
  </w:footnote>
  <w:footnote w:id="211">
    <w:p w14:paraId="5D0C9163" w14:textId="31FA4D32" w:rsidR="007E0120" w:rsidRPr="007E4F84" w:rsidRDefault="007E0120" w:rsidP="007E4F84">
      <w:pPr>
        <w:pStyle w:val="FootnoteText"/>
        <w:jc w:val="both"/>
        <w:rPr>
          <w:rFonts w:ascii="Garamond" w:hAnsi="Garamond"/>
        </w:rPr>
      </w:pPr>
      <w:r w:rsidRPr="007E4F84">
        <w:rPr>
          <w:rStyle w:val="FootnoteReference"/>
          <w:rFonts w:ascii="Garamond" w:hAnsi="Garamond"/>
        </w:rPr>
        <w:footnoteRef/>
      </w:r>
      <w:r w:rsidRPr="007E4F84">
        <w:rPr>
          <w:rFonts w:ascii="Garamond" w:hAnsi="Garamond"/>
        </w:rPr>
        <w:t xml:space="preserve"> TEDESCO, Matthew. Dutch Protocols for Deliberately Ending the Life of Newborns: A Defence. </w:t>
      </w:r>
      <w:r w:rsidRPr="007E4F84">
        <w:rPr>
          <w:rFonts w:ascii="Garamond" w:hAnsi="Garamond"/>
          <w:i/>
        </w:rPr>
        <w:t>Journal of Bioethical Inquiry</w:t>
      </w:r>
      <w:r>
        <w:rPr>
          <w:rFonts w:ascii="Garamond" w:hAnsi="Garamond"/>
        </w:rPr>
        <w:t>,</w:t>
      </w:r>
      <w:r w:rsidRPr="007E4F84">
        <w:rPr>
          <w:rFonts w:ascii="Garamond" w:hAnsi="Garamond"/>
        </w:rPr>
        <w:t xml:space="preserve"> 2017, </w:t>
      </w:r>
      <w:r w:rsidRPr="007E4F84">
        <w:rPr>
          <w:rFonts w:ascii="Garamond" w:hAnsi="Garamond"/>
          <w:lang w:val="cs-CZ"/>
        </w:rPr>
        <w:t>roč.</w:t>
      </w:r>
      <w:r w:rsidRPr="007E4F84">
        <w:rPr>
          <w:rFonts w:ascii="Garamond" w:hAnsi="Garamond"/>
        </w:rPr>
        <w:t xml:space="preserve"> 14, č. 2, s. 253.</w:t>
      </w:r>
    </w:p>
  </w:footnote>
  <w:footnote w:id="212">
    <w:p w14:paraId="3EA05291" w14:textId="6BB66BA7"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KUŘE, Josef. </w:t>
      </w:r>
      <w:r w:rsidRPr="007E4F84">
        <w:rPr>
          <w:rFonts w:ascii="Garamond" w:hAnsi="Garamond"/>
          <w:i/>
          <w:lang w:val="cs-CZ"/>
        </w:rPr>
        <w:t>Co je eutanazie: studie k pojmu dobré smrti</w:t>
      </w:r>
      <w:r w:rsidRPr="007E4F84">
        <w:rPr>
          <w:rFonts w:ascii="Garamond" w:hAnsi="Garamond"/>
          <w:lang w:val="cs-CZ"/>
        </w:rPr>
        <w:t>. Praha: Academia, 2018, 297 s.</w:t>
      </w:r>
    </w:p>
  </w:footnote>
  <w:footnote w:id="213">
    <w:p w14:paraId="566DF717" w14:textId="4545102A" w:rsidR="007E0120" w:rsidRPr="007E4F84"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KUŘE, Josef. </w:t>
      </w:r>
      <w:r w:rsidRPr="007E4F84">
        <w:rPr>
          <w:rFonts w:ascii="Garamond" w:hAnsi="Garamond"/>
          <w:i/>
          <w:lang w:val="cs-CZ"/>
        </w:rPr>
        <w:t>Co je eutanazie: studie k pojmu dobré smrti</w:t>
      </w:r>
      <w:r w:rsidRPr="007E4F84">
        <w:rPr>
          <w:rFonts w:ascii="Garamond" w:hAnsi="Garamond"/>
          <w:lang w:val="cs-CZ"/>
        </w:rPr>
        <w:t>. Praha: Academia, 2018, s. 28-30.</w:t>
      </w:r>
    </w:p>
  </w:footnote>
  <w:footnote w:id="214">
    <w:p w14:paraId="53E72882" w14:textId="6EDE5749" w:rsidR="007E0120" w:rsidRPr="003E22E1" w:rsidRDefault="007E0120" w:rsidP="007E4F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KIPNIS, Kenneth, WILLIAMSON, </w:t>
      </w:r>
      <w:r w:rsidRPr="007E4F84">
        <w:rPr>
          <w:rFonts w:ascii="Garamond" w:hAnsi="Garamond"/>
        </w:rPr>
        <w:t xml:space="preserve">Gailynn M. Nontreatment Decisions for Severely Compromised Newborns. </w:t>
      </w:r>
      <w:r w:rsidRPr="007E4F84">
        <w:rPr>
          <w:rFonts w:ascii="Garamond" w:hAnsi="Garamond"/>
          <w:i/>
        </w:rPr>
        <w:t>Ethics</w:t>
      </w:r>
      <w:r>
        <w:rPr>
          <w:rFonts w:ascii="Garamond" w:hAnsi="Garamond"/>
        </w:rPr>
        <w:t>,</w:t>
      </w:r>
      <w:r w:rsidRPr="007E4F84">
        <w:rPr>
          <w:rFonts w:ascii="Garamond" w:hAnsi="Garamond"/>
        </w:rPr>
        <w:t xml:space="preserve"> 1994, </w:t>
      </w:r>
      <w:r w:rsidRPr="007E4F84">
        <w:rPr>
          <w:rFonts w:ascii="Garamond" w:hAnsi="Garamond"/>
          <w:lang w:val="cs-CZ"/>
        </w:rPr>
        <w:t>roč.</w:t>
      </w:r>
      <w:r w:rsidRPr="007E4F84">
        <w:rPr>
          <w:rFonts w:ascii="Garamond" w:hAnsi="Garamond"/>
        </w:rPr>
        <w:t xml:space="preserve"> 95, č. 1, s. 90-111.</w:t>
      </w:r>
    </w:p>
  </w:footnote>
  <w:footnote w:id="215">
    <w:p w14:paraId="46CC4C66" w14:textId="1984E9C5" w:rsidR="007E0120" w:rsidRPr="005D5E1C" w:rsidRDefault="007E0120" w:rsidP="00764189">
      <w:pPr>
        <w:pStyle w:val="FootnoteText"/>
        <w:jc w:val="both"/>
        <w:rPr>
          <w:rFonts w:ascii="Garamond" w:hAnsi="Garamond"/>
          <w:lang w:val="cs-CZ"/>
        </w:rPr>
      </w:pPr>
      <w:r w:rsidRPr="006F3217">
        <w:rPr>
          <w:rStyle w:val="FootnoteReference"/>
          <w:rFonts w:ascii="Garamond" w:hAnsi="Garamond"/>
        </w:rPr>
        <w:footnoteRef/>
      </w:r>
      <w:r w:rsidRPr="006F3217">
        <w:rPr>
          <w:rFonts w:ascii="Garamond" w:hAnsi="Garamond"/>
        </w:rPr>
        <w:t xml:space="preserve"> KIPNIS, Kenneth, WILLIAMSON, </w:t>
      </w:r>
      <w:r w:rsidRPr="006F3217">
        <w:rPr>
          <w:rFonts w:ascii="Garamond" w:hAnsi="Garamond"/>
        </w:rPr>
        <w:t>Gailynn M. Nontreatment Decisions for Severely Compromised Ne</w:t>
      </w:r>
      <w:r>
        <w:rPr>
          <w:rFonts w:ascii="Garamond" w:hAnsi="Garamond"/>
        </w:rPr>
        <w:t>w</w:t>
      </w:r>
      <w:r w:rsidRPr="006F3217">
        <w:rPr>
          <w:rFonts w:ascii="Garamond" w:hAnsi="Garamond"/>
        </w:rPr>
        <w:t xml:space="preserve">borns. </w:t>
      </w:r>
      <w:r w:rsidRPr="006F3217">
        <w:rPr>
          <w:rFonts w:ascii="Garamond" w:hAnsi="Garamond"/>
          <w:i/>
        </w:rPr>
        <w:t>Ethics</w:t>
      </w:r>
      <w:r>
        <w:rPr>
          <w:rFonts w:ascii="Garamond" w:hAnsi="Garamond"/>
        </w:rPr>
        <w:t>,</w:t>
      </w:r>
      <w:r w:rsidRPr="006F3217">
        <w:rPr>
          <w:rFonts w:ascii="Garamond" w:hAnsi="Garamond"/>
        </w:rPr>
        <w:t xml:space="preserve"> 1994, </w:t>
      </w:r>
      <w:r w:rsidRPr="00B67A1C">
        <w:rPr>
          <w:rFonts w:ascii="Garamond" w:hAnsi="Garamond"/>
          <w:lang w:val="cs-CZ"/>
        </w:rPr>
        <w:t>roč.</w:t>
      </w:r>
      <w:r w:rsidRPr="006F3217">
        <w:rPr>
          <w:rFonts w:ascii="Garamond" w:hAnsi="Garamond"/>
        </w:rPr>
        <w:t xml:space="preserve"> 95, č. 1, s. 97.</w:t>
      </w:r>
    </w:p>
  </w:footnote>
  <w:footnote w:id="216">
    <w:p w14:paraId="0B746F5C" w14:textId="41A7D639" w:rsidR="007E0120" w:rsidRPr="006F3217" w:rsidRDefault="007E0120" w:rsidP="00DE0F40">
      <w:pPr>
        <w:pStyle w:val="FootnoteText"/>
        <w:jc w:val="both"/>
        <w:rPr>
          <w:rFonts w:ascii="Garamond" w:hAnsi="Garamond"/>
        </w:rPr>
      </w:pPr>
      <w:r w:rsidRPr="006F3217">
        <w:rPr>
          <w:rStyle w:val="FootnoteReference"/>
          <w:rFonts w:ascii="Garamond" w:hAnsi="Garamond"/>
        </w:rPr>
        <w:footnoteRef/>
      </w:r>
      <w:r w:rsidRPr="006F3217">
        <w:rPr>
          <w:rFonts w:ascii="Garamond" w:hAnsi="Garamond"/>
        </w:rPr>
        <w:t xml:space="preserve"> SIEGEL, Andrew M., CAPLAN, Arthur L., SISTI, Dominic A. </w:t>
      </w:r>
      <w:r w:rsidRPr="006F3217">
        <w:rPr>
          <w:rFonts w:ascii="Garamond" w:hAnsi="Garamond"/>
        </w:rPr>
        <w:t xml:space="preserve">Pediatric Euthanasia in Belgium: Disturbing Developments. </w:t>
      </w:r>
      <w:r w:rsidRPr="006F3217">
        <w:rPr>
          <w:rFonts w:ascii="Garamond" w:hAnsi="Garamond"/>
          <w:i/>
        </w:rPr>
        <w:t>JAMA</w:t>
      </w:r>
      <w:r>
        <w:rPr>
          <w:rFonts w:ascii="Garamond" w:hAnsi="Garamond"/>
        </w:rPr>
        <w:t>,</w:t>
      </w:r>
      <w:r w:rsidRPr="006F3217">
        <w:rPr>
          <w:rFonts w:ascii="Garamond" w:hAnsi="Garamond"/>
        </w:rPr>
        <w:t xml:space="preserve"> 2014, </w:t>
      </w:r>
      <w:r w:rsidRPr="00467646">
        <w:rPr>
          <w:rFonts w:ascii="Garamond" w:hAnsi="Garamond"/>
          <w:lang w:val="cs-CZ"/>
        </w:rPr>
        <w:t>roč.</w:t>
      </w:r>
      <w:r w:rsidRPr="006F3217">
        <w:rPr>
          <w:rFonts w:ascii="Garamond" w:hAnsi="Garamond"/>
        </w:rPr>
        <w:t xml:space="preserve"> 311, č. 19, s. 1963-1964.</w:t>
      </w:r>
    </w:p>
  </w:footnote>
  <w:footnote w:id="217">
    <w:p w14:paraId="0CE0C94F" w14:textId="3FCEB7A9" w:rsidR="007E0120" w:rsidRPr="006F3217" w:rsidRDefault="007E0120" w:rsidP="00DE0F40">
      <w:pPr>
        <w:pStyle w:val="FootnoteText"/>
        <w:jc w:val="both"/>
        <w:rPr>
          <w:rFonts w:ascii="Garamond" w:hAnsi="Garamond"/>
        </w:rPr>
      </w:pPr>
      <w:r w:rsidRPr="006F3217">
        <w:rPr>
          <w:rStyle w:val="FootnoteReference"/>
          <w:rFonts w:ascii="Garamond" w:hAnsi="Garamond"/>
        </w:rPr>
        <w:footnoteRef/>
      </w:r>
      <w:r w:rsidRPr="006F3217">
        <w:rPr>
          <w:rFonts w:ascii="Garamond" w:hAnsi="Garamond"/>
        </w:rPr>
        <w:t xml:space="preserve"> BOVENS, Luc. Child euthanasia: should we just not talk about it? </w:t>
      </w:r>
      <w:r w:rsidRPr="006F3217">
        <w:rPr>
          <w:rFonts w:ascii="Garamond" w:hAnsi="Garamond"/>
          <w:i/>
        </w:rPr>
        <w:t>Journal of Medical Ethics</w:t>
      </w:r>
      <w:r>
        <w:rPr>
          <w:rFonts w:ascii="Garamond" w:hAnsi="Garamond"/>
        </w:rPr>
        <w:t>,</w:t>
      </w:r>
      <w:r w:rsidRPr="006F3217">
        <w:rPr>
          <w:rFonts w:ascii="Garamond" w:hAnsi="Garamond"/>
        </w:rPr>
        <w:t xml:space="preserve"> 2015</w:t>
      </w:r>
      <w:r w:rsidRPr="00467646">
        <w:rPr>
          <w:rFonts w:ascii="Garamond" w:hAnsi="Garamond"/>
          <w:lang w:val="cs-CZ"/>
        </w:rPr>
        <w:t>, roč.</w:t>
      </w:r>
      <w:r w:rsidRPr="006F3217">
        <w:rPr>
          <w:rFonts w:ascii="Garamond" w:hAnsi="Garamond"/>
        </w:rPr>
        <w:t xml:space="preserve"> 41, č. 8, s. 631.</w:t>
      </w:r>
    </w:p>
  </w:footnote>
  <w:footnote w:id="218">
    <w:p w14:paraId="3E8D76E8" w14:textId="5FF14FA7" w:rsidR="007E0120" w:rsidRPr="0062302E" w:rsidRDefault="007E0120" w:rsidP="0062302E">
      <w:pPr>
        <w:pStyle w:val="FootnoteText"/>
        <w:jc w:val="both"/>
        <w:rPr>
          <w:rFonts w:ascii="Garamond" w:hAnsi="Garamond"/>
          <w:lang w:val="cs-CZ"/>
        </w:rPr>
      </w:pPr>
      <w:r w:rsidRPr="0062302E">
        <w:rPr>
          <w:rStyle w:val="FootnoteReference"/>
          <w:rFonts w:ascii="Garamond" w:hAnsi="Garamond"/>
        </w:rPr>
        <w:footnoteRef/>
      </w:r>
      <w:r w:rsidRPr="0062302E">
        <w:rPr>
          <w:rFonts w:ascii="Garamond" w:hAnsi="Garamond"/>
        </w:rPr>
        <w:t xml:space="preserve"> MOSOFF, Judith. Why Not Tell It Like It Is: The Example of P. H. v. Eastern Integrated Health Authority, a Minor in a Life-Threatening Context. </w:t>
      </w:r>
      <w:r w:rsidRPr="0062302E">
        <w:rPr>
          <w:rFonts w:ascii="Garamond" w:hAnsi="Garamond"/>
          <w:i/>
        </w:rPr>
        <w:t>University of New Brunswick Law Journal</w:t>
      </w:r>
      <w:r>
        <w:rPr>
          <w:rFonts w:ascii="Garamond" w:hAnsi="Garamond"/>
          <w:lang w:val="cs-CZ"/>
        </w:rPr>
        <w:t>,</w:t>
      </w:r>
      <w:r w:rsidRPr="0062302E">
        <w:rPr>
          <w:rFonts w:ascii="Garamond" w:hAnsi="Garamond"/>
          <w:lang w:val="cs-CZ"/>
        </w:rPr>
        <w:t xml:space="preserve"> 2012, roč. 63, s. 2</w:t>
      </w:r>
      <w:r>
        <w:rPr>
          <w:rFonts w:ascii="Garamond" w:hAnsi="Garamond"/>
          <w:lang w:val="cs-CZ"/>
        </w:rPr>
        <w:t>48.</w:t>
      </w:r>
    </w:p>
  </w:footnote>
  <w:footnote w:id="219">
    <w:p w14:paraId="143677A8" w14:textId="045FAEBB" w:rsidR="007E0120" w:rsidRPr="00FF0486" w:rsidRDefault="007E0120" w:rsidP="00DE0F40">
      <w:pPr>
        <w:pStyle w:val="FootnoteText"/>
        <w:jc w:val="both"/>
        <w:rPr>
          <w:rFonts w:ascii="Garamond" w:hAnsi="Garamond"/>
          <w:lang w:val="cs-CZ"/>
        </w:rPr>
      </w:pPr>
      <w:r w:rsidRPr="00FF0486">
        <w:rPr>
          <w:rStyle w:val="FootnoteReference"/>
          <w:rFonts w:ascii="Garamond" w:hAnsi="Garamond"/>
        </w:rPr>
        <w:footnoteRef/>
      </w:r>
      <w:r w:rsidRPr="00FF0486">
        <w:rPr>
          <w:rFonts w:ascii="Garamond" w:hAnsi="Garamond"/>
        </w:rPr>
        <w:t xml:space="preserve"> </w:t>
      </w:r>
      <w:r w:rsidRPr="00FF0486">
        <w:rPr>
          <w:rFonts w:ascii="Garamond" w:hAnsi="Garamond"/>
          <w:lang w:val="cs-CZ"/>
        </w:rPr>
        <w:t xml:space="preserve">GEORGE, R. J. D, FINLAY I. G., JEFFREY David. </w:t>
      </w:r>
      <w:r w:rsidRPr="00467646">
        <w:rPr>
          <w:rFonts w:ascii="Garamond" w:hAnsi="Garamond"/>
        </w:rPr>
        <w:t xml:space="preserve">Legalised euthanasia will violate the rights of vulnerable patients. </w:t>
      </w:r>
      <w:r w:rsidRPr="00FF0486">
        <w:rPr>
          <w:rFonts w:ascii="Garamond" w:hAnsi="Garamond"/>
          <w:i/>
          <w:lang w:val="cs-CZ"/>
        </w:rPr>
        <w:t>BMJ</w:t>
      </w:r>
      <w:r>
        <w:rPr>
          <w:rFonts w:ascii="Garamond" w:hAnsi="Garamond"/>
          <w:lang w:val="cs-CZ"/>
        </w:rPr>
        <w:t>,</w:t>
      </w:r>
      <w:r w:rsidRPr="00FF0486">
        <w:rPr>
          <w:rFonts w:ascii="Garamond" w:hAnsi="Garamond"/>
          <w:lang w:val="cs-CZ"/>
        </w:rPr>
        <w:t xml:space="preserve"> 2005, roč. 331, č. 7518, s. 684.</w:t>
      </w:r>
    </w:p>
  </w:footnote>
  <w:footnote w:id="220">
    <w:p w14:paraId="77DE95DC" w14:textId="3463709D" w:rsidR="007E0120" w:rsidRPr="005F5387" w:rsidRDefault="007E0120" w:rsidP="00DE0F40">
      <w:pPr>
        <w:pStyle w:val="FootnoteText"/>
        <w:jc w:val="both"/>
        <w:rPr>
          <w:rFonts w:ascii="Garamond" w:hAnsi="Garamond"/>
          <w:lang w:val="cs-CZ"/>
        </w:rPr>
      </w:pPr>
      <w:r w:rsidRPr="006F3217">
        <w:rPr>
          <w:rStyle w:val="FootnoteReference"/>
          <w:rFonts w:ascii="Garamond" w:hAnsi="Garamond"/>
        </w:rPr>
        <w:footnoteRef/>
      </w:r>
      <w:r w:rsidRPr="006F3217">
        <w:rPr>
          <w:rFonts w:ascii="Garamond" w:hAnsi="Garamond"/>
        </w:rPr>
        <w:t xml:space="preserve"> VERHAGEN, Eduard, SAUER, Pieter J.J. The Groningen Protocol – Euthanasia in Severely Ill Newborns. </w:t>
      </w:r>
      <w:r w:rsidRPr="006F3217">
        <w:rPr>
          <w:rFonts w:ascii="Garamond" w:hAnsi="Garamond"/>
          <w:i/>
        </w:rPr>
        <w:t>The New England Journal of Medicine</w:t>
      </w:r>
      <w:r>
        <w:rPr>
          <w:rFonts w:ascii="Garamond" w:hAnsi="Garamond"/>
          <w:iCs/>
        </w:rPr>
        <w:t>,</w:t>
      </w:r>
      <w:r w:rsidRPr="006F3217">
        <w:rPr>
          <w:rFonts w:ascii="Garamond" w:hAnsi="Garamond"/>
        </w:rPr>
        <w:t xml:space="preserve"> 2005, </w:t>
      </w:r>
      <w:r w:rsidRPr="00B67A1C">
        <w:rPr>
          <w:rFonts w:ascii="Garamond" w:hAnsi="Garamond"/>
          <w:lang w:val="cs-CZ"/>
        </w:rPr>
        <w:t>roč.</w:t>
      </w:r>
      <w:r w:rsidRPr="006F3217">
        <w:rPr>
          <w:rFonts w:ascii="Garamond" w:hAnsi="Garamond"/>
        </w:rPr>
        <w:t xml:space="preserve"> 352, č. 10, s. 959.</w:t>
      </w:r>
    </w:p>
  </w:footnote>
  <w:footnote w:id="221">
    <w:p w14:paraId="31281E25" w14:textId="77777777" w:rsidR="007E0120" w:rsidRPr="0079171C" w:rsidRDefault="007E0120" w:rsidP="00DE0F40">
      <w:pPr>
        <w:pStyle w:val="FootnoteText"/>
        <w:jc w:val="both"/>
        <w:rPr>
          <w:rFonts w:ascii="Garamond" w:hAnsi="Garamond"/>
          <w:lang w:val="cs-CZ"/>
        </w:rPr>
      </w:pPr>
      <w:r w:rsidRPr="0079171C">
        <w:rPr>
          <w:rStyle w:val="FootnoteReference"/>
          <w:rFonts w:ascii="Garamond" w:hAnsi="Garamond"/>
        </w:rPr>
        <w:footnoteRef/>
      </w:r>
      <w:r w:rsidRPr="0079171C">
        <w:rPr>
          <w:rFonts w:ascii="Garamond" w:hAnsi="Garamond"/>
        </w:rPr>
        <w:t xml:space="preserve"> </w:t>
      </w:r>
      <w:r w:rsidRPr="0079171C">
        <w:rPr>
          <w:rFonts w:ascii="Garamond" w:hAnsi="Garamond"/>
          <w:lang w:val="cs-CZ"/>
        </w:rPr>
        <w:t>Tamtéž.</w:t>
      </w:r>
    </w:p>
  </w:footnote>
  <w:footnote w:id="222">
    <w:p w14:paraId="6B1949C8" w14:textId="7A3169FE" w:rsidR="007E0120" w:rsidRPr="00C64C22" w:rsidRDefault="007E0120" w:rsidP="00DE0F40">
      <w:pPr>
        <w:pStyle w:val="FootnoteText"/>
        <w:jc w:val="both"/>
        <w:rPr>
          <w:rFonts w:ascii="Garamond" w:hAnsi="Garamond"/>
          <w:lang w:val="cs-CZ"/>
        </w:rPr>
      </w:pPr>
      <w:r w:rsidRPr="00C64C22">
        <w:rPr>
          <w:rStyle w:val="FootnoteReference"/>
          <w:rFonts w:ascii="Garamond" w:hAnsi="Garamond"/>
        </w:rPr>
        <w:footnoteRef/>
      </w:r>
      <w:r w:rsidRPr="00C64C22">
        <w:rPr>
          <w:rFonts w:ascii="Garamond" w:hAnsi="Garamond"/>
        </w:rPr>
        <w:t xml:space="preserve"> </w:t>
      </w:r>
      <w:r w:rsidRPr="00C64C22">
        <w:rPr>
          <w:rFonts w:ascii="Garamond" w:hAnsi="Garamond"/>
          <w:lang w:val="cs-CZ"/>
        </w:rPr>
        <w:t>CARTER, Brian S., JONES, Patrick M. Evidence</w:t>
      </w:r>
      <w:r w:rsidRPr="006F3217">
        <w:rPr>
          <w:rFonts w:ascii="Garamond" w:hAnsi="Garamond"/>
        </w:rPr>
        <w:t xml:space="preserve">-based comfort care for neonates towards the end of life. </w:t>
      </w:r>
      <w:r w:rsidRPr="006F3217">
        <w:rPr>
          <w:rFonts w:ascii="Garamond" w:hAnsi="Garamond"/>
          <w:i/>
        </w:rPr>
        <w:t xml:space="preserve">Seminars in </w:t>
      </w:r>
      <w:r w:rsidRPr="006F3217">
        <w:rPr>
          <w:rFonts w:ascii="Garamond" w:hAnsi="Garamond"/>
          <w:i/>
        </w:rPr>
        <w:t>Fetal and Neonatal Medicine</w:t>
      </w:r>
      <w:r>
        <w:rPr>
          <w:rFonts w:ascii="Garamond" w:hAnsi="Garamond"/>
          <w:lang w:val="cs-CZ"/>
        </w:rPr>
        <w:t>,</w:t>
      </w:r>
      <w:r w:rsidRPr="00C64C22">
        <w:rPr>
          <w:rFonts w:ascii="Garamond" w:hAnsi="Garamond"/>
          <w:lang w:val="cs-CZ"/>
        </w:rPr>
        <w:t xml:space="preserve"> 2013, roč. 18, č. 2, s. 88-90. </w:t>
      </w:r>
    </w:p>
  </w:footnote>
  <w:footnote w:id="223">
    <w:p w14:paraId="6E88E3BF" w14:textId="13471533" w:rsidR="007E0120" w:rsidRPr="007E4F84" w:rsidRDefault="007E0120" w:rsidP="004C28DC">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ČADOVÁ, Naděžda. </w:t>
      </w:r>
      <w:r w:rsidRPr="007E4F84">
        <w:rPr>
          <w:rFonts w:ascii="Garamond" w:hAnsi="Garamond"/>
          <w:i/>
          <w:lang w:val="cs-CZ"/>
        </w:rPr>
        <w:t xml:space="preserve">Veřejné mínění o interrupci, eutanazii a trestu smrti – květen 2018 </w:t>
      </w:r>
      <w:r w:rsidRPr="007E4F84">
        <w:rPr>
          <w:rFonts w:ascii="Garamond" w:hAnsi="Garamond"/>
          <w:lang w:val="cs-CZ"/>
        </w:rPr>
        <w:t>[online]. Centrum pro výzkum veřejného mínění, 21.6.2018 [cit. 28.2.2018]. Dostupné na &lt;</w:t>
      </w:r>
      <w:hyperlink r:id="rId26" w:history="1">
        <w:r w:rsidRPr="007E4F84">
          <w:rPr>
            <w:rStyle w:val="Hyperlink"/>
            <w:rFonts w:ascii="Garamond" w:hAnsi="Garamond"/>
            <w:lang w:val="cs-CZ"/>
          </w:rPr>
          <w:t>https://cvvm.soc.cas.cz/media/com_form2content/documents/c2/a4657/f9/ov180621.pdf</w:t>
        </w:r>
      </w:hyperlink>
      <w:r w:rsidRPr="007E4F84">
        <w:rPr>
          <w:rFonts w:ascii="Garamond" w:hAnsi="Garamond"/>
          <w:lang w:val="cs-CZ"/>
        </w:rPr>
        <w:t xml:space="preserve">&gt;. </w:t>
      </w:r>
    </w:p>
  </w:footnote>
  <w:footnote w:id="224">
    <w:p w14:paraId="60857868" w14:textId="77777777" w:rsidR="007E0120" w:rsidRPr="007E4F84" w:rsidRDefault="007E0120" w:rsidP="003248B1">
      <w:pPr>
        <w:pStyle w:val="FootnoteText"/>
        <w:jc w:val="both"/>
        <w:rPr>
          <w:rFonts w:ascii="Garamond" w:hAnsi="Garamond"/>
          <w:i/>
          <w:lang w:val="cs-CZ"/>
        </w:rPr>
      </w:pPr>
      <w:r w:rsidRPr="007E4F84">
        <w:rPr>
          <w:rStyle w:val="FootnoteReference"/>
          <w:rFonts w:ascii="Garamond" w:hAnsi="Garamond"/>
          <w:lang w:val="cs-CZ"/>
        </w:rPr>
        <w:footnoteRef/>
      </w:r>
      <w:r w:rsidRPr="007E4F84">
        <w:rPr>
          <w:rFonts w:ascii="Garamond" w:hAnsi="Garamond"/>
          <w:lang w:val="cs-CZ"/>
        </w:rPr>
        <w:t xml:space="preserve"> </w:t>
      </w:r>
      <w:r w:rsidRPr="007E4F84">
        <w:rPr>
          <w:rFonts w:ascii="Garamond" w:hAnsi="Garamond"/>
          <w:i/>
          <w:lang w:val="cs-CZ"/>
        </w:rPr>
        <w:t xml:space="preserve">Čl. 6 LZPS </w:t>
      </w:r>
    </w:p>
    <w:p w14:paraId="39EAD055" w14:textId="05F27183" w:rsidR="007E0120" w:rsidRPr="007E4F84" w:rsidRDefault="007E0120" w:rsidP="00CB76BA">
      <w:pPr>
        <w:pStyle w:val="FootnoteText"/>
        <w:numPr>
          <w:ilvl w:val="0"/>
          <w:numId w:val="26"/>
        </w:numPr>
        <w:jc w:val="both"/>
        <w:rPr>
          <w:rFonts w:ascii="Garamond" w:hAnsi="Garamond"/>
          <w:i/>
          <w:lang w:val="cs-CZ"/>
        </w:rPr>
      </w:pPr>
      <w:r w:rsidRPr="007E4F84">
        <w:rPr>
          <w:rFonts w:ascii="Garamond" w:hAnsi="Garamond"/>
          <w:i/>
          <w:lang w:val="cs-CZ"/>
        </w:rPr>
        <w:t>Každý má právo na život. Lidský život je hoden ochrany již před narozením.</w:t>
      </w:r>
    </w:p>
    <w:p w14:paraId="0BE25C0F" w14:textId="081415CE" w:rsidR="007E0120" w:rsidRPr="007E4F84" w:rsidRDefault="007E0120" w:rsidP="00CB76BA">
      <w:pPr>
        <w:pStyle w:val="FootnoteText"/>
        <w:numPr>
          <w:ilvl w:val="0"/>
          <w:numId w:val="26"/>
        </w:numPr>
        <w:jc w:val="both"/>
        <w:rPr>
          <w:rFonts w:ascii="Garamond" w:hAnsi="Garamond"/>
          <w:i/>
          <w:lang w:val="cs-CZ"/>
        </w:rPr>
      </w:pPr>
      <w:r w:rsidRPr="007E4F84">
        <w:rPr>
          <w:rFonts w:ascii="Garamond" w:hAnsi="Garamond"/>
          <w:i/>
          <w:lang w:val="cs-CZ"/>
        </w:rPr>
        <w:t>Nikdo nesmí být zbaven života</w:t>
      </w:r>
    </w:p>
    <w:p w14:paraId="05952827" w14:textId="70231B55" w:rsidR="007E0120" w:rsidRPr="007E4F84" w:rsidRDefault="007E0120" w:rsidP="00CB76BA">
      <w:pPr>
        <w:pStyle w:val="FootnoteText"/>
        <w:numPr>
          <w:ilvl w:val="0"/>
          <w:numId w:val="26"/>
        </w:numPr>
        <w:jc w:val="both"/>
        <w:rPr>
          <w:rFonts w:ascii="Garamond" w:hAnsi="Garamond"/>
          <w:i/>
          <w:lang w:val="cs-CZ"/>
        </w:rPr>
      </w:pPr>
      <w:r w:rsidRPr="007E4F84">
        <w:rPr>
          <w:rFonts w:ascii="Garamond" w:hAnsi="Garamond"/>
          <w:i/>
          <w:lang w:val="cs-CZ"/>
        </w:rPr>
        <w:t>Trest smrti se nepřipouští</w:t>
      </w:r>
    </w:p>
    <w:p w14:paraId="245625ED" w14:textId="4BD1938B" w:rsidR="007E0120" w:rsidRPr="007E4F84" w:rsidRDefault="007E0120" w:rsidP="003248B1">
      <w:pPr>
        <w:pStyle w:val="FootnoteText"/>
        <w:numPr>
          <w:ilvl w:val="0"/>
          <w:numId w:val="26"/>
        </w:numPr>
        <w:jc w:val="both"/>
        <w:rPr>
          <w:rFonts w:ascii="Garamond" w:hAnsi="Garamond"/>
          <w:lang w:val="cs-CZ"/>
        </w:rPr>
      </w:pPr>
      <w:r w:rsidRPr="007E4F84">
        <w:rPr>
          <w:rFonts w:ascii="Garamond" w:hAnsi="Garamond"/>
          <w:i/>
          <w:lang w:val="cs-CZ"/>
        </w:rPr>
        <w:t>Porušením práv podle tohoto článku není, jestliže byl někdo zbaven života v souvislosti s jednáním, které podle zákona není trestné.</w:t>
      </w:r>
    </w:p>
  </w:footnote>
  <w:footnote w:id="225">
    <w:p w14:paraId="443D19AC" w14:textId="744CA1B2" w:rsidR="007E0120" w:rsidRPr="007E4F84" w:rsidRDefault="007E0120" w:rsidP="00B721D1">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lang w:val="cs-CZ"/>
        </w:rPr>
        <w:t xml:space="preserve"> WAGNEROVÁ, Eliška, ŠIMÍČEK, Vojtěch, LANGÁŠEK, Tomáš, POSPÍŠIL, Ivo a kol. </w:t>
      </w:r>
      <w:r w:rsidRPr="007E4F84">
        <w:rPr>
          <w:rFonts w:ascii="Garamond" w:hAnsi="Garamond"/>
          <w:i/>
          <w:lang w:val="cs-CZ"/>
        </w:rPr>
        <w:t>Listina základních práv a svobod. Komentář</w:t>
      </w:r>
      <w:r w:rsidRPr="007E4F84">
        <w:rPr>
          <w:rFonts w:ascii="Garamond" w:hAnsi="Garamond"/>
          <w:lang w:val="cs-CZ"/>
        </w:rPr>
        <w:t xml:space="preserve">. Praha: </w:t>
      </w:r>
      <w:r w:rsidRPr="007E4F84">
        <w:rPr>
          <w:rFonts w:ascii="Garamond" w:hAnsi="Garamond"/>
          <w:lang w:val="cs-CZ"/>
        </w:rPr>
        <w:t>Wolters Kluwer ČR, a.s., 2012, s. 177.</w:t>
      </w:r>
    </w:p>
  </w:footnote>
  <w:footnote w:id="226">
    <w:p w14:paraId="4DA9A89F" w14:textId="5A0D35E9" w:rsidR="007E0120" w:rsidRPr="007E4F84" w:rsidRDefault="007E0120" w:rsidP="003248B1">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PRUDIL, Lukáš. Máme ústavní oporu pro provádění eutanazie? In PTÁČEK, Radek, BARTŮNĚK, Petr (</w:t>
      </w:r>
      <w:r w:rsidRPr="007E4F84">
        <w:rPr>
          <w:rFonts w:ascii="Garamond" w:hAnsi="Garamond"/>
          <w:lang w:val="cs-CZ"/>
        </w:rPr>
        <w:t xml:space="preserve">eds.). </w:t>
      </w:r>
      <w:r w:rsidRPr="007E4F84">
        <w:rPr>
          <w:rFonts w:ascii="Garamond" w:hAnsi="Garamond"/>
          <w:i/>
          <w:lang w:val="cs-CZ"/>
        </w:rPr>
        <w:t>Eutanazie – pro a proti</w:t>
      </w:r>
      <w:r w:rsidRPr="007E4F84">
        <w:rPr>
          <w:rFonts w:ascii="Garamond" w:hAnsi="Garamond"/>
          <w:lang w:val="cs-CZ"/>
        </w:rPr>
        <w:t>. Praha: Grada, 2012, s. 149.</w:t>
      </w:r>
    </w:p>
  </w:footnote>
  <w:footnote w:id="227">
    <w:p w14:paraId="029B055E" w14:textId="724E13FD" w:rsidR="007E0120" w:rsidRPr="007E4F84" w:rsidRDefault="007E0120" w:rsidP="00265083">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Čl. 7 LZPS</w:t>
      </w:r>
    </w:p>
  </w:footnote>
  <w:footnote w:id="228">
    <w:p w14:paraId="18F9B5CE" w14:textId="057068DF" w:rsidR="007E0120" w:rsidRPr="007E4F84" w:rsidRDefault="007E0120" w:rsidP="00265083">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Čl. 10 LZPS</w:t>
      </w:r>
    </w:p>
  </w:footnote>
  <w:footnote w:id="229">
    <w:p w14:paraId="7ED3556D" w14:textId="2B22CBD6" w:rsidR="007E0120" w:rsidRPr="00137384" w:rsidRDefault="007E0120" w:rsidP="00137384">
      <w:pPr>
        <w:pStyle w:val="FootnoteText"/>
        <w:jc w:val="both"/>
        <w:rPr>
          <w:rFonts w:ascii="Garamond" w:hAnsi="Garamond"/>
          <w:lang w:val="cs-CZ"/>
        </w:rPr>
      </w:pPr>
      <w:r w:rsidRPr="007E4F84">
        <w:rPr>
          <w:rStyle w:val="FootnoteReference"/>
          <w:rFonts w:ascii="Garamond" w:hAnsi="Garamond"/>
        </w:rPr>
        <w:footnoteRef/>
      </w:r>
      <w:r w:rsidRPr="007E4F84">
        <w:rPr>
          <w:rFonts w:ascii="Garamond" w:hAnsi="Garamond"/>
        </w:rPr>
        <w:t xml:space="preserve"> </w:t>
      </w:r>
      <w:r w:rsidRPr="007E4F84">
        <w:rPr>
          <w:rFonts w:ascii="Garamond" w:hAnsi="Garamond"/>
          <w:lang w:val="cs-CZ"/>
        </w:rPr>
        <w:t xml:space="preserve">Nález Ústavního soudu ze dne 29.2.2008, </w:t>
      </w:r>
      <w:r w:rsidRPr="007E4F84">
        <w:rPr>
          <w:rFonts w:ascii="Garamond" w:hAnsi="Garamond"/>
          <w:lang w:val="cs-CZ"/>
        </w:rPr>
        <w:t>sp. zn. II. ÚS 2268/07, bod 41</w:t>
      </w:r>
    </w:p>
  </w:footnote>
  <w:footnote w:id="230">
    <w:p w14:paraId="17B8EBC2" w14:textId="36D7F201" w:rsidR="007E0120" w:rsidRPr="00522EEE" w:rsidRDefault="007E0120" w:rsidP="00B721D1">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lang w:val="cs-CZ"/>
        </w:rPr>
        <w:t xml:space="preserve">WAGNEROVÁ, Eliška, ŠIMÍČEK, Vojtěch, LANGÁŠEK, Tomáš, POSPÍŠIL, Ivo a kol. </w:t>
      </w:r>
      <w:r w:rsidRPr="00522EEE">
        <w:rPr>
          <w:rFonts w:ascii="Garamond" w:hAnsi="Garamond"/>
          <w:i/>
          <w:lang w:val="cs-CZ"/>
        </w:rPr>
        <w:t>Listina základních práv a svobod. Komentář</w:t>
      </w:r>
      <w:r w:rsidRPr="00522EEE">
        <w:rPr>
          <w:rFonts w:ascii="Garamond" w:hAnsi="Garamond"/>
          <w:lang w:val="cs-CZ"/>
        </w:rPr>
        <w:t xml:space="preserve">. Praha: </w:t>
      </w:r>
      <w:r w:rsidRPr="00522EEE">
        <w:rPr>
          <w:rFonts w:ascii="Garamond" w:hAnsi="Garamond"/>
          <w:lang w:val="cs-CZ"/>
        </w:rPr>
        <w:t>Wolters Kluwer ČR, a.s., 2012, s. 189.</w:t>
      </w:r>
    </w:p>
  </w:footnote>
  <w:footnote w:id="231">
    <w:p w14:paraId="69C5D682" w14:textId="6CC0ADC9" w:rsidR="007E0120" w:rsidRPr="00522EEE" w:rsidRDefault="007E0120" w:rsidP="00B721D1">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lang w:val="cs-CZ"/>
        </w:rPr>
        <w:t>Tamtéž.</w:t>
      </w:r>
    </w:p>
  </w:footnote>
  <w:footnote w:id="232">
    <w:p w14:paraId="0C64D94D" w14:textId="2EC95D81" w:rsidR="007E0120" w:rsidRPr="00522EEE" w:rsidRDefault="007E0120" w:rsidP="000106FC">
      <w:pPr>
        <w:pStyle w:val="FootnoteText"/>
        <w:jc w:val="both"/>
        <w:rPr>
          <w:rFonts w:ascii="Garamond" w:hAnsi="Garamond"/>
          <w:lang w:val="cs-CZ"/>
        </w:rPr>
      </w:pPr>
      <w:r w:rsidRPr="00522EEE">
        <w:rPr>
          <w:rStyle w:val="FootnoteReference"/>
          <w:rFonts w:ascii="Garamond" w:hAnsi="Garamond"/>
          <w:lang w:val="cs-CZ"/>
        </w:rPr>
        <w:footnoteRef/>
      </w:r>
      <w:r w:rsidRPr="00522EEE">
        <w:rPr>
          <w:rFonts w:ascii="Garamond" w:hAnsi="Garamond"/>
          <w:lang w:val="cs-CZ"/>
        </w:rPr>
        <w:t xml:space="preserve"> Zákon č. 40/2009 Sb., trestní zákoník, ve znění pozdějších předpisů</w:t>
      </w:r>
    </w:p>
  </w:footnote>
  <w:footnote w:id="233">
    <w:p w14:paraId="57E78E6B" w14:textId="01DAC485" w:rsidR="007E0120" w:rsidRPr="00522EEE" w:rsidRDefault="007E0120" w:rsidP="00DA1F7C">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b/>
          <w:lang w:val="cs-CZ"/>
        </w:rPr>
        <w:t>Pozn</w:t>
      </w:r>
      <w:r w:rsidRPr="00522EEE">
        <w:rPr>
          <w:rFonts w:ascii="Garamond" w:hAnsi="Garamond"/>
          <w:lang w:val="cs-CZ"/>
        </w:rPr>
        <w:t xml:space="preserve">. Návrh zákona o důstojné smrti byl podán již v roce 2008, jakožto senátní návrh senátorky Václavy Domšové. Relativně nedávno byl totožný návrh předložen ze strany poslanců, nicméně ani k jeho schválení nedošlo před koncem volebního období Poslanecké sněmovny v roce 2017. </w:t>
      </w:r>
    </w:p>
  </w:footnote>
  <w:footnote w:id="234">
    <w:p w14:paraId="7937C7F2" w14:textId="4720D5ED" w:rsidR="007E0120" w:rsidRPr="00522EEE" w:rsidRDefault="007E0120" w:rsidP="00227E30">
      <w:pPr>
        <w:pStyle w:val="FootnoteText"/>
        <w:jc w:val="both"/>
        <w:rPr>
          <w:rFonts w:ascii="Garamond" w:hAnsi="Garamond"/>
          <w:lang w:val="cs-CZ"/>
        </w:rPr>
      </w:pPr>
      <w:r w:rsidRPr="00522EEE">
        <w:rPr>
          <w:rStyle w:val="FootnoteReference"/>
          <w:rFonts w:ascii="Garamond" w:hAnsi="Garamond"/>
          <w:lang w:val="cs-CZ"/>
        </w:rPr>
        <w:footnoteRef/>
      </w:r>
      <w:r w:rsidRPr="00522EEE">
        <w:rPr>
          <w:rFonts w:ascii="Garamond" w:hAnsi="Garamond"/>
          <w:lang w:val="cs-CZ"/>
        </w:rPr>
        <w:t xml:space="preserve"> Návrh zákona o důstojné smrti, sněmovní tisk 820/0</w:t>
      </w:r>
    </w:p>
  </w:footnote>
  <w:footnote w:id="235">
    <w:p w14:paraId="65715E85" w14:textId="67799A91" w:rsidR="007E0120" w:rsidRPr="00522EEE" w:rsidRDefault="007E0120" w:rsidP="00A16013">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b/>
          <w:lang w:val="cs-CZ"/>
        </w:rPr>
        <w:t>Pozn</w:t>
      </w:r>
      <w:r w:rsidRPr="00522EEE">
        <w:rPr>
          <w:rFonts w:ascii="Garamond" w:hAnsi="Garamond"/>
          <w:lang w:val="cs-CZ"/>
        </w:rPr>
        <w:t>. Návrh obsahoval, že komise budou složeny mimo jiné i z „expertů na oblast důstojné smrti“.</w:t>
      </w:r>
    </w:p>
  </w:footnote>
  <w:footnote w:id="236">
    <w:p w14:paraId="48187CA5" w14:textId="7261E9C7" w:rsidR="007E0120" w:rsidRPr="00A16013" w:rsidRDefault="007E0120" w:rsidP="00A16013">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lang w:val="cs-CZ"/>
        </w:rPr>
        <w:t xml:space="preserve">KREJČÍKOVÁ, Helena. </w:t>
      </w:r>
      <w:r w:rsidRPr="00522EEE">
        <w:rPr>
          <w:rFonts w:ascii="Garamond" w:hAnsi="Garamond"/>
          <w:i/>
          <w:lang w:val="cs-CZ"/>
        </w:rPr>
        <w:t xml:space="preserve">Je návrh zákona o důstojné smrti důstojný? </w:t>
      </w:r>
      <w:r w:rsidRPr="00522EEE">
        <w:rPr>
          <w:rFonts w:ascii="Garamond" w:hAnsi="Garamond"/>
          <w:lang w:val="cs-CZ"/>
        </w:rPr>
        <w:t>[online]. Zdravotnické právo a bioetika, 6.6.2016 [cit. 25.2.2019]. Dostupné na &lt;</w:t>
      </w:r>
      <w:hyperlink r:id="rId27" w:history="1">
        <w:r w:rsidRPr="00522EEE">
          <w:rPr>
            <w:rStyle w:val="Hyperlink"/>
            <w:rFonts w:ascii="Garamond" w:hAnsi="Garamond"/>
            <w:lang w:val="cs-CZ"/>
          </w:rPr>
          <w:t>https://zdravotnickepravo.info/je-navrh-zakona-o-dustojne-smrti-dustojny/</w:t>
        </w:r>
      </w:hyperlink>
      <w:r w:rsidRPr="00522EEE">
        <w:rPr>
          <w:rFonts w:ascii="Garamond" w:hAnsi="Garamond"/>
          <w:lang w:val="cs-CZ"/>
        </w:rPr>
        <w:t>&gt;.</w:t>
      </w:r>
      <w:r w:rsidRPr="00A16013">
        <w:rPr>
          <w:rFonts w:ascii="Garamond" w:hAnsi="Garamond"/>
          <w:lang w:val="cs-CZ"/>
        </w:rPr>
        <w:t xml:space="preserve"> </w:t>
      </w:r>
    </w:p>
  </w:footnote>
  <w:footnote w:id="237">
    <w:p w14:paraId="7BC5610C" w14:textId="6951DF9C" w:rsidR="007E0120" w:rsidRPr="00522EEE" w:rsidRDefault="007E0120" w:rsidP="00922F5B">
      <w:pPr>
        <w:jc w:val="both"/>
        <w:rPr>
          <w:rFonts w:ascii="Garamond" w:eastAsia="Times New Roman" w:hAnsi="Garamond" w:cs="Times New Roman"/>
          <w:sz w:val="20"/>
          <w:szCs w:val="20"/>
        </w:rPr>
      </w:pPr>
      <w:r w:rsidRPr="00522EEE">
        <w:rPr>
          <w:rStyle w:val="FootnoteReference"/>
          <w:rFonts w:ascii="Garamond" w:hAnsi="Garamond"/>
          <w:sz w:val="20"/>
          <w:szCs w:val="20"/>
        </w:rPr>
        <w:footnoteRef/>
      </w:r>
      <w:r w:rsidRPr="00522EEE">
        <w:rPr>
          <w:rFonts w:ascii="Garamond" w:hAnsi="Garamond"/>
          <w:sz w:val="20"/>
          <w:szCs w:val="20"/>
          <w:lang w:val="cs-CZ"/>
        </w:rPr>
        <w:t xml:space="preserve"> ČERNÝ, David. </w:t>
      </w:r>
      <w:r w:rsidRPr="00522EEE">
        <w:rPr>
          <w:rFonts w:ascii="Garamond" w:hAnsi="Garamond"/>
          <w:i/>
          <w:sz w:val="20"/>
          <w:szCs w:val="20"/>
          <w:lang w:val="cs-CZ"/>
        </w:rPr>
        <w:t>Stanovisko k návrhu zákona o důstojné smrti</w:t>
      </w:r>
      <w:r w:rsidRPr="00522EEE">
        <w:rPr>
          <w:rFonts w:ascii="Garamond" w:hAnsi="Garamond"/>
          <w:sz w:val="20"/>
          <w:szCs w:val="20"/>
          <w:lang w:val="cs-CZ"/>
        </w:rPr>
        <w:t xml:space="preserve"> [online]. Zdravotnické právo a bioetika, 6.6.2016 [cit. 24.2.2019]. Dostupné na &lt;</w:t>
      </w:r>
      <w:hyperlink r:id="rId28" w:history="1">
        <w:r w:rsidRPr="00522EEE">
          <w:rPr>
            <w:rStyle w:val="Hyperlink"/>
            <w:rFonts w:ascii="Garamond" w:hAnsi="Garamond"/>
            <w:sz w:val="20"/>
            <w:szCs w:val="20"/>
            <w:lang w:val="cs-CZ"/>
          </w:rPr>
          <w:t>https://zdravotnickepravo.info/stanovisko-k-navrhu-zakona-o-dustojne-smrti/</w:t>
        </w:r>
      </w:hyperlink>
      <w:r w:rsidRPr="00522EEE">
        <w:rPr>
          <w:rFonts w:ascii="Garamond" w:hAnsi="Garamond"/>
          <w:sz w:val="20"/>
          <w:szCs w:val="20"/>
          <w:lang w:val="cs-CZ"/>
        </w:rPr>
        <w:t xml:space="preserve">&gt;. </w:t>
      </w:r>
    </w:p>
  </w:footnote>
  <w:footnote w:id="238">
    <w:p w14:paraId="3AFEDE90" w14:textId="322A704F" w:rsidR="007E0120" w:rsidRPr="00522EEE" w:rsidRDefault="007E0120" w:rsidP="00970A70">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lang w:val="cs-CZ"/>
        </w:rPr>
        <w:t>PETERKOVÁ, Helena. Role lékaře při ukončení života na žádost a pomoci při sebevraždě. In PTÁČEK, Radek., BARTŮNĚK, Petr (</w:t>
      </w:r>
      <w:r w:rsidRPr="00522EEE">
        <w:rPr>
          <w:rFonts w:ascii="Garamond" w:hAnsi="Garamond"/>
          <w:lang w:val="cs-CZ"/>
        </w:rPr>
        <w:t xml:space="preserve">eds.). </w:t>
      </w:r>
      <w:r w:rsidRPr="00522EEE">
        <w:rPr>
          <w:rFonts w:ascii="Garamond" w:hAnsi="Garamond"/>
          <w:i/>
          <w:lang w:val="cs-CZ"/>
        </w:rPr>
        <w:t>Eutanazie – pro a proti</w:t>
      </w:r>
      <w:r w:rsidRPr="00522EEE">
        <w:rPr>
          <w:rFonts w:ascii="Garamond" w:hAnsi="Garamond"/>
          <w:lang w:val="cs-CZ"/>
        </w:rPr>
        <w:t>. Praha: Grada, 2012, s. 142.</w:t>
      </w:r>
    </w:p>
  </w:footnote>
  <w:footnote w:id="239">
    <w:p w14:paraId="6B063266" w14:textId="2635BB48" w:rsidR="007E0120" w:rsidRPr="00522EEE" w:rsidRDefault="007E0120" w:rsidP="00AC6F43">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lang w:val="cs-CZ"/>
        </w:rPr>
        <w:t>Článek</w:t>
      </w:r>
      <w:r w:rsidRPr="00522EEE">
        <w:rPr>
          <w:rFonts w:ascii="Garamond" w:hAnsi="Garamond"/>
        </w:rPr>
        <w:t xml:space="preserve"> L. 521-2 Code de justice administrative</w:t>
      </w:r>
    </w:p>
  </w:footnote>
  <w:footnote w:id="240">
    <w:p w14:paraId="5925408D" w14:textId="6FE6782C" w:rsidR="007E0120" w:rsidRPr="00522EEE" w:rsidRDefault="007E0120" w:rsidP="00A17F03">
      <w:pPr>
        <w:pStyle w:val="FootnoteText"/>
        <w:jc w:val="both"/>
        <w:rPr>
          <w:rFonts w:ascii="Garamond" w:hAnsi="Garamond"/>
          <w:lang w:val="cs-CZ"/>
        </w:rPr>
      </w:pPr>
      <w:r w:rsidRPr="00522EEE">
        <w:rPr>
          <w:rStyle w:val="FootnoteReference"/>
          <w:rFonts w:ascii="Garamond" w:hAnsi="Garamond"/>
          <w:lang w:val="cs-CZ"/>
        </w:rPr>
        <w:footnoteRef/>
      </w:r>
      <w:r w:rsidRPr="00522EEE">
        <w:rPr>
          <w:rFonts w:ascii="Garamond" w:hAnsi="Garamond"/>
          <w:lang w:val="cs-CZ"/>
        </w:rPr>
        <w:t xml:space="preserve"> HOLČAPEK, Tomáš, ŠUSTEK, Petr, ŠULC, Martin. Odpojení dítěte od přístrojů: na okraj případu Charlie Gard. </w:t>
      </w:r>
      <w:r w:rsidRPr="00522EEE">
        <w:rPr>
          <w:rFonts w:ascii="Garamond" w:hAnsi="Garamond"/>
          <w:i/>
          <w:lang w:val="cs-CZ"/>
        </w:rPr>
        <w:t>Právní rozhledy</w:t>
      </w:r>
      <w:r>
        <w:rPr>
          <w:rFonts w:ascii="Garamond" w:hAnsi="Garamond"/>
          <w:lang w:val="cs-CZ"/>
        </w:rPr>
        <w:t>,</w:t>
      </w:r>
      <w:r w:rsidRPr="00522EEE">
        <w:rPr>
          <w:rFonts w:ascii="Garamond" w:hAnsi="Garamond"/>
          <w:lang w:val="cs-CZ"/>
        </w:rPr>
        <w:t xml:space="preserve"> 2018, č. 3, s. 94-103.</w:t>
      </w:r>
    </w:p>
  </w:footnote>
  <w:footnote w:id="241">
    <w:p w14:paraId="4B5AD67E" w14:textId="153AAC66" w:rsidR="007E0120" w:rsidRPr="00A17F03" w:rsidRDefault="007E0120" w:rsidP="00A17F03">
      <w:pPr>
        <w:pStyle w:val="FootnoteText"/>
        <w:jc w:val="both"/>
        <w:rPr>
          <w:rFonts w:ascii="Garamond" w:hAnsi="Garamond"/>
          <w:lang w:val="cs-CZ"/>
        </w:rPr>
      </w:pPr>
      <w:r w:rsidRPr="00522EEE">
        <w:rPr>
          <w:rStyle w:val="FootnoteReference"/>
          <w:rFonts w:ascii="Garamond" w:hAnsi="Garamond"/>
        </w:rPr>
        <w:footnoteRef/>
      </w:r>
      <w:r w:rsidRPr="00522EEE">
        <w:rPr>
          <w:rFonts w:ascii="Garamond" w:hAnsi="Garamond"/>
        </w:rPr>
        <w:t xml:space="preserve"> </w:t>
      </w:r>
      <w:r w:rsidRPr="00522EEE">
        <w:rPr>
          <w:rFonts w:ascii="Garamond" w:hAnsi="Garamond"/>
          <w:lang w:val="cs-CZ"/>
        </w:rPr>
        <w:t>§ 65 zákona č. 292/2013 Sb., o zvláštních řízeních soudních, ve znění pozdějších předpisů.</w:t>
      </w:r>
    </w:p>
  </w:footnote>
  <w:footnote w:id="242">
    <w:p w14:paraId="417615A1" w14:textId="64AF0D46" w:rsidR="007E0120" w:rsidRPr="00D17CD4" w:rsidRDefault="007E0120" w:rsidP="00D17CD4">
      <w:pPr>
        <w:pStyle w:val="FootnoteText"/>
        <w:jc w:val="both"/>
        <w:rPr>
          <w:rFonts w:ascii="Garamond" w:hAnsi="Garamond"/>
          <w:lang w:val="cs-CZ"/>
        </w:rPr>
      </w:pPr>
      <w:r w:rsidRPr="00D17CD4">
        <w:rPr>
          <w:rStyle w:val="FootnoteReference"/>
          <w:rFonts w:ascii="Garamond" w:hAnsi="Garamond"/>
        </w:rPr>
        <w:footnoteRef/>
      </w:r>
      <w:r w:rsidRPr="00D17CD4">
        <w:rPr>
          <w:rFonts w:ascii="Garamond" w:hAnsi="Garamond"/>
        </w:rPr>
        <w:t xml:space="preserve"> </w:t>
      </w:r>
      <w:r w:rsidRPr="00D17CD4">
        <w:rPr>
          <w:rFonts w:ascii="Garamond" w:hAnsi="Garamond"/>
          <w:lang w:val="cs-CZ"/>
        </w:rPr>
        <w:t xml:space="preserve">§ 31 </w:t>
      </w:r>
      <w:r>
        <w:rPr>
          <w:rFonts w:ascii="Garamond" w:hAnsi="Garamond"/>
          <w:lang w:val="cs-CZ"/>
        </w:rPr>
        <w:t>občanského zákoníku</w:t>
      </w:r>
    </w:p>
  </w:footnote>
  <w:footnote w:id="243">
    <w:p w14:paraId="3CD03B73" w14:textId="7C1DB440" w:rsidR="007E0120" w:rsidRPr="000C30E9" w:rsidRDefault="007E0120" w:rsidP="00D17CD4">
      <w:pPr>
        <w:pStyle w:val="FootnoteText"/>
        <w:jc w:val="both"/>
        <w:rPr>
          <w:rFonts w:ascii="Garamond" w:hAnsi="Garamond"/>
          <w:i/>
          <w:lang w:val="cs-CZ"/>
        </w:rPr>
      </w:pPr>
      <w:r w:rsidRPr="00D17CD4">
        <w:rPr>
          <w:rStyle w:val="FootnoteReference"/>
          <w:rFonts w:ascii="Garamond" w:hAnsi="Garamond"/>
        </w:rPr>
        <w:footnoteRef/>
      </w:r>
      <w:r w:rsidRPr="00D17CD4">
        <w:rPr>
          <w:rFonts w:ascii="Garamond" w:hAnsi="Garamond"/>
        </w:rPr>
        <w:t xml:space="preserve"> </w:t>
      </w:r>
      <w:r w:rsidRPr="00D17CD4">
        <w:rPr>
          <w:rFonts w:ascii="Garamond" w:hAnsi="Garamond"/>
          <w:lang w:val="cs-CZ"/>
        </w:rPr>
        <w:t xml:space="preserve">§ 95 </w:t>
      </w:r>
      <w:r>
        <w:rPr>
          <w:rFonts w:ascii="Garamond" w:hAnsi="Garamond"/>
          <w:lang w:val="cs-CZ"/>
        </w:rPr>
        <w:t xml:space="preserve">občanského zákoníku stanoví: </w:t>
      </w:r>
      <w:r>
        <w:rPr>
          <w:rFonts w:ascii="Garamond" w:hAnsi="Garamond"/>
          <w:i/>
          <w:lang w:val="cs-CZ"/>
        </w:rPr>
        <w:t>Nezletilý, který není plně svéprávný, může v obvyklých záležitostech udělit souhlas k zákroku na svém těle také sám, je-li to přiměřené rozumové a volní vyspělosti nezletilých jeho věku a jedná-li se o zákrok nezanechávající trvalé nebo závažné následky.</w:t>
      </w:r>
    </w:p>
  </w:footnote>
  <w:footnote w:id="244">
    <w:p w14:paraId="160E9EC1" w14:textId="7B40D3E2" w:rsidR="007E0120" w:rsidRPr="00186636" w:rsidRDefault="007E0120" w:rsidP="00D17CD4">
      <w:pPr>
        <w:pStyle w:val="FootnoteText"/>
        <w:jc w:val="both"/>
        <w:rPr>
          <w:i/>
          <w:lang w:val="cs-CZ"/>
        </w:rPr>
      </w:pPr>
      <w:r w:rsidRPr="00D17CD4">
        <w:rPr>
          <w:rStyle w:val="FootnoteReference"/>
          <w:rFonts w:ascii="Garamond" w:hAnsi="Garamond"/>
        </w:rPr>
        <w:footnoteRef/>
      </w:r>
      <w:r w:rsidRPr="00D17CD4">
        <w:rPr>
          <w:rFonts w:ascii="Garamond" w:hAnsi="Garamond"/>
        </w:rPr>
        <w:t xml:space="preserve"> </w:t>
      </w:r>
      <w:r w:rsidRPr="00D17CD4">
        <w:rPr>
          <w:rFonts w:ascii="Garamond" w:hAnsi="Garamond"/>
          <w:lang w:val="cs-CZ"/>
        </w:rPr>
        <w:t xml:space="preserve">Čl. 6 Úmluvy o lidských právech a biomedicíně stanoví: </w:t>
      </w:r>
      <w:r w:rsidRPr="00D17CD4">
        <w:rPr>
          <w:rFonts w:ascii="Garamond" w:hAnsi="Garamond"/>
          <w:i/>
          <w:lang w:val="cs-CZ"/>
        </w:rPr>
        <w:t>Jestliže nezletilá osoba není podle zákona způsobilá k udělení souhlasu se zákrokem, nemůže být zákrok proveden bez svolení jejího zákonného zástupce, úřední osoby či jiné osoby nebo orgánu, které jsou k tomu zmocněny zákonem. Názor nezletilé osoby bude zohledněn jako faktor, jehož závaznost narůstá úměrně s věkem a stupněm vyspělosti.</w:t>
      </w:r>
    </w:p>
  </w:footnote>
  <w:footnote w:id="245">
    <w:p w14:paraId="5ECB1A24" w14:textId="60382242" w:rsidR="007E0120" w:rsidRPr="007B0A7D" w:rsidRDefault="007E0120" w:rsidP="007B0A7D">
      <w:pPr>
        <w:pStyle w:val="FootnoteText"/>
        <w:jc w:val="both"/>
        <w:rPr>
          <w:rFonts w:ascii="Garamond" w:hAnsi="Garamond"/>
          <w:lang w:val="cs-CZ"/>
        </w:rPr>
      </w:pPr>
      <w:r w:rsidRPr="007B0A7D">
        <w:rPr>
          <w:rStyle w:val="FootnoteReference"/>
          <w:rFonts w:ascii="Garamond" w:hAnsi="Garamond"/>
        </w:rPr>
        <w:footnoteRef/>
      </w:r>
      <w:r w:rsidRPr="007B0A7D">
        <w:rPr>
          <w:rFonts w:ascii="Garamond" w:hAnsi="Garamond"/>
        </w:rPr>
        <w:t xml:space="preserve"> </w:t>
      </w:r>
      <w:r w:rsidRPr="007B0A7D">
        <w:rPr>
          <w:rFonts w:ascii="Garamond" w:hAnsi="Garamond"/>
          <w:lang w:val="cs-CZ"/>
        </w:rPr>
        <w:t xml:space="preserve">KRÁLÍČKOVÁ, Zdeňka. Péče o zdraví nezletilého dítěte. </w:t>
      </w:r>
      <w:r w:rsidRPr="007B0A7D">
        <w:rPr>
          <w:rFonts w:ascii="Garamond" w:hAnsi="Garamond"/>
          <w:i/>
          <w:lang w:val="cs-CZ"/>
        </w:rPr>
        <w:t>Časopis zdravotnického práva a bioetiky</w:t>
      </w:r>
      <w:r>
        <w:rPr>
          <w:rFonts w:ascii="Garamond" w:hAnsi="Garamond"/>
          <w:lang w:val="cs-CZ"/>
        </w:rPr>
        <w:t>,</w:t>
      </w:r>
      <w:r w:rsidRPr="007B0A7D">
        <w:rPr>
          <w:rFonts w:ascii="Garamond" w:hAnsi="Garamond"/>
          <w:lang w:val="cs-CZ"/>
        </w:rPr>
        <w:t xml:space="preserve"> 2016, č. 2, s. 26.</w:t>
      </w:r>
    </w:p>
  </w:footnote>
  <w:footnote w:id="246">
    <w:p w14:paraId="2961C12E" w14:textId="3D26B638" w:rsidR="007E0120" w:rsidRPr="00095563" w:rsidRDefault="007E0120" w:rsidP="00095563">
      <w:pPr>
        <w:pStyle w:val="FootnoteText"/>
        <w:jc w:val="both"/>
        <w:rPr>
          <w:rFonts w:ascii="Garamond" w:hAnsi="Garamond"/>
          <w:lang w:val="cs-CZ"/>
        </w:rPr>
      </w:pPr>
      <w:r w:rsidRPr="00095563">
        <w:rPr>
          <w:rStyle w:val="FootnoteReference"/>
          <w:rFonts w:ascii="Garamond" w:hAnsi="Garamond"/>
        </w:rPr>
        <w:footnoteRef/>
      </w:r>
      <w:r w:rsidRPr="00095563">
        <w:rPr>
          <w:rFonts w:ascii="Garamond" w:hAnsi="Garamond"/>
        </w:rPr>
        <w:t xml:space="preserve"> </w:t>
      </w:r>
      <w:r w:rsidRPr="00095563">
        <w:rPr>
          <w:rFonts w:ascii="Garamond" w:hAnsi="Garamond"/>
          <w:lang w:val="cs-CZ"/>
        </w:rPr>
        <w:t>§ 100 občanského zákoníku</w:t>
      </w:r>
    </w:p>
  </w:footnote>
  <w:footnote w:id="247">
    <w:p w14:paraId="3C4AB699" w14:textId="2F3BEC7E" w:rsidR="007E0120" w:rsidRPr="008D49DB" w:rsidRDefault="007E0120" w:rsidP="008D49DB">
      <w:pPr>
        <w:pStyle w:val="FootnoteText"/>
        <w:jc w:val="both"/>
        <w:rPr>
          <w:rFonts w:ascii="Garamond" w:hAnsi="Garamond"/>
          <w:lang w:val="cs-CZ"/>
        </w:rPr>
      </w:pPr>
      <w:r w:rsidRPr="008D49DB">
        <w:rPr>
          <w:rStyle w:val="FootnoteReference"/>
          <w:rFonts w:ascii="Garamond" w:hAnsi="Garamond"/>
        </w:rPr>
        <w:footnoteRef/>
      </w:r>
      <w:r w:rsidRPr="008D49DB">
        <w:rPr>
          <w:rFonts w:ascii="Garamond" w:hAnsi="Garamond"/>
        </w:rPr>
        <w:t xml:space="preserve"> </w:t>
      </w:r>
      <w:r w:rsidRPr="008D49DB">
        <w:rPr>
          <w:rFonts w:ascii="Garamond" w:hAnsi="Garamond"/>
          <w:lang w:val="cs-CZ"/>
        </w:rPr>
        <w:t xml:space="preserve">DOLEŽAL, Tomáš. Způsobilost nezletilých udělit souhlas s poskytováním zdravotních služeb. </w:t>
      </w:r>
      <w:r w:rsidRPr="008D49DB">
        <w:rPr>
          <w:rFonts w:ascii="Garamond" w:hAnsi="Garamond"/>
          <w:i/>
          <w:lang w:val="cs-CZ"/>
        </w:rPr>
        <w:t>Časopis zdravotnického práva a bioetiky</w:t>
      </w:r>
      <w:r>
        <w:rPr>
          <w:rFonts w:ascii="Garamond" w:hAnsi="Garamond"/>
          <w:lang w:val="cs-CZ"/>
        </w:rPr>
        <w:t>,</w:t>
      </w:r>
      <w:r w:rsidRPr="008D49DB">
        <w:rPr>
          <w:rFonts w:ascii="Garamond" w:hAnsi="Garamond"/>
          <w:lang w:val="cs-CZ"/>
        </w:rPr>
        <w:t xml:space="preserve"> 2018, roč. 8, č. 1, s. 59</w:t>
      </w:r>
    </w:p>
  </w:footnote>
  <w:footnote w:id="248">
    <w:p w14:paraId="435DAB64" w14:textId="4BC6435F" w:rsidR="007E0120" w:rsidRPr="00D64CF4" w:rsidRDefault="007E0120" w:rsidP="00D64CF4">
      <w:pPr>
        <w:pStyle w:val="FootnoteText"/>
        <w:jc w:val="both"/>
        <w:rPr>
          <w:rFonts w:ascii="Garamond" w:hAnsi="Garamond"/>
          <w:lang w:val="cs-CZ"/>
        </w:rPr>
      </w:pPr>
      <w:r w:rsidRPr="00D64CF4">
        <w:rPr>
          <w:rStyle w:val="FootnoteReference"/>
          <w:rFonts w:ascii="Garamond" w:hAnsi="Garamond"/>
        </w:rPr>
        <w:footnoteRef/>
      </w:r>
      <w:r w:rsidRPr="00D64CF4">
        <w:rPr>
          <w:rFonts w:ascii="Garamond" w:hAnsi="Garamond"/>
        </w:rPr>
        <w:t xml:space="preserve"> </w:t>
      </w:r>
      <w:r w:rsidRPr="00D64CF4">
        <w:rPr>
          <w:rFonts w:ascii="Garamond" w:hAnsi="Garamond"/>
          <w:b/>
          <w:lang w:val="cs-CZ"/>
        </w:rPr>
        <w:t xml:space="preserve">Pozn. </w:t>
      </w:r>
      <w:r w:rsidRPr="00D64CF4">
        <w:rPr>
          <w:rFonts w:ascii="Garamond" w:hAnsi="Garamond"/>
          <w:lang w:val="cs-CZ"/>
        </w:rPr>
        <w:t xml:space="preserve">Což nebude </w:t>
      </w:r>
      <w:r>
        <w:rPr>
          <w:rFonts w:ascii="Garamond" w:hAnsi="Garamond"/>
          <w:lang w:val="cs-CZ"/>
        </w:rPr>
        <w:t xml:space="preserve">představovat </w:t>
      </w:r>
      <w:r w:rsidRPr="00D64CF4">
        <w:rPr>
          <w:rFonts w:ascii="Garamond" w:hAnsi="Garamond"/>
          <w:lang w:val="cs-CZ"/>
        </w:rPr>
        <w:t>případ eutanazie</w:t>
      </w:r>
      <w:r>
        <w:rPr>
          <w:rFonts w:ascii="Garamond" w:hAnsi="Garamond"/>
          <w:lang w:val="cs-CZ"/>
        </w:rPr>
        <w:t xml:space="preserve"> s ohledem na § 95 občanského zákoníku</w:t>
      </w:r>
      <w:r w:rsidRPr="00D64CF4">
        <w:rPr>
          <w:rFonts w:ascii="Garamond" w:hAnsi="Garamond"/>
          <w:lang w:val="cs-CZ"/>
        </w:rPr>
        <w:t>.</w:t>
      </w:r>
    </w:p>
  </w:footnote>
  <w:footnote w:id="249">
    <w:p w14:paraId="5A0B1144" w14:textId="622F86A4" w:rsidR="007E0120" w:rsidRPr="00C85017" w:rsidRDefault="007E0120" w:rsidP="00C85017">
      <w:pPr>
        <w:pStyle w:val="FootnoteText"/>
        <w:jc w:val="both"/>
        <w:rPr>
          <w:rFonts w:ascii="Garamond" w:hAnsi="Garamond"/>
          <w:lang w:val="cs-CZ"/>
        </w:rPr>
      </w:pPr>
      <w:r w:rsidRPr="00C85017">
        <w:rPr>
          <w:rStyle w:val="FootnoteReference"/>
          <w:rFonts w:ascii="Garamond" w:hAnsi="Garamond"/>
        </w:rPr>
        <w:footnoteRef/>
      </w:r>
      <w:r w:rsidRPr="00C85017">
        <w:rPr>
          <w:rFonts w:ascii="Garamond" w:hAnsi="Garamond"/>
        </w:rPr>
        <w:t xml:space="preserve"> </w:t>
      </w:r>
      <w:r w:rsidRPr="00C85017">
        <w:rPr>
          <w:rFonts w:ascii="Garamond" w:hAnsi="Garamond"/>
          <w:b/>
          <w:bCs/>
          <w:lang w:val="cs-CZ"/>
        </w:rPr>
        <w:t>Pozn</w:t>
      </w:r>
      <w:r w:rsidRPr="00C85017">
        <w:rPr>
          <w:rFonts w:ascii="Garamond" w:hAnsi="Garamond"/>
          <w:lang w:val="cs-CZ"/>
        </w:rPr>
        <w:t>. Ledaže by se změnila celá koncepce postavení nezletilého v rámci soukromého práva.</w:t>
      </w:r>
    </w:p>
  </w:footnote>
  <w:footnote w:id="250">
    <w:p w14:paraId="1EBB5BE6" w14:textId="7EC2B9CD" w:rsidR="007E0120" w:rsidRPr="00E107AE" w:rsidRDefault="007E0120" w:rsidP="00E107AE">
      <w:pPr>
        <w:pStyle w:val="FootnoteText"/>
        <w:jc w:val="both"/>
        <w:rPr>
          <w:rFonts w:ascii="Garamond" w:hAnsi="Garamond"/>
          <w:lang w:val="cs-CZ"/>
        </w:rPr>
      </w:pPr>
      <w:r w:rsidRPr="00E107AE">
        <w:rPr>
          <w:rStyle w:val="FootnoteReference"/>
          <w:rFonts w:ascii="Garamond" w:hAnsi="Garamond"/>
        </w:rPr>
        <w:footnoteRef/>
      </w:r>
      <w:r w:rsidRPr="00E107AE">
        <w:rPr>
          <w:rFonts w:ascii="Garamond" w:hAnsi="Garamond"/>
        </w:rPr>
        <w:t xml:space="preserve"> </w:t>
      </w:r>
      <w:r w:rsidRPr="00E107AE">
        <w:rPr>
          <w:rFonts w:ascii="Garamond" w:hAnsi="Garamond"/>
          <w:b/>
          <w:bCs/>
          <w:lang w:val="cs-CZ"/>
        </w:rPr>
        <w:t>Pozn</w:t>
      </w:r>
      <w:r w:rsidRPr="00E107AE">
        <w:rPr>
          <w:rFonts w:ascii="Garamond" w:hAnsi="Garamond"/>
          <w:lang w:val="cs-CZ"/>
        </w:rPr>
        <w:t>. Otázkou zůstává, zda je na místě vytvořit předpoklad v podobě blízké smrti či nikoli. Domnívám se, že tato podmínka není nezbytná. Ovšem je zde tady široký prostor pro diskusi.</w:t>
      </w:r>
    </w:p>
  </w:footnote>
  <w:footnote w:id="251">
    <w:p w14:paraId="21635040" w14:textId="11A8DCD7" w:rsidR="007E0120" w:rsidRPr="00850AFF" w:rsidRDefault="007E0120" w:rsidP="00850AFF">
      <w:pPr>
        <w:pStyle w:val="FootnoteText"/>
        <w:jc w:val="both"/>
        <w:rPr>
          <w:rFonts w:ascii="Garamond" w:hAnsi="Garamond"/>
          <w:lang w:val="cs-CZ"/>
        </w:rPr>
      </w:pPr>
      <w:r w:rsidRPr="00850AFF">
        <w:rPr>
          <w:rStyle w:val="FootnoteReference"/>
          <w:rFonts w:ascii="Garamond" w:hAnsi="Garamond"/>
        </w:rPr>
        <w:footnoteRef/>
      </w:r>
      <w:r w:rsidRPr="00850AFF">
        <w:rPr>
          <w:rFonts w:ascii="Garamond" w:hAnsi="Garamond"/>
        </w:rPr>
        <w:t xml:space="preserve"> </w:t>
      </w:r>
      <w:r w:rsidRPr="00850AFF">
        <w:rPr>
          <w:rFonts w:ascii="Garamond" w:hAnsi="Garamond"/>
          <w:b/>
          <w:bCs/>
          <w:lang w:val="cs-CZ"/>
        </w:rPr>
        <w:t>Pozn</w:t>
      </w:r>
      <w:r w:rsidRPr="00850AFF">
        <w:rPr>
          <w:rFonts w:ascii="Garamond" w:hAnsi="Garamond"/>
          <w:lang w:val="cs-CZ"/>
        </w:rPr>
        <w:t>. Patrně v podobě zvláštního řízení z důvodu své specifičnosti a intenzity veřejného zájmu.</w:t>
      </w:r>
    </w:p>
  </w:footnote>
  <w:footnote w:id="252">
    <w:p w14:paraId="18B5C77F" w14:textId="1749770D" w:rsidR="007E0120" w:rsidRPr="005B2F58" w:rsidRDefault="007E0120" w:rsidP="005B2F58">
      <w:pPr>
        <w:pStyle w:val="FootnoteText"/>
        <w:jc w:val="both"/>
        <w:rPr>
          <w:rFonts w:ascii="Garamond" w:hAnsi="Garamond"/>
          <w:lang w:val="cs-CZ"/>
        </w:rPr>
      </w:pPr>
      <w:r w:rsidRPr="005B2F58">
        <w:rPr>
          <w:rStyle w:val="FootnoteReference"/>
          <w:rFonts w:ascii="Garamond" w:hAnsi="Garamond"/>
        </w:rPr>
        <w:footnoteRef/>
      </w:r>
      <w:r w:rsidRPr="005B2F58">
        <w:rPr>
          <w:rFonts w:ascii="Garamond" w:hAnsi="Garamond"/>
        </w:rPr>
        <w:t xml:space="preserve"> DOLEŽAL, Adam. </w:t>
      </w:r>
      <w:r w:rsidRPr="005B2F58">
        <w:rPr>
          <w:rFonts w:ascii="Garamond" w:hAnsi="Garamond"/>
          <w:i/>
          <w:iCs/>
          <w:lang w:val="cs-CZ"/>
        </w:rPr>
        <w:t>Eutanazie a rozhodnutí na konci života: právní aspekty.</w:t>
      </w:r>
      <w:r w:rsidRPr="005B2F58">
        <w:rPr>
          <w:rFonts w:ascii="Garamond" w:hAnsi="Garamond"/>
        </w:rPr>
        <w:t xml:space="preserve"> Praha: Academia, 2017, </w:t>
      </w:r>
      <w:r w:rsidRPr="005B2F58">
        <w:rPr>
          <w:rFonts w:ascii="Garamond" w:hAnsi="Garamond"/>
          <w:lang w:val="cs-CZ"/>
        </w:rPr>
        <w:t>s. 74.</w:t>
      </w:r>
    </w:p>
  </w:footnote>
  <w:footnote w:id="253">
    <w:p w14:paraId="649CB083" w14:textId="283AE300" w:rsidR="007E0120" w:rsidRPr="001D791B" w:rsidRDefault="007E0120" w:rsidP="001D791B">
      <w:pPr>
        <w:pStyle w:val="FootnoteText"/>
        <w:jc w:val="both"/>
        <w:rPr>
          <w:rFonts w:ascii="Garamond" w:hAnsi="Garamond"/>
          <w:lang w:val="cs-CZ"/>
        </w:rPr>
      </w:pPr>
      <w:r w:rsidRPr="001D791B">
        <w:rPr>
          <w:rStyle w:val="FootnoteReference"/>
          <w:rFonts w:ascii="Garamond" w:hAnsi="Garamond"/>
        </w:rPr>
        <w:footnoteRef/>
      </w:r>
      <w:r w:rsidRPr="001D791B">
        <w:rPr>
          <w:rFonts w:ascii="Garamond" w:hAnsi="Garamond"/>
        </w:rPr>
        <w:t xml:space="preserve"> </w:t>
      </w:r>
      <w:r w:rsidRPr="0009551A">
        <w:rPr>
          <w:rFonts w:ascii="Garamond" w:hAnsi="Garamond"/>
          <w:lang w:val="cs-CZ"/>
        </w:rPr>
        <w:t>Tamtéž,</w:t>
      </w:r>
      <w:r w:rsidRPr="001D791B">
        <w:rPr>
          <w:rFonts w:ascii="Garamond" w:hAnsi="Garamond"/>
        </w:rPr>
        <w:t xml:space="preserve"> </w:t>
      </w:r>
      <w:r>
        <w:rPr>
          <w:rFonts w:ascii="Garamond" w:hAnsi="Garamond"/>
          <w:lang w:val="cs-CZ"/>
        </w:rPr>
        <w:t>s</w:t>
      </w:r>
      <w:r w:rsidRPr="001D791B">
        <w:rPr>
          <w:rFonts w:ascii="Garamond" w:hAnsi="Garamond"/>
          <w:lang w:val="cs-CZ"/>
        </w:rPr>
        <w:t>. 250</w:t>
      </w:r>
      <w:r>
        <w:rPr>
          <w:rFonts w:ascii="Garamond" w:hAnsi="Garamond"/>
          <w:lang w:val="cs-CZ"/>
        </w:rPr>
        <w:t>.</w:t>
      </w:r>
    </w:p>
  </w:footnote>
  <w:footnote w:id="254">
    <w:p w14:paraId="0898AFF6" w14:textId="7637D087" w:rsidR="007E0120" w:rsidRPr="001D791B" w:rsidRDefault="007E0120" w:rsidP="001D791B">
      <w:pPr>
        <w:pStyle w:val="FootnoteText"/>
        <w:jc w:val="both"/>
        <w:rPr>
          <w:rFonts w:ascii="Garamond" w:hAnsi="Garamond"/>
          <w:lang w:val="cs-CZ"/>
        </w:rPr>
      </w:pPr>
      <w:r w:rsidRPr="001D791B">
        <w:rPr>
          <w:rStyle w:val="FootnoteReference"/>
          <w:rFonts w:ascii="Garamond" w:hAnsi="Garamond"/>
        </w:rPr>
        <w:footnoteRef/>
      </w:r>
      <w:r w:rsidRPr="001D791B">
        <w:rPr>
          <w:rFonts w:ascii="Garamond" w:hAnsi="Garamond"/>
        </w:rPr>
        <w:t xml:space="preserve"> </w:t>
      </w:r>
      <w:r>
        <w:rPr>
          <w:rFonts w:ascii="Garamond" w:hAnsi="Garamond"/>
          <w:lang w:val="cs-CZ"/>
        </w:rPr>
        <w:t>T</w:t>
      </w:r>
      <w:r w:rsidRPr="001D791B">
        <w:rPr>
          <w:rFonts w:ascii="Garamond" w:hAnsi="Garamond"/>
          <w:lang w:val="cs-CZ"/>
        </w:rPr>
        <w:t>amtéž</w:t>
      </w:r>
      <w:r>
        <w:rPr>
          <w:rFonts w:ascii="Garamond" w:hAnsi="Garamond"/>
          <w:lang w:val="cs-CZ"/>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0CDC"/>
    <w:multiLevelType w:val="hybridMultilevel"/>
    <w:tmpl w:val="348059A0"/>
    <w:lvl w:ilvl="0" w:tplc="F43054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70EC0"/>
    <w:multiLevelType w:val="hybridMultilevel"/>
    <w:tmpl w:val="42481EE2"/>
    <w:lvl w:ilvl="0" w:tplc="F322ECC0">
      <w:start w:val="1"/>
      <w:numFmt w:val="decimal"/>
      <w:lvlText w:val="5.%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10110"/>
    <w:multiLevelType w:val="hybridMultilevel"/>
    <w:tmpl w:val="C23ACF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AE298B"/>
    <w:multiLevelType w:val="hybridMultilevel"/>
    <w:tmpl w:val="FACE3C76"/>
    <w:lvl w:ilvl="0" w:tplc="DCAC67E0">
      <w:start w:val="1"/>
      <w:numFmt w:val="decimal"/>
      <w:lvlText w:val="4.%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BC769C"/>
    <w:multiLevelType w:val="hybridMultilevel"/>
    <w:tmpl w:val="0CF8CC4A"/>
    <w:lvl w:ilvl="0" w:tplc="D58E2B08">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673C96"/>
    <w:multiLevelType w:val="hybridMultilevel"/>
    <w:tmpl w:val="507C106C"/>
    <w:lvl w:ilvl="0" w:tplc="0F5C77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E81D79"/>
    <w:multiLevelType w:val="hybridMultilevel"/>
    <w:tmpl w:val="B492E642"/>
    <w:lvl w:ilvl="0" w:tplc="3106125A">
      <w:start w:val="1"/>
      <w:numFmt w:val="decimal"/>
      <w:lvlText w:val="3.2.%1"/>
      <w:lvlJc w:val="left"/>
      <w:pPr>
        <w:ind w:left="720" w:hanging="720"/>
      </w:pPr>
      <w:rPr>
        <w:rFonts w:hint="default"/>
        <w:b/>
        <w:sz w:val="24"/>
        <w:szCs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7" w15:restartNumberingAfterBreak="0">
    <w:nsid w:val="218D51EA"/>
    <w:multiLevelType w:val="hybridMultilevel"/>
    <w:tmpl w:val="95626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19219B"/>
    <w:multiLevelType w:val="hybridMultilevel"/>
    <w:tmpl w:val="CE74F166"/>
    <w:lvl w:ilvl="0" w:tplc="78E8DC4C">
      <w:start w:val="1"/>
      <w:numFmt w:val="decimal"/>
      <w:lvlText w:val="3.%1"/>
      <w:lvlJc w:val="left"/>
      <w:pPr>
        <w:ind w:left="360" w:hanging="360"/>
      </w:pPr>
      <w:rPr>
        <w:rFonts w:hint="default"/>
        <w:b/>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7A01EC"/>
    <w:multiLevelType w:val="hybridMultilevel"/>
    <w:tmpl w:val="F0AEFD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F673F7B"/>
    <w:multiLevelType w:val="hybridMultilevel"/>
    <w:tmpl w:val="1D06DD0A"/>
    <w:lvl w:ilvl="0" w:tplc="78E8DC4C">
      <w:start w:val="1"/>
      <w:numFmt w:val="decimal"/>
      <w:lvlText w:val="3.%1"/>
      <w:lvlJc w:val="left"/>
      <w:pPr>
        <w:ind w:left="360" w:hanging="360"/>
      </w:pPr>
      <w:rPr>
        <w:rFonts w:hint="default"/>
        <w:b/>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4E4330"/>
    <w:multiLevelType w:val="hybridMultilevel"/>
    <w:tmpl w:val="A9525734"/>
    <w:lvl w:ilvl="0" w:tplc="3EACDFA0">
      <w:start w:val="1"/>
      <w:numFmt w:val="decimal"/>
      <w:lvlText w:val="%1."/>
      <w:lvlJc w:val="left"/>
      <w:pPr>
        <w:ind w:left="360" w:hanging="360"/>
      </w:pPr>
      <w:rPr>
        <w:b/>
        <w:sz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3690484"/>
    <w:multiLevelType w:val="hybridMultilevel"/>
    <w:tmpl w:val="CC66DE8A"/>
    <w:lvl w:ilvl="0" w:tplc="0F5C77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6A3824"/>
    <w:multiLevelType w:val="hybridMultilevel"/>
    <w:tmpl w:val="347022D2"/>
    <w:lvl w:ilvl="0" w:tplc="6C8EDE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7161DE"/>
    <w:multiLevelType w:val="hybridMultilevel"/>
    <w:tmpl w:val="83D025C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BA4913"/>
    <w:multiLevelType w:val="hybridMultilevel"/>
    <w:tmpl w:val="F50EB6F4"/>
    <w:lvl w:ilvl="0" w:tplc="4AE25222">
      <w:start w:val="1"/>
      <w:numFmt w:val="decimal"/>
      <w:lvlText w:val="3.%1"/>
      <w:lvlJc w:val="left"/>
      <w:pPr>
        <w:ind w:left="720" w:hanging="720"/>
      </w:pPr>
      <w:rPr>
        <w:rFonts w:hint="default"/>
        <w:b/>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F065E1"/>
    <w:multiLevelType w:val="hybridMultilevel"/>
    <w:tmpl w:val="4B16E7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F8393F"/>
    <w:multiLevelType w:val="hybridMultilevel"/>
    <w:tmpl w:val="89A2AB00"/>
    <w:lvl w:ilvl="0" w:tplc="63342D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9C4C2F"/>
    <w:multiLevelType w:val="hybridMultilevel"/>
    <w:tmpl w:val="D14CD1FA"/>
    <w:lvl w:ilvl="0" w:tplc="2026BD96">
      <w:start w:val="1"/>
      <w:numFmt w:val="decimal"/>
      <w:lvlText w:val="4.%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F7162E"/>
    <w:multiLevelType w:val="hybridMultilevel"/>
    <w:tmpl w:val="53F4168C"/>
    <w:lvl w:ilvl="0" w:tplc="6A1C1338">
      <w:start w:val="1"/>
      <w:numFmt w:val="upperRoman"/>
      <w:pStyle w:val="Style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7643F"/>
    <w:multiLevelType w:val="hybridMultilevel"/>
    <w:tmpl w:val="97367572"/>
    <w:lvl w:ilvl="0" w:tplc="F43054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F025365"/>
    <w:multiLevelType w:val="hybridMultilevel"/>
    <w:tmpl w:val="E3DC0F7A"/>
    <w:lvl w:ilvl="0" w:tplc="D58E2B08">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F73FF5"/>
    <w:multiLevelType w:val="hybridMultilevel"/>
    <w:tmpl w:val="0E82DCF0"/>
    <w:lvl w:ilvl="0" w:tplc="EB34D22A">
      <w:start w:val="1"/>
      <w:numFmt w:val="decimal"/>
      <w:lvlText w:val="8.%1"/>
      <w:lvlJc w:val="left"/>
      <w:pPr>
        <w:ind w:left="360" w:hanging="360"/>
      </w:pPr>
      <w:rPr>
        <w:rFonts w:hint="default"/>
        <w:b/>
        <w:sz w:val="28"/>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89F21AF"/>
    <w:multiLevelType w:val="hybridMultilevel"/>
    <w:tmpl w:val="F3F0CB12"/>
    <w:lvl w:ilvl="0" w:tplc="1C22C2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B145FBC"/>
    <w:multiLevelType w:val="hybridMultilevel"/>
    <w:tmpl w:val="1D48DB4E"/>
    <w:lvl w:ilvl="0" w:tplc="D17E69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13D212C"/>
    <w:multiLevelType w:val="hybridMultilevel"/>
    <w:tmpl w:val="AFDAED26"/>
    <w:lvl w:ilvl="0" w:tplc="F43054DA">
      <w:start w:val="1"/>
      <w:numFmt w:val="decimal"/>
      <w:lvlText w:val="%1)"/>
      <w:lvlJc w:val="left"/>
      <w:pPr>
        <w:ind w:left="396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6" w15:restartNumberingAfterBreak="0">
    <w:nsid w:val="6B2F3F25"/>
    <w:multiLevelType w:val="hybridMultilevel"/>
    <w:tmpl w:val="3DFEC110"/>
    <w:lvl w:ilvl="0" w:tplc="BADAD44E">
      <w:start w:val="1"/>
      <w:numFmt w:val="decimal"/>
      <w:lvlText w:val="6.%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0603E5"/>
    <w:multiLevelType w:val="hybridMultilevel"/>
    <w:tmpl w:val="20C0B1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7361C7E"/>
    <w:multiLevelType w:val="hybridMultilevel"/>
    <w:tmpl w:val="E54A08AA"/>
    <w:lvl w:ilvl="0" w:tplc="E20A35F6">
      <w:start w:val="1"/>
      <w:numFmt w:val="decimal"/>
      <w:lvlText w:val="3.1.%1"/>
      <w:lvlJc w:val="left"/>
      <w:pPr>
        <w:ind w:left="720" w:hanging="720"/>
      </w:pPr>
      <w:rPr>
        <w:rFonts w:hint="default"/>
        <w:b/>
        <w:sz w:val="24"/>
        <w:szCs w:val="32"/>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9"/>
  </w:num>
  <w:num w:numId="2">
    <w:abstractNumId w:val="11"/>
  </w:num>
  <w:num w:numId="3">
    <w:abstractNumId w:val="8"/>
  </w:num>
  <w:num w:numId="4">
    <w:abstractNumId w:val="22"/>
  </w:num>
  <w:num w:numId="5">
    <w:abstractNumId w:val="13"/>
  </w:num>
  <w:num w:numId="6">
    <w:abstractNumId w:val="24"/>
  </w:num>
  <w:num w:numId="7">
    <w:abstractNumId w:val="5"/>
  </w:num>
  <w:num w:numId="8">
    <w:abstractNumId w:val="23"/>
  </w:num>
  <w:num w:numId="9">
    <w:abstractNumId w:val="18"/>
  </w:num>
  <w:num w:numId="10">
    <w:abstractNumId w:val="21"/>
  </w:num>
  <w:num w:numId="11">
    <w:abstractNumId w:val="25"/>
  </w:num>
  <w:num w:numId="12">
    <w:abstractNumId w:val="0"/>
  </w:num>
  <w:num w:numId="13">
    <w:abstractNumId w:val="10"/>
  </w:num>
  <w:num w:numId="14">
    <w:abstractNumId w:val="15"/>
  </w:num>
  <w:num w:numId="15">
    <w:abstractNumId w:val="9"/>
  </w:num>
  <w:num w:numId="16">
    <w:abstractNumId w:val="20"/>
  </w:num>
  <w:num w:numId="17">
    <w:abstractNumId w:val="28"/>
  </w:num>
  <w:num w:numId="18">
    <w:abstractNumId w:val="6"/>
  </w:num>
  <w:num w:numId="19">
    <w:abstractNumId w:val="2"/>
  </w:num>
  <w:num w:numId="20">
    <w:abstractNumId w:val="4"/>
  </w:num>
  <w:num w:numId="21">
    <w:abstractNumId w:val="7"/>
  </w:num>
  <w:num w:numId="22">
    <w:abstractNumId w:val="27"/>
  </w:num>
  <w:num w:numId="23">
    <w:abstractNumId w:val="3"/>
  </w:num>
  <w:num w:numId="24">
    <w:abstractNumId w:val="12"/>
  </w:num>
  <w:num w:numId="25">
    <w:abstractNumId w:val="26"/>
  </w:num>
  <w:num w:numId="26">
    <w:abstractNumId w:val="17"/>
  </w:num>
  <w:num w:numId="27">
    <w:abstractNumId w:val="1"/>
  </w:num>
  <w:num w:numId="28">
    <w:abstractNumId w:val="1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163"/>
    <w:rsid w:val="000015C0"/>
    <w:rsid w:val="000022D5"/>
    <w:rsid w:val="000106FC"/>
    <w:rsid w:val="00016169"/>
    <w:rsid w:val="000172F1"/>
    <w:rsid w:val="0001787A"/>
    <w:rsid w:val="00023372"/>
    <w:rsid w:val="00024586"/>
    <w:rsid w:val="00024729"/>
    <w:rsid w:val="00025EBF"/>
    <w:rsid w:val="00031D37"/>
    <w:rsid w:val="0004098B"/>
    <w:rsid w:val="0005177B"/>
    <w:rsid w:val="0005458E"/>
    <w:rsid w:val="000555A8"/>
    <w:rsid w:val="000558F0"/>
    <w:rsid w:val="00060D08"/>
    <w:rsid w:val="00061286"/>
    <w:rsid w:val="00062020"/>
    <w:rsid w:val="00063A69"/>
    <w:rsid w:val="00064E0C"/>
    <w:rsid w:val="000721E5"/>
    <w:rsid w:val="00072B08"/>
    <w:rsid w:val="00082BD1"/>
    <w:rsid w:val="00085BE5"/>
    <w:rsid w:val="00092380"/>
    <w:rsid w:val="0009360B"/>
    <w:rsid w:val="00094972"/>
    <w:rsid w:val="000952F9"/>
    <w:rsid w:val="0009551A"/>
    <w:rsid w:val="00095563"/>
    <w:rsid w:val="000969EB"/>
    <w:rsid w:val="000971D4"/>
    <w:rsid w:val="000A410E"/>
    <w:rsid w:val="000A74EF"/>
    <w:rsid w:val="000A7A59"/>
    <w:rsid w:val="000A7ED0"/>
    <w:rsid w:val="000C30E9"/>
    <w:rsid w:val="000C4B89"/>
    <w:rsid w:val="000D0F86"/>
    <w:rsid w:val="000D1705"/>
    <w:rsid w:val="000D3381"/>
    <w:rsid w:val="000D53B7"/>
    <w:rsid w:val="000D585E"/>
    <w:rsid w:val="000D5DA8"/>
    <w:rsid w:val="000E157C"/>
    <w:rsid w:val="000E1704"/>
    <w:rsid w:val="000E19EF"/>
    <w:rsid w:val="000E3781"/>
    <w:rsid w:val="000E3926"/>
    <w:rsid w:val="000F302F"/>
    <w:rsid w:val="000F4F1D"/>
    <w:rsid w:val="000F52E3"/>
    <w:rsid w:val="000F7FD1"/>
    <w:rsid w:val="001023AB"/>
    <w:rsid w:val="00102A34"/>
    <w:rsid w:val="00103EAE"/>
    <w:rsid w:val="00105B7C"/>
    <w:rsid w:val="00111F2D"/>
    <w:rsid w:val="00111F64"/>
    <w:rsid w:val="00113401"/>
    <w:rsid w:val="001150D5"/>
    <w:rsid w:val="0011704B"/>
    <w:rsid w:val="00123604"/>
    <w:rsid w:val="001265F5"/>
    <w:rsid w:val="0012695A"/>
    <w:rsid w:val="001271C8"/>
    <w:rsid w:val="0012752B"/>
    <w:rsid w:val="001323AF"/>
    <w:rsid w:val="00132485"/>
    <w:rsid w:val="00132C6C"/>
    <w:rsid w:val="00133F4D"/>
    <w:rsid w:val="00137384"/>
    <w:rsid w:val="001440FE"/>
    <w:rsid w:val="0014423F"/>
    <w:rsid w:val="0014565E"/>
    <w:rsid w:val="00152E43"/>
    <w:rsid w:val="0015470E"/>
    <w:rsid w:val="00155E3D"/>
    <w:rsid w:val="0015656D"/>
    <w:rsid w:val="00163CAB"/>
    <w:rsid w:val="00165F14"/>
    <w:rsid w:val="00167812"/>
    <w:rsid w:val="0017436F"/>
    <w:rsid w:val="0018466A"/>
    <w:rsid w:val="001857A1"/>
    <w:rsid w:val="0018620F"/>
    <w:rsid w:val="00186636"/>
    <w:rsid w:val="0018668B"/>
    <w:rsid w:val="00192279"/>
    <w:rsid w:val="00192384"/>
    <w:rsid w:val="0019729F"/>
    <w:rsid w:val="001974D5"/>
    <w:rsid w:val="001A3C4E"/>
    <w:rsid w:val="001B01EA"/>
    <w:rsid w:val="001B173B"/>
    <w:rsid w:val="001B4D57"/>
    <w:rsid w:val="001B65BF"/>
    <w:rsid w:val="001B75E0"/>
    <w:rsid w:val="001D4BD4"/>
    <w:rsid w:val="001D5147"/>
    <w:rsid w:val="001D5548"/>
    <w:rsid w:val="001D62FD"/>
    <w:rsid w:val="001D648B"/>
    <w:rsid w:val="001D791B"/>
    <w:rsid w:val="001E10DC"/>
    <w:rsid w:val="001E2909"/>
    <w:rsid w:val="001E416A"/>
    <w:rsid w:val="001F504E"/>
    <w:rsid w:val="001F5B0D"/>
    <w:rsid w:val="002046EC"/>
    <w:rsid w:val="002058D1"/>
    <w:rsid w:val="00207636"/>
    <w:rsid w:val="002109B7"/>
    <w:rsid w:val="00210C26"/>
    <w:rsid w:val="002115E7"/>
    <w:rsid w:val="002116CD"/>
    <w:rsid w:val="00213195"/>
    <w:rsid w:val="00222817"/>
    <w:rsid w:val="00222D08"/>
    <w:rsid w:val="00227E30"/>
    <w:rsid w:val="00243EB0"/>
    <w:rsid w:val="00244D38"/>
    <w:rsid w:val="00247EF3"/>
    <w:rsid w:val="00250BD6"/>
    <w:rsid w:val="00251C6B"/>
    <w:rsid w:val="00253D96"/>
    <w:rsid w:val="002554F4"/>
    <w:rsid w:val="00257C3A"/>
    <w:rsid w:val="0026071C"/>
    <w:rsid w:val="002625F3"/>
    <w:rsid w:val="00263666"/>
    <w:rsid w:val="00265083"/>
    <w:rsid w:val="00274089"/>
    <w:rsid w:val="002819EB"/>
    <w:rsid w:val="00284ED1"/>
    <w:rsid w:val="002859B6"/>
    <w:rsid w:val="0029081F"/>
    <w:rsid w:val="0029093D"/>
    <w:rsid w:val="00293158"/>
    <w:rsid w:val="00293303"/>
    <w:rsid w:val="00295B16"/>
    <w:rsid w:val="00296805"/>
    <w:rsid w:val="00296900"/>
    <w:rsid w:val="002A0BAE"/>
    <w:rsid w:val="002A170B"/>
    <w:rsid w:val="002A1C44"/>
    <w:rsid w:val="002A4D17"/>
    <w:rsid w:val="002A788F"/>
    <w:rsid w:val="002B09A8"/>
    <w:rsid w:val="002B4F91"/>
    <w:rsid w:val="002B64D9"/>
    <w:rsid w:val="002B6789"/>
    <w:rsid w:val="002B6F1B"/>
    <w:rsid w:val="002B746F"/>
    <w:rsid w:val="002C14F8"/>
    <w:rsid w:val="002C1BA1"/>
    <w:rsid w:val="002D1A22"/>
    <w:rsid w:val="002D3394"/>
    <w:rsid w:val="002D3C4A"/>
    <w:rsid w:val="002D4220"/>
    <w:rsid w:val="002D560C"/>
    <w:rsid w:val="002D7186"/>
    <w:rsid w:val="002E1426"/>
    <w:rsid w:val="002E3E93"/>
    <w:rsid w:val="002E4A0A"/>
    <w:rsid w:val="002E6513"/>
    <w:rsid w:val="002E7D23"/>
    <w:rsid w:val="002F164B"/>
    <w:rsid w:val="002F4BC5"/>
    <w:rsid w:val="00302D3B"/>
    <w:rsid w:val="00304185"/>
    <w:rsid w:val="00306006"/>
    <w:rsid w:val="00306B11"/>
    <w:rsid w:val="00307B77"/>
    <w:rsid w:val="003104CB"/>
    <w:rsid w:val="003123F6"/>
    <w:rsid w:val="003150FE"/>
    <w:rsid w:val="003177A5"/>
    <w:rsid w:val="00322E73"/>
    <w:rsid w:val="003248B1"/>
    <w:rsid w:val="00327A4D"/>
    <w:rsid w:val="00330C8D"/>
    <w:rsid w:val="0034198E"/>
    <w:rsid w:val="00342B2C"/>
    <w:rsid w:val="00344D8A"/>
    <w:rsid w:val="00346D3C"/>
    <w:rsid w:val="0035507A"/>
    <w:rsid w:val="003606FE"/>
    <w:rsid w:val="003616BC"/>
    <w:rsid w:val="00361F19"/>
    <w:rsid w:val="003662C6"/>
    <w:rsid w:val="00367FED"/>
    <w:rsid w:val="00370593"/>
    <w:rsid w:val="003712AF"/>
    <w:rsid w:val="00374E33"/>
    <w:rsid w:val="003772FA"/>
    <w:rsid w:val="0038004A"/>
    <w:rsid w:val="003811C5"/>
    <w:rsid w:val="003817E6"/>
    <w:rsid w:val="00384642"/>
    <w:rsid w:val="00392C4A"/>
    <w:rsid w:val="00395F8B"/>
    <w:rsid w:val="003A35F3"/>
    <w:rsid w:val="003A6ADD"/>
    <w:rsid w:val="003B16CC"/>
    <w:rsid w:val="003B1920"/>
    <w:rsid w:val="003B50EE"/>
    <w:rsid w:val="003B642F"/>
    <w:rsid w:val="003C6DBA"/>
    <w:rsid w:val="003C6F8F"/>
    <w:rsid w:val="003D341C"/>
    <w:rsid w:val="003D4992"/>
    <w:rsid w:val="003D7C79"/>
    <w:rsid w:val="003E04C2"/>
    <w:rsid w:val="003E15B6"/>
    <w:rsid w:val="003E2198"/>
    <w:rsid w:val="003E22E1"/>
    <w:rsid w:val="003E23B3"/>
    <w:rsid w:val="003E31AB"/>
    <w:rsid w:val="003E6A15"/>
    <w:rsid w:val="003F0A8C"/>
    <w:rsid w:val="003F3403"/>
    <w:rsid w:val="003F3660"/>
    <w:rsid w:val="003F6DB9"/>
    <w:rsid w:val="003F7645"/>
    <w:rsid w:val="0040426C"/>
    <w:rsid w:val="00405201"/>
    <w:rsid w:val="004054A5"/>
    <w:rsid w:val="00410EB2"/>
    <w:rsid w:val="00412C93"/>
    <w:rsid w:val="00425B67"/>
    <w:rsid w:val="00426FA1"/>
    <w:rsid w:val="004279A7"/>
    <w:rsid w:val="004302F5"/>
    <w:rsid w:val="00430A73"/>
    <w:rsid w:val="00433FB1"/>
    <w:rsid w:val="0043451C"/>
    <w:rsid w:val="004374A9"/>
    <w:rsid w:val="00442414"/>
    <w:rsid w:val="00445421"/>
    <w:rsid w:val="004475CD"/>
    <w:rsid w:val="004560C8"/>
    <w:rsid w:val="004572A8"/>
    <w:rsid w:val="0046091B"/>
    <w:rsid w:val="0046177D"/>
    <w:rsid w:val="004669C9"/>
    <w:rsid w:val="00467646"/>
    <w:rsid w:val="004726C5"/>
    <w:rsid w:val="00474511"/>
    <w:rsid w:val="00475B21"/>
    <w:rsid w:val="004826B2"/>
    <w:rsid w:val="00484472"/>
    <w:rsid w:val="00485605"/>
    <w:rsid w:val="00486FFE"/>
    <w:rsid w:val="00493AC2"/>
    <w:rsid w:val="00493BF9"/>
    <w:rsid w:val="004A1F53"/>
    <w:rsid w:val="004A2EF9"/>
    <w:rsid w:val="004A4384"/>
    <w:rsid w:val="004B2473"/>
    <w:rsid w:val="004B3893"/>
    <w:rsid w:val="004B5390"/>
    <w:rsid w:val="004C01F1"/>
    <w:rsid w:val="004C255A"/>
    <w:rsid w:val="004C28DC"/>
    <w:rsid w:val="004C5035"/>
    <w:rsid w:val="004C67A8"/>
    <w:rsid w:val="004D55BB"/>
    <w:rsid w:val="004D5658"/>
    <w:rsid w:val="004E1765"/>
    <w:rsid w:val="004E3742"/>
    <w:rsid w:val="004E412D"/>
    <w:rsid w:val="004E46A2"/>
    <w:rsid w:val="004E6BEE"/>
    <w:rsid w:val="004F28C8"/>
    <w:rsid w:val="004F3761"/>
    <w:rsid w:val="004F4618"/>
    <w:rsid w:val="004F61BF"/>
    <w:rsid w:val="00500C9D"/>
    <w:rsid w:val="005029B0"/>
    <w:rsid w:val="00505905"/>
    <w:rsid w:val="0050756E"/>
    <w:rsid w:val="00510089"/>
    <w:rsid w:val="0051026F"/>
    <w:rsid w:val="00511E14"/>
    <w:rsid w:val="00513C3D"/>
    <w:rsid w:val="0051466B"/>
    <w:rsid w:val="00522298"/>
    <w:rsid w:val="00522EEE"/>
    <w:rsid w:val="0053303E"/>
    <w:rsid w:val="00536B45"/>
    <w:rsid w:val="0054033C"/>
    <w:rsid w:val="00542EF3"/>
    <w:rsid w:val="00550E8F"/>
    <w:rsid w:val="005739C8"/>
    <w:rsid w:val="005803DB"/>
    <w:rsid w:val="00583E11"/>
    <w:rsid w:val="00585DE8"/>
    <w:rsid w:val="00586D59"/>
    <w:rsid w:val="0058798C"/>
    <w:rsid w:val="005900FF"/>
    <w:rsid w:val="00592592"/>
    <w:rsid w:val="00592CF9"/>
    <w:rsid w:val="00593EDC"/>
    <w:rsid w:val="0059654B"/>
    <w:rsid w:val="005A193C"/>
    <w:rsid w:val="005A3FE2"/>
    <w:rsid w:val="005A5DDB"/>
    <w:rsid w:val="005B00C8"/>
    <w:rsid w:val="005B15A6"/>
    <w:rsid w:val="005B2F58"/>
    <w:rsid w:val="005B3725"/>
    <w:rsid w:val="005C42A3"/>
    <w:rsid w:val="005D4856"/>
    <w:rsid w:val="005D5E1C"/>
    <w:rsid w:val="005D6F23"/>
    <w:rsid w:val="005E1AA0"/>
    <w:rsid w:val="005E3C08"/>
    <w:rsid w:val="005E559D"/>
    <w:rsid w:val="005E58C1"/>
    <w:rsid w:val="005E7CF7"/>
    <w:rsid w:val="005F51CF"/>
    <w:rsid w:val="005F5387"/>
    <w:rsid w:val="005F756D"/>
    <w:rsid w:val="006038A5"/>
    <w:rsid w:val="006056D9"/>
    <w:rsid w:val="00613549"/>
    <w:rsid w:val="0061411C"/>
    <w:rsid w:val="00616C4B"/>
    <w:rsid w:val="00622DBD"/>
    <w:rsid w:val="00622FF6"/>
    <w:rsid w:val="0062302E"/>
    <w:rsid w:val="0062443C"/>
    <w:rsid w:val="00625AB3"/>
    <w:rsid w:val="00632205"/>
    <w:rsid w:val="00633946"/>
    <w:rsid w:val="006437F1"/>
    <w:rsid w:val="00650D95"/>
    <w:rsid w:val="00650F7D"/>
    <w:rsid w:val="006528DC"/>
    <w:rsid w:val="00652FBD"/>
    <w:rsid w:val="00653D50"/>
    <w:rsid w:val="0065633F"/>
    <w:rsid w:val="00660EDD"/>
    <w:rsid w:val="0066396C"/>
    <w:rsid w:val="006659A2"/>
    <w:rsid w:val="00672ADE"/>
    <w:rsid w:val="00672F99"/>
    <w:rsid w:val="006756C8"/>
    <w:rsid w:val="0068176A"/>
    <w:rsid w:val="006912DA"/>
    <w:rsid w:val="00694C39"/>
    <w:rsid w:val="006964F1"/>
    <w:rsid w:val="00697C78"/>
    <w:rsid w:val="006A2090"/>
    <w:rsid w:val="006A27A6"/>
    <w:rsid w:val="006A2F0D"/>
    <w:rsid w:val="006A4EAC"/>
    <w:rsid w:val="006A7C58"/>
    <w:rsid w:val="006B291C"/>
    <w:rsid w:val="006B631C"/>
    <w:rsid w:val="006B64BA"/>
    <w:rsid w:val="006B6707"/>
    <w:rsid w:val="006C519D"/>
    <w:rsid w:val="006D0514"/>
    <w:rsid w:val="006E54BD"/>
    <w:rsid w:val="006F01A5"/>
    <w:rsid w:val="006F0449"/>
    <w:rsid w:val="006F15C8"/>
    <w:rsid w:val="006F3217"/>
    <w:rsid w:val="006F5252"/>
    <w:rsid w:val="006F5385"/>
    <w:rsid w:val="006F5DD8"/>
    <w:rsid w:val="006F7D54"/>
    <w:rsid w:val="00703A25"/>
    <w:rsid w:val="00703C2C"/>
    <w:rsid w:val="007041A1"/>
    <w:rsid w:val="00704616"/>
    <w:rsid w:val="007144CE"/>
    <w:rsid w:val="00715C9A"/>
    <w:rsid w:val="0071645C"/>
    <w:rsid w:val="00716BF0"/>
    <w:rsid w:val="00720155"/>
    <w:rsid w:val="007274DB"/>
    <w:rsid w:val="00727AC3"/>
    <w:rsid w:val="00734BF6"/>
    <w:rsid w:val="007439FE"/>
    <w:rsid w:val="007448A0"/>
    <w:rsid w:val="00746F4F"/>
    <w:rsid w:val="007479EF"/>
    <w:rsid w:val="00747FD5"/>
    <w:rsid w:val="00750179"/>
    <w:rsid w:val="00751097"/>
    <w:rsid w:val="0075424A"/>
    <w:rsid w:val="00757C70"/>
    <w:rsid w:val="00760E79"/>
    <w:rsid w:val="00764189"/>
    <w:rsid w:val="00764A0A"/>
    <w:rsid w:val="0076600A"/>
    <w:rsid w:val="00767708"/>
    <w:rsid w:val="00773025"/>
    <w:rsid w:val="00773374"/>
    <w:rsid w:val="007741FC"/>
    <w:rsid w:val="007757A1"/>
    <w:rsid w:val="007759EE"/>
    <w:rsid w:val="007773DB"/>
    <w:rsid w:val="00782FB0"/>
    <w:rsid w:val="0078310D"/>
    <w:rsid w:val="007833B0"/>
    <w:rsid w:val="00783901"/>
    <w:rsid w:val="00790A4E"/>
    <w:rsid w:val="00790C21"/>
    <w:rsid w:val="00790E91"/>
    <w:rsid w:val="0079130D"/>
    <w:rsid w:val="0079171C"/>
    <w:rsid w:val="007934A6"/>
    <w:rsid w:val="0079518F"/>
    <w:rsid w:val="00795F29"/>
    <w:rsid w:val="007A08DA"/>
    <w:rsid w:val="007A120C"/>
    <w:rsid w:val="007A34E1"/>
    <w:rsid w:val="007A3CBD"/>
    <w:rsid w:val="007A73C2"/>
    <w:rsid w:val="007B0A7D"/>
    <w:rsid w:val="007B10FF"/>
    <w:rsid w:val="007B171A"/>
    <w:rsid w:val="007B288E"/>
    <w:rsid w:val="007B43CF"/>
    <w:rsid w:val="007B7453"/>
    <w:rsid w:val="007C198E"/>
    <w:rsid w:val="007C38C4"/>
    <w:rsid w:val="007C5D10"/>
    <w:rsid w:val="007D1489"/>
    <w:rsid w:val="007D4294"/>
    <w:rsid w:val="007D4CA3"/>
    <w:rsid w:val="007D5ED8"/>
    <w:rsid w:val="007E0120"/>
    <w:rsid w:val="007E1189"/>
    <w:rsid w:val="007E1CAF"/>
    <w:rsid w:val="007E4F84"/>
    <w:rsid w:val="007F2E74"/>
    <w:rsid w:val="007F348D"/>
    <w:rsid w:val="007F56BB"/>
    <w:rsid w:val="00800369"/>
    <w:rsid w:val="00801063"/>
    <w:rsid w:val="00802732"/>
    <w:rsid w:val="008076B1"/>
    <w:rsid w:val="00820905"/>
    <w:rsid w:val="0082477B"/>
    <w:rsid w:val="008272DF"/>
    <w:rsid w:val="00827780"/>
    <w:rsid w:val="00827FC9"/>
    <w:rsid w:val="00831FDA"/>
    <w:rsid w:val="00834AA3"/>
    <w:rsid w:val="00844533"/>
    <w:rsid w:val="008459EF"/>
    <w:rsid w:val="00845A2A"/>
    <w:rsid w:val="00850AFF"/>
    <w:rsid w:val="0085197E"/>
    <w:rsid w:val="0085324F"/>
    <w:rsid w:val="008614CC"/>
    <w:rsid w:val="00864FD7"/>
    <w:rsid w:val="00865E5C"/>
    <w:rsid w:val="00866FB4"/>
    <w:rsid w:val="00875B5B"/>
    <w:rsid w:val="008760FC"/>
    <w:rsid w:val="008843DA"/>
    <w:rsid w:val="008865D2"/>
    <w:rsid w:val="00887194"/>
    <w:rsid w:val="00891076"/>
    <w:rsid w:val="00891120"/>
    <w:rsid w:val="0089246D"/>
    <w:rsid w:val="00893E9E"/>
    <w:rsid w:val="00895AE3"/>
    <w:rsid w:val="00895D8C"/>
    <w:rsid w:val="00896E6D"/>
    <w:rsid w:val="00897C0B"/>
    <w:rsid w:val="008A50CE"/>
    <w:rsid w:val="008A7B93"/>
    <w:rsid w:val="008A7D0F"/>
    <w:rsid w:val="008B22CF"/>
    <w:rsid w:val="008C088A"/>
    <w:rsid w:val="008C29B9"/>
    <w:rsid w:val="008C60F5"/>
    <w:rsid w:val="008C7965"/>
    <w:rsid w:val="008D49DB"/>
    <w:rsid w:val="008D4CEA"/>
    <w:rsid w:val="008D5519"/>
    <w:rsid w:val="008D6498"/>
    <w:rsid w:val="008E074A"/>
    <w:rsid w:val="008E147F"/>
    <w:rsid w:val="008E2290"/>
    <w:rsid w:val="008E350B"/>
    <w:rsid w:val="008E4D9E"/>
    <w:rsid w:val="008F1BB3"/>
    <w:rsid w:val="00901DDF"/>
    <w:rsid w:val="00904CE8"/>
    <w:rsid w:val="00906E21"/>
    <w:rsid w:val="00913DF7"/>
    <w:rsid w:val="009170BA"/>
    <w:rsid w:val="009171F5"/>
    <w:rsid w:val="009223FA"/>
    <w:rsid w:val="00922F5B"/>
    <w:rsid w:val="009258CA"/>
    <w:rsid w:val="00926F0E"/>
    <w:rsid w:val="00931E1D"/>
    <w:rsid w:val="00952E4C"/>
    <w:rsid w:val="00954930"/>
    <w:rsid w:val="00955E15"/>
    <w:rsid w:val="00956085"/>
    <w:rsid w:val="00957329"/>
    <w:rsid w:val="0095770A"/>
    <w:rsid w:val="009667D1"/>
    <w:rsid w:val="00967B09"/>
    <w:rsid w:val="00970782"/>
    <w:rsid w:val="00970A70"/>
    <w:rsid w:val="00976A8A"/>
    <w:rsid w:val="00990F4E"/>
    <w:rsid w:val="00992815"/>
    <w:rsid w:val="009957A2"/>
    <w:rsid w:val="00997DFE"/>
    <w:rsid w:val="00997E30"/>
    <w:rsid w:val="009B0069"/>
    <w:rsid w:val="009B3B83"/>
    <w:rsid w:val="009B50AD"/>
    <w:rsid w:val="009B5CEB"/>
    <w:rsid w:val="009B6400"/>
    <w:rsid w:val="009B7B18"/>
    <w:rsid w:val="009C65B9"/>
    <w:rsid w:val="009C6C84"/>
    <w:rsid w:val="009D2E79"/>
    <w:rsid w:val="009E2F6A"/>
    <w:rsid w:val="009E44DC"/>
    <w:rsid w:val="009E50C6"/>
    <w:rsid w:val="009E7FD9"/>
    <w:rsid w:val="009F18B3"/>
    <w:rsid w:val="00A02CFE"/>
    <w:rsid w:val="00A04E81"/>
    <w:rsid w:val="00A15D95"/>
    <w:rsid w:val="00A16013"/>
    <w:rsid w:val="00A16FF7"/>
    <w:rsid w:val="00A17E97"/>
    <w:rsid w:val="00A17F03"/>
    <w:rsid w:val="00A21A9F"/>
    <w:rsid w:val="00A229FD"/>
    <w:rsid w:val="00A274E0"/>
    <w:rsid w:val="00A34524"/>
    <w:rsid w:val="00A36652"/>
    <w:rsid w:val="00A400D9"/>
    <w:rsid w:val="00A401E5"/>
    <w:rsid w:val="00A41566"/>
    <w:rsid w:val="00A44C76"/>
    <w:rsid w:val="00A4536A"/>
    <w:rsid w:val="00A47E1E"/>
    <w:rsid w:val="00A50BD4"/>
    <w:rsid w:val="00A63654"/>
    <w:rsid w:val="00A6396B"/>
    <w:rsid w:val="00A670A8"/>
    <w:rsid w:val="00A71492"/>
    <w:rsid w:val="00A7391E"/>
    <w:rsid w:val="00A74470"/>
    <w:rsid w:val="00A82DFE"/>
    <w:rsid w:val="00A834B8"/>
    <w:rsid w:val="00A92B56"/>
    <w:rsid w:val="00AA00C3"/>
    <w:rsid w:val="00AA6710"/>
    <w:rsid w:val="00AA7634"/>
    <w:rsid w:val="00AB23A7"/>
    <w:rsid w:val="00AB6DC8"/>
    <w:rsid w:val="00AC12AE"/>
    <w:rsid w:val="00AC4791"/>
    <w:rsid w:val="00AC6F43"/>
    <w:rsid w:val="00AC755E"/>
    <w:rsid w:val="00AD1764"/>
    <w:rsid w:val="00AE1223"/>
    <w:rsid w:val="00AE3FEA"/>
    <w:rsid w:val="00AE6078"/>
    <w:rsid w:val="00AE66C2"/>
    <w:rsid w:val="00AE7BD8"/>
    <w:rsid w:val="00AF1404"/>
    <w:rsid w:val="00B0144E"/>
    <w:rsid w:val="00B035EC"/>
    <w:rsid w:val="00B0368B"/>
    <w:rsid w:val="00B05180"/>
    <w:rsid w:val="00B05BFC"/>
    <w:rsid w:val="00B1056C"/>
    <w:rsid w:val="00B1121E"/>
    <w:rsid w:val="00B12423"/>
    <w:rsid w:val="00B12A1E"/>
    <w:rsid w:val="00B130DF"/>
    <w:rsid w:val="00B140C8"/>
    <w:rsid w:val="00B152D9"/>
    <w:rsid w:val="00B1793F"/>
    <w:rsid w:val="00B20F48"/>
    <w:rsid w:val="00B23855"/>
    <w:rsid w:val="00B24F86"/>
    <w:rsid w:val="00B253F6"/>
    <w:rsid w:val="00B2611B"/>
    <w:rsid w:val="00B26A8D"/>
    <w:rsid w:val="00B26DC4"/>
    <w:rsid w:val="00B30438"/>
    <w:rsid w:val="00B30884"/>
    <w:rsid w:val="00B308D3"/>
    <w:rsid w:val="00B333DA"/>
    <w:rsid w:val="00B4300D"/>
    <w:rsid w:val="00B46D10"/>
    <w:rsid w:val="00B5374B"/>
    <w:rsid w:val="00B53C33"/>
    <w:rsid w:val="00B5622A"/>
    <w:rsid w:val="00B60EE0"/>
    <w:rsid w:val="00B61252"/>
    <w:rsid w:val="00B6156C"/>
    <w:rsid w:val="00B615E8"/>
    <w:rsid w:val="00B64FAB"/>
    <w:rsid w:val="00B65CDE"/>
    <w:rsid w:val="00B67A1C"/>
    <w:rsid w:val="00B70D74"/>
    <w:rsid w:val="00B721D1"/>
    <w:rsid w:val="00B75062"/>
    <w:rsid w:val="00B77395"/>
    <w:rsid w:val="00B77937"/>
    <w:rsid w:val="00B81EB3"/>
    <w:rsid w:val="00B824FC"/>
    <w:rsid w:val="00B84614"/>
    <w:rsid w:val="00B84ED2"/>
    <w:rsid w:val="00B84EF6"/>
    <w:rsid w:val="00B85928"/>
    <w:rsid w:val="00B92C3C"/>
    <w:rsid w:val="00B96500"/>
    <w:rsid w:val="00BA09AB"/>
    <w:rsid w:val="00BA18F2"/>
    <w:rsid w:val="00BA3080"/>
    <w:rsid w:val="00BA43D7"/>
    <w:rsid w:val="00BA7ABF"/>
    <w:rsid w:val="00BB1163"/>
    <w:rsid w:val="00BB232D"/>
    <w:rsid w:val="00BB342A"/>
    <w:rsid w:val="00BB4696"/>
    <w:rsid w:val="00BC1D77"/>
    <w:rsid w:val="00BD09A8"/>
    <w:rsid w:val="00BD2806"/>
    <w:rsid w:val="00BD4073"/>
    <w:rsid w:val="00BD5C20"/>
    <w:rsid w:val="00BD6B26"/>
    <w:rsid w:val="00BE0EBC"/>
    <w:rsid w:val="00BE16A4"/>
    <w:rsid w:val="00BE206E"/>
    <w:rsid w:val="00BE21D7"/>
    <w:rsid w:val="00BE4735"/>
    <w:rsid w:val="00BE4A09"/>
    <w:rsid w:val="00BE76A6"/>
    <w:rsid w:val="00BF0473"/>
    <w:rsid w:val="00BF1236"/>
    <w:rsid w:val="00BF3C48"/>
    <w:rsid w:val="00C017CF"/>
    <w:rsid w:val="00C04DC2"/>
    <w:rsid w:val="00C07C4F"/>
    <w:rsid w:val="00C124BC"/>
    <w:rsid w:val="00C17D3A"/>
    <w:rsid w:val="00C20330"/>
    <w:rsid w:val="00C23C3B"/>
    <w:rsid w:val="00C247F6"/>
    <w:rsid w:val="00C269DB"/>
    <w:rsid w:val="00C26A5C"/>
    <w:rsid w:val="00C340B9"/>
    <w:rsid w:val="00C35FDE"/>
    <w:rsid w:val="00C40CA8"/>
    <w:rsid w:val="00C42E89"/>
    <w:rsid w:val="00C44552"/>
    <w:rsid w:val="00C4760A"/>
    <w:rsid w:val="00C52D59"/>
    <w:rsid w:val="00C539C5"/>
    <w:rsid w:val="00C5421D"/>
    <w:rsid w:val="00C5502C"/>
    <w:rsid w:val="00C56F44"/>
    <w:rsid w:val="00C628B5"/>
    <w:rsid w:val="00C64BE9"/>
    <w:rsid w:val="00C64C22"/>
    <w:rsid w:val="00C65619"/>
    <w:rsid w:val="00C7273C"/>
    <w:rsid w:val="00C75271"/>
    <w:rsid w:val="00C8184C"/>
    <w:rsid w:val="00C8393A"/>
    <w:rsid w:val="00C85017"/>
    <w:rsid w:val="00C850FB"/>
    <w:rsid w:val="00C90209"/>
    <w:rsid w:val="00C93141"/>
    <w:rsid w:val="00CA090B"/>
    <w:rsid w:val="00CA1EEE"/>
    <w:rsid w:val="00CA4A62"/>
    <w:rsid w:val="00CA521E"/>
    <w:rsid w:val="00CA6018"/>
    <w:rsid w:val="00CA7D6C"/>
    <w:rsid w:val="00CB100A"/>
    <w:rsid w:val="00CB489C"/>
    <w:rsid w:val="00CB64B1"/>
    <w:rsid w:val="00CB76BA"/>
    <w:rsid w:val="00CC09EE"/>
    <w:rsid w:val="00CC0BC1"/>
    <w:rsid w:val="00CC17A3"/>
    <w:rsid w:val="00CD1D1C"/>
    <w:rsid w:val="00CD7713"/>
    <w:rsid w:val="00CE22EA"/>
    <w:rsid w:val="00CE251D"/>
    <w:rsid w:val="00CE26CD"/>
    <w:rsid w:val="00CE3E6B"/>
    <w:rsid w:val="00CE3FB5"/>
    <w:rsid w:val="00CE4784"/>
    <w:rsid w:val="00CE68C7"/>
    <w:rsid w:val="00CE717F"/>
    <w:rsid w:val="00CF57D4"/>
    <w:rsid w:val="00CF5BEF"/>
    <w:rsid w:val="00CF63EF"/>
    <w:rsid w:val="00CF6F4C"/>
    <w:rsid w:val="00D00A66"/>
    <w:rsid w:val="00D0469B"/>
    <w:rsid w:val="00D0718F"/>
    <w:rsid w:val="00D16054"/>
    <w:rsid w:val="00D17CD4"/>
    <w:rsid w:val="00D2055D"/>
    <w:rsid w:val="00D22E8F"/>
    <w:rsid w:val="00D25D78"/>
    <w:rsid w:val="00D26C6D"/>
    <w:rsid w:val="00D34E32"/>
    <w:rsid w:val="00D369EE"/>
    <w:rsid w:val="00D450AF"/>
    <w:rsid w:val="00D45989"/>
    <w:rsid w:val="00D469DC"/>
    <w:rsid w:val="00D528B6"/>
    <w:rsid w:val="00D5601C"/>
    <w:rsid w:val="00D64CF4"/>
    <w:rsid w:val="00D65E9D"/>
    <w:rsid w:val="00D6798C"/>
    <w:rsid w:val="00D7087A"/>
    <w:rsid w:val="00D70F1E"/>
    <w:rsid w:val="00D7172F"/>
    <w:rsid w:val="00D7176D"/>
    <w:rsid w:val="00D83B33"/>
    <w:rsid w:val="00D87228"/>
    <w:rsid w:val="00D87FB4"/>
    <w:rsid w:val="00D92D20"/>
    <w:rsid w:val="00D95DF2"/>
    <w:rsid w:val="00D963C2"/>
    <w:rsid w:val="00DA115D"/>
    <w:rsid w:val="00DA1F7C"/>
    <w:rsid w:val="00DA4F42"/>
    <w:rsid w:val="00DA57A2"/>
    <w:rsid w:val="00DA63C1"/>
    <w:rsid w:val="00DA77AE"/>
    <w:rsid w:val="00DB38BD"/>
    <w:rsid w:val="00DC6F51"/>
    <w:rsid w:val="00DD06AD"/>
    <w:rsid w:val="00DD121E"/>
    <w:rsid w:val="00DD526A"/>
    <w:rsid w:val="00DE0203"/>
    <w:rsid w:val="00DE0F40"/>
    <w:rsid w:val="00DE1A96"/>
    <w:rsid w:val="00DE2768"/>
    <w:rsid w:val="00DE64CA"/>
    <w:rsid w:val="00DE7B54"/>
    <w:rsid w:val="00DF650F"/>
    <w:rsid w:val="00DF6AEB"/>
    <w:rsid w:val="00E01D3C"/>
    <w:rsid w:val="00E026EE"/>
    <w:rsid w:val="00E03F8B"/>
    <w:rsid w:val="00E107AE"/>
    <w:rsid w:val="00E11770"/>
    <w:rsid w:val="00E14BFD"/>
    <w:rsid w:val="00E15D19"/>
    <w:rsid w:val="00E27753"/>
    <w:rsid w:val="00E348E3"/>
    <w:rsid w:val="00E3630E"/>
    <w:rsid w:val="00E37FF1"/>
    <w:rsid w:val="00E408DB"/>
    <w:rsid w:val="00E432EF"/>
    <w:rsid w:val="00E45E13"/>
    <w:rsid w:val="00E52DE9"/>
    <w:rsid w:val="00E53EBA"/>
    <w:rsid w:val="00E54C20"/>
    <w:rsid w:val="00E550C8"/>
    <w:rsid w:val="00E617C5"/>
    <w:rsid w:val="00E64CB6"/>
    <w:rsid w:val="00E74BCA"/>
    <w:rsid w:val="00E82CFF"/>
    <w:rsid w:val="00E82DC7"/>
    <w:rsid w:val="00E837A4"/>
    <w:rsid w:val="00E85E06"/>
    <w:rsid w:val="00E87063"/>
    <w:rsid w:val="00E876CC"/>
    <w:rsid w:val="00E92493"/>
    <w:rsid w:val="00EA3F28"/>
    <w:rsid w:val="00EA5B98"/>
    <w:rsid w:val="00EB1574"/>
    <w:rsid w:val="00EB34C0"/>
    <w:rsid w:val="00EB6309"/>
    <w:rsid w:val="00EC2F9D"/>
    <w:rsid w:val="00EC3C79"/>
    <w:rsid w:val="00EC7DB2"/>
    <w:rsid w:val="00ED6655"/>
    <w:rsid w:val="00EE1F29"/>
    <w:rsid w:val="00EE3199"/>
    <w:rsid w:val="00EE4C42"/>
    <w:rsid w:val="00EE7D34"/>
    <w:rsid w:val="00EF517A"/>
    <w:rsid w:val="00EF5702"/>
    <w:rsid w:val="00F005A7"/>
    <w:rsid w:val="00F00C66"/>
    <w:rsid w:val="00F06696"/>
    <w:rsid w:val="00F06C34"/>
    <w:rsid w:val="00F11596"/>
    <w:rsid w:val="00F1297A"/>
    <w:rsid w:val="00F13AFF"/>
    <w:rsid w:val="00F15675"/>
    <w:rsid w:val="00F16186"/>
    <w:rsid w:val="00F165B8"/>
    <w:rsid w:val="00F24066"/>
    <w:rsid w:val="00F269D3"/>
    <w:rsid w:val="00F26C26"/>
    <w:rsid w:val="00F27A37"/>
    <w:rsid w:val="00F3078E"/>
    <w:rsid w:val="00F308DE"/>
    <w:rsid w:val="00F351D7"/>
    <w:rsid w:val="00F35FD2"/>
    <w:rsid w:val="00F40570"/>
    <w:rsid w:val="00F418EE"/>
    <w:rsid w:val="00F426B9"/>
    <w:rsid w:val="00F431FF"/>
    <w:rsid w:val="00F45B50"/>
    <w:rsid w:val="00F51355"/>
    <w:rsid w:val="00F5247E"/>
    <w:rsid w:val="00F52C48"/>
    <w:rsid w:val="00F54848"/>
    <w:rsid w:val="00F6050E"/>
    <w:rsid w:val="00F61157"/>
    <w:rsid w:val="00F7257D"/>
    <w:rsid w:val="00F75380"/>
    <w:rsid w:val="00F765DC"/>
    <w:rsid w:val="00F76B5F"/>
    <w:rsid w:val="00F805D1"/>
    <w:rsid w:val="00F81778"/>
    <w:rsid w:val="00F8537E"/>
    <w:rsid w:val="00F860F5"/>
    <w:rsid w:val="00F86B10"/>
    <w:rsid w:val="00F87063"/>
    <w:rsid w:val="00F871A9"/>
    <w:rsid w:val="00F90E79"/>
    <w:rsid w:val="00F93179"/>
    <w:rsid w:val="00F956E8"/>
    <w:rsid w:val="00F95CCF"/>
    <w:rsid w:val="00F965D9"/>
    <w:rsid w:val="00F9708E"/>
    <w:rsid w:val="00FA0678"/>
    <w:rsid w:val="00FA167B"/>
    <w:rsid w:val="00FA235B"/>
    <w:rsid w:val="00FB0DAC"/>
    <w:rsid w:val="00FC368F"/>
    <w:rsid w:val="00FC4DFA"/>
    <w:rsid w:val="00FD3E68"/>
    <w:rsid w:val="00FD4688"/>
    <w:rsid w:val="00FD59E2"/>
    <w:rsid w:val="00FD6439"/>
    <w:rsid w:val="00FE2CFF"/>
    <w:rsid w:val="00FE3DA5"/>
    <w:rsid w:val="00FE6246"/>
    <w:rsid w:val="00FE7B8F"/>
    <w:rsid w:val="00FF0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4A3A"/>
  <w14:defaultImageDpi w14:val="32767"/>
  <w15:chartTrackingRefBased/>
  <w15:docId w15:val="{C8EEA1FE-7463-B748-89AF-A7A65EC1F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781"/>
    <w:pPr>
      <w:keepNext/>
      <w:keepLines/>
      <w:spacing w:before="240"/>
      <w:jc w:val="both"/>
      <w:outlineLvl w:val="0"/>
    </w:pPr>
    <w:rPr>
      <w:rFonts w:ascii="Garamond" w:eastAsiaTheme="majorEastAsia" w:hAnsi="Garamond" w:cstheme="majorBidi"/>
      <w:b/>
      <w:sz w:val="32"/>
      <w:szCs w:val="32"/>
    </w:rPr>
  </w:style>
  <w:style w:type="paragraph" w:styleId="Heading2">
    <w:name w:val="heading 2"/>
    <w:basedOn w:val="Normal"/>
    <w:next w:val="Normal"/>
    <w:link w:val="Heading2Char"/>
    <w:uiPriority w:val="9"/>
    <w:unhideWhenUsed/>
    <w:qFormat/>
    <w:rsid w:val="00412C93"/>
    <w:pPr>
      <w:keepNext/>
      <w:keepLines/>
      <w:spacing w:before="40"/>
      <w:jc w:val="both"/>
      <w:outlineLvl w:val="1"/>
    </w:pPr>
    <w:rPr>
      <w:rFonts w:ascii="Garamond" w:eastAsiaTheme="majorEastAsia" w:hAnsi="Garamond" w:cstheme="majorBidi"/>
      <w:b/>
      <w:sz w:val="28"/>
      <w:szCs w:val="26"/>
    </w:rPr>
  </w:style>
  <w:style w:type="paragraph" w:styleId="Heading3">
    <w:name w:val="heading 3"/>
    <w:basedOn w:val="Normal"/>
    <w:next w:val="Normal"/>
    <w:link w:val="Heading3Char"/>
    <w:uiPriority w:val="9"/>
    <w:semiHidden/>
    <w:unhideWhenUsed/>
    <w:qFormat/>
    <w:rsid w:val="009C65B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ListParagraph"/>
    <w:qFormat/>
    <w:rsid w:val="005739C8"/>
    <w:pPr>
      <w:numPr>
        <w:numId w:val="1"/>
      </w:numPr>
      <w:jc w:val="center"/>
    </w:pPr>
    <w:rPr>
      <w:rFonts w:ascii="Corbel" w:eastAsia="Times New Roman" w:hAnsi="Corbel" w:cs="Times New Roman"/>
      <w:b/>
      <w:u w:val="single"/>
      <w:lang w:val="cs-CZ" w:eastAsia="cs-CZ"/>
    </w:rPr>
  </w:style>
  <w:style w:type="paragraph" w:styleId="ListParagraph">
    <w:name w:val="List Paragraph"/>
    <w:basedOn w:val="Normal"/>
    <w:uiPriority w:val="34"/>
    <w:qFormat/>
    <w:rsid w:val="005739C8"/>
    <w:pPr>
      <w:ind w:left="720"/>
      <w:contextualSpacing/>
    </w:pPr>
  </w:style>
  <w:style w:type="character" w:customStyle="1" w:styleId="Heading1Char">
    <w:name w:val="Heading 1 Char"/>
    <w:basedOn w:val="DefaultParagraphFont"/>
    <w:link w:val="Heading1"/>
    <w:uiPriority w:val="9"/>
    <w:rsid w:val="000E3781"/>
    <w:rPr>
      <w:rFonts w:ascii="Garamond" w:eastAsiaTheme="majorEastAsia" w:hAnsi="Garamond" w:cstheme="majorBidi"/>
      <w:b/>
      <w:sz w:val="32"/>
      <w:szCs w:val="32"/>
    </w:rPr>
  </w:style>
  <w:style w:type="paragraph" w:styleId="TOCHeading">
    <w:name w:val="TOC Heading"/>
    <w:basedOn w:val="Heading1"/>
    <w:next w:val="Normal"/>
    <w:uiPriority w:val="39"/>
    <w:unhideWhenUsed/>
    <w:qFormat/>
    <w:rsid w:val="00C850FB"/>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C07C4F"/>
    <w:pPr>
      <w:spacing w:before="120"/>
    </w:pPr>
    <w:rPr>
      <w:rFonts w:cstheme="minorHAnsi"/>
      <w:b/>
      <w:bCs/>
      <w:i/>
      <w:iCs/>
    </w:rPr>
  </w:style>
  <w:style w:type="paragraph" w:styleId="TOC2">
    <w:name w:val="toc 2"/>
    <w:basedOn w:val="Normal"/>
    <w:next w:val="Normal"/>
    <w:autoRedefine/>
    <w:uiPriority w:val="39"/>
    <w:unhideWhenUsed/>
    <w:rsid w:val="00C850F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850FB"/>
    <w:pPr>
      <w:ind w:left="480"/>
    </w:pPr>
    <w:rPr>
      <w:rFonts w:cstheme="minorHAnsi"/>
      <w:sz w:val="20"/>
      <w:szCs w:val="20"/>
    </w:rPr>
  </w:style>
  <w:style w:type="paragraph" w:styleId="TOC4">
    <w:name w:val="toc 4"/>
    <w:basedOn w:val="Normal"/>
    <w:next w:val="Normal"/>
    <w:autoRedefine/>
    <w:uiPriority w:val="39"/>
    <w:semiHidden/>
    <w:unhideWhenUsed/>
    <w:rsid w:val="00C850FB"/>
    <w:pPr>
      <w:ind w:left="720"/>
    </w:pPr>
    <w:rPr>
      <w:rFonts w:cstheme="minorHAnsi"/>
      <w:sz w:val="20"/>
      <w:szCs w:val="20"/>
    </w:rPr>
  </w:style>
  <w:style w:type="paragraph" w:styleId="TOC5">
    <w:name w:val="toc 5"/>
    <w:basedOn w:val="Normal"/>
    <w:next w:val="Normal"/>
    <w:autoRedefine/>
    <w:uiPriority w:val="39"/>
    <w:semiHidden/>
    <w:unhideWhenUsed/>
    <w:rsid w:val="00C850FB"/>
    <w:pPr>
      <w:ind w:left="960"/>
    </w:pPr>
    <w:rPr>
      <w:rFonts w:cstheme="minorHAnsi"/>
      <w:sz w:val="20"/>
      <w:szCs w:val="20"/>
    </w:rPr>
  </w:style>
  <w:style w:type="paragraph" w:styleId="TOC6">
    <w:name w:val="toc 6"/>
    <w:basedOn w:val="Normal"/>
    <w:next w:val="Normal"/>
    <w:autoRedefine/>
    <w:uiPriority w:val="39"/>
    <w:semiHidden/>
    <w:unhideWhenUsed/>
    <w:rsid w:val="00C850FB"/>
    <w:pPr>
      <w:ind w:left="1200"/>
    </w:pPr>
    <w:rPr>
      <w:rFonts w:cstheme="minorHAnsi"/>
      <w:sz w:val="20"/>
      <w:szCs w:val="20"/>
    </w:rPr>
  </w:style>
  <w:style w:type="paragraph" w:styleId="TOC7">
    <w:name w:val="toc 7"/>
    <w:basedOn w:val="Normal"/>
    <w:next w:val="Normal"/>
    <w:autoRedefine/>
    <w:uiPriority w:val="39"/>
    <w:semiHidden/>
    <w:unhideWhenUsed/>
    <w:rsid w:val="00C850FB"/>
    <w:pPr>
      <w:ind w:left="1440"/>
    </w:pPr>
    <w:rPr>
      <w:rFonts w:cstheme="minorHAnsi"/>
      <w:sz w:val="20"/>
      <w:szCs w:val="20"/>
    </w:rPr>
  </w:style>
  <w:style w:type="paragraph" w:styleId="TOC8">
    <w:name w:val="toc 8"/>
    <w:basedOn w:val="Normal"/>
    <w:next w:val="Normal"/>
    <w:autoRedefine/>
    <w:uiPriority w:val="39"/>
    <w:semiHidden/>
    <w:unhideWhenUsed/>
    <w:rsid w:val="00C850FB"/>
    <w:pPr>
      <w:ind w:left="1680"/>
    </w:pPr>
    <w:rPr>
      <w:rFonts w:cstheme="minorHAnsi"/>
      <w:sz w:val="20"/>
      <w:szCs w:val="20"/>
    </w:rPr>
  </w:style>
  <w:style w:type="paragraph" w:styleId="TOC9">
    <w:name w:val="toc 9"/>
    <w:basedOn w:val="Normal"/>
    <w:next w:val="Normal"/>
    <w:autoRedefine/>
    <w:uiPriority w:val="39"/>
    <w:semiHidden/>
    <w:unhideWhenUsed/>
    <w:rsid w:val="00C850FB"/>
    <w:pPr>
      <w:ind w:left="1920"/>
    </w:pPr>
    <w:rPr>
      <w:rFonts w:cstheme="minorHAnsi"/>
      <w:sz w:val="20"/>
      <w:szCs w:val="20"/>
    </w:rPr>
  </w:style>
  <w:style w:type="character" w:styleId="CommentReference">
    <w:name w:val="annotation reference"/>
    <w:basedOn w:val="DefaultParagraphFont"/>
    <w:uiPriority w:val="99"/>
    <w:semiHidden/>
    <w:unhideWhenUsed/>
    <w:rsid w:val="00E92493"/>
    <w:rPr>
      <w:sz w:val="16"/>
      <w:szCs w:val="16"/>
    </w:rPr>
  </w:style>
  <w:style w:type="paragraph" w:styleId="CommentText">
    <w:name w:val="annotation text"/>
    <w:basedOn w:val="Normal"/>
    <w:link w:val="CommentTextChar"/>
    <w:uiPriority w:val="99"/>
    <w:unhideWhenUsed/>
    <w:rsid w:val="00E92493"/>
    <w:rPr>
      <w:sz w:val="20"/>
      <w:szCs w:val="20"/>
    </w:rPr>
  </w:style>
  <w:style w:type="character" w:customStyle="1" w:styleId="CommentTextChar">
    <w:name w:val="Comment Text Char"/>
    <w:basedOn w:val="DefaultParagraphFont"/>
    <w:link w:val="CommentText"/>
    <w:uiPriority w:val="99"/>
    <w:rsid w:val="00E92493"/>
    <w:rPr>
      <w:sz w:val="20"/>
      <w:szCs w:val="20"/>
    </w:rPr>
  </w:style>
  <w:style w:type="paragraph" w:styleId="CommentSubject">
    <w:name w:val="annotation subject"/>
    <w:basedOn w:val="CommentText"/>
    <w:next w:val="CommentText"/>
    <w:link w:val="CommentSubjectChar"/>
    <w:uiPriority w:val="99"/>
    <w:semiHidden/>
    <w:unhideWhenUsed/>
    <w:rsid w:val="00E92493"/>
    <w:rPr>
      <w:b/>
      <w:bCs/>
    </w:rPr>
  </w:style>
  <w:style w:type="character" w:customStyle="1" w:styleId="CommentSubjectChar">
    <w:name w:val="Comment Subject Char"/>
    <w:basedOn w:val="CommentTextChar"/>
    <w:link w:val="CommentSubject"/>
    <w:uiPriority w:val="99"/>
    <w:semiHidden/>
    <w:rsid w:val="00E92493"/>
    <w:rPr>
      <w:b/>
      <w:bCs/>
      <w:sz w:val="20"/>
      <w:szCs w:val="20"/>
    </w:rPr>
  </w:style>
  <w:style w:type="paragraph" w:styleId="BalloonText">
    <w:name w:val="Balloon Text"/>
    <w:basedOn w:val="Normal"/>
    <w:link w:val="BalloonTextChar"/>
    <w:uiPriority w:val="99"/>
    <w:semiHidden/>
    <w:unhideWhenUsed/>
    <w:rsid w:val="00E9249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92493"/>
    <w:rPr>
      <w:rFonts w:ascii="Times New Roman" w:hAnsi="Times New Roman" w:cs="Times New Roman"/>
      <w:sz w:val="18"/>
      <w:szCs w:val="18"/>
    </w:rPr>
  </w:style>
  <w:style w:type="character" w:styleId="Hyperlink">
    <w:name w:val="Hyperlink"/>
    <w:basedOn w:val="DefaultParagraphFont"/>
    <w:uiPriority w:val="99"/>
    <w:unhideWhenUsed/>
    <w:rsid w:val="00E92493"/>
    <w:rPr>
      <w:color w:val="0563C1" w:themeColor="hyperlink"/>
      <w:u w:val="single"/>
    </w:rPr>
  </w:style>
  <w:style w:type="character" w:customStyle="1" w:styleId="Heading2Char">
    <w:name w:val="Heading 2 Char"/>
    <w:basedOn w:val="DefaultParagraphFont"/>
    <w:link w:val="Heading2"/>
    <w:uiPriority w:val="9"/>
    <w:rsid w:val="00412C93"/>
    <w:rPr>
      <w:rFonts w:ascii="Garamond" w:eastAsiaTheme="majorEastAsia" w:hAnsi="Garamond" w:cstheme="majorBidi"/>
      <w:b/>
      <w:sz w:val="28"/>
      <w:szCs w:val="26"/>
    </w:rPr>
  </w:style>
  <w:style w:type="paragraph" w:styleId="Header">
    <w:name w:val="header"/>
    <w:basedOn w:val="Normal"/>
    <w:link w:val="HeaderChar"/>
    <w:uiPriority w:val="99"/>
    <w:unhideWhenUsed/>
    <w:rsid w:val="0001787A"/>
    <w:pPr>
      <w:tabs>
        <w:tab w:val="center" w:pos="4703"/>
        <w:tab w:val="right" w:pos="9406"/>
      </w:tabs>
    </w:pPr>
  </w:style>
  <w:style w:type="character" w:customStyle="1" w:styleId="HeaderChar">
    <w:name w:val="Header Char"/>
    <w:basedOn w:val="DefaultParagraphFont"/>
    <w:link w:val="Header"/>
    <w:uiPriority w:val="99"/>
    <w:rsid w:val="0001787A"/>
  </w:style>
  <w:style w:type="paragraph" w:styleId="Footer">
    <w:name w:val="footer"/>
    <w:basedOn w:val="Normal"/>
    <w:link w:val="FooterChar"/>
    <w:uiPriority w:val="99"/>
    <w:unhideWhenUsed/>
    <w:rsid w:val="0001787A"/>
    <w:pPr>
      <w:tabs>
        <w:tab w:val="center" w:pos="4703"/>
        <w:tab w:val="right" w:pos="9406"/>
      </w:tabs>
    </w:pPr>
  </w:style>
  <w:style w:type="character" w:customStyle="1" w:styleId="FooterChar">
    <w:name w:val="Footer Char"/>
    <w:basedOn w:val="DefaultParagraphFont"/>
    <w:link w:val="Footer"/>
    <w:uiPriority w:val="99"/>
    <w:rsid w:val="0001787A"/>
  </w:style>
  <w:style w:type="character" w:styleId="PageNumber">
    <w:name w:val="page number"/>
    <w:basedOn w:val="DefaultParagraphFont"/>
    <w:uiPriority w:val="99"/>
    <w:semiHidden/>
    <w:unhideWhenUsed/>
    <w:rsid w:val="0001787A"/>
  </w:style>
  <w:style w:type="character" w:styleId="UnresolvedMention">
    <w:name w:val="Unresolved Mention"/>
    <w:basedOn w:val="DefaultParagraphFont"/>
    <w:uiPriority w:val="99"/>
    <w:rsid w:val="006B291C"/>
    <w:rPr>
      <w:color w:val="605E5C"/>
      <w:shd w:val="clear" w:color="auto" w:fill="E1DFDD"/>
    </w:rPr>
  </w:style>
  <w:style w:type="character" w:styleId="FollowedHyperlink">
    <w:name w:val="FollowedHyperlink"/>
    <w:basedOn w:val="DefaultParagraphFont"/>
    <w:uiPriority w:val="99"/>
    <w:semiHidden/>
    <w:unhideWhenUsed/>
    <w:rsid w:val="00F16186"/>
    <w:rPr>
      <w:color w:val="954F72" w:themeColor="followedHyperlink"/>
      <w:u w:val="single"/>
    </w:rPr>
  </w:style>
  <w:style w:type="paragraph" w:styleId="FootnoteText">
    <w:name w:val="footnote text"/>
    <w:basedOn w:val="Normal"/>
    <w:link w:val="FootnoteTextChar"/>
    <w:uiPriority w:val="99"/>
    <w:unhideWhenUsed/>
    <w:rsid w:val="00AC4791"/>
    <w:rPr>
      <w:sz w:val="20"/>
      <w:szCs w:val="20"/>
    </w:rPr>
  </w:style>
  <w:style w:type="character" w:customStyle="1" w:styleId="FootnoteTextChar">
    <w:name w:val="Footnote Text Char"/>
    <w:basedOn w:val="DefaultParagraphFont"/>
    <w:link w:val="FootnoteText"/>
    <w:uiPriority w:val="99"/>
    <w:rsid w:val="00AC4791"/>
    <w:rPr>
      <w:sz w:val="20"/>
      <w:szCs w:val="20"/>
    </w:rPr>
  </w:style>
  <w:style w:type="character" w:styleId="FootnoteReference">
    <w:name w:val="footnote reference"/>
    <w:basedOn w:val="DefaultParagraphFont"/>
    <w:uiPriority w:val="99"/>
    <w:semiHidden/>
    <w:unhideWhenUsed/>
    <w:rsid w:val="00AC4791"/>
    <w:rPr>
      <w:vertAlign w:val="superscript"/>
    </w:rPr>
  </w:style>
  <w:style w:type="character" w:customStyle="1" w:styleId="Heading3Char">
    <w:name w:val="Heading 3 Char"/>
    <w:basedOn w:val="DefaultParagraphFont"/>
    <w:link w:val="Heading3"/>
    <w:uiPriority w:val="9"/>
    <w:semiHidden/>
    <w:rsid w:val="009C65B9"/>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5553">
      <w:bodyDiv w:val="1"/>
      <w:marLeft w:val="0"/>
      <w:marRight w:val="0"/>
      <w:marTop w:val="0"/>
      <w:marBottom w:val="0"/>
      <w:divBdr>
        <w:top w:val="none" w:sz="0" w:space="0" w:color="auto"/>
        <w:left w:val="none" w:sz="0" w:space="0" w:color="auto"/>
        <w:bottom w:val="none" w:sz="0" w:space="0" w:color="auto"/>
        <w:right w:val="none" w:sz="0" w:space="0" w:color="auto"/>
      </w:divBdr>
    </w:div>
    <w:div w:id="11106222">
      <w:bodyDiv w:val="1"/>
      <w:marLeft w:val="0"/>
      <w:marRight w:val="0"/>
      <w:marTop w:val="0"/>
      <w:marBottom w:val="0"/>
      <w:divBdr>
        <w:top w:val="none" w:sz="0" w:space="0" w:color="auto"/>
        <w:left w:val="none" w:sz="0" w:space="0" w:color="auto"/>
        <w:bottom w:val="none" w:sz="0" w:space="0" w:color="auto"/>
        <w:right w:val="none" w:sz="0" w:space="0" w:color="auto"/>
      </w:divBdr>
    </w:div>
    <w:div w:id="20978656">
      <w:bodyDiv w:val="1"/>
      <w:marLeft w:val="0"/>
      <w:marRight w:val="0"/>
      <w:marTop w:val="0"/>
      <w:marBottom w:val="0"/>
      <w:divBdr>
        <w:top w:val="none" w:sz="0" w:space="0" w:color="auto"/>
        <w:left w:val="none" w:sz="0" w:space="0" w:color="auto"/>
        <w:bottom w:val="none" w:sz="0" w:space="0" w:color="auto"/>
        <w:right w:val="none" w:sz="0" w:space="0" w:color="auto"/>
      </w:divBdr>
    </w:div>
    <w:div w:id="102190462">
      <w:bodyDiv w:val="1"/>
      <w:marLeft w:val="0"/>
      <w:marRight w:val="0"/>
      <w:marTop w:val="0"/>
      <w:marBottom w:val="0"/>
      <w:divBdr>
        <w:top w:val="none" w:sz="0" w:space="0" w:color="auto"/>
        <w:left w:val="none" w:sz="0" w:space="0" w:color="auto"/>
        <w:bottom w:val="none" w:sz="0" w:space="0" w:color="auto"/>
        <w:right w:val="none" w:sz="0" w:space="0" w:color="auto"/>
      </w:divBdr>
    </w:div>
    <w:div w:id="211697870">
      <w:bodyDiv w:val="1"/>
      <w:marLeft w:val="0"/>
      <w:marRight w:val="0"/>
      <w:marTop w:val="0"/>
      <w:marBottom w:val="0"/>
      <w:divBdr>
        <w:top w:val="none" w:sz="0" w:space="0" w:color="auto"/>
        <w:left w:val="none" w:sz="0" w:space="0" w:color="auto"/>
        <w:bottom w:val="none" w:sz="0" w:space="0" w:color="auto"/>
        <w:right w:val="none" w:sz="0" w:space="0" w:color="auto"/>
      </w:divBdr>
    </w:div>
    <w:div w:id="217479618">
      <w:bodyDiv w:val="1"/>
      <w:marLeft w:val="0"/>
      <w:marRight w:val="0"/>
      <w:marTop w:val="0"/>
      <w:marBottom w:val="0"/>
      <w:divBdr>
        <w:top w:val="none" w:sz="0" w:space="0" w:color="auto"/>
        <w:left w:val="none" w:sz="0" w:space="0" w:color="auto"/>
        <w:bottom w:val="none" w:sz="0" w:space="0" w:color="auto"/>
        <w:right w:val="none" w:sz="0" w:space="0" w:color="auto"/>
      </w:divBdr>
    </w:div>
    <w:div w:id="242615340">
      <w:bodyDiv w:val="1"/>
      <w:marLeft w:val="0"/>
      <w:marRight w:val="0"/>
      <w:marTop w:val="0"/>
      <w:marBottom w:val="0"/>
      <w:divBdr>
        <w:top w:val="none" w:sz="0" w:space="0" w:color="auto"/>
        <w:left w:val="none" w:sz="0" w:space="0" w:color="auto"/>
        <w:bottom w:val="none" w:sz="0" w:space="0" w:color="auto"/>
        <w:right w:val="none" w:sz="0" w:space="0" w:color="auto"/>
      </w:divBdr>
    </w:div>
    <w:div w:id="454102210">
      <w:bodyDiv w:val="1"/>
      <w:marLeft w:val="0"/>
      <w:marRight w:val="0"/>
      <w:marTop w:val="0"/>
      <w:marBottom w:val="0"/>
      <w:divBdr>
        <w:top w:val="none" w:sz="0" w:space="0" w:color="auto"/>
        <w:left w:val="none" w:sz="0" w:space="0" w:color="auto"/>
        <w:bottom w:val="none" w:sz="0" w:space="0" w:color="auto"/>
        <w:right w:val="none" w:sz="0" w:space="0" w:color="auto"/>
      </w:divBdr>
    </w:div>
    <w:div w:id="456679880">
      <w:bodyDiv w:val="1"/>
      <w:marLeft w:val="0"/>
      <w:marRight w:val="0"/>
      <w:marTop w:val="0"/>
      <w:marBottom w:val="0"/>
      <w:divBdr>
        <w:top w:val="none" w:sz="0" w:space="0" w:color="auto"/>
        <w:left w:val="none" w:sz="0" w:space="0" w:color="auto"/>
        <w:bottom w:val="none" w:sz="0" w:space="0" w:color="auto"/>
        <w:right w:val="none" w:sz="0" w:space="0" w:color="auto"/>
      </w:divBdr>
    </w:div>
    <w:div w:id="499590337">
      <w:bodyDiv w:val="1"/>
      <w:marLeft w:val="0"/>
      <w:marRight w:val="0"/>
      <w:marTop w:val="0"/>
      <w:marBottom w:val="0"/>
      <w:divBdr>
        <w:top w:val="none" w:sz="0" w:space="0" w:color="auto"/>
        <w:left w:val="none" w:sz="0" w:space="0" w:color="auto"/>
        <w:bottom w:val="none" w:sz="0" w:space="0" w:color="auto"/>
        <w:right w:val="none" w:sz="0" w:space="0" w:color="auto"/>
      </w:divBdr>
    </w:div>
    <w:div w:id="528761826">
      <w:bodyDiv w:val="1"/>
      <w:marLeft w:val="0"/>
      <w:marRight w:val="0"/>
      <w:marTop w:val="0"/>
      <w:marBottom w:val="0"/>
      <w:divBdr>
        <w:top w:val="none" w:sz="0" w:space="0" w:color="auto"/>
        <w:left w:val="none" w:sz="0" w:space="0" w:color="auto"/>
        <w:bottom w:val="none" w:sz="0" w:space="0" w:color="auto"/>
        <w:right w:val="none" w:sz="0" w:space="0" w:color="auto"/>
      </w:divBdr>
    </w:div>
    <w:div w:id="559094638">
      <w:bodyDiv w:val="1"/>
      <w:marLeft w:val="0"/>
      <w:marRight w:val="0"/>
      <w:marTop w:val="0"/>
      <w:marBottom w:val="0"/>
      <w:divBdr>
        <w:top w:val="none" w:sz="0" w:space="0" w:color="auto"/>
        <w:left w:val="none" w:sz="0" w:space="0" w:color="auto"/>
        <w:bottom w:val="none" w:sz="0" w:space="0" w:color="auto"/>
        <w:right w:val="none" w:sz="0" w:space="0" w:color="auto"/>
      </w:divBdr>
      <w:divsChild>
        <w:div w:id="1843279753">
          <w:marLeft w:val="0"/>
          <w:marRight w:val="0"/>
          <w:marTop w:val="0"/>
          <w:marBottom w:val="0"/>
          <w:divBdr>
            <w:top w:val="none" w:sz="0" w:space="0" w:color="auto"/>
            <w:left w:val="none" w:sz="0" w:space="0" w:color="auto"/>
            <w:bottom w:val="none" w:sz="0" w:space="0" w:color="auto"/>
            <w:right w:val="none" w:sz="0" w:space="0" w:color="auto"/>
          </w:divBdr>
          <w:divsChild>
            <w:div w:id="4986167">
              <w:marLeft w:val="0"/>
              <w:marRight w:val="0"/>
              <w:marTop w:val="0"/>
              <w:marBottom w:val="0"/>
              <w:divBdr>
                <w:top w:val="none" w:sz="0" w:space="0" w:color="auto"/>
                <w:left w:val="none" w:sz="0" w:space="0" w:color="auto"/>
                <w:bottom w:val="none" w:sz="0" w:space="0" w:color="auto"/>
                <w:right w:val="none" w:sz="0" w:space="0" w:color="auto"/>
              </w:divBdr>
              <w:divsChild>
                <w:div w:id="16863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148296">
      <w:bodyDiv w:val="1"/>
      <w:marLeft w:val="0"/>
      <w:marRight w:val="0"/>
      <w:marTop w:val="0"/>
      <w:marBottom w:val="0"/>
      <w:divBdr>
        <w:top w:val="none" w:sz="0" w:space="0" w:color="auto"/>
        <w:left w:val="none" w:sz="0" w:space="0" w:color="auto"/>
        <w:bottom w:val="none" w:sz="0" w:space="0" w:color="auto"/>
        <w:right w:val="none" w:sz="0" w:space="0" w:color="auto"/>
      </w:divBdr>
    </w:div>
    <w:div w:id="584150556">
      <w:bodyDiv w:val="1"/>
      <w:marLeft w:val="0"/>
      <w:marRight w:val="0"/>
      <w:marTop w:val="0"/>
      <w:marBottom w:val="0"/>
      <w:divBdr>
        <w:top w:val="none" w:sz="0" w:space="0" w:color="auto"/>
        <w:left w:val="none" w:sz="0" w:space="0" w:color="auto"/>
        <w:bottom w:val="none" w:sz="0" w:space="0" w:color="auto"/>
        <w:right w:val="none" w:sz="0" w:space="0" w:color="auto"/>
      </w:divBdr>
    </w:div>
    <w:div w:id="871186747">
      <w:bodyDiv w:val="1"/>
      <w:marLeft w:val="0"/>
      <w:marRight w:val="0"/>
      <w:marTop w:val="0"/>
      <w:marBottom w:val="0"/>
      <w:divBdr>
        <w:top w:val="none" w:sz="0" w:space="0" w:color="auto"/>
        <w:left w:val="none" w:sz="0" w:space="0" w:color="auto"/>
        <w:bottom w:val="none" w:sz="0" w:space="0" w:color="auto"/>
        <w:right w:val="none" w:sz="0" w:space="0" w:color="auto"/>
      </w:divBdr>
    </w:div>
    <w:div w:id="872037255">
      <w:bodyDiv w:val="1"/>
      <w:marLeft w:val="0"/>
      <w:marRight w:val="0"/>
      <w:marTop w:val="0"/>
      <w:marBottom w:val="0"/>
      <w:divBdr>
        <w:top w:val="none" w:sz="0" w:space="0" w:color="auto"/>
        <w:left w:val="none" w:sz="0" w:space="0" w:color="auto"/>
        <w:bottom w:val="none" w:sz="0" w:space="0" w:color="auto"/>
        <w:right w:val="none" w:sz="0" w:space="0" w:color="auto"/>
      </w:divBdr>
    </w:div>
    <w:div w:id="913275717">
      <w:bodyDiv w:val="1"/>
      <w:marLeft w:val="0"/>
      <w:marRight w:val="0"/>
      <w:marTop w:val="0"/>
      <w:marBottom w:val="0"/>
      <w:divBdr>
        <w:top w:val="none" w:sz="0" w:space="0" w:color="auto"/>
        <w:left w:val="none" w:sz="0" w:space="0" w:color="auto"/>
        <w:bottom w:val="none" w:sz="0" w:space="0" w:color="auto"/>
        <w:right w:val="none" w:sz="0" w:space="0" w:color="auto"/>
      </w:divBdr>
    </w:div>
    <w:div w:id="936182213">
      <w:bodyDiv w:val="1"/>
      <w:marLeft w:val="0"/>
      <w:marRight w:val="0"/>
      <w:marTop w:val="0"/>
      <w:marBottom w:val="0"/>
      <w:divBdr>
        <w:top w:val="none" w:sz="0" w:space="0" w:color="auto"/>
        <w:left w:val="none" w:sz="0" w:space="0" w:color="auto"/>
        <w:bottom w:val="none" w:sz="0" w:space="0" w:color="auto"/>
        <w:right w:val="none" w:sz="0" w:space="0" w:color="auto"/>
      </w:divBdr>
    </w:div>
    <w:div w:id="941885745">
      <w:bodyDiv w:val="1"/>
      <w:marLeft w:val="0"/>
      <w:marRight w:val="0"/>
      <w:marTop w:val="0"/>
      <w:marBottom w:val="0"/>
      <w:divBdr>
        <w:top w:val="none" w:sz="0" w:space="0" w:color="auto"/>
        <w:left w:val="none" w:sz="0" w:space="0" w:color="auto"/>
        <w:bottom w:val="none" w:sz="0" w:space="0" w:color="auto"/>
        <w:right w:val="none" w:sz="0" w:space="0" w:color="auto"/>
      </w:divBdr>
    </w:div>
    <w:div w:id="994601964">
      <w:bodyDiv w:val="1"/>
      <w:marLeft w:val="0"/>
      <w:marRight w:val="0"/>
      <w:marTop w:val="0"/>
      <w:marBottom w:val="0"/>
      <w:divBdr>
        <w:top w:val="none" w:sz="0" w:space="0" w:color="auto"/>
        <w:left w:val="none" w:sz="0" w:space="0" w:color="auto"/>
        <w:bottom w:val="none" w:sz="0" w:space="0" w:color="auto"/>
        <w:right w:val="none" w:sz="0" w:space="0" w:color="auto"/>
      </w:divBdr>
    </w:div>
    <w:div w:id="1012801570">
      <w:bodyDiv w:val="1"/>
      <w:marLeft w:val="0"/>
      <w:marRight w:val="0"/>
      <w:marTop w:val="0"/>
      <w:marBottom w:val="0"/>
      <w:divBdr>
        <w:top w:val="none" w:sz="0" w:space="0" w:color="auto"/>
        <w:left w:val="none" w:sz="0" w:space="0" w:color="auto"/>
        <w:bottom w:val="none" w:sz="0" w:space="0" w:color="auto"/>
        <w:right w:val="none" w:sz="0" w:space="0" w:color="auto"/>
      </w:divBdr>
    </w:div>
    <w:div w:id="1051198408">
      <w:bodyDiv w:val="1"/>
      <w:marLeft w:val="0"/>
      <w:marRight w:val="0"/>
      <w:marTop w:val="0"/>
      <w:marBottom w:val="0"/>
      <w:divBdr>
        <w:top w:val="none" w:sz="0" w:space="0" w:color="auto"/>
        <w:left w:val="none" w:sz="0" w:space="0" w:color="auto"/>
        <w:bottom w:val="none" w:sz="0" w:space="0" w:color="auto"/>
        <w:right w:val="none" w:sz="0" w:space="0" w:color="auto"/>
      </w:divBdr>
    </w:div>
    <w:div w:id="1218122537">
      <w:bodyDiv w:val="1"/>
      <w:marLeft w:val="0"/>
      <w:marRight w:val="0"/>
      <w:marTop w:val="0"/>
      <w:marBottom w:val="0"/>
      <w:divBdr>
        <w:top w:val="none" w:sz="0" w:space="0" w:color="auto"/>
        <w:left w:val="none" w:sz="0" w:space="0" w:color="auto"/>
        <w:bottom w:val="none" w:sz="0" w:space="0" w:color="auto"/>
        <w:right w:val="none" w:sz="0" w:space="0" w:color="auto"/>
      </w:divBdr>
    </w:div>
    <w:div w:id="1260529991">
      <w:bodyDiv w:val="1"/>
      <w:marLeft w:val="0"/>
      <w:marRight w:val="0"/>
      <w:marTop w:val="0"/>
      <w:marBottom w:val="0"/>
      <w:divBdr>
        <w:top w:val="none" w:sz="0" w:space="0" w:color="auto"/>
        <w:left w:val="none" w:sz="0" w:space="0" w:color="auto"/>
        <w:bottom w:val="none" w:sz="0" w:space="0" w:color="auto"/>
        <w:right w:val="none" w:sz="0" w:space="0" w:color="auto"/>
      </w:divBdr>
    </w:div>
    <w:div w:id="1337612921">
      <w:bodyDiv w:val="1"/>
      <w:marLeft w:val="0"/>
      <w:marRight w:val="0"/>
      <w:marTop w:val="0"/>
      <w:marBottom w:val="0"/>
      <w:divBdr>
        <w:top w:val="none" w:sz="0" w:space="0" w:color="auto"/>
        <w:left w:val="none" w:sz="0" w:space="0" w:color="auto"/>
        <w:bottom w:val="none" w:sz="0" w:space="0" w:color="auto"/>
        <w:right w:val="none" w:sz="0" w:space="0" w:color="auto"/>
      </w:divBdr>
    </w:div>
    <w:div w:id="1363479288">
      <w:bodyDiv w:val="1"/>
      <w:marLeft w:val="0"/>
      <w:marRight w:val="0"/>
      <w:marTop w:val="0"/>
      <w:marBottom w:val="0"/>
      <w:divBdr>
        <w:top w:val="none" w:sz="0" w:space="0" w:color="auto"/>
        <w:left w:val="none" w:sz="0" w:space="0" w:color="auto"/>
        <w:bottom w:val="none" w:sz="0" w:space="0" w:color="auto"/>
        <w:right w:val="none" w:sz="0" w:space="0" w:color="auto"/>
      </w:divBdr>
    </w:div>
    <w:div w:id="1377007205">
      <w:bodyDiv w:val="1"/>
      <w:marLeft w:val="0"/>
      <w:marRight w:val="0"/>
      <w:marTop w:val="0"/>
      <w:marBottom w:val="0"/>
      <w:divBdr>
        <w:top w:val="none" w:sz="0" w:space="0" w:color="auto"/>
        <w:left w:val="none" w:sz="0" w:space="0" w:color="auto"/>
        <w:bottom w:val="none" w:sz="0" w:space="0" w:color="auto"/>
        <w:right w:val="none" w:sz="0" w:space="0" w:color="auto"/>
      </w:divBdr>
    </w:div>
    <w:div w:id="1439332289">
      <w:bodyDiv w:val="1"/>
      <w:marLeft w:val="0"/>
      <w:marRight w:val="0"/>
      <w:marTop w:val="0"/>
      <w:marBottom w:val="0"/>
      <w:divBdr>
        <w:top w:val="none" w:sz="0" w:space="0" w:color="auto"/>
        <w:left w:val="none" w:sz="0" w:space="0" w:color="auto"/>
        <w:bottom w:val="none" w:sz="0" w:space="0" w:color="auto"/>
        <w:right w:val="none" w:sz="0" w:space="0" w:color="auto"/>
      </w:divBdr>
    </w:div>
    <w:div w:id="1467242535">
      <w:bodyDiv w:val="1"/>
      <w:marLeft w:val="0"/>
      <w:marRight w:val="0"/>
      <w:marTop w:val="0"/>
      <w:marBottom w:val="0"/>
      <w:divBdr>
        <w:top w:val="none" w:sz="0" w:space="0" w:color="auto"/>
        <w:left w:val="none" w:sz="0" w:space="0" w:color="auto"/>
        <w:bottom w:val="none" w:sz="0" w:space="0" w:color="auto"/>
        <w:right w:val="none" w:sz="0" w:space="0" w:color="auto"/>
      </w:divBdr>
    </w:div>
    <w:div w:id="1488520297">
      <w:bodyDiv w:val="1"/>
      <w:marLeft w:val="0"/>
      <w:marRight w:val="0"/>
      <w:marTop w:val="0"/>
      <w:marBottom w:val="0"/>
      <w:divBdr>
        <w:top w:val="none" w:sz="0" w:space="0" w:color="auto"/>
        <w:left w:val="none" w:sz="0" w:space="0" w:color="auto"/>
        <w:bottom w:val="none" w:sz="0" w:space="0" w:color="auto"/>
        <w:right w:val="none" w:sz="0" w:space="0" w:color="auto"/>
      </w:divBdr>
    </w:div>
    <w:div w:id="1591502676">
      <w:bodyDiv w:val="1"/>
      <w:marLeft w:val="0"/>
      <w:marRight w:val="0"/>
      <w:marTop w:val="0"/>
      <w:marBottom w:val="0"/>
      <w:divBdr>
        <w:top w:val="none" w:sz="0" w:space="0" w:color="auto"/>
        <w:left w:val="none" w:sz="0" w:space="0" w:color="auto"/>
        <w:bottom w:val="none" w:sz="0" w:space="0" w:color="auto"/>
        <w:right w:val="none" w:sz="0" w:space="0" w:color="auto"/>
      </w:divBdr>
    </w:div>
    <w:div w:id="1621573174">
      <w:bodyDiv w:val="1"/>
      <w:marLeft w:val="0"/>
      <w:marRight w:val="0"/>
      <w:marTop w:val="0"/>
      <w:marBottom w:val="0"/>
      <w:divBdr>
        <w:top w:val="none" w:sz="0" w:space="0" w:color="auto"/>
        <w:left w:val="none" w:sz="0" w:space="0" w:color="auto"/>
        <w:bottom w:val="none" w:sz="0" w:space="0" w:color="auto"/>
        <w:right w:val="none" w:sz="0" w:space="0" w:color="auto"/>
      </w:divBdr>
    </w:div>
    <w:div w:id="1699158861">
      <w:bodyDiv w:val="1"/>
      <w:marLeft w:val="0"/>
      <w:marRight w:val="0"/>
      <w:marTop w:val="0"/>
      <w:marBottom w:val="0"/>
      <w:divBdr>
        <w:top w:val="none" w:sz="0" w:space="0" w:color="auto"/>
        <w:left w:val="none" w:sz="0" w:space="0" w:color="auto"/>
        <w:bottom w:val="none" w:sz="0" w:space="0" w:color="auto"/>
        <w:right w:val="none" w:sz="0" w:space="0" w:color="auto"/>
      </w:divBdr>
    </w:div>
    <w:div w:id="1734497961">
      <w:bodyDiv w:val="1"/>
      <w:marLeft w:val="0"/>
      <w:marRight w:val="0"/>
      <w:marTop w:val="0"/>
      <w:marBottom w:val="0"/>
      <w:divBdr>
        <w:top w:val="none" w:sz="0" w:space="0" w:color="auto"/>
        <w:left w:val="none" w:sz="0" w:space="0" w:color="auto"/>
        <w:bottom w:val="none" w:sz="0" w:space="0" w:color="auto"/>
        <w:right w:val="none" w:sz="0" w:space="0" w:color="auto"/>
      </w:divBdr>
    </w:div>
    <w:div w:id="1759594521">
      <w:bodyDiv w:val="1"/>
      <w:marLeft w:val="0"/>
      <w:marRight w:val="0"/>
      <w:marTop w:val="0"/>
      <w:marBottom w:val="0"/>
      <w:divBdr>
        <w:top w:val="none" w:sz="0" w:space="0" w:color="auto"/>
        <w:left w:val="none" w:sz="0" w:space="0" w:color="auto"/>
        <w:bottom w:val="none" w:sz="0" w:space="0" w:color="auto"/>
        <w:right w:val="none" w:sz="0" w:space="0" w:color="auto"/>
      </w:divBdr>
    </w:div>
    <w:div w:id="1773940427">
      <w:bodyDiv w:val="1"/>
      <w:marLeft w:val="0"/>
      <w:marRight w:val="0"/>
      <w:marTop w:val="0"/>
      <w:marBottom w:val="0"/>
      <w:divBdr>
        <w:top w:val="none" w:sz="0" w:space="0" w:color="auto"/>
        <w:left w:val="none" w:sz="0" w:space="0" w:color="auto"/>
        <w:bottom w:val="none" w:sz="0" w:space="0" w:color="auto"/>
        <w:right w:val="none" w:sz="0" w:space="0" w:color="auto"/>
      </w:divBdr>
    </w:div>
    <w:div w:id="1944681965">
      <w:bodyDiv w:val="1"/>
      <w:marLeft w:val="0"/>
      <w:marRight w:val="0"/>
      <w:marTop w:val="0"/>
      <w:marBottom w:val="0"/>
      <w:divBdr>
        <w:top w:val="none" w:sz="0" w:space="0" w:color="auto"/>
        <w:left w:val="none" w:sz="0" w:space="0" w:color="auto"/>
        <w:bottom w:val="none" w:sz="0" w:space="0" w:color="auto"/>
        <w:right w:val="none" w:sz="0" w:space="0" w:color="auto"/>
      </w:divBdr>
    </w:div>
    <w:div w:id="2003393149">
      <w:bodyDiv w:val="1"/>
      <w:marLeft w:val="0"/>
      <w:marRight w:val="0"/>
      <w:marTop w:val="0"/>
      <w:marBottom w:val="0"/>
      <w:divBdr>
        <w:top w:val="none" w:sz="0" w:space="0" w:color="auto"/>
        <w:left w:val="none" w:sz="0" w:space="0" w:color="auto"/>
        <w:bottom w:val="none" w:sz="0" w:space="0" w:color="auto"/>
        <w:right w:val="none" w:sz="0" w:space="0" w:color="auto"/>
      </w:divBdr>
    </w:div>
    <w:div w:id="2045328355">
      <w:bodyDiv w:val="1"/>
      <w:marLeft w:val="0"/>
      <w:marRight w:val="0"/>
      <w:marTop w:val="0"/>
      <w:marBottom w:val="0"/>
      <w:divBdr>
        <w:top w:val="none" w:sz="0" w:space="0" w:color="auto"/>
        <w:left w:val="none" w:sz="0" w:space="0" w:color="auto"/>
        <w:bottom w:val="none" w:sz="0" w:space="0" w:color="auto"/>
        <w:right w:val="none" w:sz="0" w:space="0" w:color="auto"/>
      </w:divBdr>
    </w:div>
    <w:div w:id="2076270217">
      <w:bodyDiv w:val="1"/>
      <w:marLeft w:val="0"/>
      <w:marRight w:val="0"/>
      <w:marTop w:val="0"/>
      <w:marBottom w:val="0"/>
      <w:divBdr>
        <w:top w:val="none" w:sz="0" w:space="0" w:color="auto"/>
        <w:left w:val="none" w:sz="0" w:space="0" w:color="auto"/>
        <w:bottom w:val="none" w:sz="0" w:space="0" w:color="auto"/>
        <w:right w:val="none" w:sz="0" w:space="0" w:color="auto"/>
      </w:divBdr>
    </w:div>
    <w:div w:id="2088265394">
      <w:bodyDiv w:val="1"/>
      <w:marLeft w:val="0"/>
      <w:marRight w:val="0"/>
      <w:marTop w:val="0"/>
      <w:marBottom w:val="0"/>
      <w:divBdr>
        <w:top w:val="none" w:sz="0" w:space="0" w:color="auto"/>
        <w:left w:val="none" w:sz="0" w:space="0" w:color="auto"/>
        <w:bottom w:val="none" w:sz="0" w:space="0" w:color="auto"/>
        <w:right w:val="none" w:sz="0" w:space="0" w:color="auto"/>
      </w:divBdr>
    </w:div>
    <w:div w:id="213906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elegraph.co.uk/news/2018/08/07/belgium-authorised-euthanasia-terminally-nine-11-year-old-youngest/" TargetMode="External"/><Relationship Id="rId18" Type="http://schemas.openxmlformats.org/officeDocument/2006/relationships/hyperlink" Target="https://zdravotnickepravo.info/stanovisko-k-navrhu-zakona-o-dustojne-smrti/" TargetMode="External"/><Relationship Id="rId26" Type="http://schemas.openxmlformats.org/officeDocument/2006/relationships/hyperlink" Target="https://strasbourgobservers.com/2013/06/26/gross-v-switzerland-the-swiss-regulation-of-assisted-suicide-infringes-article-8-echr/" TargetMode="External"/><Relationship Id="rId3" Type="http://schemas.openxmlformats.org/officeDocument/2006/relationships/styles" Target="styles.xml"/><Relationship Id="rId21" Type="http://schemas.openxmlformats.org/officeDocument/2006/relationships/hyperlink" Target="https://organesdeconcertation.sante.belgique.be/sites/default/files/documents/8_rapport-euthanasie_2016-2017-fr.pdf" TargetMode="External"/><Relationship Id="rId7" Type="http://schemas.openxmlformats.org/officeDocument/2006/relationships/endnotes" Target="endnotes.xml"/><Relationship Id="rId12" Type="http://schemas.openxmlformats.org/officeDocument/2006/relationships/hyperlink" Target="https://www.bbc.com/news/world-europe-26181615" TargetMode="External"/><Relationship Id="rId17" Type="http://schemas.openxmlformats.org/officeDocument/2006/relationships/hyperlink" Target="https://sencanada.ca/content/sen/committee/351/euth/rep/lad-e.htm" TargetMode="External"/><Relationship Id="rId25" Type="http://schemas.openxmlformats.org/officeDocument/2006/relationships/hyperlink" Target="https://cvvm.soc.cas.cz/media/com_form2content/documents/c2/a4657/f9/ov180621.pdf" TargetMode="External"/><Relationship Id="rId2" Type="http://schemas.openxmlformats.org/officeDocument/2006/relationships/numbering" Target="numbering.xml"/><Relationship Id="rId16" Type="http://schemas.openxmlformats.org/officeDocument/2006/relationships/hyperlink" Target="https://doi.org/10.1503/cmaj.160202" TargetMode="External"/><Relationship Id="rId20" Type="http://schemas.openxmlformats.org/officeDocument/2006/relationships/hyperlink" Target="https://www.ieb-eib.org/en/pdf/20150302-euthanasie-des-enfant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il-qdi.org/wp-content/uploads/2018/06/03_End-Life_SARTORI_FIN.pdf" TargetMode="External"/><Relationship Id="rId24" Type="http://schemas.openxmlformats.org/officeDocument/2006/relationships/hyperlink" Target="https://zdravotnickepravo.info/je-navrh-zakona-o-dustojne-smrti-dustojny/" TargetMode="External"/><Relationship Id="rId5" Type="http://schemas.openxmlformats.org/officeDocument/2006/relationships/webSettings" Target="webSettings.xml"/><Relationship Id="rId15" Type="http://schemas.openxmlformats.org/officeDocument/2006/relationships/hyperlink" Target="https://www.law.gonzaga.edu/gjil/2006/03/the-legalization-of-euthanasia-in-the-%20netherlands/" TargetMode="External"/><Relationship Id="rId23" Type="http://schemas.openxmlformats.org/officeDocument/2006/relationships/hyperlink" Target="https://english.euthanasiecommissie.nl/the-committees/documents/publications/annual-reports/2002/annual-reports/annual-reports" TargetMode="External"/><Relationship Id="rId28" Type="http://schemas.openxmlformats.org/officeDocument/2006/relationships/hyperlink" Target="https://www.samw.ch/en/Ethics/Ethics-in-end-of-life-care/Guidelines-management-dying-death/Background-dying-and-death.html" TargetMode="External"/><Relationship Id="rId10" Type="http://schemas.openxmlformats.org/officeDocument/2006/relationships/hyperlink" Target="https://doi.org/10.1007/s12027-018-0530-7" TargetMode="External"/><Relationship Id="rId19" Type="http://schemas.openxmlformats.org/officeDocument/2006/relationships/hyperlink" Target="https://www.ordomedic.be/nl/adviezen/advies/advies-betreffende-palliatieve-zorg-euthanasie-en-andere-medische-beslissingen-omtrent-het-levenseind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senate.be/www/webdriver?MItabObj=pdf&amp;MIcolObj=pdf&amp;MInamObj=pdfid&amp;MItypeObj=application/pdf&amp;MIvalObj=83890649" TargetMode="External"/><Relationship Id="rId22" Type="http://schemas.openxmlformats.org/officeDocument/2006/relationships/hyperlink" Target="https://www.euthanasiecommissie.nl/uitspraken-en-uitleg/l/l-minderjarigen" TargetMode="External"/><Relationship Id="rId27" Type="http://schemas.openxmlformats.org/officeDocument/2006/relationships/hyperlink" Target="https://www.samw.ch/en/Publications/Medical-ethical-Guidelines.html"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rdomedic.be/nl/adviezen/advies/advies-betreffende-palliatieve-zorg-euthanasie-en-andere-medische-beslissingen-omtrent-het-levenseinde" TargetMode="External"/><Relationship Id="rId13" Type="http://schemas.openxmlformats.org/officeDocument/2006/relationships/hyperlink" Target="https://www.law.gonzaga.edu/gjil/2006/03/the-legalization-of-euthanasia-in-the-%20netherlands/" TargetMode="External"/><Relationship Id="rId18" Type="http://schemas.openxmlformats.org/officeDocument/2006/relationships/hyperlink" Target="https://api.parliament.uk/historic-hansard/lords/1994/may/09/medical-ethics-select-committee-report" TargetMode="External"/><Relationship Id="rId26" Type="http://schemas.openxmlformats.org/officeDocument/2006/relationships/hyperlink" Target="https://cvvm.soc.cas.cz/media/com_form2content/documents/c2/a4657/f9/ov180621.pdf" TargetMode="External"/><Relationship Id="rId3" Type="http://schemas.openxmlformats.org/officeDocument/2006/relationships/hyperlink" Target="https://www.ieb-eib.org/en/pdf/20150302-euthanasie-des-enfants.pdf" TargetMode="External"/><Relationship Id="rId21" Type="http://schemas.openxmlformats.org/officeDocument/2006/relationships/hyperlink" Target="https://www.samw.ch/en/Publications/Medical-ethical-Guidelines.html" TargetMode="External"/><Relationship Id="rId7" Type="http://schemas.openxmlformats.org/officeDocument/2006/relationships/hyperlink" Target="http://www.const-court.be/public/e/2015/2015-153e.pdf" TargetMode="External"/><Relationship Id="rId12" Type="http://schemas.openxmlformats.org/officeDocument/2006/relationships/hyperlink" Target="https://www.law.gonzaga.edu/gjil/2006/03/the-legalization-of-euthanasia-in-the-%20netherlands/" TargetMode="External"/><Relationship Id="rId17" Type="http://schemas.openxmlformats.org/officeDocument/2006/relationships/hyperlink" Target="https://doi.org/10.1007/s12027-018-0530-7" TargetMode="External"/><Relationship Id="rId25" Type="http://schemas.openxmlformats.org/officeDocument/2006/relationships/hyperlink" Target="https://doi.org/10.1503/cmaj.160202" TargetMode="External"/><Relationship Id="rId2" Type="http://schemas.openxmlformats.org/officeDocument/2006/relationships/hyperlink" Target="https://www.bbc.com/news/world-europe-26181615" TargetMode="External"/><Relationship Id="rId16" Type="http://schemas.openxmlformats.org/officeDocument/2006/relationships/hyperlink" Target="https://english.euthanasiecommissie.nl/the-committees/documents/publications/annual-reports/2002/annual-reports/annual-reports" TargetMode="External"/><Relationship Id="rId20" Type="http://schemas.openxmlformats.org/officeDocument/2006/relationships/hyperlink" Target="https://www.samw.ch/en/Ethics/Ethics-in-end-of-life-care/Guidelines-management-dying-death/Background-dying-and-death.html" TargetMode="External"/><Relationship Id="rId1" Type="http://schemas.openxmlformats.org/officeDocument/2006/relationships/hyperlink" Target="https://sencanada.ca/content/sen/committee/351/euth/rep/lad-e.htm" TargetMode="External"/><Relationship Id="rId6" Type="http://schemas.openxmlformats.org/officeDocument/2006/relationships/hyperlink" Target="https://organesdeconcertation.sante.belgique.be/sites/default/files/documents/8_rapport-euthanasie_2016-2017-fr.pdf" TargetMode="External"/><Relationship Id="rId11" Type="http://schemas.openxmlformats.org/officeDocument/2006/relationships/hyperlink" Target="http://www.const-court.be/public/e/2015/2015-153e.pdf" TargetMode="External"/><Relationship Id="rId24" Type="http://schemas.openxmlformats.org/officeDocument/2006/relationships/hyperlink" Target="https://doi.org/10.1007/s12027-018-0530-7" TargetMode="External"/><Relationship Id="rId5" Type="http://schemas.openxmlformats.org/officeDocument/2006/relationships/hyperlink" Target="https://www.telegraph.co.uk/news/2018/08/07/belgium-authorised-euthanasia-terminally-nine-11-year-old-youngest/" TargetMode="External"/><Relationship Id="rId15" Type="http://schemas.openxmlformats.org/officeDocument/2006/relationships/hyperlink" Target="https://www.euthanasiecommissie.nl/uitspraken-en-uitleg/l/l-minderjarigen" TargetMode="External"/><Relationship Id="rId23" Type="http://schemas.openxmlformats.org/officeDocument/2006/relationships/hyperlink" Target="https://strasbourgobservers.com/2013/06/26/gross-v-switzerland-the-swiss-regulation-of-assisted-suicide-infringes-article-8-echr/" TargetMode="External"/><Relationship Id="rId28" Type="http://schemas.openxmlformats.org/officeDocument/2006/relationships/hyperlink" Target="https://zdravotnickepravo.info/stanovisko-k-navrhu-zakona-o-dustojne-smrti/" TargetMode="External"/><Relationship Id="rId10" Type="http://schemas.openxmlformats.org/officeDocument/2006/relationships/hyperlink" Target="https://www.senate.be/www/webdriver?MItabObj=pdf&amp;MIcolObj=pdf&amp;MInamObj=pdfid&amp;MItypeObj=application/pdf&amp;MIvalObj=83890649" TargetMode="External"/><Relationship Id="rId19" Type="http://schemas.openxmlformats.org/officeDocument/2006/relationships/hyperlink" Target="https://www.samw.ch/en/Publications/Medical-ethical-Guidelines.html" TargetMode="External"/><Relationship Id="rId4" Type="http://schemas.openxmlformats.org/officeDocument/2006/relationships/hyperlink" Target="http://www.const-court.be/public/e/2015/2015-153e.pdf" TargetMode="External"/><Relationship Id="rId9" Type="http://schemas.openxmlformats.org/officeDocument/2006/relationships/hyperlink" Target="http://www.const-court.be/public/e/2015/2015-153e.pdf" TargetMode="External"/><Relationship Id="rId14" Type="http://schemas.openxmlformats.org/officeDocument/2006/relationships/hyperlink" Target="https://english.euthanasiecommissie.nl/the-committees/documents/publications/annual-reports/2002/annual-reports/annual-reports" TargetMode="External"/><Relationship Id="rId22" Type="http://schemas.openxmlformats.org/officeDocument/2006/relationships/hyperlink" Target="http://www.qil-qdi.org/wp-content/uploads/2018/06/03_End-Life_SARTORI_FIN.pdf" TargetMode="External"/><Relationship Id="rId27" Type="http://schemas.openxmlformats.org/officeDocument/2006/relationships/hyperlink" Target="https://zdravotnickepravo.info/je-navrh-zakona-o-dustojne-smrti-dustoj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9F453-9259-8B4E-A24F-68B9BDB57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59</Pages>
  <Words>17736</Words>
  <Characters>101101</Characters>
  <Application>Microsoft Office Word</Application>
  <DocSecurity>0</DocSecurity>
  <Lines>842</Lines>
  <Paragraphs>237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Stiskala Vaclav</dc:creator>
  <cp:keywords/>
  <dc:description/>
  <cp:lastModifiedBy>Stiskala Vaclav</cp:lastModifiedBy>
  <cp:revision>85</cp:revision>
  <dcterms:created xsi:type="dcterms:W3CDTF">2019-04-29T18:52:00Z</dcterms:created>
  <dcterms:modified xsi:type="dcterms:W3CDTF">2019-06-25T13:57:00Z</dcterms:modified>
</cp:coreProperties>
</file>