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4E0B" w:rsidRPr="00AD6AE6" w:rsidRDefault="005620B6" w:rsidP="005620B6">
      <w:pPr>
        <w:jc w:val="center"/>
        <w:rPr>
          <w:rFonts w:cs="Times New Roman"/>
          <w:sz w:val="32"/>
          <w:szCs w:val="32"/>
        </w:rPr>
      </w:pPr>
      <w:r w:rsidRPr="00AD6AE6">
        <w:rPr>
          <w:rFonts w:cs="Times New Roman"/>
          <w:sz w:val="32"/>
          <w:szCs w:val="32"/>
        </w:rPr>
        <w:t>Univerzita Palackého v Olomouci</w:t>
      </w:r>
    </w:p>
    <w:p w:rsidR="005620B6" w:rsidRPr="00AD6AE6" w:rsidRDefault="005620B6" w:rsidP="005620B6">
      <w:pPr>
        <w:jc w:val="center"/>
        <w:rPr>
          <w:rFonts w:cs="Times New Roman"/>
          <w:sz w:val="32"/>
          <w:szCs w:val="32"/>
        </w:rPr>
      </w:pPr>
      <w:r w:rsidRPr="00AD6AE6">
        <w:rPr>
          <w:rFonts w:cs="Times New Roman"/>
          <w:sz w:val="32"/>
          <w:szCs w:val="32"/>
        </w:rPr>
        <w:t>Právnická fakulta</w:t>
      </w:r>
    </w:p>
    <w:p w:rsidR="005620B6" w:rsidRPr="00AD6AE6" w:rsidRDefault="005620B6" w:rsidP="005620B6">
      <w:pPr>
        <w:jc w:val="center"/>
        <w:rPr>
          <w:rFonts w:cs="Times New Roman"/>
          <w:sz w:val="32"/>
          <w:szCs w:val="32"/>
        </w:rPr>
      </w:pPr>
    </w:p>
    <w:p w:rsidR="005620B6" w:rsidRPr="00AD6AE6" w:rsidRDefault="005620B6" w:rsidP="005620B6">
      <w:pPr>
        <w:jc w:val="center"/>
        <w:rPr>
          <w:rFonts w:cs="Times New Roman"/>
          <w:sz w:val="32"/>
          <w:szCs w:val="32"/>
        </w:rPr>
      </w:pPr>
    </w:p>
    <w:p w:rsidR="005620B6" w:rsidRPr="00AD6AE6" w:rsidRDefault="005620B6" w:rsidP="005620B6">
      <w:pPr>
        <w:jc w:val="center"/>
        <w:rPr>
          <w:rFonts w:cs="Times New Roman"/>
          <w:sz w:val="32"/>
          <w:szCs w:val="32"/>
        </w:rPr>
      </w:pPr>
    </w:p>
    <w:p w:rsidR="005620B6" w:rsidRPr="00AD6AE6" w:rsidRDefault="005620B6" w:rsidP="005620B6">
      <w:pPr>
        <w:jc w:val="center"/>
        <w:rPr>
          <w:rFonts w:cs="Times New Roman"/>
          <w:sz w:val="32"/>
          <w:szCs w:val="32"/>
        </w:rPr>
      </w:pPr>
    </w:p>
    <w:p w:rsidR="005620B6" w:rsidRPr="00AD6AE6" w:rsidRDefault="005620B6" w:rsidP="005620B6">
      <w:pPr>
        <w:jc w:val="center"/>
        <w:rPr>
          <w:rFonts w:cs="Times New Roman"/>
          <w:sz w:val="32"/>
          <w:szCs w:val="32"/>
        </w:rPr>
      </w:pPr>
    </w:p>
    <w:p w:rsidR="005620B6" w:rsidRPr="00AD6AE6" w:rsidRDefault="005620B6" w:rsidP="005620B6">
      <w:pPr>
        <w:jc w:val="center"/>
        <w:rPr>
          <w:rFonts w:cs="Times New Roman"/>
          <w:sz w:val="32"/>
          <w:szCs w:val="32"/>
        </w:rPr>
      </w:pPr>
    </w:p>
    <w:p w:rsidR="005620B6" w:rsidRPr="00AD6AE6" w:rsidRDefault="005620B6" w:rsidP="005620B6">
      <w:pPr>
        <w:jc w:val="center"/>
        <w:rPr>
          <w:rFonts w:cs="Times New Roman"/>
          <w:sz w:val="36"/>
          <w:szCs w:val="36"/>
        </w:rPr>
      </w:pPr>
      <w:r w:rsidRPr="00AD6AE6">
        <w:rPr>
          <w:rFonts w:cs="Times New Roman"/>
          <w:sz w:val="36"/>
          <w:szCs w:val="36"/>
        </w:rPr>
        <w:t>Dominik Krč</w:t>
      </w:r>
    </w:p>
    <w:p w:rsidR="005620B6" w:rsidRPr="00AD6AE6" w:rsidRDefault="005620B6" w:rsidP="005620B6">
      <w:pPr>
        <w:jc w:val="center"/>
        <w:rPr>
          <w:rFonts w:cs="Times New Roman"/>
          <w:sz w:val="36"/>
          <w:szCs w:val="36"/>
        </w:rPr>
      </w:pPr>
    </w:p>
    <w:p w:rsidR="005620B6" w:rsidRPr="00AD6AE6" w:rsidRDefault="005620B6" w:rsidP="005620B6">
      <w:pPr>
        <w:jc w:val="center"/>
        <w:rPr>
          <w:rFonts w:cs="Times New Roman"/>
          <w:sz w:val="40"/>
          <w:szCs w:val="40"/>
        </w:rPr>
      </w:pPr>
      <w:r w:rsidRPr="00AD6AE6">
        <w:rPr>
          <w:rFonts w:cs="Times New Roman"/>
          <w:sz w:val="40"/>
          <w:szCs w:val="40"/>
        </w:rPr>
        <w:t>Závěť</w:t>
      </w:r>
    </w:p>
    <w:p w:rsidR="005620B6" w:rsidRPr="00AD6AE6" w:rsidRDefault="005620B6" w:rsidP="005620B6">
      <w:pPr>
        <w:jc w:val="center"/>
        <w:rPr>
          <w:rFonts w:cs="Times New Roman"/>
          <w:sz w:val="40"/>
          <w:szCs w:val="40"/>
        </w:rPr>
      </w:pPr>
    </w:p>
    <w:p w:rsidR="005620B6" w:rsidRPr="00AD6AE6" w:rsidRDefault="005620B6" w:rsidP="005620B6">
      <w:pPr>
        <w:jc w:val="center"/>
        <w:rPr>
          <w:rFonts w:cs="Times New Roman"/>
          <w:sz w:val="28"/>
          <w:szCs w:val="28"/>
        </w:rPr>
      </w:pPr>
      <w:r w:rsidRPr="00AD6AE6">
        <w:rPr>
          <w:rFonts w:cs="Times New Roman"/>
          <w:sz w:val="28"/>
          <w:szCs w:val="28"/>
        </w:rPr>
        <w:t>Diplomová práce</w:t>
      </w:r>
    </w:p>
    <w:p w:rsidR="005620B6" w:rsidRPr="00AD6AE6" w:rsidRDefault="005620B6" w:rsidP="005620B6">
      <w:pPr>
        <w:jc w:val="center"/>
        <w:rPr>
          <w:rFonts w:cs="Times New Roman"/>
          <w:sz w:val="28"/>
          <w:szCs w:val="28"/>
        </w:rPr>
      </w:pPr>
    </w:p>
    <w:p w:rsidR="005620B6" w:rsidRPr="00AD6AE6" w:rsidRDefault="005620B6" w:rsidP="005620B6">
      <w:pPr>
        <w:jc w:val="center"/>
        <w:rPr>
          <w:rFonts w:cs="Times New Roman"/>
          <w:sz w:val="28"/>
          <w:szCs w:val="28"/>
        </w:rPr>
      </w:pPr>
    </w:p>
    <w:p w:rsidR="005620B6" w:rsidRPr="00AD6AE6" w:rsidRDefault="005620B6" w:rsidP="005620B6">
      <w:pPr>
        <w:jc w:val="center"/>
        <w:rPr>
          <w:rFonts w:cs="Times New Roman"/>
          <w:sz w:val="28"/>
          <w:szCs w:val="28"/>
        </w:rPr>
      </w:pPr>
    </w:p>
    <w:p w:rsidR="005620B6" w:rsidRPr="00AD6AE6" w:rsidRDefault="005620B6" w:rsidP="005620B6">
      <w:pPr>
        <w:jc w:val="center"/>
        <w:rPr>
          <w:rFonts w:cs="Times New Roman"/>
          <w:sz w:val="28"/>
          <w:szCs w:val="28"/>
        </w:rPr>
      </w:pPr>
    </w:p>
    <w:p w:rsidR="005620B6" w:rsidRPr="00AD6AE6" w:rsidRDefault="005620B6" w:rsidP="005620B6">
      <w:pPr>
        <w:jc w:val="center"/>
        <w:rPr>
          <w:rFonts w:cs="Times New Roman"/>
          <w:sz w:val="28"/>
          <w:szCs w:val="28"/>
        </w:rPr>
      </w:pPr>
    </w:p>
    <w:p w:rsidR="005620B6" w:rsidRPr="00AD6AE6" w:rsidRDefault="005620B6" w:rsidP="005620B6">
      <w:pPr>
        <w:jc w:val="center"/>
        <w:rPr>
          <w:rFonts w:cs="Times New Roman"/>
          <w:sz w:val="28"/>
          <w:szCs w:val="28"/>
        </w:rPr>
      </w:pPr>
    </w:p>
    <w:p w:rsidR="005620B6" w:rsidRPr="00AD6AE6" w:rsidRDefault="005620B6" w:rsidP="005620B6">
      <w:pPr>
        <w:jc w:val="center"/>
        <w:rPr>
          <w:rFonts w:cs="Times New Roman"/>
          <w:sz w:val="28"/>
          <w:szCs w:val="28"/>
        </w:rPr>
      </w:pPr>
    </w:p>
    <w:p w:rsidR="005620B6" w:rsidRPr="00AD6AE6" w:rsidRDefault="005620B6" w:rsidP="005620B6">
      <w:pPr>
        <w:rPr>
          <w:rFonts w:cs="Times New Roman"/>
          <w:sz w:val="28"/>
          <w:szCs w:val="28"/>
        </w:rPr>
      </w:pPr>
    </w:p>
    <w:p w:rsidR="005620B6" w:rsidRPr="00AD6AE6" w:rsidRDefault="005620B6" w:rsidP="005620B6">
      <w:pPr>
        <w:jc w:val="center"/>
        <w:rPr>
          <w:rFonts w:cs="Times New Roman"/>
          <w:sz w:val="28"/>
          <w:szCs w:val="28"/>
        </w:rPr>
      </w:pPr>
    </w:p>
    <w:p w:rsidR="005620B6" w:rsidRPr="00AD6AE6" w:rsidRDefault="005620B6" w:rsidP="005620B6">
      <w:pPr>
        <w:jc w:val="center"/>
        <w:rPr>
          <w:rFonts w:cs="Times New Roman"/>
          <w:sz w:val="28"/>
          <w:szCs w:val="28"/>
        </w:rPr>
      </w:pPr>
      <w:r w:rsidRPr="00AD6AE6">
        <w:rPr>
          <w:rFonts w:cs="Times New Roman"/>
          <w:sz w:val="28"/>
          <w:szCs w:val="28"/>
        </w:rPr>
        <w:t>Olomouc 2014</w:t>
      </w:r>
    </w:p>
    <w:p w:rsidR="00617844" w:rsidRDefault="00617844" w:rsidP="000C6ECF">
      <w:pPr>
        <w:rPr>
          <w:rFonts w:cs="Times New Roman"/>
          <w:szCs w:val="24"/>
        </w:rPr>
      </w:pPr>
    </w:p>
    <w:p w:rsidR="00617844" w:rsidRDefault="00617844" w:rsidP="000C6ECF">
      <w:pPr>
        <w:rPr>
          <w:rFonts w:cs="Times New Roman"/>
          <w:szCs w:val="24"/>
        </w:rPr>
      </w:pPr>
    </w:p>
    <w:p w:rsidR="00617844" w:rsidRDefault="00617844" w:rsidP="000C6ECF">
      <w:pPr>
        <w:rPr>
          <w:rFonts w:cs="Times New Roman"/>
          <w:szCs w:val="24"/>
        </w:rPr>
      </w:pPr>
    </w:p>
    <w:p w:rsidR="00617844" w:rsidRDefault="00617844" w:rsidP="000C6ECF">
      <w:pPr>
        <w:rPr>
          <w:rFonts w:cs="Times New Roman"/>
          <w:szCs w:val="24"/>
        </w:rPr>
      </w:pPr>
    </w:p>
    <w:p w:rsidR="00617844" w:rsidRDefault="00617844" w:rsidP="000C6ECF">
      <w:pPr>
        <w:rPr>
          <w:rFonts w:cs="Times New Roman"/>
          <w:szCs w:val="24"/>
        </w:rPr>
      </w:pPr>
    </w:p>
    <w:p w:rsidR="00617844" w:rsidRDefault="00617844" w:rsidP="000C6ECF">
      <w:pPr>
        <w:rPr>
          <w:rFonts w:cs="Times New Roman"/>
          <w:szCs w:val="24"/>
        </w:rPr>
      </w:pPr>
    </w:p>
    <w:p w:rsidR="00617844" w:rsidRDefault="00617844" w:rsidP="000C6ECF">
      <w:pPr>
        <w:rPr>
          <w:rFonts w:cs="Times New Roman"/>
          <w:szCs w:val="24"/>
        </w:rPr>
      </w:pPr>
    </w:p>
    <w:p w:rsidR="00617844" w:rsidRDefault="00617844" w:rsidP="000C6ECF">
      <w:pPr>
        <w:rPr>
          <w:rFonts w:cs="Times New Roman"/>
          <w:szCs w:val="24"/>
        </w:rPr>
      </w:pPr>
    </w:p>
    <w:p w:rsidR="00617844" w:rsidRDefault="00617844" w:rsidP="000C6ECF">
      <w:pPr>
        <w:rPr>
          <w:rFonts w:cs="Times New Roman"/>
          <w:szCs w:val="24"/>
        </w:rPr>
      </w:pPr>
    </w:p>
    <w:p w:rsidR="00617844" w:rsidRDefault="00617844" w:rsidP="000C6ECF">
      <w:pPr>
        <w:rPr>
          <w:rFonts w:cs="Times New Roman"/>
          <w:szCs w:val="24"/>
        </w:rPr>
      </w:pPr>
    </w:p>
    <w:p w:rsidR="00617844" w:rsidRDefault="00617844" w:rsidP="000C6ECF">
      <w:pPr>
        <w:rPr>
          <w:rFonts w:cs="Times New Roman"/>
          <w:szCs w:val="24"/>
        </w:rPr>
      </w:pPr>
    </w:p>
    <w:p w:rsidR="00617844" w:rsidRDefault="00617844" w:rsidP="000C6ECF">
      <w:pPr>
        <w:rPr>
          <w:rFonts w:cs="Times New Roman"/>
          <w:szCs w:val="24"/>
        </w:rPr>
      </w:pPr>
    </w:p>
    <w:p w:rsidR="00617844" w:rsidRDefault="00617844" w:rsidP="000C6ECF">
      <w:pPr>
        <w:rPr>
          <w:rFonts w:cs="Times New Roman"/>
          <w:szCs w:val="24"/>
        </w:rPr>
      </w:pPr>
    </w:p>
    <w:p w:rsidR="00617844" w:rsidRDefault="00617844" w:rsidP="000C6ECF">
      <w:pPr>
        <w:rPr>
          <w:rFonts w:cs="Times New Roman"/>
          <w:szCs w:val="24"/>
        </w:rPr>
      </w:pPr>
    </w:p>
    <w:p w:rsidR="00617844" w:rsidRDefault="00617844" w:rsidP="000C6ECF">
      <w:pPr>
        <w:rPr>
          <w:rFonts w:cs="Times New Roman"/>
          <w:szCs w:val="24"/>
        </w:rPr>
      </w:pPr>
    </w:p>
    <w:p w:rsidR="00617844" w:rsidRDefault="00617844" w:rsidP="000C6ECF">
      <w:pPr>
        <w:rPr>
          <w:rFonts w:cs="Times New Roman"/>
          <w:szCs w:val="24"/>
        </w:rPr>
      </w:pPr>
    </w:p>
    <w:p w:rsidR="00617844" w:rsidRDefault="00617844" w:rsidP="000C6ECF">
      <w:pPr>
        <w:rPr>
          <w:rFonts w:cs="Times New Roman"/>
          <w:szCs w:val="24"/>
        </w:rPr>
      </w:pPr>
    </w:p>
    <w:p w:rsidR="00617844" w:rsidRDefault="00617844" w:rsidP="000C6ECF">
      <w:pPr>
        <w:rPr>
          <w:rFonts w:cs="Times New Roman"/>
          <w:szCs w:val="24"/>
        </w:rPr>
      </w:pPr>
    </w:p>
    <w:p w:rsidR="00617844" w:rsidRDefault="00617844" w:rsidP="000C6ECF">
      <w:pPr>
        <w:rPr>
          <w:rFonts w:cs="Times New Roman"/>
          <w:szCs w:val="24"/>
        </w:rPr>
      </w:pPr>
    </w:p>
    <w:p w:rsidR="00617844" w:rsidRDefault="00617844" w:rsidP="000C6ECF">
      <w:pPr>
        <w:rPr>
          <w:rFonts w:cs="Times New Roman"/>
          <w:szCs w:val="24"/>
        </w:rPr>
      </w:pPr>
    </w:p>
    <w:p w:rsidR="00617844" w:rsidRDefault="00617844" w:rsidP="000C6ECF">
      <w:pPr>
        <w:rPr>
          <w:rFonts w:cs="Times New Roman"/>
          <w:szCs w:val="24"/>
        </w:rPr>
      </w:pPr>
    </w:p>
    <w:p w:rsidR="00601AA9" w:rsidRDefault="00601AA9" w:rsidP="000C6ECF">
      <w:pPr>
        <w:rPr>
          <w:rFonts w:cs="Times New Roman"/>
          <w:szCs w:val="24"/>
        </w:rPr>
      </w:pPr>
    </w:p>
    <w:p w:rsidR="00601AA9" w:rsidRDefault="00601AA9" w:rsidP="000C6ECF">
      <w:pPr>
        <w:rPr>
          <w:rFonts w:cs="Times New Roman"/>
          <w:szCs w:val="24"/>
        </w:rPr>
      </w:pPr>
    </w:p>
    <w:p w:rsidR="000C6ECF" w:rsidRPr="00AD6AE6" w:rsidRDefault="000C6ECF" w:rsidP="00601AA9">
      <w:pPr>
        <w:spacing w:line="360" w:lineRule="auto"/>
        <w:jc w:val="both"/>
        <w:rPr>
          <w:rFonts w:cs="Times New Roman"/>
          <w:szCs w:val="24"/>
        </w:rPr>
      </w:pPr>
      <w:r w:rsidRPr="00AD6AE6">
        <w:rPr>
          <w:rFonts w:cs="Times New Roman"/>
          <w:szCs w:val="24"/>
        </w:rPr>
        <w:tab/>
        <w:t>Prohlašuji, že</w:t>
      </w:r>
      <w:r w:rsidR="00617844">
        <w:rPr>
          <w:rFonts w:cs="Times New Roman"/>
          <w:szCs w:val="24"/>
        </w:rPr>
        <w:t xml:space="preserve"> jsem diplomovou práci na téma Z</w:t>
      </w:r>
      <w:r w:rsidRPr="00AD6AE6">
        <w:rPr>
          <w:rFonts w:cs="Times New Roman"/>
          <w:szCs w:val="24"/>
        </w:rPr>
        <w:t>ávěť vypracoval samostatně a citoval jsem všechny použité zdroje.</w:t>
      </w:r>
    </w:p>
    <w:p w:rsidR="00617844" w:rsidRDefault="00925999" w:rsidP="00601AA9">
      <w:pPr>
        <w:spacing w:line="360" w:lineRule="auto"/>
        <w:jc w:val="both"/>
        <w:rPr>
          <w:rFonts w:cs="Times New Roman"/>
          <w:szCs w:val="24"/>
        </w:rPr>
      </w:pPr>
      <w:r>
        <w:rPr>
          <w:rFonts w:cs="Times New Roman"/>
          <w:szCs w:val="24"/>
        </w:rPr>
        <w:t>V Letovicích dne 30. března 2015</w:t>
      </w:r>
      <w:r>
        <w:rPr>
          <w:rFonts w:cs="Times New Roman"/>
          <w:szCs w:val="24"/>
        </w:rPr>
        <w:tab/>
      </w:r>
      <w:r w:rsidR="000C6ECF" w:rsidRPr="00AD6AE6">
        <w:rPr>
          <w:rFonts w:cs="Times New Roman"/>
          <w:szCs w:val="24"/>
        </w:rPr>
        <w:tab/>
      </w:r>
      <w:r w:rsidR="000C6ECF" w:rsidRPr="00AD6AE6">
        <w:rPr>
          <w:rFonts w:cs="Times New Roman"/>
          <w:szCs w:val="24"/>
        </w:rPr>
        <w:tab/>
      </w:r>
      <w:r w:rsidR="000C6ECF" w:rsidRPr="00AD6AE6">
        <w:rPr>
          <w:rFonts w:cs="Times New Roman"/>
          <w:szCs w:val="24"/>
        </w:rPr>
        <w:tab/>
      </w:r>
      <w:r w:rsidR="000C6ECF" w:rsidRPr="00AD6AE6">
        <w:rPr>
          <w:rFonts w:cs="Times New Roman"/>
          <w:szCs w:val="24"/>
        </w:rPr>
        <w:tab/>
      </w:r>
      <w:r w:rsidR="000C6ECF" w:rsidRPr="00AD6AE6">
        <w:rPr>
          <w:rFonts w:cs="Times New Roman"/>
          <w:szCs w:val="24"/>
        </w:rPr>
        <w:tab/>
        <w:t>Podpis:________</w:t>
      </w:r>
    </w:p>
    <w:p w:rsidR="00617844" w:rsidRDefault="00617844" w:rsidP="00601AA9">
      <w:pPr>
        <w:spacing w:line="360" w:lineRule="auto"/>
        <w:jc w:val="both"/>
        <w:rPr>
          <w:rFonts w:cs="Times New Roman"/>
          <w:szCs w:val="24"/>
        </w:rPr>
      </w:pPr>
      <w:r>
        <w:rPr>
          <w:rFonts w:cs="Times New Roman"/>
          <w:szCs w:val="24"/>
        </w:rPr>
        <w:br w:type="page"/>
      </w:r>
    </w:p>
    <w:p w:rsidR="00601AA9" w:rsidRDefault="00601AA9" w:rsidP="000C6ECF">
      <w:pPr>
        <w:rPr>
          <w:rFonts w:cs="Times New Roman"/>
          <w:szCs w:val="24"/>
        </w:rPr>
      </w:pPr>
    </w:p>
    <w:p w:rsidR="00601AA9" w:rsidRDefault="00601AA9" w:rsidP="000C6ECF">
      <w:pPr>
        <w:rPr>
          <w:rFonts w:cs="Times New Roman"/>
          <w:szCs w:val="24"/>
        </w:rPr>
      </w:pPr>
    </w:p>
    <w:p w:rsidR="00601AA9" w:rsidRDefault="00601AA9" w:rsidP="000C6ECF">
      <w:pPr>
        <w:rPr>
          <w:rFonts w:cs="Times New Roman"/>
          <w:szCs w:val="24"/>
        </w:rPr>
      </w:pPr>
    </w:p>
    <w:p w:rsidR="00601AA9" w:rsidRDefault="00601AA9" w:rsidP="000C6ECF">
      <w:pPr>
        <w:rPr>
          <w:rFonts w:cs="Times New Roman"/>
          <w:szCs w:val="24"/>
        </w:rPr>
      </w:pPr>
    </w:p>
    <w:p w:rsidR="00601AA9" w:rsidRDefault="00601AA9" w:rsidP="000C6ECF">
      <w:pPr>
        <w:rPr>
          <w:rFonts w:cs="Times New Roman"/>
          <w:szCs w:val="24"/>
        </w:rPr>
      </w:pPr>
    </w:p>
    <w:p w:rsidR="00601AA9" w:rsidRDefault="00601AA9" w:rsidP="000C6ECF">
      <w:pPr>
        <w:rPr>
          <w:rFonts w:cs="Times New Roman"/>
          <w:szCs w:val="24"/>
        </w:rPr>
      </w:pPr>
    </w:p>
    <w:p w:rsidR="00601AA9" w:rsidRDefault="00601AA9" w:rsidP="000C6ECF">
      <w:pPr>
        <w:rPr>
          <w:rFonts w:cs="Times New Roman"/>
          <w:szCs w:val="24"/>
        </w:rPr>
      </w:pPr>
    </w:p>
    <w:p w:rsidR="00601AA9" w:rsidRDefault="00601AA9" w:rsidP="000C6ECF">
      <w:pPr>
        <w:rPr>
          <w:rFonts w:cs="Times New Roman"/>
          <w:szCs w:val="24"/>
        </w:rPr>
      </w:pPr>
    </w:p>
    <w:p w:rsidR="00601AA9" w:rsidRDefault="00601AA9" w:rsidP="000C6ECF">
      <w:pPr>
        <w:rPr>
          <w:rFonts w:cs="Times New Roman"/>
          <w:szCs w:val="24"/>
        </w:rPr>
      </w:pPr>
    </w:p>
    <w:p w:rsidR="00601AA9" w:rsidRDefault="00601AA9" w:rsidP="000C6ECF">
      <w:pPr>
        <w:rPr>
          <w:rFonts w:cs="Times New Roman"/>
          <w:szCs w:val="24"/>
        </w:rPr>
      </w:pPr>
    </w:p>
    <w:p w:rsidR="00601AA9" w:rsidRDefault="00601AA9" w:rsidP="000C6ECF">
      <w:pPr>
        <w:rPr>
          <w:rFonts w:cs="Times New Roman"/>
          <w:szCs w:val="24"/>
        </w:rPr>
      </w:pPr>
    </w:p>
    <w:p w:rsidR="00601AA9" w:rsidRDefault="00601AA9" w:rsidP="000C6ECF">
      <w:pPr>
        <w:rPr>
          <w:rFonts w:cs="Times New Roman"/>
          <w:szCs w:val="24"/>
        </w:rPr>
      </w:pPr>
    </w:p>
    <w:p w:rsidR="00601AA9" w:rsidRDefault="00601AA9" w:rsidP="000C6ECF">
      <w:pPr>
        <w:rPr>
          <w:rFonts w:cs="Times New Roman"/>
          <w:szCs w:val="24"/>
        </w:rPr>
      </w:pPr>
    </w:p>
    <w:p w:rsidR="00601AA9" w:rsidRDefault="00601AA9" w:rsidP="000C6ECF">
      <w:pPr>
        <w:rPr>
          <w:rFonts w:cs="Times New Roman"/>
          <w:szCs w:val="24"/>
        </w:rPr>
      </w:pPr>
    </w:p>
    <w:p w:rsidR="00601AA9" w:rsidRDefault="00601AA9" w:rsidP="000C6ECF">
      <w:pPr>
        <w:rPr>
          <w:rFonts w:cs="Times New Roman"/>
          <w:szCs w:val="24"/>
        </w:rPr>
      </w:pPr>
    </w:p>
    <w:p w:rsidR="00601AA9" w:rsidRDefault="00601AA9" w:rsidP="000C6ECF">
      <w:pPr>
        <w:rPr>
          <w:rFonts w:cs="Times New Roman"/>
          <w:szCs w:val="24"/>
        </w:rPr>
      </w:pPr>
    </w:p>
    <w:p w:rsidR="00601AA9" w:rsidRDefault="00601AA9" w:rsidP="000C6ECF">
      <w:pPr>
        <w:rPr>
          <w:rFonts w:cs="Times New Roman"/>
          <w:szCs w:val="24"/>
        </w:rPr>
      </w:pPr>
    </w:p>
    <w:p w:rsidR="00601AA9" w:rsidRDefault="00601AA9" w:rsidP="000C6ECF">
      <w:pPr>
        <w:rPr>
          <w:rFonts w:cs="Times New Roman"/>
          <w:szCs w:val="24"/>
        </w:rPr>
      </w:pPr>
    </w:p>
    <w:p w:rsidR="00601AA9" w:rsidRDefault="00601AA9" w:rsidP="000C6ECF">
      <w:pPr>
        <w:rPr>
          <w:rFonts w:cs="Times New Roman"/>
          <w:szCs w:val="24"/>
        </w:rPr>
      </w:pPr>
    </w:p>
    <w:p w:rsidR="00601AA9" w:rsidRDefault="00601AA9" w:rsidP="000C6ECF">
      <w:pPr>
        <w:rPr>
          <w:rFonts w:cs="Times New Roman"/>
          <w:szCs w:val="24"/>
        </w:rPr>
      </w:pPr>
    </w:p>
    <w:p w:rsidR="00601AA9" w:rsidRDefault="00601AA9" w:rsidP="000C6ECF">
      <w:pPr>
        <w:rPr>
          <w:rFonts w:cs="Times New Roman"/>
          <w:szCs w:val="24"/>
        </w:rPr>
      </w:pPr>
    </w:p>
    <w:p w:rsidR="00601AA9" w:rsidRDefault="00601AA9" w:rsidP="000C6ECF">
      <w:pPr>
        <w:rPr>
          <w:rFonts w:cs="Times New Roman"/>
          <w:szCs w:val="24"/>
        </w:rPr>
      </w:pPr>
    </w:p>
    <w:p w:rsidR="00601AA9" w:rsidRDefault="00601AA9" w:rsidP="000C6ECF">
      <w:pPr>
        <w:rPr>
          <w:rFonts w:cs="Times New Roman"/>
          <w:szCs w:val="24"/>
        </w:rPr>
      </w:pPr>
    </w:p>
    <w:p w:rsidR="00601AA9" w:rsidRDefault="00617844" w:rsidP="00601AA9">
      <w:pPr>
        <w:spacing w:line="360" w:lineRule="auto"/>
        <w:ind w:firstLine="708"/>
        <w:jc w:val="both"/>
        <w:rPr>
          <w:rFonts w:cs="Times New Roman"/>
          <w:szCs w:val="24"/>
        </w:rPr>
      </w:pPr>
      <w:r>
        <w:rPr>
          <w:rFonts w:cs="Times New Roman"/>
          <w:szCs w:val="24"/>
        </w:rPr>
        <w:t>Děkuji vedoucímu mé diplomové práce</w:t>
      </w:r>
      <w:r w:rsidR="002C30DB">
        <w:rPr>
          <w:rFonts w:cs="Times New Roman"/>
          <w:szCs w:val="24"/>
        </w:rPr>
        <w:t xml:space="preserve"> Mgr.</w:t>
      </w:r>
      <w:r>
        <w:rPr>
          <w:rFonts w:cs="Times New Roman"/>
          <w:szCs w:val="24"/>
        </w:rPr>
        <w:t xml:space="preserve"> Pavlu Petrovi, </w:t>
      </w:r>
      <w:r w:rsidR="002C30DB">
        <w:rPr>
          <w:rFonts w:cs="Times New Roman"/>
          <w:szCs w:val="24"/>
        </w:rPr>
        <w:t xml:space="preserve">Ph.D., </w:t>
      </w:r>
      <w:r>
        <w:rPr>
          <w:rFonts w:cs="Times New Roman"/>
          <w:szCs w:val="24"/>
        </w:rPr>
        <w:t>LL.M. za osobní konzultace, věcné připomínky a vstřícný přístup. Na tomto místě bych také rád poděkoval všem, kteří mi byli oporou během celé doby mého studia.</w:t>
      </w:r>
    </w:p>
    <w:p w:rsidR="000C6ECF" w:rsidRPr="00617844" w:rsidRDefault="00601AA9" w:rsidP="000C6ECF">
      <w:pPr>
        <w:rPr>
          <w:rFonts w:cs="Times New Roman"/>
          <w:szCs w:val="24"/>
        </w:rPr>
      </w:pPr>
      <w:r>
        <w:rPr>
          <w:rFonts w:cs="Times New Roman"/>
          <w:szCs w:val="24"/>
        </w:rPr>
        <w:br w:type="page"/>
      </w:r>
    </w:p>
    <w:sdt>
      <w:sdtPr>
        <w:rPr>
          <w:rFonts w:asciiTheme="minorHAnsi" w:eastAsiaTheme="minorHAnsi" w:hAnsiTheme="minorHAnsi" w:cstheme="minorBidi"/>
          <w:b w:val="0"/>
          <w:bCs w:val="0"/>
          <w:sz w:val="22"/>
          <w:szCs w:val="22"/>
        </w:rPr>
        <w:id w:val="137023993"/>
        <w:docPartObj>
          <w:docPartGallery w:val="Table of Contents"/>
          <w:docPartUnique/>
        </w:docPartObj>
      </w:sdtPr>
      <w:sdtEndPr>
        <w:rPr>
          <w:rFonts w:ascii="Times New Roman" w:hAnsi="Times New Roman"/>
          <w:sz w:val="24"/>
        </w:rPr>
      </w:sdtEndPr>
      <w:sdtContent>
        <w:p w:rsidR="007D407F" w:rsidRDefault="000C6ECF" w:rsidP="00FE3DD3">
          <w:pPr>
            <w:pStyle w:val="Nadpisobsahu"/>
            <w:rPr>
              <w:noProof/>
            </w:rPr>
          </w:pPr>
          <w:r w:rsidRPr="00AD6AE6">
            <w:t>Obsah</w:t>
          </w:r>
          <w:r w:rsidR="00916921" w:rsidRPr="00916921">
            <w:fldChar w:fldCharType="begin"/>
          </w:r>
          <w:r w:rsidRPr="00AD6AE6">
            <w:instrText xml:space="preserve"> TOC \o "1-3" \h \z \u </w:instrText>
          </w:r>
          <w:r w:rsidR="00916921" w:rsidRPr="00916921">
            <w:fldChar w:fldCharType="separate"/>
          </w:r>
        </w:p>
        <w:p w:rsidR="007D407F" w:rsidRDefault="00916921">
          <w:pPr>
            <w:pStyle w:val="Obsah1"/>
            <w:rPr>
              <w:rFonts w:asciiTheme="minorHAnsi" w:eastAsiaTheme="minorEastAsia" w:hAnsiTheme="minorHAnsi"/>
              <w:noProof/>
              <w:sz w:val="22"/>
              <w:lang w:eastAsia="cs-CZ"/>
            </w:rPr>
          </w:pPr>
          <w:hyperlink w:anchor="_Toc415452754" w:history="1">
            <w:r w:rsidR="007D407F" w:rsidRPr="00BF18BA">
              <w:rPr>
                <w:rStyle w:val="Hypertextovodkaz"/>
                <w:noProof/>
              </w:rPr>
              <w:t>Seznam použitých zkratek</w:t>
            </w:r>
            <w:r w:rsidR="007D407F">
              <w:rPr>
                <w:noProof/>
                <w:webHidden/>
              </w:rPr>
              <w:tab/>
            </w:r>
            <w:r>
              <w:rPr>
                <w:noProof/>
                <w:webHidden/>
              </w:rPr>
              <w:fldChar w:fldCharType="begin"/>
            </w:r>
            <w:r w:rsidR="007D407F">
              <w:rPr>
                <w:noProof/>
                <w:webHidden/>
              </w:rPr>
              <w:instrText xml:space="preserve"> PAGEREF _Toc415452754 \h </w:instrText>
            </w:r>
            <w:r>
              <w:rPr>
                <w:noProof/>
                <w:webHidden/>
              </w:rPr>
            </w:r>
            <w:r>
              <w:rPr>
                <w:noProof/>
                <w:webHidden/>
              </w:rPr>
              <w:fldChar w:fldCharType="separate"/>
            </w:r>
            <w:r w:rsidR="007D407F">
              <w:rPr>
                <w:noProof/>
                <w:webHidden/>
              </w:rPr>
              <w:t>6</w:t>
            </w:r>
            <w:r>
              <w:rPr>
                <w:noProof/>
                <w:webHidden/>
              </w:rPr>
              <w:fldChar w:fldCharType="end"/>
            </w:r>
          </w:hyperlink>
        </w:p>
        <w:p w:rsidR="007D407F" w:rsidRDefault="00916921">
          <w:pPr>
            <w:pStyle w:val="Obsah1"/>
            <w:rPr>
              <w:rFonts w:asciiTheme="minorHAnsi" w:eastAsiaTheme="minorEastAsia" w:hAnsiTheme="minorHAnsi"/>
              <w:noProof/>
              <w:sz w:val="22"/>
              <w:lang w:eastAsia="cs-CZ"/>
            </w:rPr>
          </w:pPr>
          <w:hyperlink w:anchor="_Toc415452755" w:history="1">
            <w:r w:rsidR="007D407F" w:rsidRPr="00BF18BA">
              <w:rPr>
                <w:rStyle w:val="Hypertextovodkaz"/>
                <w:noProof/>
              </w:rPr>
              <w:t>Úvod</w:t>
            </w:r>
            <w:r w:rsidR="007D407F">
              <w:rPr>
                <w:noProof/>
                <w:webHidden/>
              </w:rPr>
              <w:tab/>
            </w:r>
            <w:r>
              <w:rPr>
                <w:noProof/>
                <w:webHidden/>
              </w:rPr>
              <w:fldChar w:fldCharType="begin"/>
            </w:r>
            <w:r w:rsidR="007D407F">
              <w:rPr>
                <w:noProof/>
                <w:webHidden/>
              </w:rPr>
              <w:instrText xml:space="preserve"> PAGEREF _Toc415452755 \h </w:instrText>
            </w:r>
            <w:r>
              <w:rPr>
                <w:noProof/>
                <w:webHidden/>
              </w:rPr>
            </w:r>
            <w:r>
              <w:rPr>
                <w:noProof/>
                <w:webHidden/>
              </w:rPr>
              <w:fldChar w:fldCharType="separate"/>
            </w:r>
            <w:r w:rsidR="007D407F">
              <w:rPr>
                <w:noProof/>
                <w:webHidden/>
              </w:rPr>
              <w:t>7</w:t>
            </w:r>
            <w:r>
              <w:rPr>
                <w:noProof/>
                <w:webHidden/>
              </w:rPr>
              <w:fldChar w:fldCharType="end"/>
            </w:r>
          </w:hyperlink>
        </w:p>
        <w:p w:rsidR="007D407F" w:rsidRDefault="00916921">
          <w:pPr>
            <w:pStyle w:val="Obsah1"/>
            <w:tabs>
              <w:tab w:val="left" w:pos="480"/>
            </w:tabs>
            <w:rPr>
              <w:rFonts w:asciiTheme="minorHAnsi" w:eastAsiaTheme="minorEastAsia" w:hAnsiTheme="minorHAnsi"/>
              <w:noProof/>
              <w:sz w:val="22"/>
              <w:lang w:eastAsia="cs-CZ"/>
            </w:rPr>
          </w:pPr>
          <w:hyperlink w:anchor="_Toc415452756" w:history="1">
            <w:r w:rsidR="007D407F" w:rsidRPr="00BF18BA">
              <w:rPr>
                <w:rStyle w:val="Hypertextovodkaz"/>
                <w:noProof/>
              </w:rPr>
              <w:t>1</w:t>
            </w:r>
            <w:r w:rsidR="007D407F">
              <w:rPr>
                <w:rFonts w:asciiTheme="minorHAnsi" w:eastAsiaTheme="minorEastAsia" w:hAnsiTheme="minorHAnsi"/>
                <w:noProof/>
                <w:sz w:val="22"/>
                <w:lang w:eastAsia="cs-CZ"/>
              </w:rPr>
              <w:tab/>
            </w:r>
            <w:r w:rsidR="007D407F" w:rsidRPr="00BF18BA">
              <w:rPr>
                <w:rStyle w:val="Hypertextovodkaz"/>
                <w:noProof/>
              </w:rPr>
              <w:t>Pojem závěti</w:t>
            </w:r>
            <w:r w:rsidR="007D407F">
              <w:rPr>
                <w:noProof/>
                <w:webHidden/>
              </w:rPr>
              <w:tab/>
            </w:r>
            <w:r>
              <w:rPr>
                <w:noProof/>
                <w:webHidden/>
              </w:rPr>
              <w:fldChar w:fldCharType="begin"/>
            </w:r>
            <w:r w:rsidR="007D407F">
              <w:rPr>
                <w:noProof/>
                <w:webHidden/>
              </w:rPr>
              <w:instrText xml:space="preserve"> PAGEREF _Toc415452756 \h </w:instrText>
            </w:r>
            <w:r>
              <w:rPr>
                <w:noProof/>
                <w:webHidden/>
              </w:rPr>
            </w:r>
            <w:r>
              <w:rPr>
                <w:noProof/>
                <w:webHidden/>
              </w:rPr>
              <w:fldChar w:fldCharType="separate"/>
            </w:r>
            <w:r w:rsidR="007D407F">
              <w:rPr>
                <w:noProof/>
                <w:webHidden/>
              </w:rPr>
              <w:t>9</w:t>
            </w:r>
            <w:r>
              <w:rPr>
                <w:noProof/>
                <w:webHidden/>
              </w:rPr>
              <w:fldChar w:fldCharType="end"/>
            </w:r>
          </w:hyperlink>
        </w:p>
        <w:p w:rsidR="007D407F" w:rsidRDefault="00916921">
          <w:pPr>
            <w:pStyle w:val="Obsah1"/>
            <w:tabs>
              <w:tab w:val="left" w:pos="480"/>
            </w:tabs>
            <w:rPr>
              <w:rFonts w:asciiTheme="minorHAnsi" w:eastAsiaTheme="minorEastAsia" w:hAnsiTheme="minorHAnsi"/>
              <w:noProof/>
              <w:sz w:val="22"/>
              <w:lang w:eastAsia="cs-CZ"/>
            </w:rPr>
          </w:pPr>
          <w:hyperlink w:anchor="_Toc415452757" w:history="1">
            <w:r w:rsidR="007D407F" w:rsidRPr="00BF18BA">
              <w:rPr>
                <w:rStyle w:val="Hypertextovodkaz"/>
                <w:noProof/>
              </w:rPr>
              <w:t>2</w:t>
            </w:r>
            <w:r w:rsidR="007D407F">
              <w:rPr>
                <w:rFonts w:asciiTheme="minorHAnsi" w:eastAsiaTheme="minorEastAsia" w:hAnsiTheme="minorHAnsi"/>
                <w:noProof/>
                <w:sz w:val="22"/>
                <w:lang w:eastAsia="cs-CZ"/>
              </w:rPr>
              <w:tab/>
            </w:r>
            <w:r w:rsidR="007D407F" w:rsidRPr="00BF18BA">
              <w:rPr>
                <w:rStyle w:val="Hypertextovodkaz"/>
                <w:noProof/>
              </w:rPr>
              <w:t>Výklad zůstavitelovy vůle</w:t>
            </w:r>
            <w:r w:rsidR="007D407F">
              <w:rPr>
                <w:noProof/>
                <w:webHidden/>
              </w:rPr>
              <w:tab/>
            </w:r>
            <w:r>
              <w:rPr>
                <w:noProof/>
                <w:webHidden/>
              </w:rPr>
              <w:fldChar w:fldCharType="begin"/>
            </w:r>
            <w:r w:rsidR="007D407F">
              <w:rPr>
                <w:noProof/>
                <w:webHidden/>
              </w:rPr>
              <w:instrText xml:space="preserve"> PAGEREF _Toc415452757 \h </w:instrText>
            </w:r>
            <w:r>
              <w:rPr>
                <w:noProof/>
                <w:webHidden/>
              </w:rPr>
            </w:r>
            <w:r>
              <w:rPr>
                <w:noProof/>
                <w:webHidden/>
              </w:rPr>
              <w:fldChar w:fldCharType="separate"/>
            </w:r>
            <w:r w:rsidR="007D407F">
              <w:rPr>
                <w:noProof/>
                <w:webHidden/>
              </w:rPr>
              <w:t>12</w:t>
            </w:r>
            <w:r>
              <w:rPr>
                <w:noProof/>
                <w:webHidden/>
              </w:rPr>
              <w:fldChar w:fldCharType="end"/>
            </w:r>
          </w:hyperlink>
        </w:p>
        <w:p w:rsidR="007D407F" w:rsidRDefault="00916921">
          <w:pPr>
            <w:pStyle w:val="Obsah1"/>
            <w:tabs>
              <w:tab w:val="left" w:pos="480"/>
            </w:tabs>
            <w:rPr>
              <w:rFonts w:asciiTheme="minorHAnsi" w:eastAsiaTheme="minorEastAsia" w:hAnsiTheme="minorHAnsi"/>
              <w:noProof/>
              <w:sz w:val="22"/>
              <w:lang w:eastAsia="cs-CZ"/>
            </w:rPr>
          </w:pPr>
          <w:hyperlink w:anchor="_Toc415452758" w:history="1">
            <w:r w:rsidR="007D407F" w:rsidRPr="00BF18BA">
              <w:rPr>
                <w:rStyle w:val="Hypertextovodkaz"/>
                <w:noProof/>
              </w:rPr>
              <w:t>3</w:t>
            </w:r>
            <w:r w:rsidR="007D407F">
              <w:rPr>
                <w:rFonts w:asciiTheme="minorHAnsi" w:eastAsiaTheme="minorEastAsia" w:hAnsiTheme="minorHAnsi"/>
                <w:noProof/>
                <w:sz w:val="22"/>
                <w:lang w:eastAsia="cs-CZ"/>
              </w:rPr>
              <w:tab/>
            </w:r>
            <w:r w:rsidR="007D407F" w:rsidRPr="00BF18BA">
              <w:rPr>
                <w:rStyle w:val="Hypertextovodkaz"/>
                <w:noProof/>
              </w:rPr>
              <w:t>Pořizovací způsobilost</w:t>
            </w:r>
            <w:r w:rsidR="007D407F">
              <w:rPr>
                <w:noProof/>
                <w:webHidden/>
              </w:rPr>
              <w:tab/>
            </w:r>
            <w:r>
              <w:rPr>
                <w:noProof/>
                <w:webHidden/>
              </w:rPr>
              <w:fldChar w:fldCharType="begin"/>
            </w:r>
            <w:r w:rsidR="007D407F">
              <w:rPr>
                <w:noProof/>
                <w:webHidden/>
              </w:rPr>
              <w:instrText xml:space="preserve"> PAGEREF _Toc415452758 \h </w:instrText>
            </w:r>
            <w:r>
              <w:rPr>
                <w:noProof/>
                <w:webHidden/>
              </w:rPr>
            </w:r>
            <w:r>
              <w:rPr>
                <w:noProof/>
                <w:webHidden/>
              </w:rPr>
              <w:fldChar w:fldCharType="separate"/>
            </w:r>
            <w:r w:rsidR="007D407F">
              <w:rPr>
                <w:noProof/>
                <w:webHidden/>
              </w:rPr>
              <w:t>15</w:t>
            </w:r>
            <w:r>
              <w:rPr>
                <w:noProof/>
                <w:webHidden/>
              </w:rPr>
              <w:fldChar w:fldCharType="end"/>
            </w:r>
          </w:hyperlink>
        </w:p>
        <w:p w:rsidR="007D407F" w:rsidRDefault="00916921">
          <w:pPr>
            <w:pStyle w:val="Obsah2"/>
            <w:tabs>
              <w:tab w:val="left" w:pos="880"/>
              <w:tab w:val="right" w:leader="dot" w:pos="9061"/>
            </w:tabs>
            <w:rPr>
              <w:rFonts w:asciiTheme="minorHAnsi" w:eastAsiaTheme="minorEastAsia" w:hAnsiTheme="minorHAnsi"/>
              <w:noProof/>
              <w:sz w:val="22"/>
              <w:lang w:eastAsia="cs-CZ"/>
            </w:rPr>
          </w:pPr>
          <w:hyperlink w:anchor="_Toc415452759" w:history="1">
            <w:r w:rsidR="007D407F" w:rsidRPr="00BF18BA">
              <w:rPr>
                <w:rStyle w:val="Hypertextovodkaz"/>
                <w:rFonts w:cs="Times New Roman"/>
                <w:noProof/>
              </w:rPr>
              <w:t>3.1</w:t>
            </w:r>
            <w:r w:rsidR="007D407F">
              <w:rPr>
                <w:rFonts w:asciiTheme="minorHAnsi" w:eastAsiaTheme="minorEastAsia" w:hAnsiTheme="minorHAnsi"/>
                <w:noProof/>
                <w:sz w:val="22"/>
                <w:lang w:eastAsia="cs-CZ"/>
              </w:rPr>
              <w:tab/>
            </w:r>
            <w:r w:rsidR="007D407F" w:rsidRPr="00BF18BA">
              <w:rPr>
                <w:rStyle w:val="Hypertextovodkaz"/>
                <w:rFonts w:cs="Times New Roman"/>
                <w:noProof/>
              </w:rPr>
              <w:t>Věk zůstavitele</w:t>
            </w:r>
            <w:r w:rsidR="007D407F">
              <w:rPr>
                <w:noProof/>
                <w:webHidden/>
              </w:rPr>
              <w:tab/>
            </w:r>
            <w:r>
              <w:rPr>
                <w:noProof/>
                <w:webHidden/>
              </w:rPr>
              <w:fldChar w:fldCharType="begin"/>
            </w:r>
            <w:r w:rsidR="007D407F">
              <w:rPr>
                <w:noProof/>
                <w:webHidden/>
              </w:rPr>
              <w:instrText xml:space="preserve"> PAGEREF _Toc415452759 \h </w:instrText>
            </w:r>
            <w:r>
              <w:rPr>
                <w:noProof/>
                <w:webHidden/>
              </w:rPr>
            </w:r>
            <w:r>
              <w:rPr>
                <w:noProof/>
                <w:webHidden/>
              </w:rPr>
              <w:fldChar w:fldCharType="separate"/>
            </w:r>
            <w:r w:rsidR="007D407F">
              <w:rPr>
                <w:noProof/>
                <w:webHidden/>
              </w:rPr>
              <w:t>15</w:t>
            </w:r>
            <w:r>
              <w:rPr>
                <w:noProof/>
                <w:webHidden/>
              </w:rPr>
              <w:fldChar w:fldCharType="end"/>
            </w:r>
          </w:hyperlink>
        </w:p>
        <w:p w:rsidR="007D407F" w:rsidRDefault="00916921">
          <w:pPr>
            <w:pStyle w:val="Obsah2"/>
            <w:tabs>
              <w:tab w:val="left" w:pos="880"/>
              <w:tab w:val="right" w:leader="dot" w:pos="9061"/>
            </w:tabs>
            <w:rPr>
              <w:rFonts w:asciiTheme="minorHAnsi" w:eastAsiaTheme="minorEastAsia" w:hAnsiTheme="minorHAnsi"/>
              <w:noProof/>
              <w:sz w:val="22"/>
              <w:lang w:eastAsia="cs-CZ"/>
            </w:rPr>
          </w:pPr>
          <w:hyperlink w:anchor="_Toc415452760" w:history="1">
            <w:r w:rsidR="007D407F" w:rsidRPr="00BF18BA">
              <w:rPr>
                <w:rStyle w:val="Hypertextovodkaz"/>
                <w:rFonts w:cs="Times New Roman"/>
                <w:noProof/>
              </w:rPr>
              <w:t>3.2</w:t>
            </w:r>
            <w:r w:rsidR="007D407F">
              <w:rPr>
                <w:rFonts w:asciiTheme="minorHAnsi" w:eastAsiaTheme="minorEastAsia" w:hAnsiTheme="minorHAnsi"/>
                <w:noProof/>
                <w:sz w:val="22"/>
                <w:lang w:eastAsia="cs-CZ"/>
              </w:rPr>
              <w:tab/>
            </w:r>
            <w:r w:rsidR="007D407F" w:rsidRPr="00BF18BA">
              <w:rPr>
                <w:rStyle w:val="Hypertextovodkaz"/>
                <w:rFonts w:cs="Times New Roman"/>
                <w:noProof/>
              </w:rPr>
              <w:t>Duševní stav zůstavitele</w:t>
            </w:r>
            <w:r w:rsidR="007D407F">
              <w:rPr>
                <w:noProof/>
                <w:webHidden/>
              </w:rPr>
              <w:tab/>
            </w:r>
            <w:r>
              <w:rPr>
                <w:noProof/>
                <w:webHidden/>
              </w:rPr>
              <w:fldChar w:fldCharType="begin"/>
            </w:r>
            <w:r w:rsidR="007D407F">
              <w:rPr>
                <w:noProof/>
                <w:webHidden/>
              </w:rPr>
              <w:instrText xml:space="preserve"> PAGEREF _Toc415452760 \h </w:instrText>
            </w:r>
            <w:r>
              <w:rPr>
                <w:noProof/>
                <w:webHidden/>
              </w:rPr>
            </w:r>
            <w:r>
              <w:rPr>
                <w:noProof/>
                <w:webHidden/>
              </w:rPr>
              <w:fldChar w:fldCharType="separate"/>
            </w:r>
            <w:r w:rsidR="007D407F">
              <w:rPr>
                <w:noProof/>
                <w:webHidden/>
              </w:rPr>
              <w:t>16</w:t>
            </w:r>
            <w:r>
              <w:rPr>
                <w:noProof/>
                <w:webHidden/>
              </w:rPr>
              <w:fldChar w:fldCharType="end"/>
            </w:r>
          </w:hyperlink>
        </w:p>
        <w:p w:rsidR="007D407F" w:rsidRDefault="00916921">
          <w:pPr>
            <w:pStyle w:val="Obsah1"/>
            <w:tabs>
              <w:tab w:val="left" w:pos="480"/>
            </w:tabs>
            <w:rPr>
              <w:rFonts w:asciiTheme="minorHAnsi" w:eastAsiaTheme="minorEastAsia" w:hAnsiTheme="minorHAnsi"/>
              <w:noProof/>
              <w:sz w:val="22"/>
              <w:lang w:eastAsia="cs-CZ"/>
            </w:rPr>
          </w:pPr>
          <w:hyperlink w:anchor="_Toc415452761" w:history="1">
            <w:r w:rsidR="007D407F" w:rsidRPr="00BF18BA">
              <w:rPr>
                <w:rStyle w:val="Hypertextovodkaz"/>
                <w:noProof/>
              </w:rPr>
              <w:t>4</w:t>
            </w:r>
            <w:r w:rsidR="007D407F">
              <w:rPr>
                <w:rFonts w:asciiTheme="minorHAnsi" w:eastAsiaTheme="minorEastAsia" w:hAnsiTheme="minorHAnsi"/>
                <w:noProof/>
                <w:sz w:val="22"/>
                <w:lang w:eastAsia="cs-CZ"/>
              </w:rPr>
              <w:tab/>
            </w:r>
            <w:r w:rsidR="007D407F" w:rsidRPr="00BF18BA">
              <w:rPr>
                <w:rStyle w:val="Hypertextovodkaz"/>
                <w:noProof/>
              </w:rPr>
              <w:t>Obsahová stránka závěti</w:t>
            </w:r>
            <w:r w:rsidR="007D407F">
              <w:rPr>
                <w:noProof/>
                <w:webHidden/>
              </w:rPr>
              <w:tab/>
            </w:r>
            <w:r>
              <w:rPr>
                <w:noProof/>
                <w:webHidden/>
              </w:rPr>
              <w:fldChar w:fldCharType="begin"/>
            </w:r>
            <w:r w:rsidR="007D407F">
              <w:rPr>
                <w:noProof/>
                <w:webHidden/>
              </w:rPr>
              <w:instrText xml:space="preserve"> PAGEREF _Toc415452761 \h </w:instrText>
            </w:r>
            <w:r>
              <w:rPr>
                <w:noProof/>
                <w:webHidden/>
              </w:rPr>
            </w:r>
            <w:r>
              <w:rPr>
                <w:noProof/>
                <w:webHidden/>
              </w:rPr>
              <w:fldChar w:fldCharType="separate"/>
            </w:r>
            <w:r w:rsidR="007D407F">
              <w:rPr>
                <w:noProof/>
                <w:webHidden/>
              </w:rPr>
              <w:t>20</w:t>
            </w:r>
            <w:r>
              <w:rPr>
                <w:noProof/>
                <w:webHidden/>
              </w:rPr>
              <w:fldChar w:fldCharType="end"/>
            </w:r>
          </w:hyperlink>
        </w:p>
        <w:p w:rsidR="007D407F" w:rsidRDefault="00916921">
          <w:pPr>
            <w:pStyle w:val="Obsah2"/>
            <w:tabs>
              <w:tab w:val="left" w:pos="880"/>
              <w:tab w:val="right" w:leader="dot" w:pos="9061"/>
            </w:tabs>
            <w:rPr>
              <w:rFonts w:asciiTheme="minorHAnsi" w:eastAsiaTheme="minorEastAsia" w:hAnsiTheme="minorHAnsi"/>
              <w:noProof/>
              <w:sz w:val="22"/>
              <w:lang w:eastAsia="cs-CZ"/>
            </w:rPr>
          </w:pPr>
          <w:hyperlink w:anchor="_Toc415452762" w:history="1">
            <w:r w:rsidR="007D407F" w:rsidRPr="00BF18BA">
              <w:rPr>
                <w:rStyle w:val="Hypertextovodkaz"/>
                <w:noProof/>
              </w:rPr>
              <w:t>4.1</w:t>
            </w:r>
            <w:r w:rsidR="007D407F">
              <w:rPr>
                <w:rFonts w:asciiTheme="minorHAnsi" w:eastAsiaTheme="minorEastAsia" w:hAnsiTheme="minorHAnsi"/>
                <w:noProof/>
                <w:sz w:val="22"/>
                <w:lang w:eastAsia="cs-CZ"/>
              </w:rPr>
              <w:tab/>
            </w:r>
            <w:r w:rsidR="007D407F" w:rsidRPr="00BF18BA">
              <w:rPr>
                <w:rStyle w:val="Hypertextovodkaz"/>
                <w:noProof/>
              </w:rPr>
              <w:t>Určení dědice</w:t>
            </w:r>
            <w:r w:rsidR="007D407F">
              <w:rPr>
                <w:noProof/>
                <w:webHidden/>
              </w:rPr>
              <w:tab/>
            </w:r>
            <w:r>
              <w:rPr>
                <w:noProof/>
                <w:webHidden/>
              </w:rPr>
              <w:fldChar w:fldCharType="begin"/>
            </w:r>
            <w:r w:rsidR="007D407F">
              <w:rPr>
                <w:noProof/>
                <w:webHidden/>
              </w:rPr>
              <w:instrText xml:space="preserve"> PAGEREF _Toc415452762 \h </w:instrText>
            </w:r>
            <w:r>
              <w:rPr>
                <w:noProof/>
                <w:webHidden/>
              </w:rPr>
            </w:r>
            <w:r>
              <w:rPr>
                <w:noProof/>
                <w:webHidden/>
              </w:rPr>
              <w:fldChar w:fldCharType="separate"/>
            </w:r>
            <w:r w:rsidR="007D407F">
              <w:rPr>
                <w:noProof/>
                <w:webHidden/>
              </w:rPr>
              <w:t>20</w:t>
            </w:r>
            <w:r>
              <w:rPr>
                <w:noProof/>
                <w:webHidden/>
              </w:rPr>
              <w:fldChar w:fldCharType="end"/>
            </w:r>
          </w:hyperlink>
        </w:p>
        <w:p w:rsidR="007D407F" w:rsidRDefault="00916921">
          <w:pPr>
            <w:pStyle w:val="Obsah2"/>
            <w:tabs>
              <w:tab w:val="left" w:pos="880"/>
              <w:tab w:val="right" w:leader="dot" w:pos="9061"/>
            </w:tabs>
            <w:rPr>
              <w:rFonts w:asciiTheme="minorHAnsi" w:eastAsiaTheme="minorEastAsia" w:hAnsiTheme="minorHAnsi"/>
              <w:noProof/>
              <w:sz w:val="22"/>
              <w:lang w:eastAsia="cs-CZ"/>
            </w:rPr>
          </w:pPr>
          <w:hyperlink w:anchor="_Toc415452763" w:history="1">
            <w:r w:rsidR="007D407F" w:rsidRPr="00BF18BA">
              <w:rPr>
                <w:rStyle w:val="Hypertextovodkaz"/>
                <w:noProof/>
              </w:rPr>
              <w:t>4.2</w:t>
            </w:r>
            <w:r w:rsidR="007D407F">
              <w:rPr>
                <w:rFonts w:asciiTheme="minorHAnsi" w:eastAsiaTheme="minorEastAsia" w:hAnsiTheme="minorHAnsi"/>
                <w:noProof/>
                <w:sz w:val="22"/>
                <w:lang w:eastAsia="cs-CZ"/>
              </w:rPr>
              <w:tab/>
            </w:r>
            <w:r w:rsidR="007D407F" w:rsidRPr="00BF18BA">
              <w:rPr>
                <w:rStyle w:val="Hypertextovodkaz"/>
                <w:noProof/>
              </w:rPr>
              <w:t>Dědická nezpůsobilost</w:t>
            </w:r>
            <w:r w:rsidR="007D407F">
              <w:rPr>
                <w:noProof/>
                <w:webHidden/>
              </w:rPr>
              <w:tab/>
            </w:r>
            <w:r>
              <w:rPr>
                <w:noProof/>
                <w:webHidden/>
              </w:rPr>
              <w:fldChar w:fldCharType="begin"/>
            </w:r>
            <w:r w:rsidR="007D407F">
              <w:rPr>
                <w:noProof/>
                <w:webHidden/>
              </w:rPr>
              <w:instrText xml:space="preserve"> PAGEREF _Toc415452763 \h </w:instrText>
            </w:r>
            <w:r>
              <w:rPr>
                <w:noProof/>
                <w:webHidden/>
              </w:rPr>
            </w:r>
            <w:r>
              <w:rPr>
                <w:noProof/>
                <w:webHidden/>
              </w:rPr>
              <w:fldChar w:fldCharType="separate"/>
            </w:r>
            <w:r w:rsidR="007D407F">
              <w:rPr>
                <w:noProof/>
                <w:webHidden/>
              </w:rPr>
              <w:t>21</w:t>
            </w:r>
            <w:r>
              <w:rPr>
                <w:noProof/>
                <w:webHidden/>
              </w:rPr>
              <w:fldChar w:fldCharType="end"/>
            </w:r>
          </w:hyperlink>
        </w:p>
        <w:p w:rsidR="007D407F" w:rsidRDefault="00916921">
          <w:pPr>
            <w:pStyle w:val="Obsah2"/>
            <w:tabs>
              <w:tab w:val="left" w:pos="880"/>
              <w:tab w:val="right" w:leader="dot" w:pos="9061"/>
            </w:tabs>
            <w:rPr>
              <w:rFonts w:asciiTheme="minorHAnsi" w:eastAsiaTheme="minorEastAsia" w:hAnsiTheme="minorHAnsi"/>
              <w:noProof/>
              <w:sz w:val="22"/>
              <w:lang w:eastAsia="cs-CZ"/>
            </w:rPr>
          </w:pPr>
          <w:hyperlink w:anchor="_Toc415452764" w:history="1">
            <w:r w:rsidR="007D407F" w:rsidRPr="00BF18BA">
              <w:rPr>
                <w:rStyle w:val="Hypertextovodkaz"/>
                <w:noProof/>
              </w:rPr>
              <w:t>4.3</w:t>
            </w:r>
            <w:r w:rsidR="007D407F">
              <w:rPr>
                <w:rFonts w:asciiTheme="minorHAnsi" w:eastAsiaTheme="minorEastAsia" w:hAnsiTheme="minorHAnsi"/>
                <w:noProof/>
                <w:sz w:val="22"/>
                <w:lang w:eastAsia="cs-CZ"/>
              </w:rPr>
              <w:tab/>
            </w:r>
            <w:r w:rsidR="007D407F" w:rsidRPr="00BF18BA">
              <w:rPr>
                <w:rStyle w:val="Hypertextovodkaz"/>
                <w:noProof/>
              </w:rPr>
              <w:t>Nepominutelný dědic</w:t>
            </w:r>
            <w:r w:rsidR="007D407F">
              <w:rPr>
                <w:noProof/>
                <w:webHidden/>
              </w:rPr>
              <w:tab/>
            </w:r>
            <w:r>
              <w:rPr>
                <w:noProof/>
                <w:webHidden/>
              </w:rPr>
              <w:fldChar w:fldCharType="begin"/>
            </w:r>
            <w:r w:rsidR="007D407F">
              <w:rPr>
                <w:noProof/>
                <w:webHidden/>
              </w:rPr>
              <w:instrText xml:space="preserve"> PAGEREF _Toc415452764 \h </w:instrText>
            </w:r>
            <w:r>
              <w:rPr>
                <w:noProof/>
                <w:webHidden/>
              </w:rPr>
            </w:r>
            <w:r>
              <w:rPr>
                <w:noProof/>
                <w:webHidden/>
              </w:rPr>
              <w:fldChar w:fldCharType="separate"/>
            </w:r>
            <w:r w:rsidR="007D407F">
              <w:rPr>
                <w:noProof/>
                <w:webHidden/>
              </w:rPr>
              <w:t>22</w:t>
            </w:r>
            <w:r>
              <w:rPr>
                <w:noProof/>
                <w:webHidden/>
              </w:rPr>
              <w:fldChar w:fldCharType="end"/>
            </w:r>
          </w:hyperlink>
        </w:p>
        <w:p w:rsidR="007D407F" w:rsidRDefault="00916921">
          <w:pPr>
            <w:pStyle w:val="Obsah3"/>
            <w:tabs>
              <w:tab w:val="left" w:pos="1320"/>
              <w:tab w:val="right" w:leader="dot" w:pos="9061"/>
            </w:tabs>
            <w:rPr>
              <w:rFonts w:asciiTheme="minorHAnsi" w:eastAsiaTheme="minorEastAsia" w:hAnsiTheme="minorHAnsi"/>
              <w:noProof/>
              <w:sz w:val="22"/>
              <w:lang w:eastAsia="cs-CZ"/>
            </w:rPr>
          </w:pPr>
          <w:hyperlink w:anchor="_Toc415452765" w:history="1">
            <w:r w:rsidR="007D407F" w:rsidRPr="00BF18BA">
              <w:rPr>
                <w:rStyle w:val="Hypertextovodkaz"/>
                <w:noProof/>
              </w:rPr>
              <w:t>4.3.1</w:t>
            </w:r>
            <w:r w:rsidR="007D407F">
              <w:rPr>
                <w:rFonts w:asciiTheme="minorHAnsi" w:eastAsiaTheme="minorEastAsia" w:hAnsiTheme="minorHAnsi"/>
                <w:noProof/>
                <w:sz w:val="22"/>
                <w:lang w:eastAsia="cs-CZ"/>
              </w:rPr>
              <w:tab/>
            </w:r>
            <w:r w:rsidR="007D407F" w:rsidRPr="00BF18BA">
              <w:rPr>
                <w:rStyle w:val="Hypertextovodkaz"/>
                <w:noProof/>
              </w:rPr>
              <w:t>Vydědění</w:t>
            </w:r>
            <w:r w:rsidR="007D407F">
              <w:rPr>
                <w:noProof/>
                <w:webHidden/>
              </w:rPr>
              <w:tab/>
            </w:r>
            <w:r>
              <w:rPr>
                <w:noProof/>
                <w:webHidden/>
              </w:rPr>
              <w:fldChar w:fldCharType="begin"/>
            </w:r>
            <w:r w:rsidR="007D407F">
              <w:rPr>
                <w:noProof/>
                <w:webHidden/>
              </w:rPr>
              <w:instrText xml:space="preserve"> PAGEREF _Toc415452765 \h </w:instrText>
            </w:r>
            <w:r>
              <w:rPr>
                <w:noProof/>
                <w:webHidden/>
              </w:rPr>
            </w:r>
            <w:r>
              <w:rPr>
                <w:noProof/>
                <w:webHidden/>
              </w:rPr>
              <w:fldChar w:fldCharType="separate"/>
            </w:r>
            <w:r w:rsidR="007D407F">
              <w:rPr>
                <w:noProof/>
                <w:webHidden/>
              </w:rPr>
              <w:t>23</w:t>
            </w:r>
            <w:r>
              <w:rPr>
                <w:noProof/>
                <w:webHidden/>
              </w:rPr>
              <w:fldChar w:fldCharType="end"/>
            </w:r>
          </w:hyperlink>
        </w:p>
        <w:p w:rsidR="007D407F" w:rsidRDefault="00916921">
          <w:pPr>
            <w:pStyle w:val="Obsah2"/>
            <w:tabs>
              <w:tab w:val="left" w:pos="880"/>
              <w:tab w:val="right" w:leader="dot" w:pos="9061"/>
            </w:tabs>
            <w:rPr>
              <w:rFonts w:asciiTheme="minorHAnsi" w:eastAsiaTheme="minorEastAsia" w:hAnsiTheme="minorHAnsi"/>
              <w:noProof/>
              <w:sz w:val="22"/>
              <w:lang w:eastAsia="cs-CZ"/>
            </w:rPr>
          </w:pPr>
          <w:hyperlink w:anchor="_Toc415452766" w:history="1">
            <w:r w:rsidR="007D407F" w:rsidRPr="00BF18BA">
              <w:rPr>
                <w:rStyle w:val="Hypertextovodkaz"/>
                <w:noProof/>
              </w:rPr>
              <w:t>4.4</w:t>
            </w:r>
            <w:r w:rsidR="007D407F">
              <w:rPr>
                <w:rFonts w:asciiTheme="minorHAnsi" w:eastAsiaTheme="minorEastAsia" w:hAnsiTheme="minorHAnsi"/>
                <w:noProof/>
                <w:sz w:val="22"/>
                <w:lang w:eastAsia="cs-CZ"/>
              </w:rPr>
              <w:tab/>
            </w:r>
            <w:r w:rsidR="007D407F" w:rsidRPr="00BF18BA">
              <w:rPr>
                <w:rStyle w:val="Hypertextovodkaz"/>
                <w:noProof/>
              </w:rPr>
              <w:t>Vedlejší doložky závěti</w:t>
            </w:r>
            <w:r w:rsidR="007D407F">
              <w:rPr>
                <w:noProof/>
                <w:webHidden/>
              </w:rPr>
              <w:tab/>
            </w:r>
            <w:r>
              <w:rPr>
                <w:noProof/>
                <w:webHidden/>
              </w:rPr>
              <w:fldChar w:fldCharType="begin"/>
            </w:r>
            <w:r w:rsidR="007D407F">
              <w:rPr>
                <w:noProof/>
                <w:webHidden/>
              </w:rPr>
              <w:instrText xml:space="preserve"> PAGEREF _Toc415452766 \h </w:instrText>
            </w:r>
            <w:r>
              <w:rPr>
                <w:noProof/>
                <w:webHidden/>
              </w:rPr>
            </w:r>
            <w:r>
              <w:rPr>
                <w:noProof/>
                <w:webHidden/>
              </w:rPr>
              <w:fldChar w:fldCharType="separate"/>
            </w:r>
            <w:r w:rsidR="007D407F">
              <w:rPr>
                <w:noProof/>
                <w:webHidden/>
              </w:rPr>
              <w:t>26</w:t>
            </w:r>
            <w:r>
              <w:rPr>
                <w:noProof/>
                <w:webHidden/>
              </w:rPr>
              <w:fldChar w:fldCharType="end"/>
            </w:r>
          </w:hyperlink>
        </w:p>
        <w:p w:rsidR="007D407F" w:rsidRDefault="00916921">
          <w:pPr>
            <w:pStyle w:val="Obsah3"/>
            <w:tabs>
              <w:tab w:val="left" w:pos="1320"/>
              <w:tab w:val="right" w:leader="dot" w:pos="9061"/>
            </w:tabs>
            <w:rPr>
              <w:rFonts w:asciiTheme="minorHAnsi" w:eastAsiaTheme="minorEastAsia" w:hAnsiTheme="minorHAnsi"/>
              <w:noProof/>
              <w:sz w:val="22"/>
              <w:lang w:eastAsia="cs-CZ"/>
            </w:rPr>
          </w:pPr>
          <w:hyperlink w:anchor="_Toc415452767" w:history="1">
            <w:r w:rsidR="007D407F" w:rsidRPr="00BF18BA">
              <w:rPr>
                <w:rStyle w:val="Hypertextovodkaz"/>
                <w:noProof/>
              </w:rPr>
              <w:t>4.4.1</w:t>
            </w:r>
            <w:r w:rsidR="007D407F">
              <w:rPr>
                <w:rFonts w:asciiTheme="minorHAnsi" w:eastAsiaTheme="minorEastAsia" w:hAnsiTheme="minorHAnsi"/>
                <w:noProof/>
                <w:sz w:val="22"/>
                <w:lang w:eastAsia="cs-CZ"/>
              </w:rPr>
              <w:tab/>
            </w:r>
            <w:r w:rsidR="007D407F" w:rsidRPr="00BF18BA">
              <w:rPr>
                <w:rStyle w:val="Hypertextovodkaz"/>
                <w:noProof/>
              </w:rPr>
              <w:t>Podmínky</w:t>
            </w:r>
            <w:r w:rsidR="007D407F">
              <w:rPr>
                <w:noProof/>
                <w:webHidden/>
              </w:rPr>
              <w:tab/>
            </w:r>
            <w:r>
              <w:rPr>
                <w:noProof/>
                <w:webHidden/>
              </w:rPr>
              <w:fldChar w:fldCharType="begin"/>
            </w:r>
            <w:r w:rsidR="007D407F">
              <w:rPr>
                <w:noProof/>
                <w:webHidden/>
              </w:rPr>
              <w:instrText xml:space="preserve"> PAGEREF _Toc415452767 \h </w:instrText>
            </w:r>
            <w:r>
              <w:rPr>
                <w:noProof/>
                <w:webHidden/>
              </w:rPr>
            </w:r>
            <w:r>
              <w:rPr>
                <w:noProof/>
                <w:webHidden/>
              </w:rPr>
              <w:fldChar w:fldCharType="separate"/>
            </w:r>
            <w:r w:rsidR="007D407F">
              <w:rPr>
                <w:noProof/>
                <w:webHidden/>
              </w:rPr>
              <w:t>26</w:t>
            </w:r>
            <w:r>
              <w:rPr>
                <w:noProof/>
                <w:webHidden/>
              </w:rPr>
              <w:fldChar w:fldCharType="end"/>
            </w:r>
          </w:hyperlink>
        </w:p>
        <w:p w:rsidR="007D407F" w:rsidRDefault="00916921">
          <w:pPr>
            <w:pStyle w:val="Obsah3"/>
            <w:tabs>
              <w:tab w:val="left" w:pos="1320"/>
              <w:tab w:val="right" w:leader="dot" w:pos="9061"/>
            </w:tabs>
            <w:rPr>
              <w:rFonts w:asciiTheme="minorHAnsi" w:eastAsiaTheme="minorEastAsia" w:hAnsiTheme="minorHAnsi"/>
              <w:noProof/>
              <w:sz w:val="22"/>
              <w:lang w:eastAsia="cs-CZ"/>
            </w:rPr>
          </w:pPr>
          <w:hyperlink w:anchor="_Toc415452768" w:history="1">
            <w:r w:rsidR="007D407F" w:rsidRPr="00BF18BA">
              <w:rPr>
                <w:rStyle w:val="Hypertextovodkaz"/>
                <w:noProof/>
              </w:rPr>
              <w:t>4.4.2</w:t>
            </w:r>
            <w:r w:rsidR="007D407F">
              <w:rPr>
                <w:rFonts w:asciiTheme="minorHAnsi" w:eastAsiaTheme="minorEastAsia" w:hAnsiTheme="minorHAnsi"/>
                <w:noProof/>
                <w:sz w:val="22"/>
                <w:lang w:eastAsia="cs-CZ"/>
              </w:rPr>
              <w:tab/>
            </w:r>
            <w:r w:rsidR="007D407F" w:rsidRPr="00BF18BA">
              <w:rPr>
                <w:rStyle w:val="Hypertextovodkaz"/>
                <w:noProof/>
              </w:rPr>
              <w:t>Doložení času</w:t>
            </w:r>
            <w:r w:rsidR="007D407F">
              <w:rPr>
                <w:noProof/>
                <w:webHidden/>
              </w:rPr>
              <w:tab/>
            </w:r>
            <w:r>
              <w:rPr>
                <w:noProof/>
                <w:webHidden/>
              </w:rPr>
              <w:fldChar w:fldCharType="begin"/>
            </w:r>
            <w:r w:rsidR="007D407F">
              <w:rPr>
                <w:noProof/>
                <w:webHidden/>
              </w:rPr>
              <w:instrText xml:space="preserve"> PAGEREF _Toc415452768 \h </w:instrText>
            </w:r>
            <w:r>
              <w:rPr>
                <w:noProof/>
                <w:webHidden/>
              </w:rPr>
            </w:r>
            <w:r>
              <w:rPr>
                <w:noProof/>
                <w:webHidden/>
              </w:rPr>
              <w:fldChar w:fldCharType="separate"/>
            </w:r>
            <w:r w:rsidR="007D407F">
              <w:rPr>
                <w:noProof/>
                <w:webHidden/>
              </w:rPr>
              <w:t>27</w:t>
            </w:r>
            <w:r>
              <w:rPr>
                <w:noProof/>
                <w:webHidden/>
              </w:rPr>
              <w:fldChar w:fldCharType="end"/>
            </w:r>
          </w:hyperlink>
        </w:p>
        <w:p w:rsidR="007D407F" w:rsidRDefault="00916921">
          <w:pPr>
            <w:pStyle w:val="Obsah3"/>
            <w:tabs>
              <w:tab w:val="left" w:pos="1320"/>
              <w:tab w:val="right" w:leader="dot" w:pos="9061"/>
            </w:tabs>
            <w:rPr>
              <w:rFonts w:asciiTheme="minorHAnsi" w:eastAsiaTheme="minorEastAsia" w:hAnsiTheme="minorHAnsi"/>
              <w:noProof/>
              <w:sz w:val="22"/>
              <w:lang w:eastAsia="cs-CZ"/>
            </w:rPr>
          </w:pPr>
          <w:hyperlink w:anchor="_Toc415452769" w:history="1">
            <w:r w:rsidR="007D407F" w:rsidRPr="00BF18BA">
              <w:rPr>
                <w:rStyle w:val="Hypertextovodkaz"/>
                <w:noProof/>
              </w:rPr>
              <w:t>4.4.3</w:t>
            </w:r>
            <w:r w:rsidR="007D407F">
              <w:rPr>
                <w:rFonts w:asciiTheme="minorHAnsi" w:eastAsiaTheme="minorEastAsia" w:hAnsiTheme="minorHAnsi"/>
                <w:noProof/>
                <w:sz w:val="22"/>
                <w:lang w:eastAsia="cs-CZ"/>
              </w:rPr>
              <w:tab/>
            </w:r>
            <w:r w:rsidR="007D407F" w:rsidRPr="00BF18BA">
              <w:rPr>
                <w:rStyle w:val="Hypertextovodkaz"/>
                <w:noProof/>
              </w:rPr>
              <w:t>Příkaz</w:t>
            </w:r>
            <w:r w:rsidR="007D407F">
              <w:rPr>
                <w:noProof/>
                <w:webHidden/>
              </w:rPr>
              <w:tab/>
            </w:r>
            <w:r>
              <w:rPr>
                <w:noProof/>
                <w:webHidden/>
              </w:rPr>
              <w:fldChar w:fldCharType="begin"/>
            </w:r>
            <w:r w:rsidR="007D407F">
              <w:rPr>
                <w:noProof/>
                <w:webHidden/>
              </w:rPr>
              <w:instrText xml:space="preserve"> PAGEREF _Toc415452769 \h </w:instrText>
            </w:r>
            <w:r>
              <w:rPr>
                <w:noProof/>
                <w:webHidden/>
              </w:rPr>
            </w:r>
            <w:r>
              <w:rPr>
                <w:noProof/>
                <w:webHidden/>
              </w:rPr>
              <w:fldChar w:fldCharType="separate"/>
            </w:r>
            <w:r w:rsidR="007D407F">
              <w:rPr>
                <w:noProof/>
                <w:webHidden/>
              </w:rPr>
              <w:t>28</w:t>
            </w:r>
            <w:r>
              <w:rPr>
                <w:noProof/>
                <w:webHidden/>
              </w:rPr>
              <w:fldChar w:fldCharType="end"/>
            </w:r>
          </w:hyperlink>
        </w:p>
        <w:p w:rsidR="007D407F" w:rsidRDefault="00916921">
          <w:pPr>
            <w:pStyle w:val="Obsah2"/>
            <w:tabs>
              <w:tab w:val="left" w:pos="880"/>
              <w:tab w:val="right" w:leader="dot" w:pos="9061"/>
            </w:tabs>
            <w:rPr>
              <w:rFonts w:asciiTheme="minorHAnsi" w:eastAsiaTheme="minorEastAsia" w:hAnsiTheme="minorHAnsi"/>
              <w:noProof/>
              <w:sz w:val="22"/>
              <w:lang w:eastAsia="cs-CZ"/>
            </w:rPr>
          </w:pPr>
          <w:hyperlink w:anchor="_Toc415452770" w:history="1">
            <w:r w:rsidR="007D407F" w:rsidRPr="00BF18BA">
              <w:rPr>
                <w:rStyle w:val="Hypertextovodkaz"/>
                <w:noProof/>
              </w:rPr>
              <w:t>4.5</w:t>
            </w:r>
            <w:r w:rsidR="007D407F">
              <w:rPr>
                <w:rFonts w:asciiTheme="minorHAnsi" w:eastAsiaTheme="minorEastAsia" w:hAnsiTheme="minorHAnsi"/>
                <w:noProof/>
                <w:sz w:val="22"/>
                <w:lang w:eastAsia="cs-CZ"/>
              </w:rPr>
              <w:tab/>
            </w:r>
            <w:r w:rsidR="007D407F" w:rsidRPr="00BF18BA">
              <w:rPr>
                <w:rStyle w:val="Hypertextovodkaz"/>
                <w:noProof/>
              </w:rPr>
              <w:t>Dědická substituce</w:t>
            </w:r>
            <w:r w:rsidR="007D407F">
              <w:rPr>
                <w:noProof/>
                <w:webHidden/>
              </w:rPr>
              <w:tab/>
            </w:r>
            <w:r>
              <w:rPr>
                <w:noProof/>
                <w:webHidden/>
              </w:rPr>
              <w:fldChar w:fldCharType="begin"/>
            </w:r>
            <w:r w:rsidR="007D407F">
              <w:rPr>
                <w:noProof/>
                <w:webHidden/>
              </w:rPr>
              <w:instrText xml:space="preserve"> PAGEREF _Toc415452770 \h </w:instrText>
            </w:r>
            <w:r>
              <w:rPr>
                <w:noProof/>
                <w:webHidden/>
              </w:rPr>
            </w:r>
            <w:r>
              <w:rPr>
                <w:noProof/>
                <w:webHidden/>
              </w:rPr>
              <w:fldChar w:fldCharType="separate"/>
            </w:r>
            <w:r w:rsidR="007D407F">
              <w:rPr>
                <w:noProof/>
                <w:webHidden/>
              </w:rPr>
              <w:t>30</w:t>
            </w:r>
            <w:r>
              <w:rPr>
                <w:noProof/>
                <w:webHidden/>
              </w:rPr>
              <w:fldChar w:fldCharType="end"/>
            </w:r>
          </w:hyperlink>
        </w:p>
        <w:p w:rsidR="007D407F" w:rsidRDefault="00916921">
          <w:pPr>
            <w:pStyle w:val="Obsah3"/>
            <w:tabs>
              <w:tab w:val="left" w:pos="1320"/>
              <w:tab w:val="right" w:leader="dot" w:pos="9061"/>
            </w:tabs>
            <w:rPr>
              <w:rFonts w:asciiTheme="minorHAnsi" w:eastAsiaTheme="minorEastAsia" w:hAnsiTheme="minorHAnsi"/>
              <w:noProof/>
              <w:sz w:val="22"/>
              <w:lang w:eastAsia="cs-CZ"/>
            </w:rPr>
          </w:pPr>
          <w:hyperlink w:anchor="_Toc415452771" w:history="1">
            <w:r w:rsidR="007D407F" w:rsidRPr="00BF18BA">
              <w:rPr>
                <w:rStyle w:val="Hypertextovodkaz"/>
                <w:noProof/>
              </w:rPr>
              <w:t>4.5.1</w:t>
            </w:r>
            <w:r w:rsidR="007D407F">
              <w:rPr>
                <w:rFonts w:asciiTheme="minorHAnsi" w:eastAsiaTheme="minorEastAsia" w:hAnsiTheme="minorHAnsi"/>
                <w:noProof/>
                <w:sz w:val="22"/>
                <w:lang w:eastAsia="cs-CZ"/>
              </w:rPr>
              <w:tab/>
            </w:r>
            <w:r w:rsidR="007D407F" w:rsidRPr="00BF18BA">
              <w:rPr>
                <w:rStyle w:val="Hypertextovodkaz"/>
                <w:noProof/>
              </w:rPr>
              <w:t>Náhradnictví</w:t>
            </w:r>
            <w:r w:rsidR="007D407F">
              <w:rPr>
                <w:noProof/>
                <w:webHidden/>
              </w:rPr>
              <w:tab/>
            </w:r>
            <w:r>
              <w:rPr>
                <w:noProof/>
                <w:webHidden/>
              </w:rPr>
              <w:fldChar w:fldCharType="begin"/>
            </w:r>
            <w:r w:rsidR="007D407F">
              <w:rPr>
                <w:noProof/>
                <w:webHidden/>
              </w:rPr>
              <w:instrText xml:space="preserve"> PAGEREF _Toc415452771 \h </w:instrText>
            </w:r>
            <w:r>
              <w:rPr>
                <w:noProof/>
                <w:webHidden/>
              </w:rPr>
            </w:r>
            <w:r>
              <w:rPr>
                <w:noProof/>
                <w:webHidden/>
              </w:rPr>
              <w:fldChar w:fldCharType="separate"/>
            </w:r>
            <w:r w:rsidR="007D407F">
              <w:rPr>
                <w:noProof/>
                <w:webHidden/>
              </w:rPr>
              <w:t>30</w:t>
            </w:r>
            <w:r>
              <w:rPr>
                <w:noProof/>
                <w:webHidden/>
              </w:rPr>
              <w:fldChar w:fldCharType="end"/>
            </w:r>
          </w:hyperlink>
        </w:p>
        <w:p w:rsidR="007D407F" w:rsidRDefault="00916921">
          <w:pPr>
            <w:pStyle w:val="Obsah3"/>
            <w:tabs>
              <w:tab w:val="left" w:pos="1320"/>
              <w:tab w:val="right" w:leader="dot" w:pos="9061"/>
            </w:tabs>
            <w:rPr>
              <w:rFonts w:asciiTheme="minorHAnsi" w:eastAsiaTheme="minorEastAsia" w:hAnsiTheme="minorHAnsi"/>
              <w:noProof/>
              <w:sz w:val="22"/>
              <w:lang w:eastAsia="cs-CZ"/>
            </w:rPr>
          </w:pPr>
          <w:hyperlink w:anchor="_Toc415452772" w:history="1">
            <w:r w:rsidR="007D407F" w:rsidRPr="00BF18BA">
              <w:rPr>
                <w:rStyle w:val="Hypertextovodkaz"/>
                <w:noProof/>
              </w:rPr>
              <w:t>4.5.2</w:t>
            </w:r>
            <w:r w:rsidR="007D407F">
              <w:rPr>
                <w:rFonts w:asciiTheme="minorHAnsi" w:eastAsiaTheme="minorEastAsia" w:hAnsiTheme="minorHAnsi"/>
                <w:noProof/>
                <w:sz w:val="22"/>
                <w:lang w:eastAsia="cs-CZ"/>
              </w:rPr>
              <w:tab/>
            </w:r>
            <w:r w:rsidR="007D407F" w:rsidRPr="00BF18BA">
              <w:rPr>
                <w:rStyle w:val="Hypertextovodkaz"/>
                <w:noProof/>
              </w:rPr>
              <w:t>Svěřenské nástupnictví</w:t>
            </w:r>
            <w:r w:rsidR="007D407F">
              <w:rPr>
                <w:noProof/>
                <w:webHidden/>
              </w:rPr>
              <w:tab/>
            </w:r>
            <w:r>
              <w:rPr>
                <w:noProof/>
                <w:webHidden/>
              </w:rPr>
              <w:fldChar w:fldCharType="begin"/>
            </w:r>
            <w:r w:rsidR="007D407F">
              <w:rPr>
                <w:noProof/>
                <w:webHidden/>
              </w:rPr>
              <w:instrText xml:space="preserve"> PAGEREF _Toc415452772 \h </w:instrText>
            </w:r>
            <w:r>
              <w:rPr>
                <w:noProof/>
                <w:webHidden/>
              </w:rPr>
            </w:r>
            <w:r>
              <w:rPr>
                <w:noProof/>
                <w:webHidden/>
              </w:rPr>
              <w:fldChar w:fldCharType="separate"/>
            </w:r>
            <w:r w:rsidR="007D407F">
              <w:rPr>
                <w:noProof/>
                <w:webHidden/>
              </w:rPr>
              <w:t>31</w:t>
            </w:r>
            <w:r>
              <w:rPr>
                <w:noProof/>
                <w:webHidden/>
              </w:rPr>
              <w:fldChar w:fldCharType="end"/>
            </w:r>
          </w:hyperlink>
        </w:p>
        <w:p w:rsidR="007D407F" w:rsidRDefault="00916921">
          <w:pPr>
            <w:pStyle w:val="Obsah1"/>
            <w:tabs>
              <w:tab w:val="left" w:pos="480"/>
            </w:tabs>
            <w:rPr>
              <w:rFonts w:asciiTheme="minorHAnsi" w:eastAsiaTheme="minorEastAsia" w:hAnsiTheme="minorHAnsi"/>
              <w:noProof/>
              <w:sz w:val="22"/>
              <w:lang w:eastAsia="cs-CZ"/>
            </w:rPr>
          </w:pPr>
          <w:hyperlink w:anchor="_Toc415452773" w:history="1">
            <w:r w:rsidR="007D407F" w:rsidRPr="00BF18BA">
              <w:rPr>
                <w:rStyle w:val="Hypertextovodkaz"/>
                <w:noProof/>
              </w:rPr>
              <w:t>5</w:t>
            </w:r>
            <w:r w:rsidR="007D407F">
              <w:rPr>
                <w:rFonts w:asciiTheme="minorHAnsi" w:eastAsiaTheme="minorEastAsia" w:hAnsiTheme="minorHAnsi"/>
                <w:noProof/>
                <w:sz w:val="22"/>
                <w:lang w:eastAsia="cs-CZ"/>
              </w:rPr>
              <w:tab/>
            </w:r>
            <w:r w:rsidR="007D407F" w:rsidRPr="00BF18BA">
              <w:rPr>
                <w:rStyle w:val="Hypertextovodkaz"/>
                <w:noProof/>
              </w:rPr>
              <w:t>Formy závěti</w:t>
            </w:r>
            <w:r w:rsidR="007D407F">
              <w:rPr>
                <w:noProof/>
                <w:webHidden/>
              </w:rPr>
              <w:tab/>
            </w:r>
            <w:r>
              <w:rPr>
                <w:noProof/>
                <w:webHidden/>
              </w:rPr>
              <w:fldChar w:fldCharType="begin"/>
            </w:r>
            <w:r w:rsidR="007D407F">
              <w:rPr>
                <w:noProof/>
                <w:webHidden/>
              </w:rPr>
              <w:instrText xml:space="preserve"> PAGEREF _Toc415452773 \h </w:instrText>
            </w:r>
            <w:r>
              <w:rPr>
                <w:noProof/>
                <w:webHidden/>
              </w:rPr>
            </w:r>
            <w:r>
              <w:rPr>
                <w:noProof/>
                <w:webHidden/>
              </w:rPr>
              <w:fldChar w:fldCharType="separate"/>
            </w:r>
            <w:r w:rsidR="007D407F">
              <w:rPr>
                <w:noProof/>
                <w:webHidden/>
              </w:rPr>
              <w:t>33</w:t>
            </w:r>
            <w:r>
              <w:rPr>
                <w:noProof/>
                <w:webHidden/>
              </w:rPr>
              <w:fldChar w:fldCharType="end"/>
            </w:r>
          </w:hyperlink>
        </w:p>
        <w:p w:rsidR="007D407F" w:rsidRDefault="00916921">
          <w:pPr>
            <w:pStyle w:val="Obsah2"/>
            <w:tabs>
              <w:tab w:val="left" w:pos="880"/>
              <w:tab w:val="right" w:leader="dot" w:pos="9061"/>
            </w:tabs>
            <w:rPr>
              <w:rFonts w:asciiTheme="minorHAnsi" w:eastAsiaTheme="minorEastAsia" w:hAnsiTheme="minorHAnsi"/>
              <w:noProof/>
              <w:sz w:val="22"/>
              <w:lang w:eastAsia="cs-CZ"/>
            </w:rPr>
          </w:pPr>
          <w:hyperlink w:anchor="_Toc415452774" w:history="1">
            <w:r w:rsidR="007D407F" w:rsidRPr="00BF18BA">
              <w:rPr>
                <w:rStyle w:val="Hypertextovodkaz"/>
                <w:noProof/>
              </w:rPr>
              <w:t>5.1.</w:t>
            </w:r>
            <w:r w:rsidR="007D407F">
              <w:rPr>
                <w:rFonts w:asciiTheme="minorHAnsi" w:eastAsiaTheme="minorEastAsia" w:hAnsiTheme="minorHAnsi"/>
                <w:noProof/>
                <w:sz w:val="22"/>
                <w:lang w:eastAsia="cs-CZ"/>
              </w:rPr>
              <w:tab/>
            </w:r>
            <w:r w:rsidR="007D407F" w:rsidRPr="00BF18BA">
              <w:rPr>
                <w:rStyle w:val="Hypertextovodkaz"/>
                <w:noProof/>
              </w:rPr>
              <w:t>Závěti soukromé</w:t>
            </w:r>
            <w:r w:rsidR="007D407F">
              <w:rPr>
                <w:noProof/>
                <w:webHidden/>
              </w:rPr>
              <w:tab/>
            </w:r>
            <w:r>
              <w:rPr>
                <w:noProof/>
                <w:webHidden/>
              </w:rPr>
              <w:fldChar w:fldCharType="begin"/>
            </w:r>
            <w:r w:rsidR="007D407F">
              <w:rPr>
                <w:noProof/>
                <w:webHidden/>
              </w:rPr>
              <w:instrText xml:space="preserve"> PAGEREF _Toc415452774 \h </w:instrText>
            </w:r>
            <w:r>
              <w:rPr>
                <w:noProof/>
                <w:webHidden/>
              </w:rPr>
            </w:r>
            <w:r>
              <w:rPr>
                <w:noProof/>
                <w:webHidden/>
              </w:rPr>
              <w:fldChar w:fldCharType="separate"/>
            </w:r>
            <w:r w:rsidR="007D407F">
              <w:rPr>
                <w:noProof/>
                <w:webHidden/>
              </w:rPr>
              <w:t>33</w:t>
            </w:r>
            <w:r>
              <w:rPr>
                <w:noProof/>
                <w:webHidden/>
              </w:rPr>
              <w:fldChar w:fldCharType="end"/>
            </w:r>
          </w:hyperlink>
        </w:p>
        <w:p w:rsidR="007D407F" w:rsidRDefault="00916921">
          <w:pPr>
            <w:pStyle w:val="Obsah3"/>
            <w:tabs>
              <w:tab w:val="left" w:pos="1320"/>
              <w:tab w:val="right" w:leader="dot" w:pos="9061"/>
            </w:tabs>
            <w:rPr>
              <w:rFonts w:asciiTheme="minorHAnsi" w:eastAsiaTheme="minorEastAsia" w:hAnsiTheme="minorHAnsi"/>
              <w:noProof/>
              <w:sz w:val="22"/>
              <w:lang w:eastAsia="cs-CZ"/>
            </w:rPr>
          </w:pPr>
          <w:hyperlink w:anchor="_Toc415452775" w:history="1">
            <w:r w:rsidR="007D407F" w:rsidRPr="00BF18BA">
              <w:rPr>
                <w:rStyle w:val="Hypertextovodkaz"/>
                <w:noProof/>
              </w:rPr>
              <w:t>5.1.1</w:t>
            </w:r>
            <w:r w:rsidR="007D407F">
              <w:rPr>
                <w:rFonts w:asciiTheme="minorHAnsi" w:eastAsiaTheme="minorEastAsia" w:hAnsiTheme="minorHAnsi"/>
                <w:noProof/>
                <w:sz w:val="22"/>
                <w:lang w:eastAsia="cs-CZ"/>
              </w:rPr>
              <w:tab/>
            </w:r>
            <w:r w:rsidR="007D407F" w:rsidRPr="00BF18BA">
              <w:rPr>
                <w:rStyle w:val="Hypertextovodkaz"/>
                <w:noProof/>
              </w:rPr>
              <w:t>Holografní závěť</w:t>
            </w:r>
            <w:r w:rsidR="007D407F">
              <w:rPr>
                <w:noProof/>
                <w:webHidden/>
              </w:rPr>
              <w:tab/>
            </w:r>
            <w:r>
              <w:rPr>
                <w:noProof/>
                <w:webHidden/>
              </w:rPr>
              <w:fldChar w:fldCharType="begin"/>
            </w:r>
            <w:r w:rsidR="007D407F">
              <w:rPr>
                <w:noProof/>
                <w:webHidden/>
              </w:rPr>
              <w:instrText xml:space="preserve"> PAGEREF _Toc415452775 \h </w:instrText>
            </w:r>
            <w:r>
              <w:rPr>
                <w:noProof/>
                <w:webHidden/>
              </w:rPr>
            </w:r>
            <w:r>
              <w:rPr>
                <w:noProof/>
                <w:webHidden/>
              </w:rPr>
              <w:fldChar w:fldCharType="separate"/>
            </w:r>
            <w:r w:rsidR="007D407F">
              <w:rPr>
                <w:noProof/>
                <w:webHidden/>
              </w:rPr>
              <w:t>33</w:t>
            </w:r>
            <w:r>
              <w:rPr>
                <w:noProof/>
                <w:webHidden/>
              </w:rPr>
              <w:fldChar w:fldCharType="end"/>
            </w:r>
          </w:hyperlink>
        </w:p>
        <w:p w:rsidR="007D407F" w:rsidRDefault="00916921">
          <w:pPr>
            <w:pStyle w:val="Obsah3"/>
            <w:tabs>
              <w:tab w:val="left" w:pos="1320"/>
              <w:tab w:val="right" w:leader="dot" w:pos="9061"/>
            </w:tabs>
            <w:rPr>
              <w:rFonts w:asciiTheme="minorHAnsi" w:eastAsiaTheme="minorEastAsia" w:hAnsiTheme="minorHAnsi"/>
              <w:noProof/>
              <w:sz w:val="22"/>
              <w:lang w:eastAsia="cs-CZ"/>
            </w:rPr>
          </w:pPr>
          <w:hyperlink w:anchor="_Toc415452776" w:history="1">
            <w:r w:rsidR="007D407F" w:rsidRPr="00BF18BA">
              <w:rPr>
                <w:rStyle w:val="Hypertextovodkaz"/>
                <w:noProof/>
              </w:rPr>
              <w:t>5.1.2</w:t>
            </w:r>
            <w:r w:rsidR="007D407F">
              <w:rPr>
                <w:rFonts w:asciiTheme="minorHAnsi" w:eastAsiaTheme="minorEastAsia" w:hAnsiTheme="minorHAnsi"/>
                <w:noProof/>
                <w:sz w:val="22"/>
                <w:lang w:eastAsia="cs-CZ"/>
              </w:rPr>
              <w:tab/>
            </w:r>
            <w:r w:rsidR="007D407F" w:rsidRPr="00BF18BA">
              <w:rPr>
                <w:rStyle w:val="Hypertextovodkaz"/>
                <w:noProof/>
              </w:rPr>
              <w:t>Allografní závěť</w:t>
            </w:r>
            <w:r w:rsidR="007D407F">
              <w:rPr>
                <w:noProof/>
                <w:webHidden/>
              </w:rPr>
              <w:tab/>
            </w:r>
            <w:r>
              <w:rPr>
                <w:noProof/>
                <w:webHidden/>
              </w:rPr>
              <w:fldChar w:fldCharType="begin"/>
            </w:r>
            <w:r w:rsidR="007D407F">
              <w:rPr>
                <w:noProof/>
                <w:webHidden/>
              </w:rPr>
              <w:instrText xml:space="preserve"> PAGEREF _Toc415452776 \h </w:instrText>
            </w:r>
            <w:r>
              <w:rPr>
                <w:noProof/>
                <w:webHidden/>
              </w:rPr>
            </w:r>
            <w:r>
              <w:rPr>
                <w:noProof/>
                <w:webHidden/>
              </w:rPr>
              <w:fldChar w:fldCharType="separate"/>
            </w:r>
            <w:r w:rsidR="007D407F">
              <w:rPr>
                <w:noProof/>
                <w:webHidden/>
              </w:rPr>
              <w:t>37</w:t>
            </w:r>
            <w:r>
              <w:rPr>
                <w:noProof/>
                <w:webHidden/>
              </w:rPr>
              <w:fldChar w:fldCharType="end"/>
            </w:r>
          </w:hyperlink>
        </w:p>
        <w:p w:rsidR="007D407F" w:rsidRDefault="00916921">
          <w:pPr>
            <w:pStyle w:val="Obsah3"/>
            <w:tabs>
              <w:tab w:val="left" w:pos="1320"/>
              <w:tab w:val="right" w:leader="dot" w:pos="9061"/>
            </w:tabs>
            <w:rPr>
              <w:rFonts w:asciiTheme="minorHAnsi" w:eastAsiaTheme="minorEastAsia" w:hAnsiTheme="minorHAnsi"/>
              <w:noProof/>
              <w:sz w:val="22"/>
              <w:lang w:eastAsia="cs-CZ"/>
            </w:rPr>
          </w:pPr>
          <w:hyperlink w:anchor="_Toc415452777" w:history="1">
            <w:r w:rsidR="007D407F" w:rsidRPr="00BF18BA">
              <w:rPr>
                <w:rStyle w:val="Hypertextovodkaz"/>
                <w:noProof/>
              </w:rPr>
              <w:t>5.1.3</w:t>
            </w:r>
            <w:r w:rsidR="007D407F">
              <w:rPr>
                <w:rFonts w:asciiTheme="minorHAnsi" w:eastAsiaTheme="minorEastAsia" w:hAnsiTheme="minorHAnsi"/>
                <w:noProof/>
                <w:sz w:val="22"/>
                <w:lang w:eastAsia="cs-CZ"/>
              </w:rPr>
              <w:tab/>
            </w:r>
            <w:r w:rsidR="007D407F" w:rsidRPr="00BF18BA">
              <w:rPr>
                <w:rStyle w:val="Hypertextovodkaz"/>
                <w:noProof/>
              </w:rPr>
              <w:t>Závěť nevidomých a osob se smyslovým postižením</w:t>
            </w:r>
            <w:r w:rsidR="007D407F">
              <w:rPr>
                <w:noProof/>
                <w:webHidden/>
              </w:rPr>
              <w:tab/>
            </w:r>
            <w:r>
              <w:rPr>
                <w:noProof/>
                <w:webHidden/>
              </w:rPr>
              <w:fldChar w:fldCharType="begin"/>
            </w:r>
            <w:r w:rsidR="007D407F">
              <w:rPr>
                <w:noProof/>
                <w:webHidden/>
              </w:rPr>
              <w:instrText xml:space="preserve"> PAGEREF _Toc415452777 \h </w:instrText>
            </w:r>
            <w:r>
              <w:rPr>
                <w:noProof/>
                <w:webHidden/>
              </w:rPr>
            </w:r>
            <w:r>
              <w:rPr>
                <w:noProof/>
                <w:webHidden/>
              </w:rPr>
              <w:fldChar w:fldCharType="separate"/>
            </w:r>
            <w:r w:rsidR="007D407F">
              <w:rPr>
                <w:noProof/>
                <w:webHidden/>
              </w:rPr>
              <w:t>39</w:t>
            </w:r>
            <w:r>
              <w:rPr>
                <w:noProof/>
                <w:webHidden/>
              </w:rPr>
              <w:fldChar w:fldCharType="end"/>
            </w:r>
          </w:hyperlink>
        </w:p>
        <w:p w:rsidR="007D407F" w:rsidRDefault="00916921">
          <w:pPr>
            <w:pStyle w:val="Obsah2"/>
            <w:tabs>
              <w:tab w:val="left" w:pos="880"/>
              <w:tab w:val="right" w:leader="dot" w:pos="9061"/>
            </w:tabs>
            <w:rPr>
              <w:rFonts w:asciiTheme="minorHAnsi" w:eastAsiaTheme="minorEastAsia" w:hAnsiTheme="minorHAnsi"/>
              <w:noProof/>
              <w:sz w:val="22"/>
              <w:lang w:eastAsia="cs-CZ"/>
            </w:rPr>
          </w:pPr>
          <w:hyperlink w:anchor="_Toc415452778" w:history="1">
            <w:r w:rsidR="007D407F" w:rsidRPr="00BF18BA">
              <w:rPr>
                <w:rStyle w:val="Hypertextovodkaz"/>
                <w:noProof/>
              </w:rPr>
              <w:t>5.2</w:t>
            </w:r>
            <w:r w:rsidR="007D407F">
              <w:rPr>
                <w:rFonts w:asciiTheme="minorHAnsi" w:eastAsiaTheme="minorEastAsia" w:hAnsiTheme="minorHAnsi"/>
                <w:noProof/>
                <w:sz w:val="22"/>
                <w:lang w:eastAsia="cs-CZ"/>
              </w:rPr>
              <w:tab/>
            </w:r>
            <w:r w:rsidR="007D407F" w:rsidRPr="00BF18BA">
              <w:rPr>
                <w:rStyle w:val="Hypertextovodkaz"/>
                <w:noProof/>
              </w:rPr>
              <w:t>Závěti veřejné</w:t>
            </w:r>
            <w:r w:rsidR="007D407F">
              <w:rPr>
                <w:noProof/>
                <w:webHidden/>
              </w:rPr>
              <w:tab/>
            </w:r>
            <w:r>
              <w:rPr>
                <w:noProof/>
                <w:webHidden/>
              </w:rPr>
              <w:fldChar w:fldCharType="begin"/>
            </w:r>
            <w:r w:rsidR="007D407F">
              <w:rPr>
                <w:noProof/>
                <w:webHidden/>
              </w:rPr>
              <w:instrText xml:space="preserve"> PAGEREF _Toc415452778 \h </w:instrText>
            </w:r>
            <w:r>
              <w:rPr>
                <w:noProof/>
                <w:webHidden/>
              </w:rPr>
            </w:r>
            <w:r>
              <w:rPr>
                <w:noProof/>
                <w:webHidden/>
              </w:rPr>
              <w:fldChar w:fldCharType="separate"/>
            </w:r>
            <w:r w:rsidR="007D407F">
              <w:rPr>
                <w:noProof/>
                <w:webHidden/>
              </w:rPr>
              <w:t>41</w:t>
            </w:r>
            <w:r>
              <w:rPr>
                <w:noProof/>
                <w:webHidden/>
              </w:rPr>
              <w:fldChar w:fldCharType="end"/>
            </w:r>
          </w:hyperlink>
        </w:p>
        <w:p w:rsidR="007D407F" w:rsidRDefault="00916921">
          <w:pPr>
            <w:pStyle w:val="Obsah3"/>
            <w:tabs>
              <w:tab w:val="left" w:pos="1320"/>
              <w:tab w:val="right" w:leader="dot" w:pos="9061"/>
            </w:tabs>
            <w:rPr>
              <w:rFonts w:asciiTheme="minorHAnsi" w:eastAsiaTheme="minorEastAsia" w:hAnsiTheme="minorHAnsi"/>
              <w:noProof/>
              <w:sz w:val="22"/>
              <w:lang w:eastAsia="cs-CZ"/>
            </w:rPr>
          </w:pPr>
          <w:hyperlink w:anchor="_Toc415452779" w:history="1">
            <w:r w:rsidR="007D407F" w:rsidRPr="00BF18BA">
              <w:rPr>
                <w:rStyle w:val="Hypertextovodkaz"/>
                <w:noProof/>
              </w:rPr>
              <w:t>5.2.1</w:t>
            </w:r>
            <w:r w:rsidR="007D407F">
              <w:rPr>
                <w:rFonts w:asciiTheme="minorHAnsi" w:eastAsiaTheme="minorEastAsia" w:hAnsiTheme="minorHAnsi"/>
                <w:noProof/>
                <w:sz w:val="22"/>
                <w:lang w:eastAsia="cs-CZ"/>
              </w:rPr>
              <w:tab/>
            </w:r>
            <w:r w:rsidR="007D407F" w:rsidRPr="00BF18BA">
              <w:rPr>
                <w:rStyle w:val="Hypertextovodkaz"/>
                <w:noProof/>
              </w:rPr>
              <w:t>Závěť formou veřejné listiny</w:t>
            </w:r>
            <w:r w:rsidR="007D407F">
              <w:rPr>
                <w:noProof/>
                <w:webHidden/>
              </w:rPr>
              <w:tab/>
            </w:r>
            <w:r>
              <w:rPr>
                <w:noProof/>
                <w:webHidden/>
              </w:rPr>
              <w:fldChar w:fldCharType="begin"/>
            </w:r>
            <w:r w:rsidR="007D407F">
              <w:rPr>
                <w:noProof/>
                <w:webHidden/>
              </w:rPr>
              <w:instrText xml:space="preserve"> PAGEREF _Toc415452779 \h </w:instrText>
            </w:r>
            <w:r>
              <w:rPr>
                <w:noProof/>
                <w:webHidden/>
              </w:rPr>
            </w:r>
            <w:r>
              <w:rPr>
                <w:noProof/>
                <w:webHidden/>
              </w:rPr>
              <w:fldChar w:fldCharType="separate"/>
            </w:r>
            <w:r w:rsidR="007D407F">
              <w:rPr>
                <w:noProof/>
                <w:webHidden/>
              </w:rPr>
              <w:t>41</w:t>
            </w:r>
            <w:r>
              <w:rPr>
                <w:noProof/>
                <w:webHidden/>
              </w:rPr>
              <w:fldChar w:fldCharType="end"/>
            </w:r>
          </w:hyperlink>
        </w:p>
        <w:p w:rsidR="007D407F" w:rsidRDefault="00916921">
          <w:pPr>
            <w:pStyle w:val="Obsah2"/>
            <w:tabs>
              <w:tab w:val="left" w:pos="880"/>
              <w:tab w:val="right" w:leader="dot" w:pos="9061"/>
            </w:tabs>
            <w:rPr>
              <w:rFonts w:asciiTheme="minorHAnsi" w:eastAsiaTheme="minorEastAsia" w:hAnsiTheme="minorHAnsi"/>
              <w:noProof/>
              <w:sz w:val="22"/>
              <w:lang w:eastAsia="cs-CZ"/>
            </w:rPr>
          </w:pPr>
          <w:hyperlink w:anchor="_Toc415452780" w:history="1">
            <w:r w:rsidR="007D407F" w:rsidRPr="00BF18BA">
              <w:rPr>
                <w:rStyle w:val="Hypertextovodkaz"/>
                <w:noProof/>
              </w:rPr>
              <w:t>5.3</w:t>
            </w:r>
            <w:r w:rsidR="007D407F">
              <w:rPr>
                <w:rFonts w:asciiTheme="minorHAnsi" w:eastAsiaTheme="minorEastAsia" w:hAnsiTheme="minorHAnsi"/>
                <w:noProof/>
                <w:sz w:val="22"/>
                <w:lang w:eastAsia="cs-CZ"/>
              </w:rPr>
              <w:tab/>
            </w:r>
            <w:r w:rsidR="007D407F" w:rsidRPr="00BF18BA">
              <w:rPr>
                <w:rStyle w:val="Hypertextovodkaz"/>
                <w:noProof/>
              </w:rPr>
              <w:t>Závěti s úlevami</w:t>
            </w:r>
            <w:r w:rsidR="007D407F">
              <w:rPr>
                <w:noProof/>
                <w:webHidden/>
              </w:rPr>
              <w:tab/>
            </w:r>
            <w:r>
              <w:rPr>
                <w:noProof/>
                <w:webHidden/>
              </w:rPr>
              <w:fldChar w:fldCharType="begin"/>
            </w:r>
            <w:r w:rsidR="007D407F">
              <w:rPr>
                <w:noProof/>
                <w:webHidden/>
              </w:rPr>
              <w:instrText xml:space="preserve"> PAGEREF _Toc415452780 \h </w:instrText>
            </w:r>
            <w:r>
              <w:rPr>
                <w:noProof/>
                <w:webHidden/>
              </w:rPr>
            </w:r>
            <w:r>
              <w:rPr>
                <w:noProof/>
                <w:webHidden/>
              </w:rPr>
              <w:fldChar w:fldCharType="separate"/>
            </w:r>
            <w:r w:rsidR="007D407F">
              <w:rPr>
                <w:noProof/>
                <w:webHidden/>
              </w:rPr>
              <w:t>43</w:t>
            </w:r>
            <w:r>
              <w:rPr>
                <w:noProof/>
                <w:webHidden/>
              </w:rPr>
              <w:fldChar w:fldCharType="end"/>
            </w:r>
          </w:hyperlink>
        </w:p>
        <w:p w:rsidR="007D407F" w:rsidRDefault="00916921">
          <w:pPr>
            <w:pStyle w:val="Obsah3"/>
            <w:tabs>
              <w:tab w:val="left" w:pos="1320"/>
              <w:tab w:val="right" w:leader="dot" w:pos="9061"/>
            </w:tabs>
            <w:rPr>
              <w:rFonts w:asciiTheme="minorHAnsi" w:eastAsiaTheme="minorEastAsia" w:hAnsiTheme="minorHAnsi"/>
              <w:noProof/>
              <w:sz w:val="22"/>
              <w:lang w:eastAsia="cs-CZ"/>
            </w:rPr>
          </w:pPr>
          <w:hyperlink w:anchor="_Toc415452781" w:history="1">
            <w:r w:rsidR="007D407F" w:rsidRPr="00BF18BA">
              <w:rPr>
                <w:rStyle w:val="Hypertextovodkaz"/>
                <w:noProof/>
              </w:rPr>
              <w:t>5.3.1</w:t>
            </w:r>
            <w:r w:rsidR="007D407F">
              <w:rPr>
                <w:rFonts w:asciiTheme="minorHAnsi" w:eastAsiaTheme="minorEastAsia" w:hAnsiTheme="minorHAnsi"/>
                <w:noProof/>
                <w:sz w:val="22"/>
                <w:lang w:eastAsia="cs-CZ"/>
              </w:rPr>
              <w:tab/>
            </w:r>
            <w:r w:rsidR="007D407F" w:rsidRPr="00BF18BA">
              <w:rPr>
                <w:rStyle w:val="Hypertextovodkaz"/>
                <w:noProof/>
              </w:rPr>
              <w:t>Závěť při nenadálé události</w:t>
            </w:r>
            <w:r w:rsidR="007D407F">
              <w:rPr>
                <w:noProof/>
                <w:webHidden/>
              </w:rPr>
              <w:tab/>
            </w:r>
            <w:r>
              <w:rPr>
                <w:noProof/>
                <w:webHidden/>
              </w:rPr>
              <w:fldChar w:fldCharType="begin"/>
            </w:r>
            <w:r w:rsidR="007D407F">
              <w:rPr>
                <w:noProof/>
                <w:webHidden/>
              </w:rPr>
              <w:instrText xml:space="preserve"> PAGEREF _Toc415452781 \h </w:instrText>
            </w:r>
            <w:r>
              <w:rPr>
                <w:noProof/>
                <w:webHidden/>
              </w:rPr>
            </w:r>
            <w:r>
              <w:rPr>
                <w:noProof/>
                <w:webHidden/>
              </w:rPr>
              <w:fldChar w:fldCharType="separate"/>
            </w:r>
            <w:r w:rsidR="007D407F">
              <w:rPr>
                <w:noProof/>
                <w:webHidden/>
              </w:rPr>
              <w:t>43</w:t>
            </w:r>
            <w:r>
              <w:rPr>
                <w:noProof/>
                <w:webHidden/>
              </w:rPr>
              <w:fldChar w:fldCharType="end"/>
            </w:r>
          </w:hyperlink>
        </w:p>
        <w:p w:rsidR="007D407F" w:rsidRDefault="00916921">
          <w:pPr>
            <w:pStyle w:val="Obsah3"/>
            <w:tabs>
              <w:tab w:val="left" w:pos="1320"/>
              <w:tab w:val="right" w:leader="dot" w:pos="9061"/>
            </w:tabs>
            <w:rPr>
              <w:rFonts w:asciiTheme="minorHAnsi" w:eastAsiaTheme="minorEastAsia" w:hAnsiTheme="minorHAnsi"/>
              <w:noProof/>
              <w:sz w:val="22"/>
              <w:lang w:eastAsia="cs-CZ"/>
            </w:rPr>
          </w:pPr>
          <w:hyperlink w:anchor="_Toc415452782" w:history="1">
            <w:r w:rsidR="007D407F" w:rsidRPr="00BF18BA">
              <w:rPr>
                <w:rStyle w:val="Hypertextovodkaz"/>
                <w:noProof/>
              </w:rPr>
              <w:t>5.3.2</w:t>
            </w:r>
            <w:r w:rsidR="007D407F">
              <w:rPr>
                <w:rFonts w:asciiTheme="minorHAnsi" w:eastAsiaTheme="minorEastAsia" w:hAnsiTheme="minorHAnsi"/>
                <w:noProof/>
                <w:sz w:val="22"/>
                <w:lang w:eastAsia="cs-CZ"/>
              </w:rPr>
              <w:tab/>
            </w:r>
            <w:r w:rsidR="007D407F" w:rsidRPr="00BF18BA">
              <w:rPr>
                <w:rStyle w:val="Hypertextovodkaz"/>
                <w:noProof/>
              </w:rPr>
              <w:t>Závěť před starostou obce</w:t>
            </w:r>
            <w:r w:rsidR="007D407F">
              <w:rPr>
                <w:noProof/>
                <w:webHidden/>
              </w:rPr>
              <w:tab/>
            </w:r>
            <w:r>
              <w:rPr>
                <w:noProof/>
                <w:webHidden/>
              </w:rPr>
              <w:fldChar w:fldCharType="begin"/>
            </w:r>
            <w:r w:rsidR="007D407F">
              <w:rPr>
                <w:noProof/>
                <w:webHidden/>
              </w:rPr>
              <w:instrText xml:space="preserve"> PAGEREF _Toc415452782 \h </w:instrText>
            </w:r>
            <w:r>
              <w:rPr>
                <w:noProof/>
                <w:webHidden/>
              </w:rPr>
            </w:r>
            <w:r>
              <w:rPr>
                <w:noProof/>
                <w:webHidden/>
              </w:rPr>
              <w:fldChar w:fldCharType="separate"/>
            </w:r>
            <w:r w:rsidR="007D407F">
              <w:rPr>
                <w:noProof/>
                <w:webHidden/>
              </w:rPr>
              <w:t>44</w:t>
            </w:r>
            <w:r>
              <w:rPr>
                <w:noProof/>
                <w:webHidden/>
              </w:rPr>
              <w:fldChar w:fldCharType="end"/>
            </w:r>
          </w:hyperlink>
        </w:p>
        <w:p w:rsidR="007D407F" w:rsidRDefault="00916921">
          <w:pPr>
            <w:pStyle w:val="Obsah3"/>
            <w:tabs>
              <w:tab w:val="left" w:pos="1320"/>
              <w:tab w:val="right" w:leader="dot" w:pos="9061"/>
            </w:tabs>
            <w:rPr>
              <w:rFonts w:asciiTheme="minorHAnsi" w:eastAsiaTheme="minorEastAsia" w:hAnsiTheme="minorHAnsi"/>
              <w:noProof/>
              <w:sz w:val="22"/>
              <w:lang w:eastAsia="cs-CZ"/>
            </w:rPr>
          </w:pPr>
          <w:hyperlink w:anchor="_Toc415452783" w:history="1">
            <w:r w:rsidR="007D407F" w:rsidRPr="00BF18BA">
              <w:rPr>
                <w:rStyle w:val="Hypertextovodkaz"/>
                <w:noProof/>
              </w:rPr>
              <w:t>5.3.3</w:t>
            </w:r>
            <w:r w:rsidR="007D407F">
              <w:rPr>
                <w:rFonts w:asciiTheme="minorHAnsi" w:eastAsiaTheme="minorEastAsia" w:hAnsiTheme="minorHAnsi"/>
                <w:noProof/>
                <w:sz w:val="22"/>
                <w:lang w:eastAsia="cs-CZ"/>
              </w:rPr>
              <w:tab/>
            </w:r>
            <w:r w:rsidR="007D407F" w:rsidRPr="00BF18BA">
              <w:rPr>
                <w:rStyle w:val="Hypertextovodkaz"/>
                <w:noProof/>
              </w:rPr>
              <w:t>Závěť před velitelem lodi či letadla</w:t>
            </w:r>
            <w:r w:rsidR="007D407F">
              <w:rPr>
                <w:noProof/>
                <w:webHidden/>
              </w:rPr>
              <w:tab/>
            </w:r>
            <w:r>
              <w:rPr>
                <w:noProof/>
                <w:webHidden/>
              </w:rPr>
              <w:fldChar w:fldCharType="begin"/>
            </w:r>
            <w:r w:rsidR="007D407F">
              <w:rPr>
                <w:noProof/>
                <w:webHidden/>
              </w:rPr>
              <w:instrText xml:space="preserve"> PAGEREF _Toc415452783 \h </w:instrText>
            </w:r>
            <w:r>
              <w:rPr>
                <w:noProof/>
                <w:webHidden/>
              </w:rPr>
            </w:r>
            <w:r>
              <w:rPr>
                <w:noProof/>
                <w:webHidden/>
              </w:rPr>
              <w:fldChar w:fldCharType="separate"/>
            </w:r>
            <w:r w:rsidR="007D407F">
              <w:rPr>
                <w:noProof/>
                <w:webHidden/>
              </w:rPr>
              <w:t>46</w:t>
            </w:r>
            <w:r>
              <w:rPr>
                <w:noProof/>
                <w:webHidden/>
              </w:rPr>
              <w:fldChar w:fldCharType="end"/>
            </w:r>
          </w:hyperlink>
        </w:p>
        <w:p w:rsidR="007D407F" w:rsidRDefault="00916921">
          <w:pPr>
            <w:pStyle w:val="Obsah3"/>
            <w:tabs>
              <w:tab w:val="left" w:pos="1320"/>
              <w:tab w:val="right" w:leader="dot" w:pos="9061"/>
            </w:tabs>
            <w:rPr>
              <w:rFonts w:asciiTheme="minorHAnsi" w:eastAsiaTheme="minorEastAsia" w:hAnsiTheme="minorHAnsi"/>
              <w:noProof/>
              <w:sz w:val="22"/>
              <w:lang w:eastAsia="cs-CZ"/>
            </w:rPr>
          </w:pPr>
          <w:hyperlink w:anchor="_Toc415452784" w:history="1">
            <w:r w:rsidR="007D407F" w:rsidRPr="00BF18BA">
              <w:rPr>
                <w:rStyle w:val="Hypertextovodkaz"/>
                <w:noProof/>
              </w:rPr>
              <w:t>5.3.4</w:t>
            </w:r>
            <w:r w:rsidR="007D407F">
              <w:rPr>
                <w:rFonts w:asciiTheme="minorHAnsi" w:eastAsiaTheme="minorEastAsia" w:hAnsiTheme="minorHAnsi"/>
                <w:noProof/>
                <w:sz w:val="22"/>
                <w:lang w:eastAsia="cs-CZ"/>
              </w:rPr>
              <w:tab/>
            </w:r>
            <w:r w:rsidR="007D407F" w:rsidRPr="00BF18BA">
              <w:rPr>
                <w:rStyle w:val="Hypertextovodkaz"/>
                <w:noProof/>
              </w:rPr>
              <w:t>Závěť vojenských osob</w:t>
            </w:r>
            <w:r w:rsidR="007D407F">
              <w:rPr>
                <w:noProof/>
                <w:webHidden/>
              </w:rPr>
              <w:tab/>
            </w:r>
            <w:r>
              <w:rPr>
                <w:noProof/>
                <w:webHidden/>
              </w:rPr>
              <w:fldChar w:fldCharType="begin"/>
            </w:r>
            <w:r w:rsidR="007D407F">
              <w:rPr>
                <w:noProof/>
                <w:webHidden/>
              </w:rPr>
              <w:instrText xml:space="preserve"> PAGEREF _Toc415452784 \h </w:instrText>
            </w:r>
            <w:r>
              <w:rPr>
                <w:noProof/>
                <w:webHidden/>
              </w:rPr>
            </w:r>
            <w:r>
              <w:rPr>
                <w:noProof/>
                <w:webHidden/>
              </w:rPr>
              <w:fldChar w:fldCharType="separate"/>
            </w:r>
            <w:r w:rsidR="007D407F">
              <w:rPr>
                <w:noProof/>
                <w:webHidden/>
              </w:rPr>
              <w:t>46</w:t>
            </w:r>
            <w:r>
              <w:rPr>
                <w:noProof/>
                <w:webHidden/>
              </w:rPr>
              <w:fldChar w:fldCharType="end"/>
            </w:r>
          </w:hyperlink>
        </w:p>
        <w:p w:rsidR="007D407F" w:rsidRDefault="00916921">
          <w:pPr>
            <w:pStyle w:val="Obsah1"/>
            <w:tabs>
              <w:tab w:val="left" w:pos="480"/>
            </w:tabs>
            <w:rPr>
              <w:rFonts w:asciiTheme="minorHAnsi" w:eastAsiaTheme="minorEastAsia" w:hAnsiTheme="minorHAnsi"/>
              <w:noProof/>
              <w:sz w:val="22"/>
              <w:lang w:eastAsia="cs-CZ"/>
            </w:rPr>
          </w:pPr>
          <w:hyperlink w:anchor="_Toc415452785" w:history="1">
            <w:r w:rsidR="007D407F" w:rsidRPr="00BF18BA">
              <w:rPr>
                <w:rStyle w:val="Hypertextovodkaz"/>
                <w:noProof/>
              </w:rPr>
              <w:t>6</w:t>
            </w:r>
            <w:r w:rsidR="007D407F">
              <w:rPr>
                <w:rFonts w:asciiTheme="minorHAnsi" w:eastAsiaTheme="minorEastAsia" w:hAnsiTheme="minorHAnsi"/>
                <w:noProof/>
                <w:sz w:val="22"/>
                <w:lang w:eastAsia="cs-CZ"/>
              </w:rPr>
              <w:tab/>
            </w:r>
            <w:r w:rsidR="007D407F" w:rsidRPr="00BF18BA">
              <w:rPr>
                <w:rStyle w:val="Hypertextovodkaz"/>
                <w:noProof/>
              </w:rPr>
              <w:t>Zrušení závěti</w:t>
            </w:r>
            <w:r w:rsidR="007D407F">
              <w:rPr>
                <w:noProof/>
                <w:webHidden/>
              </w:rPr>
              <w:tab/>
            </w:r>
            <w:r>
              <w:rPr>
                <w:noProof/>
                <w:webHidden/>
              </w:rPr>
              <w:fldChar w:fldCharType="begin"/>
            </w:r>
            <w:r w:rsidR="007D407F">
              <w:rPr>
                <w:noProof/>
                <w:webHidden/>
              </w:rPr>
              <w:instrText xml:space="preserve"> PAGEREF _Toc415452785 \h </w:instrText>
            </w:r>
            <w:r>
              <w:rPr>
                <w:noProof/>
                <w:webHidden/>
              </w:rPr>
            </w:r>
            <w:r>
              <w:rPr>
                <w:noProof/>
                <w:webHidden/>
              </w:rPr>
              <w:fldChar w:fldCharType="separate"/>
            </w:r>
            <w:r w:rsidR="007D407F">
              <w:rPr>
                <w:noProof/>
                <w:webHidden/>
              </w:rPr>
              <w:t>49</w:t>
            </w:r>
            <w:r>
              <w:rPr>
                <w:noProof/>
                <w:webHidden/>
              </w:rPr>
              <w:fldChar w:fldCharType="end"/>
            </w:r>
          </w:hyperlink>
        </w:p>
        <w:p w:rsidR="007D407F" w:rsidRDefault="00916921">
          <w:pPr>
            <w:pStyle w:val="Obsah2"/>
            <w:tabs>
              <w:tab w:val="left" w:pos="880"/>
              <w:tab w:val="right" w:leader="dot" w:pos="9061"/>
            </w:tabs>
            <w:rPr>
              <w:rFonts w:asciiTheme="minorHAnsi" w:eastAsiaTheme="minorEastAsia" w:hAnsiTheme="minorHAnsi"/>
              <w:noProof/>
              <w:sz w:val="22"/>
              <w:lang w:eastAsia="cs-CZ"/>
            </w:rPr>
          </w:pPr>
          <w:hyperlink w:anchor="_Toc415452786" w:history="1">
            <w:r w:rsidR="007D407F" w:rsidRPr="00BF18BA">
              <w:rPr>
                <w:rStyle w:val="Hypertextovodkaz"/>
                <w:noProof/>
              </w:rPr>
              <w:t>6.1</w:t>
            </w:r>
            <w:r w:rsidR="007D407F">
              <w:rPr>
                <w:rFonts w:asciiTheme="minorHAnsi" w:eastAsiaTheme="minorEastAsia" w:hAnsiTheme="minorHAnsi"/>
                <w:noProof/>
                <w:sz w:val="22"/>
                <w:lang w:eastAsia="cs-CZ"/>
              </w:rPr>
              <w:tab/>
            </w:r>
            <w:r w:rsidR="007D407F" w:rsidRPr="00BF18BA">
              <w:rPr>
                <w:rStyle w:val="Hypertextovodkaz"/>
                <w:noProof/>
              </w:rPr>
              <w:t>Odvolání závěti</w:t>
            </w:r>
            <w:r w:rsidR="007D407F">
              <w:rPr>
                <w:noProof/>
                <w:webHidden/>
              </w:rPr>
              <w:tab/>
            </w:r>
            <w:r>
              <w:rPr>
                <w:noProof/>
                <w:webHidden/>
              </w:rPr>
              <w:fldChar w:fldCharType="begin"/>
            </w:r>
            <w:r w:rsidR="007D407F">
              <w:rPr>
                <w:noProof/>
                <w:webHidden/>
              </w:rPr>
              <w:instrText xml:space="preserve"> PAGEREF _Toc415452786 \h </w:instrText>
            </w:r>
            <w:r>
              <w:rPr>
                <w:noProof/>
                <w:webHidden/>
              </w:rPr>
            </w:r>
            <w:r>
              <w:rPr>
                <w:noProof/>
                <w:webHidden/>
              </w:rPr>
              <w:fldChar w:fldCharType="separate"/>
            </w:r>
            <w:r w:rsidR="007D407F">
              <w:rPr>
                <w:noProof/>
                <w:webHidden/>
              </w:rPr>
              <w:t>49</w:t>
            </w:r>
            <w:r>
              <w:rPr>
                <w:noProof/>
                <w:webHidden/>
              </w:rPr>
              <w:fldChar w:fldCharType="end"/>
            </w:r>
          </w:hyperlink>
        </w:p>
        <w:p w:rsidR="007D407F" w:rsidRDefault="00916921">
          <w:pPr>
            <w:pStyle w:val="Obsah2"/>
            <w:tabs>
              <w:tab w:val="left" w:pos="880"/>
              <w:tab w:val="right" w:leader="dot" w:pos="9061"/>
            </w:tabs>
            <w:rPr>
              <w:rFonts w:asciiTheme="minorHAnsi" w:eastAsiaTheme="minorEastAsia" w:hAnsiTheme="minorHAnsi"/>
              <w:noProof/>
              <w:sz w:val="22"/>
              <w:lang w:eastAsia="cs-CZ"/>
            </w:rPr>
          </w:pPr>
          <w:hyperlink w:anchor="_Toc415452787" w:history="1">
            <w:r w:rsidR="007D407F" w:rsidRPr="00BF18BA">
              <w:rPr>
                <w:rStyle w:val="Hypertextovodkaz"/>
                <w:noProof/>
              </w:rPr>
              <w:t>6.2</w:t>
            </w:r>
            <w:r w:rsidR="007D407F">
              <w:rPr>
                <w:rFonts w:asciiTheme="minorHAnsi" w:eastAsiaTheme="minorEastAsia" w:hAnsiTheme="minorHAnsi"/>
                <w:noProof/>
                <w:sz w:val="22"/>
                <w:lang w:eastAsia="cs-CZ"/>
              </w:rPr>
              <w:tab/>
            </w:r>
            <w:r w:rsidR="007D407F" w:rsidRPr="00BF18BA">
              <w:rPr>
                <w:rStyle w:val="Hypertextovodkaz"/>
                <w:noProof/>
              </w:rPr>
              <w:t>Pořízení pozdější závěti</w:t>
            </w:r>
            <w:r w:rsidR="007D407F">
              <w:rPr>
                <w:noProof/>
                <w:webHidden/>
              </w:rPr>
              <w:tab/>
            </w:r>
            <w:r>
              <w:rPr>
                <w:noProof/>
                <w:webHidden/>
              </w:rPr>
              <w:fldChar w:fldCharType="begin"/>
            </w:r>
            <w:r w:rsidR="007D407F">
              <w:rPr>
                <w:noProof/>
                <w:webHidden/>
              </w:rPr>
              <w:instrText xml:space="preserve"> PAGEREF _Toc415452787 \h </w:instrText>
            </w:r>
            <w:r>
              <w:rPr>
                <w:noProof/>
                <w:webHidden/>
              </w:rPr>
            </w:r>
            <w:r>
              <w:rPr>
                <w:noProof/>
                <w:webHidden/>
              </w:rPr>
              <w:fldChar w:fldCharType="separate"/>
            </w:r>
            <w:r w:rsidR="007D407F">
              <w:rPr>
                <w:noProof/>
                <w:webHidden/>
              </w:rPr>
              <w:t>50</w:t>
            </w:r>
            <w:r>
              <w:rPr>
                <w:noProof/>
                <w:webHidden/>
              </w:rPr>
              <w:fldChar w:fldCharType="end"/>
            </w:r>
          </w:hyperlink>
        </w:p>
        <w:p w:rsidR="007D407F" w:rsidRDefault="00916921">
          <w:pPr>
            <w:pStyle w:val="Obsah1"/>
            <w:rPr>
              <w:rFonts w:asciiTheme="minorHAnsi" w:eastAsiaTheme="minorEastAsia" w:hAnsiTheme="minorHAnsi"/>
              <w:noProof/>
              <w:sz w:val="22"/>
              <w:lang w:eastAsia="cs-CZ"/>
            </w:rPr>
          </w:pPr>
          <w:hyperlink w:anchor="_Toc415452788" w:history="1">
            <w:r w:rsidR="007D407F" w:rsidRPr="00BF18BA">
              <w:rPr>
                <w:rStyle w:val="Hypertextovodkaz"/>
                <w:noProof/>
              </w:rPr>
              <w:t>Závěr</w:t>
            </w:r>
            <w:r w:rsidR="007D407F">
              <w:rPr>
                <w:noProof/>
                <w:webHidden/>
              </w:rPr>
              <w:tab/>
            </w:r>
            <w:r>
              <w:rPr>
                <w:noProof/>
                <w:webHidden/>
              </w:rPr>
              <w:fldChar w:fldCharType="begin"/>
            </w:r>
            <w:r w:rsidR="007D407F">
              <w:rPr>
                <w:noProof/>
                <w:webHidden/>
              </w:rPr>
              <w:instrText xml:space="preserve"> PAGEREF _Toc415452788 \h </w:instrText>
            </w:r>
            <w:r>
              <w:rPr>
                <w:noProof/>
                <w:webHidden/>
              </w:rPr>
            </w:r>
            <w:r>
              <w:rPr>
                <w:noProof/>
                <w:webHidden/>
              </w:rPr>
              <w:fldChar w:fldCharType="separate"/>
            </w:r>
            <w:r w:rsidR="007D407F">
              <w:rPr>
                <w:noProof/>
                <w:webHidden/>
              </w:rPr>
              <w:t>52</w:t>
            </w:r>
            <w:r>
              <w:rPr>
                <w:noProof/>
                <w:webHidden/>
              </w:rPr>
              <w:fldChar w:fldCharType="end"/>
            </w:r>
          </w:hyperlink>
        </w:p>
        <w:p w:rsidR="007D407F" w:rsidRDefault="00916921">
          <w:pPr>
            <w:pStyle w:val="Obsah1"/>
            <w:rPr>
              <w:rFonts w:asciiTheme="minorHAnsi" w:eastAsiaTheme="minorEastAsia" w:hAnsiTheme="minorHAnsi"/>
              <w:noProof/>
              <w:sz w:val="22"/>
              <w:lang w:eastAsia="cs-CZ"/>
            </w:rPr>
          </w:pPr>
          <w:hyperlink w:anchor="_Toc415452789" w:history="1">
            <w:r w:rsidR="007D407F" w:rsidRPr="00BF18BA">
              <w:rPr>
                <w:rStyle w:val="Hypertextovodkaz"/>
                <w:noProof/>
              </w:rPr>
              <w:t>Seznam použitých zdrojů</w:t>
            </w:r>
            <w:r w:rsidR="007D407F">
              <w:rPr>
                <w:noProof/>
                <w:webHidden/>
              </w:rPr>
              <w:tab/>
            </w:r>
            <w:r>
              <w:rPr>
                <w:noProof/>
                <w:webHidden/>
              </w:rPr>
              <w:fldChar w:fldCharType="begin"/>
            </w:r>
            <w:r w:rsidR="007D407F">
              <w:rPr>
                <w:noProof/>
                <w:webHidden/>
              </w:rPr>
              <w:instrText xml:space="preserve"> PAGEREF _Toc415452789 \h </w:instrText>
            </w:r>
            <w:r>
              <w:rPr>
                <w:noProof/>
                <w:webHidden/>
              </w:rPr>
            </w:r>
            <w:r>
              <w:rPr>
                <w:noProof/>
                <w:webHidden/>
              </w:rPr>
              <w:fldChar w:fldCharType="separate"/>
            </w:r>
            <w:r w:rsidR="007D407F">
              <w:rPr>
                <w:noProof/>
                <w:webHidden/>
              </w:rPr>
              <w:t>54</w:t>
            </w:r>
            <w:r>
              <w:rPr>
                <w:noProof/>
                <w:webHidden/>
              </w:rPr>
              <w:fldChar w:fldCharType="end"/>
            </w:r>
          </w:hyperlink>
        </w:p>
        <w:p w:rsidR="007D407F" w:rsidRDefault="00916921">
          <w:pPr>
            <w:pStyle w:val="Obsah2"/>
            <w:tabs>
              <w:tab w:val="right" w:leader="dot" w:pos="9061"/>
            </w:tabs>
            <w:rPr>
              <w:rFonts w:asciiTheme="minorHAnsi" w:eastAsiaTheme="minorEastAsia" w:hAnsiTheme="minorHAnsi"/>
              <w:noProof/>
              <w:sz w:val="22"/>
              <w:lang w:eastAsia="cs-CZ"/>
            </w:rPr>
          </w:pPr>
          <w:hyperlink w:anchor="_Toc415452790" w:history="1">
            <w:r w:rsidR="007D407F" w:rsidRPr="00BF18BA">
              <w:rPr>
                <w:rStyle w:val="Hypertextovodkaz"/>
                <w:noProof/>
              </w:rPr>
              <w:t>Monografie, sborníky a komentáře</w:t>
            </w:r>
            <w:r w:rsidR="007D407F">
              <w:rPr>
                <w:noProof/>
                <w:webHidden/>
              </w:rPr>
              <w:tab/>
            </w:r>
            <w:r>
              <w:rPr>
                <w:noProof/>
                <w:webHidden/>
              </w:rPr>
              <w:fldChar w:fldCharType="begin"/>
            </w:r>
            <w:r w:rsidR="007D407F">
              <w:rPr>
                <w:noProof/>
                <w:webHidden/>
              </w:rPr>
              <w:instrText xml:space="preserve"> PAGEREF _Toc415452790 \h </w:instrText>
            </w:r>
            <w:r>
              <w:rPr>
                <w:noProof/>
                <w:webHidden/>
              </w:rPr>
            </w:r>
            <w:r>
              <w:rPr>
                <w:noProof/>
                <w:webHidden/>
              </w:rPr>
              <w:fldChar w:fldCharType="separate"/>
            </w:r>
            <w:r w:rsidR="007D407F">
              <w:rPr>
                <w:noProof/>
                <w:webHidden/>
              </w:rPr>
              <w:t>54</w:t>
            </w:r>
            <w:r>
              <w:rPr>
                <w:noProof/>
                <w:webHidden/>
              </w:rPr>
              <w:fldChar w:fldCharType="end"/>
            </w:r>
          </w:hyperlink>
        </w:p>
        <w:p w:rsidR="007D407F" w:rsidRDefault="00916921">
          <w:pPr>
            <w:pStyle w:val="Obsah2"/>
            <w:tabs>
              <w:tab w:val="right" w:leader="dot" w:pos="9061"/>
            </w:tabs>
            <w:rPr>
              <w:rFonts w:asciiTheme="minorHAnsi" w:eastAsiaTheme="minorEastAsia" w:hAnsiTheme="minorHAnsi"/>
              <w:noProof/>
              <w:sz w:val="22"/>
              <w:lang w:eastAsia="cs-CZ"/>
            </w:rPr>
          </w:pPr>
          <w:hyperlink w:anchor="_Toc415452791" w:history="1">
            <w:r w:rsidR="007D407F" w:rsidRPr="00BF18BA">
              <w:rPr>
                <w:rStyle w:val="Hypertextovodkaz"/>
                <w:noProof/>
              </w:rPr>
              <w:t>Odborné články</w:t>
            </w:r>
            <w:r w:rsidR="007D407F">
              <w:rPr>
                <w:noProof/>
                <w:webHidden/>
              </w:rPr>
              <w:tab/>
            </w:r>
            <w:r>
              <w:rPr>
                <w:noProof/>
                <w:webHidden/>
              </w:rPr>
              <w:fldChar w:fldCharType="begin"/>
            </w:r>
            <w:r w:rsidR="007D407F">
              <w:rPr>
                <w:noProof/>
                <w:webHidden/>
              </w:rPr>
              <w:instrText xml:space="preserve"> PAGEREF _Toc415452791 \h </w:instrText>
            </w:r>
            <w:r>
              <w:rPr>
                <w:noProof/>
                <w:webHidden/>
              </w:rPr>
            </w:r>
            <w:r>
              <w:rPr>
                <w:noProof/>
                <w:webHidden/>
              </w:rPr>
              <w:fldChar w:fldCharType="separate"/>
            </w:r>
            <w:r w:rsidR="007D407F">
              <w:rPr>
                <w:noProof/>
                <w:webHidden/>
              </w:rPr>
              <w:t>55</w:t>
            </w:r>
            <w:r>
              <w:rPr>
                <w:noProof/>
                <w:webHidden/>
              </w:rPr>
              <w:fldChar w:fldCharType="end"/>
            </w:r>
          </w:hyperlink>
        </w:p>
        <w:p w:rsidR="007D407F" w:rsidRDefault="00916921">
          <w:pPr>
            <w:pStyle w:val="Obsah2"/>
            <w:tabs>
              <w:tab w:val="right" w:leader="dot" w:pos="9061"/>
            </w:tabs>
            <w:rPr>
              <w:rFonts w:asciiTheme="minorHAnsi" w:eastAsiaTheme="minorEastAsia" w:hAnsiTheme="minorHAnsi"/>
              <w:noProof/>
              <w:sz w:val="22"/>
              <w:lang w:eastAsia="cs-CZ"/>
            </w:rPr>
          </w:pPr>
          <w:hyperlink w:anchor="_Toc415452792" w:history="1">
            <w:r w:rsidR="007D407F" w:rsidRPr="00BF18BA">
              <w:rPr>
                <w:rStyle w:val="Hypertextovodkaz"/>
                <w:noProof/>
              </w:rPr>
              <w:t>Právní předpisy</w:t>
            </w:r>
            <w:r w:rsidR="007D407F">
              <w:rPr>
                <w:noProof/>
                <w:webHidden/>
              </w:rPr>
              <w:tab/>
            </w:r>
            <w:r>
              <w:rPr>
                <w:noProof/>
                <w:webHidden/>
              </w:rPr>
              <w:fldChar w:fldCharType="begin"/>
            </w:r>
            <w:r w:rsidR="007D407F">
              <w:rPr>
                <w:noProof/>
                <w:webHidden/>
              </w:rPr>
              <w:instrText xml:space="preserve"> PAGEREF _Toc415452792 \h </w:instrText>
            </w:r>
            <w:r>
              <w:rPr>
                <w:noProof/>
                <w:webHidden/>
              </w:rPr>
            </w:r>
            <w:r>
              <w:rPr>
                <w:noProof/>
                <w:webHidden/>
              </w:rPr>
              <w:fldChar w:fldCharType="separate"/>
            </w:r>
            <w:r w:rsidR="007D407F">
              <w:rPr>
                <w:noProof/>
                <w:webHidden/>
              </w:rPr>
              <w:t>56</w:t>
            </w:r>
            <w:r>
              <w:rPr>
                <w:noProof/>
                <w:webHidden/>
              </w:rPr>
              <w:fldChar w:fldCharType="end"/>
            </w:r>
          </w:hyperlink>
        </w:p>
        <w:p w:rsidR="007D407F" w:rsidRDefault="00916921">
          <w:pPr>
            <w:pStyle w:val="Obsah2"/>
            <w:tabs>
              <w:tab w:val="right" w:leader="dot" w:pos="9061"/>
            </w:tabs>
            <w:rPr>
              <w:rFonts w:asciiTheme="minorHAnsi" w:eastAsiaTheme="minorEastAsia" w:hAnsiTheme="minorHAnsi"/>
              <w:noProof/>
              <w:sz w:val="22"/>
              <w:lang w:eastAsia="cs-CZ"/>
            </w:rPr>
          </w:pPr>
          <w:hyperlink w:anchor="_Toc415452793" w:history="1">
            <w:r w:rsidR="007D407F" w:rsidRPr="00BF18BA">
              <w:rPr>
                <w:rStyle w:val="Hypertextovodkaz"/>
                <w:noProof/>
              </w:rPr>
              <w:t>Judikatura</w:t>
            </w:r>
            <w:r w:rsidR="007D407F">
              <w:rPr>
                <w:noProof/>
                <w:webHidden/>
              </w:rPr>
              <w:tab/>
            </w:r>
            <w:r>
              <w:rPr>
                <w:noProof/>
                <w:webHidden/>
              </w:rPr>
              <w:fldChar w:fldCharType="begin"/>
            </w:r>
            <w:r w:rsidR="007D407F">
              <w:rPr>
                <w:noProof/>
                <w:webHidden/>
              </w:rPr>
              <w:instrText xml:space="preserve"> PAGEREF _Toc415452793 \h </w:instrText>
            </w:r>
            <w:r>
              <w:rPr>
                <w:noProof/>
                <w:webHidden/>
              </w:rPr>
            </w:r>
            <w:r>
              <w:rPr>
                <w:noProof/>
                <w:webHidden/>
              </w:rPr>
              <w:fldChar w:fldCharType="separate"/>
            </w:r>
            <w:r w:rsidR="007D407F">
              <w:rPr>
                <w:noProof/>
                <w:webHidden/>
              </w:rPr>
              <w:t>56</w:t>
            </w:r>
            <w:r>
              <w:rPr>
                <w:noProof/>
                <w:webHidden/>
              </w:rPr>
              <w:fldChar w:fldCharType="end"/>
            </w:r>
          </w:hyperlink>
        </w:p>
        <w:p w:rsidR="007D407F" w:rsidRDefault="00916921">
          <w:pPr>
            <w:pStyle w:val="Obsah1"/>
            <w:rPr>
              <w:rFonts w:asciiTheme="minorHAnsi" w:eastAsiaTheme="minorEastAsia" w:hAnsiTheme="minorHAnsi"/>
              <w:noProof/>
              <w:sz w:val="22"/>
              <w:lang w:eastAsia="cs-CZ"/>
            </w:rPr>
          </w:pPr>
          <w:hyperlink w:anchor="_Toc415452794" w:history="1">
            <w:r w:rsidR="007D407F" w:rsidRPr="00BF18BA">
              <w:rPr>
                <w:rStyle w:val="Hypertextovodkaz"/>
                <w:noProof/>
              </w:rPr>
              <w:t>Shrnutí</w:t>
            </w:r>
            <w:r w:rsidR="007D407F">
              <w:rPr>
                <w:noProof/>
                <w:webHidden/>
              </w:rPr>
              <w:tab/>
            </w:r>
            <w:r>
              <w:rPr>
                <w:noProof/>
                <w:webHidden/>
              </w:rPr>
              <w:fldChar w:fldCharType="begin"/>
            </w:r>
            <w:r w:rsidR="007D407F">
              <w:rPr>
                <w:noProof/>
                <w:webHidden/>
              </w:rPr>
              <w:instrText xml:space="preserve"> PAGEREF _Toc415452794 \h </w:instrText>
            </w:r>
            <w:r>
              <w:rPr>
                <w:noProof/>
                <w:webHidden/>
              </w:rPr>
            </w:r>
            <w:r>
              <w:rPr>
                <w:noProof/>
                <w:webHidden/>
              </w:rPr>
              <w:fldChar w:fldCharType="separate"/>
            </w:r>
            <w:r w:rsidR="007D407F">
              <w:rPr>
                <w:noProof/>
                <w:webHidden/>
              </w:rPr>
              <w:t>59</w:t>
            </w:r>
            <w:r>
              <w:rPr>
                <w:noProof/>
                <w:webHidden/>
              </w:rPr>
              <w:fldChar w:fldCharType="end"/>
            </w:r>
          </w:hyperlink>
        </w:p>
        <w:p w:rsidR="007D407F" w:rsidRDefault="00916921">
          <w:pPr>
            <w:pStyle w:val="Obsah1"/>
            <w:rPr>
              <w:rFonts w:asciiTheme="minorHAnsi" w:eastAsiaTheme="minorEastAsia" w:hAnsiTheme="minorHAnsi"/>
              <w:noProof/>
              <w:sz w:val="22"/>
              <w:lang w:eastAsia="cs-CZ"/>
            </w:rPr>
          </w:pPr>
          <w:hyperlink w:anchor="_Toc415452795" w:history="1">
            <w:r w:rsidR="007D407F" w:rsidRPr="00BF18BA">
              <w:rPr>
                <w:rStyle w:val="Hypertextovodkaz"/>
                <w:noProof/>
              </w:rPr>
              <w:t>Klíčová slova</w:t>
            </w:r>
            <w:r w:rsidR="007D407F">
              <w:rPr>
                <w:noProof/>
                <w:webHidden/>
              </w:rPr>
              <w:tab/>
            </w:r>
            <w:r>
              <w:rPr>
                <w:noProof/>
                <w:webHidden/>
              </w:rPr>
              <w:fldChar w:fldCharType="begin"/>
            </w:r>
            <w:r w:rsidR="007D407F">
              <w:rPr>
                <w:noProof/>
                <w:webHidden/>
              </w:rPr>
              <w:instrText xml:space="preserve"> PAGEREF _Toc415452795 \h </w:instrText>
            </w:r>
            <w:r>
              <w:rPr>
                <w:noProof/>
                <w:webHidden/>
              </w:rPr>
            </w:r>
            <w:r>
              <w:rPr>
                <w:noProof/>
                <w:webHidden/>
              </w:rPr>
              <w:fldChar w:fldCharType="separate"/>
            </w:r>
            <w:r w:rsidR="007D407F">
              <w:rPr>
                <w:noProof/>
                <w:webHidden/>
              </w:rPr>
              <w:t>60</w:t>
            </w:r>
            <w:r>
              <w:rPr>
                <w:noProof/>
                <w:webHidden/>
              </w:rPr>
              <w:fldChar w:fldCharType="end"/>
            </w:r>
          </w:hyperlink>
        </w:p>
        <w:p w:rsidR="00F645B9" w:rsidRPr="00AD6AE6" w:rsidRDefault="00916921" w:rsidP="000C6ECF">
          <w:pPr>
            <w:rPr>
              <w:rFonts w:cs="Times New Roman"/>
            </w:rPr>
          </w:pPr>
          <w:r w:rsidRPr="00AD6AE6">
            <w:rPr>
              <w:rFonts w:cs="Times New Roman"/>
            </w:rPr>
            <w:fldChar w:fldCharType="end"/>
          </w:r>
        </w:p>
      </w:sdtContent>
    </w:sdt>
    <w:p w:rsidR="00F6661D" w:rsidRDefault="00F6661D" w:rsidP="00756EE0">
      <w:pPr>
        <w:pStyle w:val="Nadpis1"/>
        <w:spacing w:line="360" w:lineRule="auto"/>
      </w:pPr>
      <w:bookmarkStart w:id="0" w:name="_Toc415452754"/>
      <w:r>
        <w:lastRenderedPageBreak/>
        <w:t>Seznam použitých zkratek</w:t>
      </w:r>
      <w:bookmarkEnd w:id="0"/>
    </w:p>
    <w:p w:rsidR="00F6661D" w:rsidRPr="00F6661D" w:rsidRDefault="00F6661D" w:rsidP="00F6661D"/>
    <w:p w:rsidR="004F1DD7" w:rsidRDefault="00D04073" w:rsidP="00D04073">
      <w:pPr>
        <w:spacing w:line="360" w:lineRule="auto"/>
      </w:pPr>
      <w:r>
        <w:t>ČR</w:t>
      </w:r>
      <w:r>
        <w:tab/>
      </w:r>
      <w:r>
        <w:tab/>
        <w:t>Česká republika</w:t>
      </w:r>
    </w:p>
    <w:p w:rsidR="004F1DD7" w:rsidRDefault="004F1DD7" w:rsidP="00D04073">
      <w:pPr>
        <w:spacing w:line="360" w:lineRule="auto"/>
      </w:pPr>
      <w:r>
        <w:t>Gl. U</w:t>
      </w:r>
      <w:r>
        <w:tab/>
      </w:r>
      <w:r>
        <w:tab/>
        <w:t>Sbírka rozhodnutí Glasser – Unger</w:t>
      </w:r>
    </w:p>
    <w:p w:rsidR="004F1DD7" w:rsidRDefault="004F1DD7" w:rsidP="00D04073">
      <w:pPr>
        <w:spacing w:line="360" w:lineRule="auto"/>
      </w:pPr>
      <w:r>
        <w:t>Gl. U. N. F.</w:t>
      </w:r>
      <w:r>
        <w:tab/>
        <w:t>Sbírka rozhodnutí Glasser – Unger neue Folge</w:t>
      </w:r>
    </w:p>
    <w:p w:rsidR="00D04073" w:rsidRDefault="00F6661D" w:rsidP="00D04073">
      <w:pPr>
        <w:spacing w:line="360" w:lineRule="auto"/>
      </w:pPr>
      <w:r>
        <w:t>NOZ</w:t>
      </w:r>
      <w:r>
        <w:tab/>
      </w:r>
      <w:r w:rsidR="00D04073">
        <w:tab/>
        <w:t>Zákon č. 89/2012 Sb., občanský zákoník</w:t>
      </w:r>
    </w:p>
    <w:p w:rsidR="00D04073" w:rsidRDefault="00D04073" w:rsidP="00D04073">
      <w:pPr>
        <w:spacing w:line="360" w:lineRule="auto"/>
      </w:pPr>
      <w:r>
        <w:t>NŘ</w:t>
      </w:r>
      <w:r>
        <w:tab/>
      </w:r>
      <w:r>
        <w:tab/>
        <w:t>Zákon č. 358/1992 Sb., o notářích a jejich činnosti (notářský řád)</w:t>
      </w:r>
    </w:p>
    <w:p w:rsidR="00D04073" w:rsidRDefault="00D04073" w:rsidP="00D04073">
      <w:pPr>
        <w:spacing w:line="360" w:lineRule="auto"/>
      </w:pPr>
      <w:r>
        <w:t>NS</w:t>
      </w:r>
      <w:r>
        <w:tab/>
      </w:r>
      <w:r>
        <w:tab/>
        <w:t>Nejvyšší soud České republiky</w:t>
      </w:r>
    </w:p>
    <w:p w:rsidR="00D04073" w:rsidRDefault="00D04073" w:rsidP="00D04073">
      <w:pPr>
        <w:spacing w:line="360" w:lineRule="auto"/>
      </w:pPr>
      <w:r>
        <w:t>OZ</w:t>
      </w:r>
      <w:r>
        <w:tab/>
      </w:r>
      <w:r>
        <w:tab/>
        <w:t>Zákon č. 40/1964  Sb., občanský zákoník</w:t>
      </w:r>
    </w:p>
    <w:p w:rsidR="00D04073" w:rsidRDefault="00D04073" w:rsidP="00D04073">
      <w:pPr>
        <w:spacing w:line="360" w:lineRule="auto"/>
        <w:ind w:left="1410" w:hanging="1410"/>
      </w:pPr>
      <w:r>
        <w:t>OZO</w:t>
      </w:r>
      <w:r>
        <w:tab/>
      </w:r>
      <w:r>
        <w:tab/>
        <w:t>Císařský patent č. 946/1811 Sb. z. s., obecný zákoník občanský, který byl pro ČSR recipován zákonem č. 11/1918 Sb.</w:t>
      </w:r>
    </w:p>
    <w:p w:rsidR="00D04073" w:rsidRDefault="00D04073" w:rsidP="00D04073">
      <w:pPr>
        <w:spacing w:line="360" w:lineRule="auto"/>
      </w:pPr>
      <w:r>
        <w:t>SOZ</w:t>
      </w:r>
      <w:r>
        <w:tab/>
      </w:r>
      <w:r>
        <w:tab/>
        <w:t>Zákon č. 141/1950 Sb., občanský zákoník</w:t>
      </w:r>
    </w:p>
    <w:p w:rsidR="00F6661D" w:rsidRDefault="00F6661D" w:rsidP="00F6661D"/>
    <w:p w:rsidR="00A43429" w:rsidRDefault="00FE3DD3" w:rsidP="00DC722B">
      <w:pPr>
        <w:pStyle w:val="Nadpis1"/>
        <w:spacing w:line="360" w:lineRule="auto"/>
      </w:pPr>
      <w:bookmarkStart w:id="1" w:name="_Toc415452755"/>
      <w:r w:rsidRPr="00AD6AE6">
        <w:lastRenderedPageBreak/>
        <w:t>Úvod</w:t>
      </w:r>
      <w:bookmarkEnd w:id="1"/>
    </w:p>
    <w:p w:rsidR="00F97100" w:rsidRDefault="00A43429" w:rsidP="00A43429">
      <w:pPr>
        <w:spacing w:line="360" w:lineRule="auto"/>
        <w:ind w:firstLine="708"/>
        <w:jc w:val="both"/>
      </w:pPr>
      <w:r>
        <w:t>Jako téma své diplomové práce jsem si zvolil Závěť, tedy institut spadající do dědického práva</w:t>
      </w:r>
      <w:r w:rsidR="00D218CB">
        <w:t>, které mě zaujalo již během studia</w:t>
      </w:r>
      <w:r>
        <w:t>. Dříve či později potká smrt každého člověka a</w:t>
      </w:r>
      <w:r w:rsidR="00DD2CBB">
        <w:t xml:space="preserve"> vzhledem k této právní skutečnosti</w:t>
      </w:r>
      <w:r>
        <w:t xml:space="preserve"> bude tř</w:t>
      </w:r>
      <w:r w:rsidR="00F565B8">
        <w:t>eba vyřešit</w:t>
      </w:r>
      <w:r>
        <w:t xml:space="preserve"> </w:t>
      </w:r>
      <w:r w:rsidR="00F565B8">
        <w:t>osud majetku zemřelého</w:t>
      </w:r>
      <w:r>
        <w:t xml:space="preserve"> po tom, co přestan</w:t>
      </w:r>
      <w:r w:rsidR="00F97100">
        <w:t xml:space="preserve">e být subjektem práv. </w:t>
      </w:r>
      <w:r w:rsidR="00DD2CBB">
        <w:t xml:space="preserve">Zpravidla se jeho majetek dostane do rukou jeho nejbližších, což bývá nejčastěji </w:t>
      </w:r>
      <w:r w:rsidR="003869FF">
        <w:t>manžel, děti, rodiče, sourozenci či jiný příbuzný</w:t>
      </w:r>
      <w:r w:rsidR="00DD2CBB">
        <w:t xml:space="preserve"> a</w:t>
      </w:r>
      <w:r w:rsidR="00862853">
        <w:t> </w:t>
      </w:r>
      <w:r w:rsidR="00DD2CBB">
        <w:t>zákonodárce toto zohled</w:t>
      </w:r>
      <w:r w:rsidR="003869FF">
        <w:t>ňuje</w:t>
      </w:r>
      <w:r w:rsidR="00DD2CBB">
        <w:t xml:space="preserve"> v úpravě zákonné</w:t>
      </w:r>
      <w:r w:rsidR="003869FF">
        <w:t xml:space="preserve"> dědické</w:t>
      </w:r>
      <w:r w:rsidR="00DD2CBB">
        <w:t xml:space="preserve"> posloupnosti. Vztahy v rodině však nejsou vždy zcela idylické</w:t>
      </w:r>
      <w:r w:rsidR="003F4DE9">
        <w:t>,</w:t>
      </w:r>
      <w:r w:rsidR="00DD2CBB">
        <w:t xml:space="preserve"> a j</w:t>
      </w:r>
      <w:r w:rsidR="00F97100">
        <w:t>estliže zůstavitelově</w:t>
      </w:r>
      <w:r>
        <w:t xml:space="preserve"> </w:t>
      </w:r>
      <w:r w:rsidR="00F97100">
        <w:t xml:space="preserve">představě o spravedlivém rozdělení majetku po jeho smrti neodpovídá </w:t>
      </w:r>
      <w:r w:rsidR="00525519">
        <w:t>intestátní</w:t>
      </w:r>
      <w:r w:rsidR="00F97100">
        <w:t xml:space="preserve"> posloupnost, </w:t>
      </w:r>
      <w:r>
        <w:t>má možnost se na takovou situaci připravit a</w:t>
      </w:r>
      <w:r w:rsidR="00862853">
        <w:t> </w:t>
      </w:r>
      <w:r>
        <w:t xml:space="preserve">o osudu svého </w:t>
      </w:r>
      <w:r w:rsidR="00F97100">
        <w:t>jmění</w:t>
      </w:r>
      <w:r>
        <w:t xml:space="preserve"> rozhodnout pořízením pro případ smrti</w:t>
      </w:r>
      <w:r w:rsidR="00F565B8">
        <w:t>.</w:t>
      </w:r>
      <w:r w:rsidR="00F97100">
        <w:t xml:space="preserve"> </w:t>
      </w:r>
    </w:p>
    <w:p w:rsidR="00DC560C" w:rsidRDefault="00DC560C" w:rsidP="00A43429">
      <w:pPr>
        <w:spacing w:line="360" w:lineRule="auto"/>
        <w:ind w:firstLine="708"/>
        <w:jc w:val="both"/>
      </w:pPr>
      <w:r>
        <w:t xml:space="preserve">Dědické právo doznalo po rekodifikaci občanského zákoníku rozsáhlých změn. Zatímco OZ dědickou smlouvu ani dovětek </w:t>
      </w:r>
      <w:r w:rsidR="00D218CB">
        <w:t xml:space="preserve">jako pořízení pro případ smrti </w:t>
      </w:r>
      <w:r>
        <w:t>neznal a</w:t>
      </w:r>
      <w:r w:rsidR="00862853">
        <w:t> </w:t>
      </w:r>
      <w:r>
        <w:t xml:space="preserve">disponovat svým majetkem pro případ </w:t>
      </w:r>
      <w:r w:rsidR="00D218CB">
        <w:t xml:space="preserve">své </w:t>
      </w:r>
      <w:r>
        <w:t>smrti bylo možné jen závětí, v NOZ došlo ke znovuzavedení těchto klasických institutů</w:t>
      </w:r>
      <w:r w:rsidR="00D218CB">
        <w:t xml:space="preserve"> a rovněž úprava závěti se dočkala velkých změn</w:t>
      </w:r>
      <w:r>
        <w:t xml:space="preserve">. </w:t>
      </w:r>
      <w:r w:rsidR="006A1DD3">
        <w:t>Obecné povědomí o závěti ve společnosti existuje, avšak ve svém okolí si všímám, že tato představa je do jisté míry ovlivněna úpravou dvou občanských zákoníků, k</w:t>
      </w:r>
      <w:r w:rsidR="00E21271">
        <w:t>teré vznikly v totalitním státu</w:t>
      </w:r>
      <w:r w:rsidR="003F4DE9">
        <w:t>,</w:t>
      </w:r>
      <w:r w:rsidR="00E21271">
        <w:t xml:space="preserve"> a teprve čas ukáže, s jakou mírou a četností budou nové instituty, které nynější dědické právo přináší využity.</w:t>
      </w:r>
      <w:r w:rsidR="006A1DD3">
        <w:t xml:space="preserve"> </w:t>
      </w:r>
      <w:r w:rsidR="00BF5468">
        <w:t>Přesto</w:t>
      </w:r>
      <w:r>
        <w:t>že závěť není dnes nejsilnější f</w:t>
      </w:r>
      <w:r w:rsidR="00BF5468">
        <w:t xml:space="preserve">ormou pořízení pro případ smrti (tou je </w:t>
      </w:r>
      <w:r>
        <w:t>dědická smlouva</w:t>
      </w:r>
      <w:r w:rsidR="00BF5468">
        <w:t xml:space="preserve">), lze očekávat, že </w:t>
      </w:r>
      <w:r>
        <w:t>bude i nadále</w:t>
      </w:r>
      <w:r w:rsidR="00E21271">
        <w:t xml:space="preserve"> </w:t>
      </w:r>
      <w:r w:rsidR="00BF5468">
        <w:t xml:space="preserve">představovat </w:t>
      </w:r>
      <w:r w:rsidR="00E21271">
        <w:t>formu nejfrekventovanější.</w:t>
      </w:r>
    </w:p>
    <w:p w:rsidR="000F63E2" w:rsidRDefault="00B40041" w:rsidP="00A43429">
      <w:pPr>
        <w:spacing w:line="360" w:lineRule="auto"/>
        <w:ind w:firstLine="708"/>
        <w:jc w:val="both"/>
      </w:pPr>
      <w:r>
        <w:t xml:space="preserve">Cílem této diplomové práce je </w:t>
      </w:r>
      <w:r w:rsidR="000F63E2">
        <w:t xml:space="preserve">podat ucelený </w:t>
      </w:r>
      <w:r w:rsidR="00C13C72">
        <w:t>přehled</w:t>
      </w:r>
      <w:r>
        <w:t xml:space="preserve"> právní úpravy </w:t>
      </w:r>
      <w:r w:rsidR="009D01B1">
        <w:t>závěti v</w:t>
      </w:r>
      <w:r w:rsidR="009C2740">
        <w:t> </w:t>
      </w:r>
      <w:r w:rsidR="009D01B1">
        <w:t>NOZ a</w:t>
      </w:r>
      <w:r w:rsidR="00862853">
        <w:t> </w:t>
      </w:r>
      <w:r w:rsidR="00830D6A">
        <w:t xml:space="preserve">zachycení a </w:t>
      </w:r>
      <w:r w:rsidR="009D01B1">
        <w:t>zhodnocení změn</w:t>
      </w:r>
      <w:r w:rsidR="0009756C">
        <w:t xml:space="preserve"> zvláště</w:t>
      </w:r>
      <w:r w:rsidR="009D01B1">
        <w:t xml:space="preserve"> ve vztahu k OZ, přičemž</w:t>
      </w:r>
      <w:r w:rsidR="0009756C">
        <w:t xml:space="preserve"> v některých kapitolách</w:t>
      </w:r>
      <w:r w:rsidR="009D01B1">
        <w:t xml:space="preserve"> dojde k porovnání i s předchozími občanskými zákoníky (OZO a SOZ).</w:t>
      </w:r>
      <w:r w:rsidR="00C13C72">
        <w:t xml:space="preserve"> Cílem</w:t>
      </w:r>
      <w:r w:rsidR="000F63E2">
        <w:t xml:space="preserve"> není podrobná komparace ustanovení týkajících se závěti se zahraniční úpravou</w:t>
      </w:r>
      <w:r w:rsidR="009D01B1">
        <w:t>, která by zasluhovala spíše samostatnou práci</w:t>
      </w:r>
      <w:r w:rsidR="00E214CB">
        <w:t>, přesto</w:t>
      </w:r>
      <w:r w:rsidR="000F63E2">
        <w:t xml:space="preserve"> však na vybraných místech</w:t>
      </w:r>
      <w:r w:rsidR="00E214CB">
        <w:t xml:space="preserve"> např. německou úpravu</w:t>
      </w:r>
      <w:r w:rsidR="000F63E2">
        <w:t xml:space="preserve"> zmiňuji.</w:t>
      </w:r>
    </w:p>
    <w:p w:rsidR="00342530" w:rsidRDefault="009D01B1" w:rsidP="009D01B1">
      <w:pPr>
        <w:spacing w:line="360" w:lineRule="auto"/>
        <w:ind w:firstLine="708"/>
        <w:jc w:val="both"/>
      </w:pPr>
      <w:r>
        <w:t>K dosažení výše stanovených cílů práce je užito logických metod zkoumání, a</w:t>
      </w:r>
      <w:r w:rsidR="00862853">
        <w:t> </w:t>
      </w:r>
      <w:r>
        <w:t xml:space="preserve">to zejména analýzy a komparatistiky, za použití jazykové a logické interpretace. </w:t>
      </w:r>
      <w:r w:rsidR="0084175F">
        <w:t xml:space="preserve">Nebude chybět ani kritický pohled a praktické připomínky k nové právní úpravě. </w:t>
      </w:r>
      <w:r w:rsidR="00B53295">
        <w:t>Zvoleným t</w:t>
      </w:r>
      <w:r w:rsidR="000F63E2">
        <w:t>ématem</w:t>
      </w:r>
      <w:r w:rsidR="00B53295">
        <w:t xml:space="preserve"> práce</w:t>
      </w:r>
      <w:r w:rsidR="000F63E2">
        <w:t xml:space="preserve"> se zabývá</w:t>
      </w:r>
      <w:r w:rsidR="00B53295">
        <w:t xml:space="preserve"> celá</w:t>
      </w:r>
      <w:r w:rsidR="000F63E2">
        <w:t xml:space="preserve"> řada zdrojů</w:t>
      </w:r>
      <w:r w:rsidR="00B53295">
        <w:t>,</w:t>
      </w:r>
      <w:r w:rsidR="00E214CB">
        <w:t xml:space="preserve"> avšak novější a hloubkové zpracování je spíše výjimkou. K vyhotovení práce</w:t>
      </w:r>
      <w:r w:rsidR="00B53295">
        <w:t xml:space="preserve"> jsem využíval </w:t>
      </w:r>
      <w:r w:rsidR="00C0597E">
        <w:t xml:space="preserve">kromě textu zákona </w:t>
      </w:r>
      <w:r w:rsidR="00B53295">
        <w:t>zejména komentářovou literaturu</w:t>
      </w:r>
      <w:r w:rsidR="00342530">
        <w:t>, ze které bych vyzdvihl IV. svazek komentáře</w:t>
      </w:r>
      <w:r w:rsidR="00C0597E">
        <w:t xml:space="preserve"> k občanskému zákoníku od autorů Švestky, </w:t>
      </w:r>
      <w:r w:rsidR="00C0597E">
        <w:lastRenderedPageBreak/>
        <w:t>Dvořáka, Fialy, Šešiny a Wawerky</w:t>
      </w:r>
      <w:r w:rsidR="0009756C">
        <w:t xml:space="preserve">, </w:t>
      </w:r>
      <w:r w:rsidR="00D8315F">
        <w:t>jehož</w:t>
      </w:r>
      <w:r w:rsidR="00C13C72">
        <w:t xml:space="preserve"> obsah vytvořili poslední</w:t>
      </w:r>
      <w:r w:rsidR="0009756C">
        <w:t xml:space="preserve"> dva jmenovaní</w:t>
      </w:r>
      <w:r w:rsidR="00B53295">
        <w:t xml:space="preserve">. Jako další zdroj </w:t>
      </w:r>
      <w:r w:rsidR="00C0597E">
        <w:t>poznatků</w:t>
      </w:r>
      <w:r w:rsidR="00B53295">
        <w:t xml:space="preserve"> sloužila judikatura</w:t>
      </w:r>
      <w:r w:rsidR="00342530">
        <w:t>,</w:t>
      </w:r>
      <w:r w:rsidR="00B53295">
        <w:t xml:space="preserve"> a to převážně Nejvyššího soudu</w:t>
      </w:r>
      <w:r w:rsidR="00342530">
        <w:t>, přičemž její velkou část tvořila r</w:t>
      </w:r>
      <w:r w:rsidR="0084175F">
        <w:t>ozhodnutí vydaná před rokem 1950</w:t>
      </w:r>
      <w:r w:rsidR="00342530">
        <w:t xml:space="preserve">, protože se NOZ na četných místech </w:t>
      </w:r>
      <w:r w:rsidR="00917AC4">
        <w:t xml:space="preserve">téměř </w:t>
      </w:r>
      <w:r w:rsidR="00342530">
        <w:t xml:space="preserve">shoduje </w:t>
      </w:r>
      <w:r w:rsidR="0009756C">
        <w:t>či</w:t>
      </w:r>
      <w:r w:rsidR="0084175F">
        <w:t xml:space="preserve"> bohatě</w:t>
      </w:r>
      <w:r w:rsidR="0009756C">
        <w:t xml:space="preserve"> inspiruje</w:t>
      </w:r>
      <w:r w:rsidR="00342530">
        <w:t> úpravou obsaženou v</w:t>
      </w:r>
      <w:r w:rsidR="0084175F">
        <w:t> </w:t>
      </w:r>
      <w:r w:rsidR="00342530">
        <w:t>OZO</w:t>
      </w:r>
      <w:r w:rsidR="0084175F">
        <w:t xml:space="preserve"> a tak bude nutné při výkladu budoucích sporných případů tato rozhodnutí oprášit. </w:t>
      </w:r>
      <w:r w:rsidR="00F61432">
        <w:t>Doplňujícím zdrojem se staly také články z odborných sborníků a periodik.</w:t>
      </w:r>
    </w:p>
    <w:p w:rsidR="00575EF4" w:rsidRDefault="006F535F" w:rsidP="00A43429">
      <w:pPr>
        <w:spacing w:line="360" w:lineRule="auto"/>
        <w:ind w:firstLine="708"/>
        <w:jc w:val="both"/>
      </w:pPr>
      <w:r>
        <w:t>Obsah předkládané diplomové práce</w:t>
      </w:r>
      <w:r w:rsidR="00E87EFE">
        <w:t>, která je přehledně členěna do šesti hlavních kapitol,</w:t>
      </w:r>
      <w:r>
        <w:t xml:space="preserve"> odpovídá zvolenému tématu a stanovenému rozsahu</w:t>
      </w:r>
      <w:r w:rsidR="004D651E">
        <w:t>. První kapitola se věnuje samotnému pojmu závěti</w:t>
      </w:r>
      <w:r w:rsidR="00377DB7">
        <w:t xml:space="preserve"> a obsahuje základní charakteristiku tohoto právního jednání. Druhá kapitola pojednává o výkladu</w:t>
      </w:r>
      <w:r w:rsidR="009C2740">
        <w:t xml:space="preserve"> zůstavitelovy vůle, kde došlo</w:t>
      </w:r>
      <w:r w:rsidR="00377DB7">
        <w:t xml:space="preserve"> ze strany NOZ k zaujetí zcela jiného postoje, než jaký </w:t>
      </w:r>
      <w:r w:rsidR="002E186B">
        <w:t>uplatňoval</w:t>
      </w:r>
      <w:r w:rsidR="00377DB7">
        <w:t xml:space="preserve"> OZ, resp. jeho výklad. Ve třetí kapitole je rozebrána pořizovací způsobilost zůstavitele s ohledem na jeho věk a duševn</w:t>
      </w:r>
      <w:r w:rsidR="00C13C72">
        <w:t>í stav. Nechybí v ní ani průřez,</w:t>
      </w:r>
      <w:r w:rsidR="00377DB7">
        <w:t xml:space="preserve"> jak se </w:t>
      </w:r>
      <w:r w:rsidR="009C2740">
        <w:t xml:space="preserve">k </w:t>
      </w:r>
      <w:r w:rsidR="00377DB7">
        <w:t>této problematice stavěly předchozí občanskoprávní kodifikace. Čtvrtá kapitola pojednává o obsahové stránce závěti, kde je přiblíženo samotné ustanovení dědice,</w:t>
      </w:r>
      <w:r w:rsidR="00715BF8">
        <w:t xml:space="preserve"> dědická nezpůsobilost,</w:t>
      </w:r>
      <w:r w:rsidR="00377DB7">
        <w:t xml:space="preserve"> nepominute</w:t>
      </w:r>
      <w:r w:rsidR="00715BF8">
        <w:t>lný dědic a jeho možné vydědění a nově upravené</w:t>
      </w:r>
      <w:r w:rsidR="00377DB7">
        <w:t xml:space="preserve"> </w:t>
      </w:r>
      <w:r w:rsidR="00715BF8">
        <w:t>vedlejší doložky závěti</w:t>
      </w:r>
      <w:r w:rsidR="002E186B">
        <w:t>, náhradnictví a svěřenské nástupnictví</w:t>
      </w:r>
      <w:r w:rsidR="00715BF8">
        <w:t>. Stěžejní částí</w:t>
      </w:r>
      <w:r w:rsidR="00C13C72">
        <w:t xml:space="preserve"> celé</w:t>
      </w:r>
      <w:r w:rsidR="00715BF8">
        <w:t xml:space="preserve"> této </w:t>
      </w:r>
      <w:r w:rsidR="00C13C72">
        <w:t xml:space="preserve">diplomové </w:t>
      </w:r>
      <w:r w:rsidR="00715BF8">
        <w:t xml:space="preserve">práce je pak pátá kapitola rozebírající formy závěti. V ní jsou </w:t>
      </w:r>
      <w:r w:rsidR="009C2740">
        <w:t xml:space="preserve">podrobně </w:t>
      </w:r>
      <w:r w:rsidR="00715BF8">
        <w:t xml:space="preserve">rozpracovány závěti soukromého i veřejného typu a do samostatné podkapitoly jsou zařazeny úlevy při pořizování závěti. Poslední šestá kapitola se zabývá problematikou zrušení závěti. </w:t>
      </w:r>
      <w:r w:rsidR="009C2740">
        <w:t>Následuje závěr, seznam použitých zdrojů a seznam klíčových slov.</w:t>
      </w:r>
    </w:p>
    <w:p w:rsidR="004D651E" w:rsidRPr="00B53295" w:rsidRDefault="004D651E" w:rsidP="00A43429">
      <w:pPr>
        <w:spacing w:line="360" w:lineRule="auto"/>
        <w:ind w:firstLine="708"/>
        <w:jc w:val="both"/>
      </w:pPr>
    </w:p>
    <w:p w:rsidR="000F63E2" w:rsidRDefault="000F63E2" w:rsidP="00A43429">
      <w:pPr>
        <w:spacing w:line="360" w:lineRule="auto"/>
        <w:ind w:firstLine="708"/>
        <w:jc w:val="both"/>
      </w:pPr>
    </w:p>
    <w:p w:rsidR="000F63E2" w:rsidRPr="00A43429" w:rsidRDefault="000F63E2" w:rsidP="00A43429">
      <w:pPr>
        <w:spacing w:line="360" w:lineRule="auto"/>
        <w:ind w:firstLine="708"/>
        <w:jc w:val="both"/>
      </w:pPr>
    </w:p>
    <w:p w:rsidR="002C3299" w:rsidRDefault="00BC0BCE" w:rsidP="00DC722B">
      <w:pPr>
        <w:pStyle w:val="Nadpis1"/>
        <w:spacing w:line="360" w:lineRule="auto"/>
      </w:pPr>
      <w:bookmarkStart w:id="2" w:name="_Toc415452756"/>
      <w:r>
        <w:lastRenderedPageBreak/>
        <w:t>1</w:t>
      </w:r>
      <w:r>
        <w:tab/>
      </w:r>
      <w:r w:rsidR="00170CF2">
        <w:t>Pojem z</w:t>
      </w:r>
      <w:r w:rsidR="00F645B9" w:rsidRPr="00AD6AE6">
        <w:t>ávěti</w:t>
      </w:r>
      <w:bookmarkEnd w:id="2"/>
    </w:p>
    <w:p w:rsidR="00994B6A" w:rsidRDefault="00994B6A" w:rsidP="008B0E3E">
      <w:pPr>
        <w:spacing w:line="360" w:lineRule="auto"/>
        <w:jc w:val="both"/>
      </w:pPr>
      <w:r>
        <w:tab/>
        <w:t>Dědické právo je garantováno na ústavní úrovni v článku 11 Listiny základních práv a</w:t>
      </w:r>
      <w:r w:rsidR="00862853">
        <w:t> </w:t>
      </w:r>
      <w:r>
        <w:t>svobod</w:t>
      </w:r>
      <w:r w:rsidR="008B0E3E">
        <w:t xml:space="preserve"> a jeho úpravu obsahuje třetí hlava třetí části NOZ. Závěť je spolu s dědickou smlouvou a zákonem jedním ze tří dědických důvodů, které mohou působit i vedle sebe. NOZ ji zařazuje mezi pořízení pro případ smrti, kterými jsou také dědická smlouva a dovětek.</w:t>
      </w:r>
      <w:r w:rsidR="00FA5802">
        <w:t xml:space="preserve"> Samotná úprava závěti je obsažena 87 paragrafech, což je značný posun oproti OZ, který celé dědické právo pojímal do 4</w:t>
      </w:r>
      <w:r w:rsidR="00EB1C12">
        <w:t>1</w:t>
      </w:r>
      <w:r w:rsidR="00FA5802">
        <w:t xml:space="preserve"> paragrafů.</w:t>
      </w:r>
    </w:p>
    <w:p w:rsidR="00B82091" w:rsidRDefault="00B82091" w:rsidP="008B0E3E">
      <w:pPr>
        <w:spacing w:line="360" w:lineRule="auto"/>
        <w:jc w:val="both"/>
      </w:pPr>
      <w:r>
        <w:tab/>
        <w:t xml:space="preserve">Možnost pořídit </w:t>
      </w:r>
      <w:r w:rsidR="008C426E">
        <w:t>o svém majetku pro případ smrti</w:t>
      </w:r>
      <w:r>
        <w:t xml:space="preserve"> je projevem autonomie vůle zůstavitele</w:t>
      </w:r>
      <w:r w:rsidR="008C426E">
        <w:t xml:space="preserve"> a jeho testovací svobody.</w:t>
      </w:r>
      <w:r w:rsidR="00BA17AF">
        <w:rPr>
          <w:rStyle w:val="Znakapoznpodarou"/>
        </w:rPr>
        <w:footnoteReference w:id="2"/>
      </w:r>
      <w:r w:rsidR="008C426E">
        <w:t xml:space="preserve"> Zůstavitel tak svou vlastní vůlí ovlivní os</w:t>
      </w:r>
      <w:r w:rsidR="005D190D">
        <w:t>ud jmění, které po sobě zanechá a sám může určit, kdo bude jeho dědicem.</w:t>
      </w:r>
      <w:r w:rsidR="008C426E">
        <w:t xml:space="preserve"> Autonomie vůle byla v NOZ velmi posílena a to jak zavedením staronových institutů dědického práva, tak změnou</w:t>
      </w:r>
      <w:r w:rsidR="00BA17AF">
        <w:t xml:space="preserve"> a</w:t>
      </w:r>
      <w:r w:rsidR="00862853">
        <w:t> </w:t>
      </w:r>
      <w:r w:rsidR="00BA17AF">
        <w:t>uvolněním</w:t>
      </w:r>
      <w:r w:rsidR="008C426E">
        <w:t xml:space="preserve"> úpravy </w:t>
      </w:r>
      <w:r w:rsidR="00BA17AF">
        <w:t xml:space="preserve">těch, které znal i OZ. </w:t>
      </w:r>
      <w:r w:rsidR="005D190D">
        <w:t xml:space="preserve">Přesto pořizovací svoboda není absolutní a i NOZ nadále </w:t>
      </w:r>
      <w:r w:rsidR="00DC6CDC">
        <w:t>zachovává</w:t>
      </w:r>
      <w:r w:rsidR="005D190D">
        <w:t xml:space="preserve"> některá omezení.</w:t>
      </w:r>
    </w:p>
    <w:p w:rsidR="001D41BA" w:rsidRDefault="002C3299" w:rsidP="003E28AB">
      <w:pPr>
        <w:spacing w:line="360" w:lineRule="auto"/>
        <w:jc w:val="both"/>
      </w:pPr>
      <w:r>
        <w:tab/>
      </w:r>
      <w:r w:rsidR="00A70287">
        <w:t>Pojmové znaky závěti se během historického vývoje ustálily poměrně brzy</w:t>
      </w:r>
      <w:r w:rsidR="003E28AB">
        <w:t xml:space="preserve"> a to již v období římského práva, kterým se pozdější </w:t>
      </w:r>
      <w:r w:rsidR="00C9434E">
        <w:t xml:space="preserve">evropské </w:t>
      </w:r>
      <w:r w:rsidR="003E28AB">
        <w:t>soukromoprávní kodifikace tolik inspirovaly.</w:t>
      </w:r>
      <w:r w:rsidR="003E28AB">
        <w:rPr>
          <w:rStyle w:val="Znakapoznpodarou"/>
        </w:rPr>
        <w:footnoteReference w:id="3"/>
      </w:r>
      <w:r w:rsidR="002837A4">
        <w:t xml:space="preserve"> Krčmář charakterizoval závěť</w:t>
      </w:r>
      <w:r w:rsidR="00CA3910">
        <w:t xml:space="preserve"> </w:t>
      </w:r>
      <w:r w:rsidR="002837A4">
        <w:t xml:space="preserve">takto: </w:t>
      </w:r>
      <w:r w:rsidR="002837A4" w:rsidRPr="002837A4">
        <w:rPr>
          <w:i/>
        </w:rPr>
        <w:t>„</w:t>
      </w:r>
      <w:r w:rsidR="002837A4">
        <w:rPr>
          <w:i/>
        </w:rPr>
        <w:t>Podle práva</w:t>
      </w:r>
      <w:r w:rsidR="00B907AD">
        <w:rPr>
          <w:rStyle w:val="Znakapoznpodarou"/>
          <w:i/>
        </w:rPr>
        <w:footnoteReference w:id="4"/>
      </w:r>
      <w:r w:rsidR="002837A4">
        <w:rPr>
          <w:i/>
        </w:rPr>
        <w:t xml:space="preserve"> našeho může každý jednostranným projevem svým jmenov</w:t>
      </w:r>
      <w:r w:rsidR="001D76FE">
        <w:rPr>
          <w:i/>
        </w:rPr>
        <w:t>ati si dědice (universálního suc</w:t>
      </w:r>
      <w:r w:rsidR="002837A4">
        <w:rPr>
          <w:i/>
        </w:rPr>
        <w:t>ces</w:t>
      </w:r>
      <w:r w:rsidR="001D76FE">
        <w:rPr>
          <w:i/>
        </w:rPr>
        <w:t>s</w:t>
      </w:r>
      <w:r w:rsidR="002837A4">
        <w:rPr>
          <w:i/>
        </w:rPr>
        <w:t>ora</w:t>
      </w:r>
      <w:r w:rsidR="00B907AD">
        <w:rPr>
          <w:i/>
        </w:rPr>
        <w:t>)</w:t>
      </w:r>
      <w:r w:rsidR="002837A4">
        <w:rPr>
          <w:i/>
        </w:rPr>
        <w:t xml:space="preserve"> neb i více takových. Projev takový nazývá se testamentem (závětí). Testament musí tudíž obsahovati jmenování dědice, ale může obsahovati vedle toho nařízení jiná, zejména nařízení o jinakém poskytnutí </w:t>
      </w:r>
      <w:r w:rsidR="00C9434E">
        <w:rPr>
          <w:i/>
        </w:rPr>
        <w:t>mortis</w:t>
      </w:r>
      <w:r w:rsidR="002837A4">
        <w:rPr>
          <w:i/>
        </w:rPr>
        <w:t xml:space="preserve"> causa. Neobsahuje-li poslední pořízení jmenování dědice, jest kodicilem (dovětkem).“</w:t>
      </w:r>
      <w:r w:rsidR="002837A4" w:rsidRPr="00CA3910">
        <w:rPr>
          <w:rStyle w:val="Znakapoznpodarou"/>
        </w:rPr>
        <w:footnoteReference w:id="5"/>
      </w:r>
      <w:r w:rsidR="00CA3910">
        <w:t xml:space="preserve"> </w:t>
      </w:r>
    </w:p>
    <w:p w:rsidR="00C4330A" w:rsidRDefault="001D76FE" w:rsidP="00C4330A">
      <w:pPr>
        <w:spacing w:line="360" w:lineRule="auto"/>
        <w:ind w:firstLine="708"/>
        <w:jc w:val="both"/>
      </w:pPr>
      <w:r>
        <w:t>Charakteris</w:t>
      </w:r>
      <w:r w:rsidR="00881F14">
        <w:t>tiku závěti obsahuj</w:t>
      </w:r>
      <w:r w:rsidR="00743771">
        <w:t>í</w:t>
      </w:r>
      <w:r w:rsidR="00881F14">
        <w:t xml:space="preserve"> v NOZ ustanovení § 149</w:t>
      </w:r>
      <w:r w:rsidR="00C9434E">
        <w:t>4</w:t>
      </w:r>
      <w:r w:rsidR="00743771">
        <w:t xml:space="preserve"> – 1497. </w:t>
      </w:r>
      <w:r w:rsidR="001D41BA">
        <w:t>Platí pro ni také obecné požadavky kladené na právní jednání, které jsou obsaženy v první části NOZ. Projevená vůle musí být</w:t>
      </w:r>
      <w:r w:rsidR="008D7D45">
        <w:t xml:space="preserve"> svobodná,</w:t>
      </w:r>
      <w:r w:rsidR="001D41BA">
        <w:t xml:space="preserve"> vážná, určitá, srozumitelná a prostá omylu. </w:t>
      </w:r>
      <w:r w:rsidR="00743771">
        <w:t>§ 1494 odst.</w:t>
      </w:r>
      <w:r w:rsidR="00862853">
        <w:t> </w:t>
      </w:r>
      <w:r w:rsidR="00743771">
        <w:t>1</w:t>
      </w:r>
      <w:r w:rsidR="00862853">
        <w:t> </w:t>
      </w:r>
      <w:r w:rsidR="00C9434E">
        <w:t xml:space="preserve">říká, že závěť je odvolatelný projev vůle, kterým zůstavitel pro případ své smrti osobně zůstavuje jedné či více osobám alespoň podíl na pozůstalosti, případně i odkaz. Druhá věta zmíněného ustanovení hovoří o tom, že není-li zřejmé, který den, měsíc a rok byla závěť pořízena a pokud zůstavitel pořídil více závětí, které si odporují nebo závisí-li jinak právní </w:t>
      </w:r>
      <w:r w:rsidR="00C9434E">
        <w:lastRenderedPageBreak/>
        <w:t xml:space="preserve">účinky </w:t>
      </w:r>
      <w:r w:rsidR="0040428B">
        <w:t xml:space="preserve">závěti </w:t>
      </w:r>
      <w:r w:rsidR="00C9434E">
        <w:t>na určení doby jejího pořízení</w:t>
      </w:r>
      <w:r w:rsidR="0040428B">
        <w:t>, je závěť neplatná.</w:t>
      </w:r>
      <w:r w:rsidR="001D41BA">
        <w:t xml:space="preserve"> </w:t>
      </w:r>
      <w:r w:rsidR="008D7D45">
        <w:t>OZ výčet některých znaků neobsahoval a tyto byly pouze dovozovány.</w:t>
      </w:r>
    </w:p>
    <w:p w:rsidR="00F30BC4" w:rsidRDefault="00B043E3" w:rsidP="00C4330A">
      <w:pPr>
        <w:spacing w:line="360" w:lineRule="auto"/>
        <w:ind w:firstLine="708"/>
        <w:jc w:val="both"/>
      </w:pPr>
      <w:r>
        <w:t>Závěť je</w:t>
      </w:r>
      <w:r w:rsidR="001D41BA">
        <w:t xml:space="preserve"> tedy</w:t>
      </w:r>
      <w:r>
        <w:t xml:space="preserve"> jednostranným projevem vůle, čím</w:t>
      </w:r>
      <w:r w:rsidR="00BE2761">
        <w:t>ž</w:t>
      </w:r>
      <w:r>
        <w:t xml:space="preserve"> se liší např. od dědické smlouvy</w:t>
      </w:r>
      <w:r w:rsidR="0027435B">
        <w:rPr>
          <w:rStyle w:val="Znakapoznpodarou"/>
        </w:rPr>
        <w:footnoteReference w:id="6"/>
      </w:r>
      <w:r>
        <w:t>, kterou řadíme</w:t>
      </w:r>
      <w:r w:rsidR="002C7698">
        <w:t xml:space="preserve"> k</w:t>
      </w:r>
      <w:r>
        <w:t xml:space="preserve"> dvoustranným právním jednáním. </w:t>
      </w:r>
      <w:r w:rsidR="00C4330A">
        <w:t>Z jednostrannosti plyne i možnost zůstavitele závěť změnit či zrušit</w:t>
      </w:r>
      <w:r w:rsidR="00F30BC4">
        <w:t xml:space="preserve"> bez souhlasu jiné osoby, který by v případě dědické smlouvy byl potřebný.</w:t>
      </w:r>
    </w:p>
    <w:p w:rsidR="00F30BC4" w:rsidRDefault="00C4330A" w:rsidP="00C4330A">
      <w:pPr>
        <w:spacing w:line="360" w:lineRule="auto"/>
        <w:ind w:firstLine="708"/>
        <w:jc w:val="both"/>
      </w:pPr>
      <w:r>
        <w:t xml:space="preserve"> </w:t>
      </w:r>
      <w:r w:rsidR="00B123F2">
        <w:t>Zdů</w:t>
      </w:r>
      <w:r w:rsidR="001D76FE">
        <w:t>razněn je v § 1496 požadavek, že</w:t>
      </w:r>
      <w:r w:rsidR="00B123F2">
        <w:t xml:space="preserve"> z</w:t>
      </w:r>
      <w:r w:rsidR="00B043E3">
        <w:t xml:space="preserve">ůstavitel toto právní jednání musí učinit osobně a nemůže je svěřit </w:t>
      </w:r>
      <w:r w:rsidR="002C7698">
        <w:t>jiné osobě. Vyloučeno je tedy jak zákonné</w:t>
      </w:r>
      <w:r w:rsidR="0060618E">
        <w:t>,</w:t>
      </w:r>
      <w:r w:rsidR="002C7698">
        <w:t xml:space="preserve"> tak smluvní zastoupení, což několikrát potvrdila i judikatura</w:t>
      </w:r>
      <w:r w:rsidR="002C7698">
        <w:rPr>
          <w:rStyle w:val="Znakapoznpodarou"/>
        </w:rPr>
        <w:footnoteReference w:id="7"/>
      </w:r>
      <w:r w:rsidR="00BE2761">
        <w:t xml:space="preserve"> a není</w:t>
      </w:r>
      <w:r w:rsidR="001D76FE">
        <w:t xml:space="preserve"> ani</w:t>
      </w:r>
      <w:r w:rsidR="00B123F2">
        <w:t xml:space="preserve"> přípustné, aby zůstavitel p</w:t>
      </w:r>
      <w:r w:rsidR="00BE2761">
        <w:t>ořídil společně s jinou osobou</w:t>
      </w:r>
      <w:r w:rsidR="00C01B90">
        <w:t>, jak to v případě manželů</w:t>
      </w:r>
      <w:r w:rsidR="00294E49">
        <w:rPr>
          <w:rStyle w:val="Znakapoznpodarou"/>
        </w:rPr>
        <w:footnoteReference w:id="8"/>
      </w:r>
      <w:r w:rsidR="00C01B90">
        <w:t xml:space="preserve"> umožňoval OZO</w:t>
      </w:r>
      <w:r w:rsidR="00B123F2">
        <w:t xml:space="preserve">. </w:t>
      </w:r>
      <w:r w:rsidR="00BE2761">
        <w:t>Zůstavitel musí svou vůli projevit tak určitě, že nestačí pouhé přisvědčení návrhu, který mu byl učiněn</w:t>
      </w:r>
      <w:r w:rsidR="004C7130">
        <w:t xml:space="preserve"> a tak by např. nestačilo pouhé kývnutí hlavou, které </w:t>
      </w:r>
      <w:r>
        <w:t>nelze považovat za projev poslední vůle vylučující jakoukoli pochybnost.</w:t>
      </w:r>
      <w:r w:rsidR="00F30BC4">
        <w:rPr>
          <w:rStyle w:val="Znakapoznpodarou"/>
        </w:rPr>
        <w:footnoteReference w:id="9"/>
      </w:r>
      <w:r w:rsidR="004C7130">
        <w:t xml:space="preserve"> </w:t>
      </w:r>
    </w:p>
    <w:p w:rsidR="00B043E3" w:rsidRDefault="00B65CA3" w:rsidP="00C4330A">
      <w:pPr>
        <w:spacing w:line="360" w:lineRule="auto"/>
        <w:ind w:firstLine="708"/>
        <w:jc w:val="both"/>
      </w:pPr>
      <w:r>
        <w:t>Jedním ze znaků</w:t>
      </w:r>
      <w:r w:rsidR="00B123F2">
        <w:t xml:space="preserve"> je </w:t>
      </w:r>
      <w:r w:rsidR="00BE2761">
        <w:t>dále</w:t>
      </w:r>
      <w:r w:rsidR="00B123F2">
        <w:t xml:space="preserve"> zůstavení alespoň podílu na pozůstalosti jednomu či více dědicům.</w:t>
      </w:r>
      <w:r w:rsidR="003D6C84">
        <w:t xml:space="preserve"> Tímto se závěť liší od dovětku</w:t>
      </w:r>
      <w:r w:rsidR="00F30BC4">
        <w:rPr>
          <w:rStyle w:val="Znakapoznpodarou"/>
        </w:rPr>
        <w:footnoteReference w:id="10"/>
      </w:r>
      <w:r w:rsidR="004C7130">
        <w:t>, který povinnost zůstavení podílu</w:t>
      </w:r>
      <w:r w:rsidR="00C06D59">
        <w:t xml:space="preserve"> na pozůstalosti</w:t>
      </w:r>
      <w:r w:rsidR="004C7130">
        <w:t xml:space="preserve"> nestanovuje.</w:t>
      </w:r>
      <w:r w:rsidR="001D76FE">
        <w:t xml:space="preserve"> Společným aspektem</w:t>
      </w:r>
      <w:r w:rsidR="00F30BC4">
        <w:t xml:space="preserve"> pro obě tato </w:t>
      </w:r>
      <w:r>
        <w:t xml:space="preserve">poslední </w:t>
      </w:r>
      <w:r w:rsidR="00F30BC4">
        <w:t>pořízení je možnost nařízení odkazu.</w:t>
      </w:r>
      <w:r w:rsidR="00F30BC4">
        <w:rPr>
          <w:rStyle w:val="Znakapoznpodarou"/>
        </w:rPr>
        <w:footnoteReference w:id="11"/>
      </w:r>
      <w:r w:rsidR="00F30BC4">
        <w:t xml:space="preserve"> </w:t>
      </w:r>
      <w:r w:rsidR="007061D7">
        <w:t>V případě, že zůstavitel neurčil nikomu ani celou pozůstalost, ani její určitou poměrnou část a pořídil jen o jednotlivých věcech, které nevyčerpávají celé pozůstalé jmění, jedná se o dovětek a nikoli o závěť.</w:t>
      </w:r>
      <w:r w:rsidR="00E1296F">
        <w:rPr>
          <w:rStyle w:val="Znakapoznpodarou"/>
        </w:rPr>
        <w:footnoteReference w:id="12"/>
      </w:r>
    </w:p>
    <w:p w:rsidR="00973363" w:rsidRPr="00CA3910" w:rsidRDefault="00E9716A" w:rsidP="00C4330A">
      <w:pPr>
        <w:spacing w:line="360" w:lineRule="auto"/>
        <w:ind w:firstLine="708"/>
        <w:jc w:val="both"/>
      </w:pPr>
      <w:r>
        <w:t>Zůstavitel v závěti může poukázat i na obsah jiné listiny, která pokud má náležitosti závěti, má také právní účinky závěti. Jestliže by listina náležitosti závěti nesplňovala, jejího obsahu se po</w:t>
      </w:r>
      <w:r w:rsidR="001C5F37">
        <w:t>užije k vysvětlení zůstavitelovy</w:t>
      </w:r>
      <w:r>
        <w:t xml:space="preserve"> vůle. Jako příklad lze uvést různé náčrtky a</w:t>
      </w:r>
      <w:r w:rsidR="00862853">
        <w:t> </w:t>
      </w:r>
      <w:r>
        <w:t>poznámky zůstavitele nebo jeho deník či jiné listiny, které by</w:t>
      </w:r>
      <w:r w:rsidR="00A243C3">
        <w:t xml:space="preserve"> v praxi</w:t>
      </w:r>
      <w:r>
        <w:t xml:space="preserve"> mohly osvětlit </w:t>
      </w:r>
      <w:r w:rsidR="00C01B90">
        <w:t xml:space="preserve">např. </w:t>
      </w:r>
      <w:r>
        <w:lastRenderedPageBreak/>
        <w:t>datum pořízení závěti nebo jiné skutečnosti.</w:t>
      </w:r>
      <w:r>
        <w:rPr>
          <w:rStyle w:val="Znakapoznpodarou"/>
        </w:rPr>
        <w:footnoteReference w:id="13"/>
      </w:r>
      <w:r w:rsidR="00A71BC2">
        <w:t xml:space="preserve"> </w:t>
      </w:r>
      <w:r w:rsidR="008F6D70">
        <w:t>Bavorský vrchní zemský soud dokonce umožnil použi</w:t>
      </w:r>
      <w:r w:rsidR="001D76FE">
        <w:t xml:space="preserve">tí přeškrtnuté závěti k výkladu </w:t>
      </w:r>
      <w:r w:rsidR="008F6D70">
        <w:t>pozdější nedokončené</w:t>
      </w:r>
      <w:r w:rsidR="001D76FE">
        <w:t xml:space="preserve"> závěti</w:t>
      </w:r>
      <w:r w:rsidR="008F6D70">
        <w:t>, kdy zůstavitel obě listiny uložil do jedné obálky a takto uschoval.</w:t>
      </w:r>
      <w:r w:rsidR="008F6D70">
        <w:rPr>
          <w:rStyle w:val="Znakapoznpodarou"/>
        </w:rPr>
        <w:footnoteReference w:id="14"/>
      </w:r>
    </w:p>
    <w:p w:rsidR="00AD6AE6" w:rsidRPr="00DC722B" w:rsidRDefault="00BC0BCE" w:rsidP="00DC722B">
      <w:pPr>
        <w:pStyle w:val="Nadpis1"/>
      </w:pPr>
      <w:bookmarkStart w:id="3" w:name="_Toc415452757"/>
      <w:r>
        <w:lastRenderedPageBreak/>
        <w:t>2</w:t>
      </w:r>
      <w:r>
        <w:tab/>
      </w:r>
      <w:r w:rsidR="00D41627">
        <w:t>Výklad zůstavitelovy</w:t>
      </w:r>
      <w:r w:rsidR="001B4DC5">
        <w:t xml:space="preserve"> vůle</w:t>
      </w:r>
      <w:bookmarkEnd w:id="3"/>
    </w:p>
    <w:p w:rsidR="001D61B2" w:rsidRDefault="001D61B2" w:rsidP="001D61B2">
      <w:pPr>
        <w:spacing w:line="360" w:lineRule="auto"/>
        <w:ind w:firstLine="708"/>
        <w:jc w:val="both"/>
        <w:rPr>
          <w:rFonts w:cs="Times New Roman"/>
          <w:szCs w:val="24"/>
        </w:rPr>
      </w:pPr>
      <w:r>
        <w:rPr>
          <w:rFonts w:cs="Times New Roman"/>
          <w:szCs w:val="24"/>
        </w:rPr>
        <w:t xml:space="preserve">Jednou z nejvýraznějších změn v NOZ je rozdílný přístup k vůli zůstavitele oproti dvěma předchozím občanským zákoníkům. </w:t>
      </w:r>
      <w:r w:rsidR="00D0474B">
        <w:rPr>
          <w:rFonts w:cs="Times New Roman"/>
          <w:szCs w:val="24"/>
        </w:rPr>
        <w:t>Závaznost</w:t>
      </w:r>
      <w:r w:rsidR="002C3299">
        <w:rPr>
          <w:rFonts w:cs="Times New Roman"/>
          <w:szCs w:val="24"/>
        </w:rPr>
        <w:t xml:space="preserve"> a respekt k vůli</w:t>
      </w:r>
      <w:r w:rsidR="00D0474B">
        <w:rPr>
          <w:rFonts w:cs="Times New Roman"/>
          <w:szCs w:val="24"/>
        </w:rPr>
        <w:t xml:space="preserve"> zůstavitele</w:t>
      </w:r>
      <w:r>
        <w:rPr>
          <w:rFonts w:cs="Times New Roman"/>
          <w:szCs w:val="24"/>
        </w:rPr>
        <w:t xml:space="preserve"> je jednou z hlavních zásad, na kterých je </w:t>
      </w:r>
      <w:r w:rsidR="00D0474B">
        <w:rPr>
          <w:rFonts w:cs="Times New Roman"/>
          <w:szCs w:val="24"/>
        </w:rPr>
        <w:t xml:space="preserve">nové </w:t>
      </w:r>
      <w:r w:rsidR="00815CE9">
        <w:rPr>
          <w:rFonts w:cs="Times New Roman"/>
          <w:szCs w:val="24"/>
        </w:rPr>
        <w:t>dědické právo vystavěno a NOZ se tak navrací k tradicím OZO, kde vůle zůstavitele byla pro dědice zá</w:t>
      </w:r>
      <w:r w:rsidR="00B70BCD">
        <w:rPr>
          <w:rFonts w:cs="Times New Roman"/>
          <w:szCs w:val="24"/>
        </w:rPr>
        <w:t>vazná nejen po morální stránce</w:t>
      </w:r>
      <w:r w:rsidR="00C85656">
        <w:rPr>
          <w:rFonts w:cs="Times New Roman"/>
          <w:szCs w:val="24"/>
        </w:rPr>
        <w:t>,</w:t>
      </w:r>
      <w:r w:rsidR="00B70BCD">
        <w:rPr>
          <w:rFonts w:cs="Times New Roman"/>
          <w:szCs w:val="24"/>
        </w:rPr>
        <w:t xml:space="preserve"> ale i po zákonné</w:t>
      </w:r>
      <w:r w:rsidR="00815CE9">
        <w:rPr>
          <w:rFonts w:cs="Times New Roman"/>
          <w:szCs w:val="24"/>
        </w:rPr>
        <w:t>.</w:t>
      </w:r>
      <w:r w:rsidR="00B70BCD">
        <w:rPr>
          <w:rStyle w:val="Znakapoznpodarou"/>
          <w:rFonts w:cs="Times New Roman"/>
          <w:szCs w:val="24"/>
        </w:rPr>
        <w:footnoteReference w:id="15"/>
      </w:r>
      <w:r w:rsidR="00D0474B">
        <w:rPr>
          <w:rFonts w:cs="Times New Roman"/>
          <w:szCs w:val="24"/>
        </w:rPr>
        <w:t xml:space="preserve"> Zatímco za účinnosti SOZ a OZ rozhodovali o majetku zůstavitele dědicové, kteří mohli ignorovat rozdělení pozůstalosti dle závěti tím, že </w:t>
      </w:r>
      <w:r w:rsidR="00B65CA3">
        <w:rPr>
          <w:rFonts w:cs="Times New Roman"/>
          <w:szCs w:val="24"/>
        </w:rPr>
        <w:t xml:space="preserve">v dědickém řízení </w:t>
      </w:r>
      <w:r w:rsidR="00D0474B">
        <w:rPr>
          <w:rFonts w:cs="Times New Roman"/>
          <w:szCs w:val="24"/>
        </w:rPr>
        <w:t>uzavřeli dohodu, nyní bude hlavní slovo patřit zůstaviteli.</w:t>
      </w:r>
      <w:r w:rsidR="00D0474B">
        <w:rPr>
          <w:rStyle w:val="Znakapoznpodarou"/>
          <w:rFonts w:cs="Times New Roman"/>
          <w:szCs w:val="24"/>
        </w:rPr>
        <w:footnoteReference w:id="16"/>
      </w:r>
      <w:r w:rsidR="007D75CD">
        <w:rPr>
          <w:rFonts w:cs="Times New Roman"/>
          <w:szCs w:val="24"/>
        </w:rPr>
        <w:t xml:space="preserve"> Socialistické zákoníky se uc</w:t>
      </w:r>
      <w:r w:rsidR="001C5F37">
        <w:rPr>
          <w:rFonts w:cs="Times New Roman"/>
          <w:szCs w:val="24"/>
        </w:rPr>
        <w:t>hýlily k upozadění zůstavitelovy</w:t>
      </w:r>
      <w:r w:rsidR="00317166">
        <w:rPr>
          <w:rFonts w:cs="Times New Roman"/>
          <w:szCs w:val="24"/>
        </w:rPr>
        <w:t xml:space="preserve"> vůle</w:t>
      </w:r>
      <w:r w:rsidR="007D75CD">
        <w:rPr>
          <w:rFonts w:cs="Times New Roman"/>
          <w:szCs w:val="24"/>
        </w:rPr>
        <w:t xml:space="preserve">, protože </w:t>
      </w:r>
      <w:r w:rsidR="00C85656">
        <w:rPr>
          <w:rFonts w:cs="Times New Roman"/>
          <w:szCs w:val="24"/>
        </w:rPr>
        <w:t xml:space="preserve">mimo jiné </w:t>
      </w:r>
      <w:r w:rsidR="007D75CD">
        <w:rPr>
          <w:rFonts w:cs="Times New Roman"/>
          <w:szCs w:val="24"/>
        </w:rPr>
        <w:t>dle tehdejšího přesvědčení panoval názor, že mrtvý člověk nebuduje socialismus</w:t>
      </w:r>
      <w:r w:rsidR="00317166">
        <w:rPr>
          <w:rFonts w:cs="Times New Roman"/>
          <w:szCs w:val="24"/>
        </w:rPr>
        <w:t xml:space="preserve"> a tudíž je třeba postavit zájmy živých před vůli zůstavitele</w:t>
      </w:r>
      <w:r w:rsidR="007D75CD">
        <w:rPr>
          <w:rFonts w:cs="Times New Roman"/>
          <w:szCs w:val="24"/>
        </w:rPr>
        <w:t>.</w:t>
      </w:r>
      <w:r w:rsidR="00317166">
        <w:rPr>
          <w:rStyle w:val="Znakapoznpodarou"/>
          <w:rFonts w:cs="Times New Roman"/>
          <w:szCs w:val="24"/>
        </w:rPr>
        <w:footnoteReference w:id="17"/>
      </w:r>
      <w:r w:rsidR="008C4B6D">
        <w:rPr>
          <w:rFonts w:cs="Times New Roman"/>
          <w:szCs w:val="24"/>
        </w:rPr>
        <w:t xml:space="preserve"> Bylo tak odstraněno mnoho tradičních institutů dědickéh</w:t>
      </w:r>
      <w:r w:rsidR="001D76FE">
        <w:rPr>
          <w:rFonts w:cs="Times New Roman"/>
          <w:szCs w:val="24"/>
        </w:rPr>
        <w:t>o práva a výklad toho co zbylo</w:t>
      </w:r>
      <w:r w:rsidR="00A74316">
        <w:rPr>
          <w:rFonts w:cs="Times New Roman"/>
          <w:szCs w:val="24"/>
        </w:rPr>
        <w:t>,</w:t>
      </w:r>
      <w:r w:rsidR="001D76FE">
        <w:rPr>
          <w:rFonts w:cs="Times New Roman"/>
          <w:szCs w:val="24"/>
        </w:rPr>
        <w:t xml:space="preserve"> </w:t>
      </w:r>
      <w:r w:rsidR="008C4B6D">
        <w:rPr>
          <w:rFonts w:cs="Times New Roman"/>
          <w:szCs w:val="24"/>
        </w:rPr>
        <w:t>často svědčil v neprospěch zů</w:t>
      </w:r>
      <w:r w:rsidR="001C5F37">
        <w:rPr>
          <w:rFonts w:cs="Times New Roman"/>
          <w:szCs w:val="24"/>
        </w:rPr>
        <w:t>stavitelovy</w:t>
      </w:r>
      <w:r w:rsidR="008C4B6D">
        <w:rPr>
          <w:rFonts w:cs="Times New Roman"/>
          <w:szCs w:val="24"/>
        </w:rPr>
        <w:t xml:space="preserve"> vůle.</w:t>
      </w:r>
      <w:r w:rsidR="00447E84">
        <w:rPr>
          <w:rStyle w:val="Znakapoznpodarou"/>
          <w:rFonts w:cs="Times New Roman"/>
          <w:szCs w:val="24"/>
        </w:rPr>
        <w:footnoteReference w:id="18"/>
      </w:r>
      <w:r w:rsidR="008C4B6D">
        <w:rPr>
          <w:rFonts w:cs="Times New Roman"/>
          <w:szCs w:val="24"/>
        </w:rPr>
        <w:t xml:space="preserve"> </w:t>
      </w:r>
    </w:p>
    <w:p w:rsidR="008C4B6D" w:rsidRDefault="00815CE9" w:rsidP="001D61B2">
      <w:pPr>
        <w:spacing w:line="360" w:lineRule="auto"/>
        <w:ind w:firstLine="708"/>
        <w:jc w:val="both"/>
        <w:rPr>
          <w:rFonts w:cs="Times New Roman"/>
          <w:szCs w:val="24"/>
        </w:rPr>
      </w:pPr>
      <w:r>
        <w:rPr>
          <w:rFonts w:cs="Times New Roman"/>
          <w:szCs w:val="24"/>
        </w:rPr>
        <w:t>Nároky kladené na zůstavitelovu vůli a její projev se řídí obecnými ustanoveními, která doplňu</w:t>
      </w:r>
      <w:r w:rsidR="001C1DB3">
        <w:rPr>
          <w:rFonts w:cs="Times New Roman"/>
          <w:szCs w:val="24"/>
        </w:rPr>
        <w:t>jí speciální pravidla</w:t>
      </w:r>
      <w:r w:rsidR="000847A3">
        <w:rPr>
          <w:rFonts w:cs="Times New Roman"/>
          <w:szCs w:val="24"/>
        </w:rPr>
        <w:t xml:space="preserve"> obsažená</w:t>
      </w:r>
      <w:r>
        <w:rPr>
          <w:rFonts w:cs="Times New Roman"/>
          <w:szCs w:val="24"/>
        </w:rPr>
        <w:t xml:space="preserve"> v úpravě dědického práva.</w:t>
      </w:r>
      <w:r w:rsidR="008C58FE">
        <w:rPr>
          <w:rFonts w:cs="Times New Roman"/>
          <w:szCs w:val="24"/>
        </w:rPr>
        <w:t xml:space="preserve"> Vůle</w:t>
      </w:r>
      <w:r w:rsidR="000847A3">
        <w:rPr>
          <w:rFonts w:cs="Times New Roman"/>
          <w:szCs w:val="24"/>
        </w:rPr>
        <w:t xml:space="preserve"> musí </w:t>
      </w:r>
      <w:r w:rsidR="008C58FE">
        <w:rPr>
          <w:rFonts w:cs="Times New Roman"/>
          <w:szCs w:val="24"/>
        </w:rPr>
        <w:t xml:space="preserve">být </w:t>
      </w:r>
      <w:r w:rsidR="000847A3">
        <w:rPr>
          <w:rFonts w:cs="Times New Roman"/>
          <w:szCs w:val="24"/>
        </w:rPr>
        <w:t>skutečná, vážná, určitá a srozumitelná. Není tedy možné považov</w:t>
      </w:r>
      <w:r w:rsidR="001D76FE">
        <w:rPr>
          <w:rFonts w:cs="Times New Roman"/>
          <w:szCs w:val="24"/>
        </w:rPr>
        <w:t>at za platnou závěť učiněnou jako</w:t>
      </w:r>
      <w:r w:rsidR="000847A3">
        <w:rPr>
          <w:rFonts w:cs="Times New Roman"/>
          <w:szCs w:val="24"/>
        </w:rPr>
        <w:t xml:space="preserve"> demonstraci např. při vyučování nebo závěť, u které pro neurčitost nebo nesrozumitelnost nelze zjistit její obsah</w:t>
      </w:r>
      <w:r w:rsidR="00E203AB">
        <w:rPr>
          <w:rFonts w:cs="Times New Roman"/>
          <w:szCs w:val="24"/>
        </w:rPr>
        <w:t xml:space="preserve"> ani výkladem</w:t>
      </w:r>
      <w:r w:rsidR="000847A3">
        <w:rPr>
          <w:rFonts w:cs="Times New Roman"/>
          <w:szCs w:val="24"/>
        </w:rPr>
        <w:t>.</w:t>
      </w:r>
      <w:r w:rsidR="001C1DB3">
        <w:rPr>
          <w:rFonts w:cs="Times New Roman"/>
          <w:szCs w:val="24"/>
        </w:rPr>
        <w:t xml:space="preserve"> Obsah ustanovení § 574 o tom, že na právní jednání je třeba spíše hledět jako na platné než jako na neplatné, se užije také na závěť.</w:t>
      </w:r>
    </w:p>
    <w:p w:rsidR="00317166" w:rsidRDefault="00C314E1" w:rsidP="004F225C">
      <w:pPr>
        <w:spacing w:line="360" w:lineRule="auto"/>
        <w:ind w:firstLine="708"/>
        <w:jc w:val="both"/>
        <w:rPr>
          <w:rFonts w:cs="Times New Roman"/>
          <w:szCs w:val="24"/>
        </w:rPr>
      </w:pPr>
      <w:r>
        <w:rPr>
          <w:rFonts w:cs="Times New Roman"/>
          <w:szCs w:val="24"/>
        </w:rPr>
        <w:t>Ustanovení § 556 NOZ říká, že nelze-li zjistit úmysl jednajícího, přisuzuje se projevu vůle takový význam, jaký by mu zpravidla přikládala osoba v postavení toho, jemuž je projev vůle určen. Toto ustanovení se však na</w:t>
      </w:r>
      <w:r w:rsidR="004F225C">
        <w:rPr>
          <w:rFonts w:cs="Times New Roman"/>
          <w:szCs w:val="24"/>
        </w:rPr>
        <w:t xml:space="preserve"> právní jednání v případě závěti nepoužije a uplatní se speciální úprava § 1494 odst. 2, ze které plyne, že je závěť třeba vyložit tak, aby bylo co nejvíce vyhověno vůli zůsta</w:t>
      </w:r>
      <w:r w:rsidR="001D76FE">
        <w:rPr>
          <w:rFonts w:cs="Times New Roman"/>
          <w:szCs w:val="24"/>
        </w:rPr>
        <w:t xml:space="preserve">vitele. Slova použitá v závěti </w:t>
      </w:r>
      <w:r w:rsidR="004F225C">
        <w:rPr>
          <w:rFonts w:cs="Times New Roman"/>
          <w:szCs w:val="24"/>
        </w:rPr>
        <w:t>se vykládají dle jejich obvyklého významu, ledaže se prokáže, že si zůstavitel navykl spojovat s určitými výrazy zvláštní, sobě vlastní smysl.</w:t>
      </w:r>
      <w:r w:rsidR="004F225C">
        <w:rPr>
          <w:rStyle w:val="Znakapoznpodarou"/>
          <w:rFonts w:cs="Times New Roman"/>
          <w:szCs w:val="24"/>
        </w:rPr>
        <w:footnoteReference w:id="19"/>
      </w:r>
      <w:r w:rsidR="00992C76">
        <w:rPr>
          <w:rFonts w:cs="Times New Roman"/>
          <w:szCs w:val="24"/>
        </w:rPr>
        <w:t xml:space="preserve"> </w:t>
      </w:r>
      <w:r w:rsidR="001B7085">
        <w:rPr>
          <w:rFonts w:cs="Times New Roman"/>
          <w:szCs w:val="24"/>
        </w:rPr>
        <w:t>Jako příklad lze uvést situaci, kdy zůstavitel napíše do závěti toto:</w:t>
      </w:r>
      <w:r w:rsidR="00992C76">
        <w:rPr>
          <w:rFonts w:cs="Times New Roman"/>
          <w:szCs w:val="24"/>
        </w:rPr>
        <w:t xml:space="preserve"> </w:t>
      </w:r>
      <w:r w:rsidR="00DE4101">
        <w:rPr>
          <w:rFonts w:cs="Times New Roman"/>
          <w:i/>
          <w:szCs w:val="24"/>
        </w:rPr>
        <w:t>„</w:t>
      </w:r>
      <w:r w:rsidR="00992C76" w:rsidRPr="00992C76">
        <w:rPr>
          <w:rFonts w:cs="Times New Roman"/>
          <w:i/>
          <w:szCs w:val="24"/>
        </w:rPr>
        <w:t>sv</w:t>
      </w:r>
      <w:r w:rsidR="00582106">
        <w:rPr>
          <w:rFonts w:cs="Times New Roman"/>
          <w:i/>
          <w:szCs w:val="24"/>
        </w:rPr>
        <w:t>ého broučka odkazuji odkazovníku XY, který se mnou a broučkem procestoval snad celou Evropu.</w:t>
      </w:r>
      <w:r w:rsidR="00DE4101">
        <w:rPr>
          <w:rFonts w:cs="Times New Roman"/>
          <w:i/>
          <w:szCs w:val="24"/>
        </w:rPr>
        <w:t>“</w:t>
      </w:r>
      <w:r w:rsidR="00582106">
        <w:rPr>
          <w:rFonts w:cs="Times New Roman"/>
          <w:i/>
          <w:szCs w:val="24"/>
        </w:rPr>
        <w:t xml:space="preserve"> </w:t>
      </w:r>
      <w:r w:rsidR="00582106">
        <w:rPr>
          <w:rFonts w:cs="Times New Roman"/>
          <w:szCs w:val="24"/>
        </w:rPr>
        <w:t xml:space="preserve">Zůstavitel </w:t>
      </w:r>
      <w:r w:rsidR="00DE4101">
        <w:rPr>
          <w:rFonts w:cs="Times New Roman"/>
          <w:szCs w:val="24"/>
        </w:rPr>
        <w:t xml:space="preserve">neměl </w:t>
      </w:r>
      <w:r w:rsidR="001D76FE">
        <w:rPr>
          <w:rFonts w:cs="Times New Roman"/>
          <w:szCs w:val="24"/>
        </w:rPr>
        <w:t xml:space="preserve">slovem </w:t>
      </w:r>
      <w:r w:rsidR="00582106">
        <w:rPr>
          <w:rFonts w:cs="Times New Roman"/>
          <w:szCs w:val="24"/>
        </w:rPr>
        <w:t xml:space="preserve">brouček </w:t>
      </w:r>
      <w:r w:rsidR="00DE4101">
        <w:rPr>
          <w:rFonts w:cs="Times New Roman"/>
          <w:szCs w:val="24"/>
        </w:rPr>
        <w:t xml:space="preserve">na mysli </w:t>
      </w:r>
      <w:r w:rsidR="00741A8D">
        <w:rPr>
          <w:rFonts w:cs="Times New Roman"/>
          <w:szCs w:val="24"/>
        </w:rPr>
        <w:t xml:space="preserve">žádný </w:t>
      </w:r>
      <w:r w:rsidR="00582106">
        <w:rPr>
          <w:rFonts w:cs="Times New Roman"/>
          <w:szCs w:val="24"/>
        </w:rPr>
        <w:t xml:space="preserve">hmyz, nýbrž jeho osobní </w:t>
      </w:r>
      <w:r w:rsidR="00582106">
        <w:rPr>
          <w:rFonts w:cs="Times New Roman"/>
          <w:szCs w:val="24"/>
        </w:rPr>
        <w:lastRenderedPageBreak/>
        <w:t>automobil Volks</w:t>
      </w:r>
      <w:r w:rsidR="008C58FE">
        <w:rPr>
          <w:rFonts w:cs="Times New Roman"/>
          <w:szCs w:val="24"/>
        </w:rPr>
        <w:t>wagen typ 1, o kterém</w:t>
      </w:r>
      <w:r w:rsidR="00582106">
        <w:rPr>
          <w:rFonts w:cs="Times New Roman"/>
          <w:szCs w:val="24"/>
        </w:rPr>
        <w:t xml:space="preserve"> vždy hovořil jako o broučkovi.</w:t>
      </w:r>
      <w:r w:rsidR="00DE4101">
        <w:rPr>
          <w:rFonts w:cs="Times New Roman"/>
          <w:szCs w:val="24"/>
        </w:rPr>
        <w:t xml:space="preserve"> Odkazovníku XY tedy bude náležet tento osobní automobil.</w:t>
      </w:r>
      <w:r w:rsidR="001A529F">
        <w:rPr>
          <w:rFonts w:cs="Times New Roman"/>
          <w:szCs w:val="24"/>
        </w:rPr>
        <w:t xml:space="preserve"> Jiným příkladem, kdy je třeba řídit se zejména zůstavitelovou vůlí a nikoli pouze obvyklým významem slov uvádí ve svém článku</w:t>
      </w:r>
      <w:r w:rsidR="001A529F">
        <w:rPr>
          <w:rStyle w:val="Znakapoznpodarou"/>
          <w:rFonts w:cs="Times New Roman"/>
          <w:szCs w:val="24"/>
        </w:rPr>
        <w:footnoteReference w:id="20"/>
      </w:r>
      <w:r w:rsidR="00C06D59">
        <w:rPr>
          <w:rFonts w:cs="Times New Roman"/>
          <w:szCs w:val="24"/>
        </w:rPr>
        <w:t xml:space="preserve"> </w:t>
      </w:r>
      <w:r w:rsidR="001A529F">
        <w:rPr>
          <w:rFonts w:cs="Times New Roman"/>
          <w:szCs w:val="24"/>
        </w:rPr>
        <w:t>Petr, když dospívá k závěru, že vůli zůstavitele by nebylo vyhověno, pokud ten dal ve svém posledním pořízení</w:t>
      </w:r>
      <w:r w:rsidR="00183520">
        <w:rPr>
          <w:rFonts w:cs="Times New Roman"/>
          <w:szCs w:val="24"/>
        </w:rPr>
        <w:t xml:space="preserve"> odkazovníku</w:t>
      </w:r>
      <w:r w:rsidR="001A529F">
        <w:rPr>
          <w:rFonts w:cs="Times New Roman"/>
          <w:szCs w:val="24"/>
        </w:rPr>
        <w:t xml:space="preserve"> podmínku otevřít zapečetěné bedny</w:t>
      </w:r>
      <w:r w:rsidR="00183520">
        <w:rPr>
          <w:rFonts w:cs="Times New Roman"/>
          <w:szCs w:val="24"/>
        </w:rPr>
        <w:t xml:space="preserve"> (odkaz)</w:t>
      </w:r>
      <w:r w:rsidR="001A529F">
        <w:rPr>
          <w:rFonts w:cs="Times New Roman"/>
          <w:szCs w:val="24"/>
        </w:rPr>
        <w:t xml:space="preserve"> </w:t>
      </w:r>
      <w:r w:rsidR="00183520">
        <w:rPr>
          <w:rFonts w:cs="Times New Roman"/>
          <w:szCs w:val="24"/>
        </w:rPr>
        <w:t>až po uplynutí 200 let, ale obsah beden by byl prozkoumán pomocí moderní</w:t>
      </w:r>
      <w:r w:rsidR="004F11DE">
        <w:rPr>
          <w:rFonts w:cs="Times New Roman"/>
          <w:szCs w:val="24"/>
        </w:rPr>
        <w:t>ch</w:t>
      </w:r>
      <w:r w:rsidR="00183520">
        <w:rPr>
          <w:rFonts w:cs="Times New Roman"/>
          <w:szCs w:val="24"/>
        </w:rPr>
        <w:t xml:space="preserve"> technických prostředků. Vůlí zůstavitele bylo utajení a neodhalení obsahu zapečetěných beden a proto by zjištění obsahu beden pomocí moderní techniky</w:t>
      </w:r>
      <w:r w:rsidR="001C1DB3">
        <w:rPr>
          <w:rFonts w:cs="Times New Roman"/>
          <w:szCs w:val="24"/>
        </w:rPr>
        <w:t>,</w:t>
      </w:r>
      <w:r w:rsidR="001D76FE">
        <w:rPr>
          <w:rFonts w:cs="Times New Roman"/>
          <w:szCs w:val="24"/>
        </w:rPr>
        <w:t xml:space="preserve"> i přesto</w:t>
      </w:r>
      <w:r w:rsidR="00183520">
        <w:rPr>
          <w:rFonts w:cs="Times New Roman"/>
          <w:szCs w:val="24"/>
        </w:rPr>
        <w:t>že by bedny nebyly otevřeny, bylo v rozporu se zůstavitelovou vůlí</w:t>
      </w:r>
      <w:r w:rsidR="001A529F">
        <w:rPr>
          <w:rFonts w:cs="Times New Roman"/>
          <w:szCs w:val="24"/>
        </w:rPr>
        <w:t>.</w:t>
      </w:r>
      <w:r w:rsidR="002E41F7">
        <w:rPr>
          <w:rFonts w:cs="Times New Roman"/>
          <w:szCs w:val="24"/>
        </w:rPr>
        <w:t xml:space="preserve"> Že</w:t>
      </w:r>
      <w:r w:rsidR="001C5F37">
        <w:rPr>
          <w:rFonts w:cs="Times New Roman"/>
          <w:szCs w:val="24"/>
        </w:rPr>
        <w:t xml:space="preserve"> se při výkladu zůstavitelovy </w:t>
      </w:r>
      <w:r w:rsidR="002E41F7">
        <w:rPr>
          <w:rFonts w:cs="Times New Roman"/>
          <w:szCs w:val="24"/>
        </w:rPr>
        <w:t>vůle nelze omezit pouze na jeho slovné znění, nýbrž že je třeba i jinak zjistit zůstavitelovu pravou vůli</w:t>
      </w:r>
      <w:r w:rsidR="001D76FE">
        <w:rPr>
          <w:rFonts w:cs="Times New Roman"/>
          <w:szCs w:val="24"/>
        </w:rPr>
        <w:t>,</w:t>
      </w:r>
      <w:r w:rsidR="002E41F7">
        <w:rPr>
          <w:rFonts w:cs="Times New Roman"/>
          <w:szCs w:val="24"/>
        </w:rPr>
        <w:t xml:space="preserve"> judikoval i NS.</w:t>
      </w:r>
      <w:r w:rsidR="002E41F7">
        <w:rPr>
          <w:rStyle w:val="Znakapoznpodarou"/>
          <w:rFonts w:cs="Times New Roman"/>
          <w:szCs w:val="24"/>
        </w:rPr>
        <w:footnoteReference w:id="21"/>
      </w:r>
      <w:r w:rsidR="002E41F7">
        <w:rPr>
          <w:rFonts w:cs="Times New Roman"/>
          <w:szCs w:val="24"/>
        </w:rPr>
        <w:t xml:space="preserve"> </w:t>
      </w:r>
      <w:r w:rsidR="009B3194">
        <w:rPr>
          <w:rFonts w:cs="Times New Roman"/>
          <w:szCs w:val="24"/>
        </w:rPr>
        <w:t>Na tomto místě bych také zmínil, že p</w:t>
      </w:r>
      <w:r w:rsidR="001C1DB3">
        <w:rPr>
          <w:rFonts w:cs="Times New Roman"/>
          <w:szCs w:val="24"/>
        </w:rPr>
        <w:t>okud by do závěti</w:t>
      </w:r>
      <w:r w:rsidR="006303EA">
        <w:rPr>
          <w:rFonts w:cs="Times New Roman"/>
          <w:szCs w:val="24"/>
        </w:rPr>
        <w:t xml:space="preserve"> pisatel zanesl cizí, zůstaviteli neznámé slovo</w:t>
      </w:r>
      <w:r w:rsidR="00B05B75">
        <w:rPr>
          <w:rFonts w:cs="Times New Roman"/>
          <w:szCs w:val="24"/>
        </w:rPr>
        <w:t>,</w:t>
      </w:r>
      <w:r w:rsidR="006303EA">
        <w:rPr>
          <w:rFonts w:cs="Times New Roman"/>
          <w:szCs w:val="24"/>
        </w:rPr>
        <w:t xml:space="preserve"> tak tato okolnost nevadí, pokud použitý výraz kryje zůstavitelovu pravou vůli.</w:t>
      </w:r>
      <w:r w:rsidR="006303EA">
        <w:rPr>
          <w:rStyle w:val="Znakapoznpodarou"/>
          <w:rFonts w:cs="Times New Roman"/>
          <w:szCs w:val="24"/>
        </w:rPr>
        <w:footnoteReference w:id="22"/>
      </w:r>
    </w:p>
    <w:p w:rsidR="000616D1" w:rsidRPr="00582106" w:rsidRDefault="000616D1" w:rsidP="004F225C">
      <w:pPr>
        <w:spacing w:line="360" w:lineRule="auto"/>
        <w:ind w:firstLine="708"/>
        <w:jc w:val="both"/>
        <w:rPr>
          <w:rFonts w:cs="Times New Roman"/>
          <w:szCs w:val="24"/>
        </w:rPr>
      </w:pPr>
      <w:r>
        <w:rPr>
          <w:rFonts w:cs="Times New Roman"/>
          <w:szCs w:val="24"/>
        </w:rPr>
        <w:t>Nový občanský zákoník obsahuje i speciální úpravu omylu. Pokud je omyl podstatný</w:t>
      </w:r>
      <w:r w:rsidR="00977A2E">
        <w:rPr>
          <w:rFonts w:cs="Times New Roman"/>
          <w:szCs w:val="24"/>
        </w:rPr>
        <w:t>,</w:t>
      </w:r>
      <w:r>
        <w:rPr>
          <w:rFonts w:cs="Times New Roman"/>
          <w:szCs w:val="24"/>
        </w:rPr>
        <w:t xml:space="preserve"> způsobí tato skutečnost neplatnost ustanovení závěti, kterého se týká. Dle ustanovení § 1530 se za podstatný omyl považuje taková skutečnost</w:t>
      </w:r>
      <w:r w:rsidR="00977A2E">
        <w:rPr>
          <w:rFonts w:cs="Times New Roman"/>
          <w:szCs w:val="24"/>
        </w:rPr>
        <w:t>,</w:t>
      </w:r>
      <w:r>
        <w:rPr>
          <w:rFonts w:cs="Times New Roman"/>
          <w:szCs w:val="24"/>
        </w:rPr>
        <w:t xml:space="preserve"> týká-li se osoby, které se něco zůstavuje, nebo podílu či věci, které se zůstavují, anebo podstatných náležitostí věci. Vlastnosti jsou podstatné, pokud je zřejmé, že by </w:t>
      </w:r>
      <w:r w:rsidR="00DA61AD">
        <w:rPr>
          <w:rFonts w:cs="Times New Roman"/>
          <w:szCs w:val="24"/>
        </w:rPr>
        <w:t>tak zůstavitel v závěti býval</w:t>
      </w:r>
      <w:r>
        <w:rPr>
          <w:rFonts w:cs="Times New Roman"/>
          <w:szCs w:val="24"/>
        </w:rPr>
        <w:t xml:space="preserve"> neučinil, kdyby se v nich býval nezmýlil.</w:t>
      </w:r>
      <w:r w:rsidR="00977A2E">
        <w:rPr>
          <w:rFonts w:cs="Times New Roman"/>
          <w:szCs w:val="24"/>
        </w:rPr>
        <w:t xml:space="preserve"> N</w:t>
      </w:r>
      <w:r w:rsidR="005A41B0">
        <w:rPr>
          <w:rFonts w:cs="Times New Roman"/>
          <w:szCs w:val="24"/>
        </w:rPr>
        <w:t>ení přitom rozhodné, jak takový omyl vznikl či kdo jej</w:t>
      </w:r>
      <w:r w:rsidR="00977A2E">
        <w:rPr>
          <w:rFonts w:cs="Times New Roman"/>
          <w:szCs w:val="24"/>
        </w:rPr>
        <w:t xml:space="preserve"> vyvolal</w:t>
      </w:r>
      <w:r w:rsidR="001D76FE">
        <w:rPr>
          <w:rFonts w:cs="Times New Roman"/>
          <w:szCs w:val="24"/>
        </w:rPr>
        <w:t>,</w:t>
      </w:r>
      <w:r w:rsidR="005A41B0">
        <w:rPr>
          <w:rFonts w:cs="Times New Roman"/>
          <w:szCs w:val="24"/>
        </w:rPr>
        <w:t xml:space="preserve"> i kdyby omyl</w:t>
      </w:r>
      <w:r w:rsidR="00977A2E">
        <w:rPr>
          <w:rFonts w:cs="Times New Roman"/>
          <w:szCs w:val="24"/>
        </w:rPr>
        <w:t xml:space="preserve"> </w:t>
      </w:r>
      <w:r w:rsidR="00DA61AD">
        <w:rPr>
          <w:rFonts w:cs="Times New Roman"/>
          <w:szCs w:val="24"/>
        </w:rPr>
        <w:t>způsobil</w:t>
      </w:r>
      <w:r w:rsidR="00977A2E">
        <w:rPr>
          <w:rFonts w:cs="Times New Roman"/>
          <w:szCs w:val="24"/>
        </w:rPr>
        <w:t xml:space="preserve"> sám zůstavitel</w:t>
      </w:r>
      <w:r w:rsidR="005A41B0">
        <w:rPr>
          <w:rFonts w:cs="Times New Roman"/>
          <w:szCs w:val="24"/>
        </w:rPr>
        <w:t>, protože nejde o jednání obchodního styku a odpadá tedy ohled na stranu, která přijímá prohlášení a hledí se více na vnitřní vůli</w:t>
      </w:r>
      <w:r w:rsidR="00977A2E">
        <w:rPr>
          <w:rFonts w:cs="Times New Roman"/>
          <w:szCs w:val="24"/>
        </w:rPr>
        <w:t>.</w:t>
      </w:r>
      <w:r w:rsidR="00774316">
        <w:rPr>
          <w:rStyle w:val="Znakapoznpodarou"/>
          <w:rFonts w:cs="Times New Roman"/>
          <w:szCs w:val="24"/>
        </w:rPr>
        <w:footnoteReference w:id="23"/>
      </w:r>
      <w:r w:rsidR="00313AE9">
        <w:rPr>
          <w:rFonts w:cs="Times New Roman"/>
          <w:szCs w:val="24"/>
        </w:rPr>
        <w:t xml:space="preserve"> Ustanovení</w:t>
      </w:r>
      <w:r w:rsidR="001D76FE">
        <w:rPr>
          <w:rFonts w:cs="Times New Roman"/>
          <w:szCs w:val="24"/>
        </w:rPr>
        <w:t xml:space="preserve"> závěti by však zůstalo platným</w:t>
      </w:r>
      <w:r w:rsidR="00313AE9">
        <w:rPr>
          <w:rFonts w:cs="Times New Roman"/>
          <w:szCs w:val="24"/>
        </w:rPr>
        <w:t xml:space="preserve"> </w:t>
      </w:r>
      <w:r w:rsidR="00E91FC8">
        <w:rPr>
          <w:rFonts w:cs="Times New Roman"/>
          <w:szCs w:val="24"/>
        </w:rPr>
        <w:t>v případě, že</w:t>
      </w:r>
      <w:r w:rsidR="00313AE9">
        <w:rPr>
          <w:rFonts w:cs="Times New Roman"/>
          <w:szCs w:val="24"/>
        </w:rPr>
        <w:t xml:space="preserve"> by se ukázalo, že osoba nebo věc byla jen nesprávně popsána.</w:t>
      </w:r>
      <w:r w:rsidR="00F15BDF">
        <w:rPr>
          <w:rFonts w:cs="Times New Roman"/>
          <w:szCs w:val="24"/>
        </w:rPr>
        <w:t xml:space="preserve"> Naproti tomu pokud se zůstavitelova vůle zakládá jen na mylné pohnutce, pak způsobuje neplatnost ustanovení závěti, kterého se týká. Jako příklad lze uvést situaci, kdy se zůstavitel rozhodl za záchranu svého života odkázat osobě XY svůj osobní automobil, což také napsal do svého posledního pořízení. Protože ale osoba XY nikdy takový skutek neudělala, bude pořízení v této části neplatné.  </w:t>
      </w:r>
    </w:p>
    <w:p w:rsidR="00124009" w:rsidRPr="00124009" w:rsidRDefault="00B56B3C" w:rsidP="00124009">
      <w:pPr>
        <w:spacing w:line="360" w:lineRule="auto"/>
        <w:ind w:firstLine="708"/>
        <w:jc w:val="both"/>
        <w:rPr>
          <w:rFonts w:cs="Times New Roman"/>
          <w:szCs w:val="24"/>
        </w:rPr>
      </w:pPr>
      <w:r>
        <w:rPr>
          <w:rFonts w:cs="Times New Roman"/>
          <w:szCs w:val="24"/>
        </w:rPr>
        <w:t xml:space="preserve">Jedním z velmi kontroverzních a kritizovaných </w:t>
      </w:r>
      <w:r w:rsidR="00B31730">
        <w:rPr>
          <w:rFonts w:cs="Times New Roman"/>
          <w:szCs w:val="24"/>
        </w:rPr>
        <w:t>ustanovení</w:t>
      </w:r>
      <w:r w:rsidR="001C5F37">
        <w:rPr>
          <w:rFonts w:cs="Times New Roman"/>
          <w:szCs w:val="24"/>
        </w:rPr>
        <w:t xml:space="preserve"> týkající se zůstavitelovy</w:t>
      </w:r>
      <w:r w:rsidR="00523268">
        <w:rPr>
          <w:rFonts w:cs="Times New Roman"/>
          <w:szCs w:val="24"/>
        </w:rPr>
        <w:t xml:space="preserve"> vůle</w:t>
      </w:r>
      <w:r w:rsidR="00B31730">
        <w:rPr>
          <w:rFonts w:cs="Times New Roman"/>
          <w:szCs w:val="24"/>
        </w:rPr>
        <w:t xml:space="preserve"> je § 16</w:t>
      </w:r>
      <w:r w:rsidR="005A2B87">
        <w:rPr>
          <w:rFonts w:cs="Times New Roman"/>
          <w:szCs w:val="24"/>
        </w:rPr>
        <w:t>94</w:t>
      </w:r>
      <w:r w:rsidR="00523268">
        <w:rPr>
          <w:rFonts w:cs="Times New Roman"/>
          <w:szCs w:val="24"/>
        </w:rPr>
        <w:t xml:space="preserve">. Jeho první odstavec uvádí: </w:t>
      </w:r>
      <w:r w:rsidR="000A5E1A">
        <w:rPr>
          <w:rFonts w:cs="Times New Roman"/>
          <w:i/>
          <w:szCs w:val="24"/>
        </w:rPr>
        <w:t xml:space="preserve">Pořídil-li zůstavitel pro případ smrti, rozdělí se </w:t>
      </w:r>
      <w:r w:rsidR="000A5E1A">
        <w:rPr>
          <w:rFonts w:cs="Times New Roman"/>
          <w:i/>
          <w:szCs w:val="24"/>
        </w:rPr>
        <w:lastRenderedPageBreak/>
        <w:t>pozůstalost podle jeho vůle. Dědici se mohou před soudem dohodnout, že si pozůstalost zcela nebo zčásti rozdělí i jinak, pokud to zůstavitel výslovně připustil.</w:t>
      </w:r>
      <w:r w:rsidR="000A5E1A">
        <w:rPr>
          <w:rFonts w:cs="Times New Roman"/>
          <w:szCs w:val="24"/>
        </w:rPr>
        <w:t xml:space="preserve"> Druhý odstavec zní: </w:t>
      </w:r>
      <w:r w:rsidR="000A5E1A">
        <w:rPr>
          <w:rFonts w:cs="Times New Roman"/>
          <w:i/>
          <w:szCs w:val="24"/>
        </w:rPr>
        <w:t>Přidělil-li zůstavitel dědicům jednotlivé věci ze svého jmění, aniž výslovně přikázal, že pozůstalost musí být rozdělena, jak nařídil, nebo že povolaný dědic může přijmout jen, co mu bylo přiděleno, popřípadě, že určitá věc má zůstat ve spoluvlastnictví dědiců, hledí se na jeho projev vůle jako na přání bez právní závaznosti.</w:t>
      </w:r>
      <w:r w:rsidR="00124009">
        <w:rPr>
          <w:rFonts w:cs="Times New Roman"/>
          <w:szCs w:val="24"/>
        </w:rPr>
        <w:t xml:space="preserve"> </w:t>
      </w:r>
      <w:r w:rsidR="00A76FB5">
        <w:rPr>
          <w:rFonts w:cs="Times New Roman"/>
          <w:szCs w:val="24"/>
        </w:rPr>
        <w:t>Z </w:t>
      </w:r>
      <w:r w:rsidR="001D76FE">
        <w:rPr>
          <w:rFonts w:cs="Times New Roman"/>
          <w:szCs w:val="24"/>
        </w:rPr>
        <w:t>prvního</w:t>
      </w:r>
      <w:r w:rsidR="00A76FB5">
        <w:rPr>
          <w:rFonts w:cs="Times New Roman"/>
          <w:szCs w:val="24"/>
        </w:rPr>
        <w:t xml:space="preserve"> odstavce plyne, že pokud zůstavitel pořídil pro případ smrti a rozdělil pozůstalost dle své vůle, bude to pro dědice závazné, ledaže by jiné rozdělení zůstavitel výslovně připustil.</w:t>
      </w:r>
      <w:r w:rsidR="00124009">
        <w:rPr>
          <w:rFonts w:cs="Times New Roman"/>
          <w:szCs w:val="24"/>
        </w:rPr>
        <w:t xml:space="preserve"> </w:t>
      </w:r>
      <w:r w:rsidR="00A76FB5">
        <w:rPr>
          <w:rFonts w:cs="Times New Roman"/>
          <w:szCs w:val="24"/>
        </w:rPr>
        <w:t>V druhém odstavci je uvedeno, že přidělil-li zůstavitel dědicům jednotlivé věci z pozůstalosti (což je totéž</w:t>
      </w:r>
      <w:r w:rsidR="00CC46BC">
        <w:rPr>
          <w:rFonts w:cs="Times New Roman"/>
          <w:szCs w:val="24"/>
        </w:rPr>
        <w:t>,</w:t>
      </w:r>
      <w:r w:rsidR="00A76FB5">
        <w:rPr>
          <w:rFonts w:cs="Times New Roman"/>
          <w:szCs w:val="24"/>
        </w:rPr>
        <w:t xml:space="preserve"> o čem</w:t>
      </w:r>
      <w:r w:rsidR="00CC46BC">
        <w:rPr>
          <w:rFonts w:cs="Times New Roman"/>
          <w:szCs w:val="24"/>
        </w:rPr>
        <w:t>ž</w:t>
      </w:r>
      <w:r w:rsidR="00A76FB5">
        <w:rPr>
          <w:rFonts w:cs="Times New Roman"/>
          <w:szCs w:val="24"/>
        </w:rPr>
        <w:t xml:space="preserve"> mluví odstavec 1 jako o rozdělení</w:t>
      </w:r>
      <w:r w:rsidR="00CC46BC">
        <w:rPr>
          <w:rFonts w:cs="Times New Roman"/>
          <w:szCs w:val="24"/>
        </w:rPr>
        <w:t xml:space="preserve"> pozůstalosti</w:t>
      </w:r>
      <w:r w:rsidR="00A76FB5">
        <w:rPr>
          <w:rFonts w:cs="Times New Roman"/>
          <w:szCs w:val="24"/>
        </w:rPr>
        <w:t>)</w:t>
      </w:r>
      <w:r w:rsidR="00CC46BC">
        <w:rPr>
          <w:rFonts w:cs="Times New Roman"/>
          <w:szCs w:val="24"/>
        </w:rPr>
        <w:t xml:space="preserve"> a pokud nepřikázal, že pozůstalost musí být rozdělena, jak nařídil, nebo že dědic může přijmout jen to, co mu bylo přiděleno, nebo že určitá věc má zůstat ve spoluvlastnictví dědiců, hledí se na jeho projev vůle jako na přání bez právní závaznosti a dědicové si tak mohou pozůstalost rozdělit i jinak.</w:t>
      </w:r>
      <w:r w:rsidR="00CC46BC" w:rsidRPr="00CC46BC">
        <w:rPr>
          <w:rFonts w:cs="Times New Roman"/>
          <w:szCs w:val="24"/>
        </w:rPr>
        <w:t xml:space="preserve"> </w:t>
      </w:r>
      <w:r w:rsidR="00CC46BC">
        <w:rPr>
          <w:rFonts w:cs="Times New Roman"/>
          <w:szCs w:val="24"/>
        </w:rPr>
        <w:t>Porovnáním obou odstavců dojdeme logickým výkladem k závěru, že si odporují.</w:t>
      </w:r>
      <w:r w:rsidR="00CC46BC">
        <w:rPr>
          <w:rStyle w:val="Znakapoznpodarou"/>
          <w:rFonts w:cs="Times New Roman"/>
          <w:szCs w:val="24"/>
        </w:rPr>
        <w:footnoteReference w:id="24"/>
      </w:r>
      <w:r w:rsidR="00DF0FDA">
        <w:rPr>
          <w:rFonts w:cs="Times New Roman"/>
          <w:szCs w:val="24"/>
        </w:rPr>
        <w:t xml:space="preserve"> Je pravděpodobné, že se praxe přikloní k možnosti rozdělení dle dohody dědiců, pokud zůstavitel zcela jednoznačně nepřikáže, že při rozdělení nesmí být postupováno jinak, než ve svém projevu vůle stanovil. Stále však bude platit základní pravidlo obsažené v § 1494, že je třeba závěť vyložit tak, aby bylo co nejlépe vyhověno zůstavitelově vůli.</w:t>
      </w:r>
      <w:r w:rsidR="00DF0FDA">
        <w:rPr>
          <w:rStyle w:val="Znakapoznpodarou"/>
          <w:rFonts w:cs="Times New Roman"/>
          <w:szCs w:val="24"/>
        </w:rPr>
        <w:footnoteReference w:id="25"/>
      </w:r>
      <w:r w:rsidR="004546B1">
        <w:rPr>
          <w:rFonts w:cs="Times New Roman"/>
          <w:szCs w:val="24"/>
        </w:rPr>
        <w:t xml:space="preserve"> Klein ve svém článku</w:t>
      </w:r>
      <w:r w:rsidR="00AF3DDB">
        <w:rPr>
          <w:rStyle w:val="Znakapoznpodarou"/>
          <w:rFonts w:cs="Times New Roman"/>
          <w:szCs w:val="24"/>
        </w:rPr>
        <w:footnoteReference w:id="26"/>
      </w:r>
      <w:r w:rsidR="004546B1">
        <w:rPr>
          <w:rFonts w:cs="Times New Roman"/>
          <w:szCs w:val="24"/>
        </w:rPr>
        <w:t xml:space="preserve"> zmíněné ustanovení</w:t>
      </w:r>
      <w:r w:rsidR="00AF3DDB">
        <w:rPr>
          <w:rFonts w:cs="Times New Roman"/>
          <w:szCs w:val="24"/>
        </w:rPr>
        <w:t xml:space="preserve"> také</w:t>
      </w:r>
      <w:r w:rsidR="004546B1">
        <w:rPr>
          <w:rFonts w:cs="Times New Roman"/>
          <w:szCs w:val="24"/>
        </w:rPr>
        <w:t xml:space="preserve"> kritizuje a dodává, že může mást zůstavitele při sepisování nových závětí, ba dokonce</w:t>
      </w:r>
      <w:r w:rsidR="00AF3DDB">
        <w:rPr>
          <w:rFonts w:cs="Times New Roman"/>
          <w:szCs w:val="24"/>
        </w:rPr>
        <w:t xml:space="preserve"> může </w:t>
      </w:r>
      <w:r w:rsidR="004546B1">
        <w:rPr>
          <w:rFonts w:cs="Times New Roman"/>
          <w:szCs w:val="24"/>
        </w:rPr>
        <w:t>měnit vzhledem k přechodným ustanovením</w:t>
      </w:r>
      <w:r w:rsidR="00AF3DDB">
        <w:rPr>
          <w:rStyle w:val="Znakapoznpodarou"/>
          <w:rFonts w:cs="Times New Roman"/>
          <w:szCs w:val="24"/>
        </w:rPr>
        <w:footnoteReference w:id="27"/>
      </w:r>
      <w:r w:rsidR="00AF3DDB">
        <w:rPr>
          <w:rFonts w:cs="Times New Roman"/>
          <w:szCs w:val="24"/>
        </w:rPr>
        <w:t xml:space="preserve"> obsah závětí sepsaných za účinnosti OZ, aniž by se o tom zůstavitel dozvěděl a v krajním případě (omezení svéprávnosti) ani nemohl zjednat nápravu.</w:t>
      </w:r>
    </w:p>
    <w:p w:rsidR="00D55232" w:rsidRDefault="00D55232" w:rsidP="00D55232">
      <w:pPr>
        <w:spacing w:line="360" w:lineRule="auto"/>
        <w:ind w:firstLine="708"/>
        <w:jc w:val="both"/>
        <w:rPr>
          <w:rFonts w:cs="Times New Roman"/>
          <w:szCs w:val="24"/>
        </w:rPr>
      </w:pPr>
      <w:r>
        <w:rPr>
          <w:rFonts w:cs="Times New Roman"/>
          <w:szCs w:val="24"/>
        </w:rPr>
        <w:t>Další pravidla pr</w:t>
      </w:r>
      <w:r w:rsidR="001C5F37">
        <w:rPr>
          <w:rFonts w:cs="Times New Roman"/>
          <w:szCs w:val="24"/>
        </w:rPr>
        <w:t>o výklad a ochranu zůstavitelovy</w:t>
      </w:r>
      <w:r>
        <w:rPr>
          <w:rFonts w:cs="Times New Roman"/>
          <w:szCs w:val="24"/>
        </w:rPr>
        <w:t xml:space="preserve"> vůle obsahují např. ustanovení týkající se odkazu</w:t>
      </w:r>
      <w:r w:rsidR="00C06D59">
        <w:rPr>
          <w:rFonts w:cs="Times New Roman"/>
          <w:szCs w:val="24"/>
        </w:rPr>
        <w:t>, podílu a uvolněného podílu</w:t>
      </w:r>
      <w:r>
        <w:rPr>
          <w:rFonts w:cs="Times New Roman"/>
          <w:szCs w:val="24"/>
        </w:rPr>
        <w:t xml:space="preserve"> či vedlejších doložek závěti, o kterých je pojednáno v samostatné kapitole. </w:t>
      </w:r>
    </w:p>
    <w:p w:rsidR="004B10AB" w:rsidRDefault="004B10AB" w:rsidP="00D55232">
      <w:pPr>
        <w:spacing w:line="360" w:lineRule="auto"/>
        <w:ind w:firstLine="708"/>
        <w:jc w:val="both"/>
        <w:rPr>
          <w:rFonts w:cs="Times New Roman"/>
          <w:szCs w:val="24"/>
        </w:rPr>
      </w:pPr>
      <w:r>
        <w:rPr>
          <w:rFonts w:cs="Times New Roman"/>
          <w:szCs w:val="24"/>
        </w:rPr>
        <w:t xml:space="preserve">Razantní posílení </w:t>
      </w:r>
      <w:r w:rsidR="00B37295">
        <w:rPr>
          <w:rFonts w:cs="Times New Roman"/>
          <w:szCs w:val="24"/>
        </w:rPr>
        <w:t xml:space="preserve">důležitosti </w:t>
      </w:r>
      <w:r w:rsidR="001C5F37">
        <w:rPr>
          <w:rFonts w:cs="Times New Roman"/>
          <w:szCs w:val="24"/>
        </w:rPr>
        <w:t>zůstavitelovy</w:t>
      </w:r>
      <w:r>
        <w:rPr>
          <w:rFonts w:cs="Times New Roman"/>
          <w:szCs w:val="24"/>
        </w:rPr>
        <w:t xml:space="preserve"> vůle v novém dědickém právu považuji za velmi správný krok vpřed. </w:t>
      </w:r>
      <w:r w:rsidR="00B37295">
        <w:rPr>
          <w:rFonts w:cs="Times New Roman"/>
          <w:szCs w:val="24"/>
        </w:rPr>
        <w:t xml:space="preserve">Respekt a ochrana zůstavitelovy vůle je </w:t>
      </w:r>
      <w:r w:rsidR="00426535">
        <w:rPr>
          <w:rFonts w:cs="Times New Roman"/>
          <w:szCs w:val="24"/>
        </w:rPr>
        <w:t xml:space="preserve">jednak </w:t>
      </w:r>
      <w:r w:rsidR="00B37295">
        <w:rPr>
          <w:rFonts w:cs="Times New Roman"/>
          <w:szCs w:val="24"/>
        </w:rPr>
        <w:t xml:space="preserve">znakem tradičních evropských úprav soukromého práva a </w:t>
      </w:r>
      <w:r w:rsidR="00426535">
        <w:rPr>
          <w:rFonts w:cs="Times New Roman"/>
          <w:szCs w:val="24"/>
        </w:rPr>
        <w:t xml:space="preserve">také </w:t>
      </w:r>
      <w:r w:rsidR="00B37295">
        <w:rPr>
          <w:rFonts w:cs="Times New Roman"/>
          <w:szCs w:val="24"/>
        </w:rPr>
        <w:t>odrazem principů demokratického státu.</w:t>
      </w:r>
      <w:r w:rsidR="00587A44">
        <w:rPr>
          <w:rFonts w:cs="Times New Roman"/>
          <w:szCs w:val="24"/>
        </w:rPr>
        <w:t xml:space="preserve"> Nové úpravě bych přesto vytknul např. matoucí znění § 1494.</w:t>
      </w:r>
    </w:p>
    <w:p w:rsidR="00F645B9" w:rsidRPr="00DC722B" w:rsidRDefault="006A177C" w:rsidP="00DC722B">
      <w:pPr>
        <w:pStyle w:val="Nadpis1"/>
        <w:spacing w:line="360" w:lineRule="auto"/>
      </w:pPr>
      <w:bookmarkStart w:id="4" w:name="_Toc415452758"/>
      <w:r>
        <w:lastRenderedPageBreak/>
        <w:t>3</w:t>
      </w:r>
      <w:r>
        <w:tab/>
      </w:r>
      <w:r w:rsidR="00300DDC">
        <w:t>Pořizovací</w:t>
      </w:r>
      <w:r w:rsidR="00F645B9" w:rsidRPr="00A14D8C">
        <w:t xml:space="preserve"> způsobilost</w:t>
      </w:r>
      <w:bookmarkEnd w:id="4"/>
    </w:p>
    <w:p w:rsidR="00FB603F" w:rsidRPr="00DC722B" w:rsidRDefault="006A177C" w:rsidP="00DC722B">
      <w:pPr>
        <w:pStyle w:val="Nadpis2"/>
        <w:spacing w:line="360" w:lineRule="auto"/>
        <w:rPr>
          <w:rFonts w:cs="Times New Roman"/>
        </w:rPr>
      </w:pPr>
      <w:bookmarkStart w:id="5" w:name="_Toc415452759"/>
      <w:r>
        <w:rPr>
          <w:rFonts w:cs="Times New Roman"/>
        </w:rPr>
        <w:t>3.1</w:t>
      </w:r>
      <w:r>
        <w:rPr>
          <w:rFonts w:cs="Times New Roman"/>
        </w:rPr>
        <w:tab/>
      </w:r>
      <w:r w:rsidR="00A14D8C" w:rsidRPr="00A14D8C">
        <w:rPr>
          <w:rFonts w:cs="Times New Roman"/>
        </w:rPr>
        <w:t>Věk</w:t>
      </w:r>
      <w:r w:rsidR="00FD2AD8">
        <w:rPr>
          <w:rFonts w:cs="Times New Roman"/>
        </w:rPr>
        <w:t xml:space="preserve"> zůstavitele</w:t>
      </w:r>
      <w:bookmarkEnd w:id="5"/>
    </w:p>
    <w:p w:rsidR="00E6781A" w:rsidRDefault="00FB603F" w:rsidP="00F47BB6">
      <w:pPr>
        <w:spacing w:line="360" w:lineRule="auto"/>
        <w:ind w:firstLine="708"/>
        <w:jc w:val="both"/>
      </w:pPr>
      <w:r>
        <w:t>Pořizovací nezpůsobilosti se NOZ věnuje v ustanoveních §</w:t>
      </w:r>
      <w:r w:rsidR="00862853">
        <w:t xml:space="preserve"> </w:t>
      </w:r>
      <w:r w:rsidR="003F4DE9">
        <w:t>1525 -</w:t>
      </w:r>
      <w:r w:rsidR="00862853">
        <w:t xml:space="preserve"> </w:t>
      </w:r>
      <w:r>
        <w:t>1528. Z prvního z nich vyplývá, že není způsobilá pořizovat nesvéprávná osoba, leda</w:t>
      </w:r>
      <w:r w:rsidR="00D41627">
        <w:t>že</w:t>
      </w:r>
      <w:r>
        <w:t xml:space="preserve"> se jedná o případy uvedené v §</w:t>
      </w:r>
      <w:r w:rsidR="00862853">
        <w:t xml:space="preserve"> </w:t>
      </w:r>
      <w:r w:rsidR="003F4DE9">
        <w:t xml:space="preserve">1526 – </w:t>
      </w:r>
      <w:r>
        <w:t xml:space="preserve">1528. Plné svéprávnosti </w:t>
      </w:r>
      <w:r w:rsidR="00AB2426">
        <w:t>nabývá</w:t>
      </w:r>
      <w:r>
        <w:t xml:space="preserve"> fyzická osoba trojím způsobem a to dosažením osmnáctého roku věku, emancipa</w:t>
      </w:r>
      <w:r w:rsidR="00E6781A">
        <w:t>cí či uzavřením manželství. Výji</w:t>
      </w:r>
      <w:r>
        <w:t xml:space="preserve">mka </w:t>
      </w:r>
      <w:r w:rsidR="00E6781A">
        <w:t>týkající</w:t>
      </w:r>
      <w:r w:rsidR="00716697">
        <w:t xml:space="preserve"> se věku je stanovena v §</w:t>
      </w:r>
      <w:r w:rsidR="00862853">
        <w:t xml:space="preserve"> </w:t>
      </w:r>
      <w:r w:rsidR="00716697">
        <w:t>1526. Fyzická o</w:t>
      </w:r>
      <w:r w:rsidR="00E6781A">
        <w:t>soba, která dovršila patnáctý rok věku, může pořizovat formou veřejné listiny</w:t>
      </w:r>
      <w:r w:rsidR="004321F5">
        <w:t xml:space="preserve"> a svědčí jí tedy testamentární způsobilost</w:t>
      </w:r>
      <w:r w:rsidR="00E6781A">
        <w:t>.</w:t>
      </w:r>
      <w:r w:rsidR="004321F5">
        <w:rPr>
          <w:rStyle w:val="Znakapoznpodarou"/>
        </w:rPr>
        <w:footnoteReference w:id="28"/>
      </w:r>
      <w:r w:rsidR="00E6781A">
        <w:t xml:space="preserve"> V současné době </w:t>
      </w:r>
      <w:r w:rsidR="00062AF8">
        <w:t>vystavuje takovou veřejnou listinu, stejně jako tomu bylo za účinnosti OZ notář. Do budoucna však není vyloučeno, že tak budou činit např. i soudy</w:t>
      </w:r>
      <w:r w:rsidR="00AB2426">
        <w:t>,</w:t>
      </w:r>
      <w:r w:rsidR="001274E7">
        <w:t xml:space="preserve"> tak jako tomu bylo za účinnosti OZO</w:t>
      </w:r>
      <w:r w:rsidR="00BB4F20">
        <w:t>.</w:t>
      </w:r>
      <w:r w:rsidR="00E6781A">
        <w:rPr>
          <w:rStyle w:val="Znakapoznpodarou"/>
        </w:rPr>
        <w:footnoteReference w:id="29"/>
      </w:r>
      <w:r w:rsidR="00C72AA2">
        <w:t xml:space="preserve"> Nutnost po</w:t>
      </w:r>
      <w:r w:rsidR="001274E7">
        <w:t>řízení ve formě veřejné listiny je zárukou, že takto závaž</w:t>
      </w:r>
      <w:r w:rsidR="00D41627">
        <w:t>né právní jednání</w:t>
      </w:r>
      <w:r w:rsidR="001274E7">
        <w:t xml:space="preserve"> je činěno vážně, svobodně a po zralé úvaze, o čemž je notář jako zástupce veř</w:t>
      </w:r>
      <w:r w:rsidR="00D41627">
        <w:t>ejné moci povinen se přesvědčit</w:t>
      </w:r>
      <w:r w:rsidR="001274E7">
        <w:t xml:space="preserve"> jak vyplývá z ustanovení §</w:t>
      </w:r>
      <w:r w:rsidR="00862853">
        <w:t xml:space="preserve"> </w:t>
      </w:r>
      <w:r w:rsidR="001274E7">
        <w:t>1538</w:t>
      </w:r>
      <w:r w:rsidR="00BB4F20">
        <w:t>.</w:t>
      </w:r>
      <w:r w:rsidR="001274E7">
        <w:rPr>
          <w:rStyle w:val="Znakapoznpodarou"/>
        </w:rPr>
        <w:footnoteReference w:id="30"/>
      </w:r>
      <w:r w:rsidR="00704CE6">
        <w:t xml:space="preserve"> </w:t>
      </w:r>
    </w:p>
    <w:p w:rsidR="00BE394E" w:rsidRDefault="00BE394E" w:rsidP="00F47BB6">
      <w:pPr>
        <w:spacing w:line="360" w:lineRule="auto"/>
        <w:ind w:firstLine="708"/>
        <w:jc w:val="both"/>
      </w:pPr>
      <w:r>
        <w:t xml:space="preserve">Za účinnosti OZO </w:t>
      </w:r>
      <w:r w:rsidR="00D41627">
        <w:t>osoby, které nedovršily čtrnáctý rok věku, nemohly</w:t>
      </w:r>
      <w:r w:rsidR="00A00455">
        <w:t xml:space="preserve"> pořizovat vůbec</w:t>
      </w:r>
      <w:r w:rsidR="00471466">
        <w:t>, ani se spolupůsobením zákonného zástupce</w:t>
      </w:r>
      <w:r w:rsidR="00A00455">
        <w:t>. Nezletilí</w:t>
      </w:r>
      <w:r w:rsidR="009654AD">
        <w:rPr>
          <w:rStyle w:val="Znakapoznpodarou"/>
        </w:rPr>
        <w:footnoteReference w:id="31"/>
      </w:r>
      <w:r w:rsidR="00A00455">
        <w:t xml:space="preserve"> ve věku 14 – 18 let pořizovat</w:t>
      </w:r>
      <w:r w:rsidR="00836803">
        <w:t xml:space="preserve"> směli</w:t>
      </w:r>
      <w:r w:rsidR="00A00455">
        <w:t>, avšak s omezením formy</w:t>
      </w:r>
      <w:r w:rsidR="009654AD">
        <w:t>, které se týkalo i osob</w:t>
      </w:r>
      <w:r w:rsidR="00D41627">
        <w:t xml:space="preserve"> v uvedeném věku, které uzavřely</w:t>
      </w:r>
      <w:r w:rsidR="009654AD">
        <w:t xml:space="preserve"> manželství</w:t>
      </w:r>
      <w:r w:rsidR="00BB4F20">
        <w:t>.</w:t>
      </w:r>
      <w:r w:rsidR="002A03B7">
        <w:rPr>
          <w:rStyle w:val="Znakapoznpodarou"/>
        </w:rPr>
        <w:footnoteReference w:id="32"/>
      </w:r>
      <w:r w:rsidR="00A00455">
        <w:t xml:space="preserve"> Projev vůle musel být učiněn ústně</w:t>
      </w:r>
      <w:r w:rsidR="00471466">
        <w:t xml:space="preserve"> do protokol</w:t>
      </w:r>
      <w:r w:rsidR="00D41627">
        <w:t>u před notářem či soudcem, který</w:t>
      </w:r>
      <w:r w:rsidR="00471466">
        <w:t xml:space="preserve"> se </w:t>
      </w:r>
      <w:r w:rsidR="00D41627">
        <w:t>přesvědčil</w:t>
      </w:r>
      <w:r w:rsidR="00471466">
        <w:t>, že projev je svobodný a rozvážný. Výsl</w:t>
      </w:r>
      <w:r w:rsidR="00D41627">
        <w:t>edek takového zkoumání připojil</w:t>
      </w:r>
      <w:r w:rsidR="00471466">
        <w:t xml:space="preserve"> do protokol</w:t>
      </w:r>
      <w:r w:rsidR="00D41627">
        <w:t>u, avšak sepsání samotné nesměl</w:t>
      </w:r>
      <w:r w:rsidR="00471466">
        <w:t xml:space="preserve"> odepřít. </w:t>
      </w:r>
      <w:r w:rsidR="009654AD">
        <w:t>Nezletilci starší 18 let mohli pořizovat</w:t>
      </w:r>
      <w:r w:rsidR="00404D81">
        <w:rPr>
          <w:rStyle w:val="Znakapoznpodarou"/>
        </w:rPr>
        <w:footnoteReference w:id="33"/>
      </w:r>
      <w:r w:rsidR="009654AD">
        <w:t xml:space="preserve"> libovolnou formou</w:t>
      </w:r>
      <w:r w:rsidR="00BB4F20">
        <w:t>.</w:t>
      </w:r>
      <w:r w:rsidR="00836803">
        <w:rPr>
          <w:rStyle w:val="Znakapoznpodarou"/>
        </w:rPr>
        <w:footnoteReference w:id="34"/>
      </w:r>
      <w:r w:rsidR="00704CE6">
        <w:t xml:space="preserve"> Považuji za vhodné, že se NOZ nevrátil v této oblasti zcela k úpravě obsažené v OZO a byla zane</w:t>
      </w:r>
      <w:r w:rsidR="0083521E">
        <w:t>chána možnost osob, které nabyly</w:t>
      </w:r>
      <w:r w:rsidR="00704CE6">
        <w:t xml:space="preserve"> plné svéprávnosti uzavřením manželství</w:t>
      </w:r>
      <w:r w:rsidR="009F2D17">
        <w:t>, pořídit v libovolné formě.</w:t>
      </w:r>
    </w:p>
    <w:p w:rsidR="00AB2426" w:rsidRDefault="00262BDA" w:rsidP="00F47BB6">
      <w:pPr>
        <w:spacing w:line="360" w:lineRule="auto"/>
        <w:ind w:firstLine="708"/>
        <w:jc w:val="both"/>
      </w:pPr>
      <w:r>
        <w:t>U s</w:t>
      </w:r>
      <w:r w:rsidR="00AB2426">
        <w:t>třední</w:t>
      </w:r>
      <w:r>
        <w:t>ho</w:t>
      </w:r>
      <w:r w:rsidR="00AB2426">
        <w:t xml:space="preserve"> kodex</w:t>
      </w:r>
      <w:r>
        <w:t>u došlo oproti OZO k posunu věkové hranice pro možnost sepsání závěti ze 14 let na 15</w:t>
      </w:r>
      <w:r w:rsidR="00BB4F20">
        <w:t xml:space="preserve"> let</w:t>
      </w:r>
      <w:r>
        <w:t xml:space="preserve">. Pro nezletilou osobu starší 15 let byla předepsána forma pořízení </w:t>
      </w:r>
      <w:r>
        <w:lastRenderedPageBreak/>
        <w:t xml:space="preserve">závěti a to notářským zápisem. </w:t>
      </w:r>
      <w:r w:rsidR="00B561F1">
        <w:t>Další</w:t>
      </w:r>
      <w:r w:rsidR="002A03B7">
        <w:t xml:space="preserve"> omezení se týkalo majetku, o kterém takový nezletilý mohl platně pořídit, kdy byl limitován pouze na majetek, který nabyl vlastní prací nebo za odměnu z vlastní práce. </w:t>
      </w:r>
      <w:r>
        <w:t>Ke změně</w:t>
      </w:r>
      <w:r w:rsidR="00BB4F20">
        <w:t xml:space="preserve"> v porovnání s OZO</w:t>
      </w:r>
      <w:r>
        <w:t xml:space="preserve"> došlo i v oblasti nabytí zletilosti </w:t>
      </w:r>
      <w:r w:rsidR="002A03B7">
        <w:t xml:space="preserve">okamžikem </w:t>
      </w:r>
      <w:r w:rsidR="00BB4F20">
        <w:t>uzavření</w:t>
      </w:r>
      <w:r>
        <w:t xml:space="preserve"> manželství</w:t>
      </w:r>
      <w:r w:rsidR="002A03B7">
        <w:t>. Tyto osoby</w:t>
      </w:r>
      <w:r w:rsidR="0083521E">
        <w:t xml:space="preserve"> již mohly </w:t>
      </w:r>
      <w:r w:rsidR="002A03B7">
        <w:t>pořizovat libovolnou formou a</w:t>
      </w:r>
      <w:r w:rsidR="003F4DE9">
        <w:t> </w:t>
      </w:r>
      <w:r w:rsidR="002A03B7">
        <w:t>o</w:t>
      </w:r>
      <w:r w:rsidR="003F4DE9">
        <w:t> </w:t>
      </w:r>
      <w:r w:rsidR="002A03B7">
        <w:t>celém svém jmění</w:t>
      </w:r>
      <w:r w:rsidR="009C52CC">
        <w:t>.</w:t>
      </w:r>
      <w:r w:rsidR="00BB4F20">
        <w:rPr>
          <w:rStyle w:val="Znakapoznpodarou"/>
        </w:rPr>
        <w:footnoteReference w:id="35"/>
      </w:r>
    </w:p>
    <w:p w:rsidR="00756EE0" w:rsidRDefault="00160AEB" w:rsidP="00F47BB6">
      <w:pPr>
        <w:spacing w:line="360" w:lineRule="auto"/>
        <w:ind w:firstLine="708"/>
        <w:jc w:val="both"/>
      </w:pPr>
      <w:r>
        <w:t>V občanském zákoníku z roku 1964 nebyla do roku 1991 upravena věko</w:t>
      </w:r>
      <w:r w:rsidR="00756EE0">
        <w:t>vá hranice pro pořízení závěti a tak závěť mohla zřídit pouze osoba zletilá. Zletilosti se dosahovalo 18.</w:t>
      </w:r>
      <w:r w:rsidR="003F4DE9">
        <w:t> </w:t>
      </w:r>
      <w:r w:rsidR="00756EE0">
        <w:t>rokem věku či uzavřen</w:t>
      </w:r>
      <w:r w:rsidR="0083521E">
        <w:t>ím manželství, což bylo možné už</w:t>
      </w:r>
      <w:r w:rsidR="00756EE0">
        <w:t xml:space="preserve"> od 16. roku věku</w:t>
      </w:r>
      <w:r w:rsidR="005044B1">
        <w:t>,</w:t>
      </w:r>
      <w:r w:rsidR="00756EE0">
        <w:t xml:space="preserve"> jak stanovoval §13 zákona </w:t>
      </w:r>
      <w:r w:rsidR="005044B1">
        <w:t xml:space="preserve">č. 94/1963 Sb., </w:t>
      </w:r>
      <w:r w:rsidR="00756EE0">
        <w:t>o rodině. Osoba mladší osmnácti let, která uzavřela manželství</w:t>
      </w:r>
      <w:r w:rsidR="00EE74C6">
        <w:t>,</w:t>
      </w:r>
      <w:r w:rsidR="00756EE0">
        <w:t xml:space="preserve"> mohla závěť pořídit v jakékoli formě</w:t>
      </w:r>
      <w:r w:rsidR="00EE74C6">
        <w:t>. Po novele OZ</w:t>
      </w:r>
      <w:r w:rsidR="00465EAB">
        <w:t xml:space="preserve"> byla</w:t>
      </w:r>
      <w:r w:rsidR="00EE74C6">
        <w:t xml:space="preserve"> od </w:t>
      </w:r>
      <w:r w:rsidR="00465EAB">
        <w:t xml:space="preserve">1. 1. </w:t>
      </w:r>
      <w:r w:rsidR="00EE74C6">
        <w:t>1992 opět zakotvena úprava pořízení závěti osobou starší patnácti let a to pouze formou notářského zápisu.</w:t>
      </w:r>
      <w:r w:rsidR="00EE74C6">
        <w:rPr>
          <w:rStyle w:val="Znakapoznpodarou"/>
        </w:rPr>
        <w:footnoteReference w:id="36"/>
      </w:r>
    </w:p>
    <w:p w:rsidR="001E563F" w:rsidRDefault="001E563F" w:rsidP="00F47BB6">
      <w:pPr>
        <w:spacing w:line="360" w:lineRule="auto"/>
        <w:ind w:firstLine="708"/>
        <w:jc w:val="both"/>
      </w:pPr>
      <w:r>
        <w:t>Německá úprava přiznává plnou pořizovací způsobilost bez jakýchkoli omezení dosažením zletilosti, a to osmnáctým rokem věku, avšak již v šestnácti letech je možné pořídit veřejným testamentem u notáře, před kterým nezletilý projeví svoji vůli.</w:t>
      </w:r>
      <w:r>
        <w:rPr>
          <w:rStyle w:val="Znakapoznpodarou"/>
        </w:rPr>
        <w:footnoteReference w:id="37"/>
      </w:r>
    </w:p>
    <w:p w:rsidR="00DC722B" w:rsidRPr="00FB603F" w:rsidRDefault="00F20490" w:rsidP="00DC722B">
      <w:pPr>
        <w:spacing w:line="360" w:lineRule="auto"/>
        <w:ind w:firstLine="708"/>
        <w:jc w:val="both"/>
      </w:pPr>
      <w:r>
        <w:t xml:space="preserve">Lze tedy shrnout, že v této oblasti došlo v NOZ oproti OZ k minimálním změnám. Za zmínku stojí uvést dvě odlišnosti. První je nová možnost nabytí plné svéprávnosti emancipací a z toho vyplývající případ, kdy osoba, přestože je mladší 18 let a neuzavřela ani manželství, smí pořídit v libovolné formě, pokud jí byla přiznána </w:t>
      </w:r>
      <w:r w:rsidR="00713F6C">
        <w:t>svéprávnost emancipací. Druhá změna se dotýká předepsané formy, kdy již není výslovně uveden notářský zápis, ale veřejná listina, což je pojem širší, pod který by</w:t>
      </w:r>
      <w:r w:rsidR="009A75E3">
        <w:t xml:space="preserve"> do budoucna mohly</w:t>
      </w:r>
      <w:r w:rsidR="00713F6C">
        <w:t xml:space="preserve"> spadat i jiné zápisy.</w:t>
      </w:r>
    </w:p>
    <w:p w:rsidR="00A14D8C" w:rsidRPr="00A14D8C" w:rsidRDefault="006A177C" w:rsidP="00DC722B">
      <w:pPr>
        <w:pStyle w:val="Nadpis2"/>
        <w:spacing w:line="360" w:lineRule="auto"/>
        <w:rPr>
          <w:rFonts w:cs="Times New Roman"/>
        </w:rPr>
      </w:pPr>
      <w:bookmarkStart w:id="6" w:name="_Toc415452760"/>
      <w:r>
        <w:rPr>
          <w:rFonts w:cs="Times New Roman"/>
        </w:rPr>
        <w:t>3.2</w:t>
      </w:r>
      <w:r>
        <w:rPr>
          <w:rFonts w:cs="Times New Roman"/>
        </w:rPr>
        <w:tab/>
      </w:r>
      <w:r w:rsidR="00E714C6">
        <w:rPr>
          <w:rFonts w:cs="Times New Roman"/>
        </w:rPr>
        <w:t>Duševní stav</w:t>
      </w:r>
      <w:r w:rsidR="00300DDC">
        <w:rPr>
          <w:rFonts w:cs="Times New Roman"/>
        </w:rPr>
        <w:t xml:space="preserve"> zůstavitele</w:t>
      </w:r>
      <w:bookmarkEnd w:id="6"/>
    </w:p>
    <w:p w:rsidR="00A14D8C" w:rsidRDefault="00300DDC" w:rsidP="00E25409">
      <w:pPr>
        <w:spacing w:line="360" w:lineRule="auto"/>
        <w:ind w:firstLine="708"/>
        <w:jc w:val="both"/>
        <w:rPr>
          <w:szCs w:val="24"/>
        </w:rPr>
      </w:pPr>
      <w:r>
        <w:rPr>
          <w:szCs w:val="24"/>
        </w:rPr>
        <w:t>Pořizovací nezpůsobilost zůstavitele týkající se duševního stavu normuje NOZ v ustanoveních §</w:t>
      </w:r>
      <w:r w:rsidR="003F4DE9">
        <w:rPr>
          <w:szCs w:val="24"/>
        </w:rPr>
        <w:t xml:space="preserve"> </w:t>
      </w:r>
      <w:r>
        <w:rPr>
          <w:szCs w:val="24"/>
        </w:rPr>
        <w:t>1527 a §</w:t>
      </w:r>
      <w:r w:rsidR="003F4DE9">
        <w:rPr>
          <w:szCs w:val="24"/>
        </w:rPr>
        <w:t xml:space="preserve"> </w:t>
      </w:r>
      <w:r>
        <w:rPr>
          <w:szCs w:val="24"/>
        </w:rPr>
        <w:t>1528.</w:t>
      </w:r>
      <w:r w:rsidR="008B10F2">
        <w:rPr>
          <w:szCs w:val="24"/>
        </w:rPr>
        <w:t xml:space="preserve"> Z § 1527 plyne, že platně může v libovolné formě pořídit osoba, která byla ve svéprávnosti omezena tak, že není způsobilá pořizovat, pakliže se uzdraví do té míry, že je schopna projevit vlastní vůli. Nemusí se jednat o uzdravení úplné, avšak je třeba, aby byl takový projev vůle učiněn v odpovídajícím zdravotním stavu. Pojem světlého okamžiku</w:t>
      </w:r>
      <w:r w:rsidR="00B16AA6">
        <w:rPr>
          <w:szCs w:val="24"/>
        </w:rPr>
        <w:t xml:space="preserve"> (</w:t>
      </w:r>
      <w:r w:rsidR="00B16AA6" w:rsidRPr="009A0C61">
        <w:rPr>
          <w:i/>
          <w:szCs w:val="24"/>
        </w:rPr>
        <w:t>lucidum</w:t>
      </w:r>
      <w:r w:rsidR="009A0C61">
        <w:rPr>
          <w:i/>
          <w:szCs w:val="24"/>
        </w:rPr>
        <w:t xml:space="preserve"> </w:t>
      </w:r>
      <w:r w:rsidR="00B16AA6" w:rsidRPr="009A0C61">
        <w:rPr>
          <w:i/>
          <w:szCs w:val="24"/>
        </w:rPr>
        <w:t>intervallum</w:t>
      </w:r>
      <w:r w:rsidR="00B16AA6">
        <w:rPr>
          <w:szCs w:val="24"/>
        </w:rPr>
        <w:t>)</w:t>
      </w:r>
      <w:r w:rsidR="008B10F2">
        <w:rPr>
          <w:szCs w:val="24"/>
        </w:rPr>
        <w:t xml:space="preserve"> </w:t>
      </w:r>
      <w:r w:rsidR="009D5C92">
        <w:rPr>
          <w:szCs w:val="24"/>
        </w:rPr>
        <w:t xml:space="preserve">však </w:t>
      </w:r>
      <w:r w:rsidR="008B10F2">
        <w:rPr>
          <w:szCs w:val="24"/>
        </w:rPr>
        <w:t xml:space="preserve">není výslovně uveden, </w:t>
      </w:r>
      <w:r w:rsidR="00B16AA6">
        <w:rPr>
          <w:szCs w:val="24"/>
        </w:rPr>
        <w:t xml:space="preserve">z důvodu případného řešení </w:t>
      </w:r>
      <w:r w:rsidR="00B16AA6">
        <w:rPr>
          <w:szCs w:val="24"/>
        </w:rPr>
        <w:lastRenderedPageBreak/>
        <w:t>medicínských otázek</w:t>
      </w:r>
      <w:r w:rsidR="009C52CC">
        <w:rPr>
          <w:szCs w:val="24"/>
        </w:rPr>
        <w:t>.</w:t>
      </w:r>
      <w:r w:rsidR="00D843D2">
        <w:rPr>
          <w:rStyle w:val="Znakapoznpodarou"/>
          <w:szCs w:val="24"/>
        </w:rPr>
        <w:footnoteReference w:id="38"/>
      </w:r>
      <w:r w:rsidR="00B16AA6">
        <w:rPr>
          <w:szCs w:val="24"/>
        </w:rPr>
        <w:t xml:space="preserve"> Osoba, která se bude platnosti závěti pořízené v takovém stavu dovolávat, musí prokázat, že závěť či jiné pořízení bylo učiněno v době, kdy byl zůstavitel zdráv do takové míry, že mohl pořídit s plnou rozvahou. Důkazní břemeno je tedy v tomto případě obráceno.</w:t>
      </w:r>
      <w:r w:rsidR="00C67BFD">
        <w:rPr>
          <w:szCs w:val="24"/>
        </w:rPr>
        <w:t xml:space="preserve"> Naopak pokud existují důvody pro omezení svéprávnosti i v rozsahu pořizovací způsobilosti</w:t>
      </w:r>
      <w:r w:rsidR="00E25409">
        <w:rPr>
          <w:szCs w:val="24"/>
        </w:rPr>
        <w:t xml:space="preserve"> </w:t>
      </w:r>
      <w:r w:rsidR="00C67BFD">
        <w:rPr>
          <w:szCs w:val="24"/>
        </w:rPr>
        <w:t xml:space="preserve">a soudní rozhodnutí </w:t>
      </w:r>
      <w:r w:rsidR="00C06023">
        <w:rPr>
          <w:szCs w:val="24"/>
        </w:rPr>
        <w:t xml:space="preserve">o omezení svéprávnosti </w:t>
      </w:r>
      <w:r w:rsidR="00C67BFD">
        <w:rPr>
          <w:szCs w:val="24"/>
        </w:rPr>
        <w:t>dosud u takové osoby nebylo vydáno či ne</w:t>
      </w:r>
      <w:r w:rsidR="00BA251A">
        <w:rPr>
          <w:szCs w:val="24"/>
        </w:rPr>
        <w:t xml:space="preserve">nabylo právní moci, je pořízení </w:t>
      </w:r>
      <w:r w:rsidR="00C67BFD">
        <w:rPr>
          <w:szCs w:val="24"/>
        </w:rPr>
        <w:t>platné, pokud není prokázáno, že u</w:t>
      </w:r>
      <w:r w:rsidR="006204C8">
        <w:rPr>
          <w:szCs w:val="24"/>
        </w:rPr>
        <w:t> </w:t>
      </w:r>
      <w:r w:rsidR="00C67BFD">
        <w:rPr>
          <w:szCs w:val="24"/>
        </w:rPr>
        <w:t>takového jednání zcela chyběla vůle. Tento důkaz musí uvést osoba, která se neplatnosti pořízení dovolává.</w:t>
      </w:r>
      <w:r w:rsidR="00C67BFD">
        <w:rPr>
          <w:rStyle w:val="Znakapoznpodarou"/>
          <w:szCs w:val="24"/>
        </w:rPr>
        <w:footnoteReference w:id="39"/>
      </w:r>
    </w:p>
    <w:p w:rsidR="002B5B68" w:rsidRDefault="00647493" w:rsidP="00364460">
      <w:pPr>
        <w:spacing w:line="360" w:lineRule="auto"/>
        <w:jc w:val="both"/>
        <w:rPr>
          <w:szCs w:val="24"/>
        </w:rPr>
      </w:pPr>
      <w:r>
        <w:rPr>
          <w:szCs w:val="24"/>
        </w:rPr>
        <w:tab/>
      </w:r>
      <w:r w:rsidR="00C840C2">
        <w:rPr>
          <w:szCs w:val="24"/>
        </w:rPr>
        <w:t>Ustanovení § 1528</w:t>
      </w:r>
      <w:r w:rsidR="00C06023">
        <w:rPr>
          <w:szCs w:val="24"/>
        </w:rPr>
        <w:t xml:space="preserve"> odst. 1</w:t>
      </w:r>
      <w:r w:rsidR="00C840C2">
        <w:rPr>
          <w:szCs w:val="24"/>
        </w:rPr>
        <w:t xml:space="preserve"> uvádí: </w:t>
      </w:r>
      <w:r w:rsidR="00C06023">
        <w:rPr>
          <w:i/>
          <w:szCs w:val="24"/>
        </w:rPr>
        <w:t>Kdo byl ve svéprávnosti omezen, může v rámci omezení pořizovat jen formou veřejné listiny.</w:t>
      </w:r>
      <w:r w:rsidR="00C06023">
        <w:rPr>
          <w:szCs w:val="24"/>
        </w:rPr>
        <w:t xml:space="preserve"> </w:t>
      </w:r>
      <w:r w:rsidR="00DF6126">
        <w:rPr>
          <w:szCs w:val="24"/>
        </w:rPr>
        <w:t>Klíčová slova ustanovení jsou „v rámci omezení“. Z nich se dovozuje, že pokud byla osoba omezena ve svéprávnosti soudním výrokem tak, že je její pořizovací způsobilost zcela vyloučena, pořizovat nemůže</w:t>
      </w:r>
      <w:r w:rsidR="008160CB">
        <w:rPr>
          <w:szCs w:val="24"/>
        </w:rPr>
        <w:t>,</w:t>
      </w:r>
      <w:r w:rsidR="00DF6126">
        <w:rPr>
          <w:szCs w:val="24"/>
        </w:rPr>
        <w:t xml:space="preserve"> a to ani formou veřejné listiny.</w:t>
      </w:r>
      <w:r w:rsidR="001C471F">
        <w:rPr>
          <w:szCs w:val="24"/>
        </w:rPr>
        <w:t xml:space="preserve"> Osoba s omezenou svéprávností smí pořizovat formou veřejné listiny jen v případě, že soudním výrokem nebyla omezena i její pořizovací způsobilost.</w:t>
      </w:r>
      <w:r w:rsidR="00DE4453">
        <w:rPr>
          <w:rStyle w:val="Znakapoznpodarou"/>
          <w:szCs w:val="24"/>
        </w:rPr>
        <w:footnoteReference w:id="40"/>
      </w:r>
      <w:r w:rsidR="00F3001B">
        <w:rPr>
          <w:szCs w:val="24"/>
        </w:rPr>
        <w:t xml:space="preserve"> Jedinou </w:t>
      </w:r>
      <w:r w:rsidR="00697D72">
        <w:rPr>
          <w:szCs w:val="24"/>
        </w:rPr>
        <w:t>výjimku</w:t>
      </w:r>
      <w:r w:rsidR="00F3001B">
        <w:rPr>
          <w:szCs w:val="24"/>
        </w:rPr>
        <w:t xml:space="preserve"> v případě osoby omezené soudním výrokem v pořizovací způsobilosti</w:t>
      </w:r>
      <w:r w:rsidR="00697D72">
        <w:rPr>
          <w:szCs w:val="24"/>
        </w:rPr>
        <w:t xml:space="preserve"> dává § 1595, který umožňuje takové osobě odkázat jinému předměty malé hodnoty</w:t>
      </w:r>
      <w:r w:rsidR="002B5B68">
        <w:rPr>
          <w:szCs w:val="24"/>
        </w:rPr>
        <w:t>.</w:t>
      </w:r>
    </w:p>
    <w:p w:rsidR="002B5B68" w:rsidRDefault="002B5B68" w:rsidP="00364460">
      <w:pPr>
        <w:spacing w:line="360" w:lineRule="auto"/>
        <w:jc w:val="both"/>
        <w:rPr>
          <w:szCs w:val="24"/>
        </w:rPr>
      </w:pPr>
      <w:r>
        <w:rPr>
          <w:szCs w:val="24"/>
        </w:rPr>
        <w:tab/>
        <w:t>Osobám, které byly omezeny ve svéprávnosti z důvodu své chorobné závislosti na požíván</w:t>
      </w:r>
      <w:r w:rsidR="00E31247">
        <w:rPr>
          <w:szCs w:val="24"/>
        </w:rPr>
        <w:t>í alkoholu, psychotropních látkách</w:t>
      </w:r>
      <w:r>
        <w:rPr>
          <w:szCs w:val="24"/>
        </w:rPr>
        <w:t xml:space="preserve"> či hráčské vášni se věnuje § 1528 odst. 2.</w:t>
      </w:r>
      <w:r w:rsidR="00D01D06">
        <w:rPr>
          <w:szCs w:val="24"/>
        </w:rPr>
        <w:t xml:space="preserve"> Tito smí o svém majetku pořizovat v libovolné formě, avšak nanejvýš o polovině pozůstalosti.</w:t>
      </w:r>
      <w:r w:rsidR="00E31247">
        <w:rPr>
          <w:szCs w:val="24"/>
        </w:rPr>
        <w:t xml:space="preserve"> Druhá polovina připadne dědicům ze zákona. O celé pozůstalosti mohou tyto osoby pořídit v případě, že by jako zákonný dědic připadal v úvahu pouze stát.</w:t>
      </w:r>
      <w:r w:rsidR="00BF7A25">
        <w:rPr>
          <w:szCs w:val="24"/>
        </w:rPr>
        <w:t xml:space="preserve"> Pokud by zůstavitel pořídil o</w:t>
      </w:r>
      <w:r w:rsidR="006204C8">
        <w:rPr>
          <w:szCs w:val="24"/>
        </w:rPr>
        <w:t> </w:t>
      </w:r>
      <w:r w:rsidR="00BF7A25">
        <w:rPr>
          <w:szCs w:val="24"/>
        </w:rPr>
        <w:t>celé pozůstalosti, bude takové pořízení neplatné pouze v případě, že se dědicové ze zákona neplatnosti dovolají, protože ono ustanovení chrání právě dědice ze zákona</w:t>
      </w:r>
      <w:r w:rsidR="009C52CC">
        <w:rPr>
          <w:szCs w:val="24"/>
        </w:rPr>
        <w:t>.</w:t>
      </w:r>
      <w:r w:rsidR="00027209">
        <w:rPr>
          <w:rStyle w:val="Znakapoznpodarou"/>
          <w:szCs w:val="24"/>
        </w:rPr>
        <w:footnoteReference w:id="41"/>
      </w:r>
      <w:r w:rsidR="00DA2F3A">
        <w:rPr>
          <w:szCs w:val="24"/>
        </w:rPr>
        <w:t xml:space="preserve"> Ze stejného důvodu</w:t>
      </w:r>
      <w:r w:rsidR="00BF7A25">
        <w:rPr>
          <w:szCs w:val="24"/>
        </w:rPr>
        <w:t xml:space="preserve"> zákonodárce netrvá na pořízení pouze o jedné polovině pozůstalosti v případě, že by jediným dědicem </w:t>
      </w:r>
      <w:r w:rsidR="00027209">
        <w:rPr>
          <w:szCs w:val="24"/>
        </w:rPr>
        <w:t xml:space="preserve">ze zákona byl stát, protože jemu ochrana v tomto ustanovení </w:t>
      </w:r>
      <w:r w:rsidR="00F20490">
        <w:rPr>
          <w:szCs w:val="24"/>
        </w:rPr>
        <w:t>obsažená</w:t>
      </w:r>
      <w:r w:rsidR="00027209">
        <w:rPr>
          <w:szCs w:val="24"/>
        </w:rPr>
        <w:t xml:space="preserve"> není určena</w:t>
      </w:r>
      <w:r w:rsidR="009C52CC">
        <w:rPr>
          <w:szCs w:val="24"/>
        </w:rPr>
        <w:t>.</w:t>
      </w:r>
      <w:r w:rsidR="00027209">
        <w:rPr>
          <w:rStyle w:val="Znakapoznpodarou"/>
          <w:szCs w:val="24"/>
        </w:rPr>
        <w:footnoteReference w:id="42"/>
      </w:r>
    </w:p>
    <w:p w:rsidR="00D47D58" w:rsidRDefault="00D47D58" w:rsidP="001504B4">
      <w:pPr>
        <w:spacing w:line="360" w:lineRule="auto"/>
        <w:ind w:firstLine="708"/>
        <w:jc w:val="both"/>
        <w:rPr>
          <w:szCs w:val="24"/>
        </w:rPr>
      </w:pPr>
      <w:r>
        <w:rPr>
          <w:szCs w:val="24"/>
        </w:rPr>
        <w:lastRenderedPageBreak/>
        <w:t xml:space="preserve">Zajímavá je otázka oné poloviny, o které zůstavitel smí pořídit. Jedná se o polovinu </w:t>
      </w:r>
      <w:r w:rsidR="00734E70">
        <w:rPr>
          <w:szCs w:val="24"/>
        </w:rPr>
        <w:t>jmění</w:t>
      </w:r>
      <w:r w:rsidR="00DA2F3A">
        <w:rPr>
          <w:szCs w:val="24"/>
        </w:rPr>
        <w:t xml:space="preserve"> v době zůstavitelovy</w:t>
      </w:r>
      <w:r>
        <w:rPr>
          <w:szCs w:val="24"/>
        </w:rPr>
        <w:t xml:space="preserve"> smrti, nikoli o polovinu </w:t>
      </w:r>
      <w:r w:rsidR="00734E70">
        <w:rPr>
          <w:szCs w:val="24"/>
        </w:rPr>
        <w:t>jmění</w:t>
      </w:r>
      <w:r>
        <w:rPr>
          <w:szCs w:val="24"/>
        </w:rPr>
        <w:t xml:space="preserve"> v době pořízení např. závěti.</w:t>
      </w:r>
      <w:r w:rsidR="00765AA3">
        <w:rPr>
          <w:szCs w:val="24"/>
        </w:rPr>
        <w:t xml:space="preserve"> To vyplývá z použitého slova </w:t>
      </w:r>
      <w:r w:rsidR="00734E70">
        <w:rPr>
          <w:szCs w:val="24"/>
        </w:rPr>
        <w:t>„</w:t>
      </w:r>
      <w:r w:rsidR="00765AA3">
        <w:rPr>
          <w:szCs w:val="24"/>
        </w:rPr>
        <w:t>pozůstalost</w:t>
      </w:r>
      <w:r w:rsidR="00734E70">
        <w:rPr>
          <w:szCs w:val="24"/>
        </w:rPr>
        <w:t>“</w:t>
      </w:r>
      <w:r w:rsidR="00786D85">
        <w:rPr>
          <w:szCs w:val="24"/>
        </w:rPr>
        <w:t>, což je zůstavitelův souhrn majetku a jeho dluhů, tedy jmění</w:t>
      </w:r>
      <w:r w:rsidR="001D445C">
        <w:rPr>
          <w:szCs w:val="24"/>
        </w:rPr>
        <w:t xml:space="preserve"> v době jeho smrti</w:t>
      </w:r>
      <w:r w:rsidR="00786D85">
        <w:rPr>
          <w:szCs w:val="24"/>
        </w:rPr>
        <w:t>.</w:t>
      </w:r>
      <w:r w:rsidR="00734E70">
        <w:rPr>
          <w:szCs w:val="24"/>
        </w:rPr>
        <w:t xml:space="preserve"> </w:t>
      </w:r>
      <w:r>
        <w:rPr>
          <w:szCs w:val="24"/>
        </w:rPr>
        <w:t xml:space="preserve">Nařídil-li zůstavitel odkazy, pak zatěžují tu polovinu pozůstalosti, o které smí zůstavitel volně </w:t>
      </w:r>
      <w:r w:rsidR="00DA2F3A">
        <w:rPr>
          <w:szCs w:val="24"/>
        </w:rPr>
        <w:t>pořídit, jak</w:t>
      </w:r>
      <w:r w:rsidR="00765AA3">
        <w:rPr>
          <w:szCs w:val="24"/>
        </w:rPr>
        <w:t xml:space="preserve"> </w:t>
      </w:r>
      <w:r w:rsidR="001504B4">
        <w:rPr>
          <w:szCs w:val="24"/>
        </w:rPr>
        <w:t xml:space="preserve">potvrzuje </w:t>
      </w:r>
      <w:r w:rsidR="00765AA3">
        <w:rPr>
          <w:szCs w:val="24"/>
        </w:rPr>
        <w:t>i judikatura</w:t>
      </w:r>
      <w:r w:rsidR="00765AA3">
        <w:rPr>
          <w:rStyle w:val="Znakapoznpodarou"/>
          <w:szCs w:val="24"/>
        </w:rPr>
        <w:footnoteReference w:id="43"/>
      </w:r>
      <w:r w:rsidR="001504B4">
        <w:rPr>
          <w:szCs w:val="24"/>
        </w:rPr>
        <w:t>, kdy OZO měl obdobné ustanovení o marnotratníkovi, který též směl</w:t>
      </w:r>
      <w:r w:rsidR="00DA2F3A">
        <w:rPr>
          <w:szCs w:val="24"/>
        </w:rPr>
        <w:t xml:space="preserve"> pořizovat za stejných podmínek,</w:t>
      </w:r>
      <w:r w:rsidR="001504B4">
        <w:rPr>
          <w:szCs w:val="24"/>
        </w:rPr>
        <w:t xml:space="preserve"> jak je uvedeno v § 1528 odst. 2 NOZ.</w:t>
      </w:r>
    </w:p>
    <w:p w:rsidR="00780095" w:rsidRDefault="00CD5F96" w:rsidP="001504B4">
      <w:pPr>
        <w:spacing w:line="360" w:lineRule="auto"/>
        <w:ind w:firstLine="708"/>
        <w:jc w:val="both"/>
        <w:rPr>
          <w:szCs w:val="24"/>
        </w:rPr>
      </w:pPr>
      <w:r>
        <w:rPr>
          <w:szCs w:val="24"/>
        </w:rPr>
        <w:t>V</w:t>
      </w:r>
      <w:r w:rsidR="00837179">
        <w:rPr>
          <w:szCs w:val="24"/>
        </w:rPr>
        <w:t xml:space="preserve"> </w:t>
      </w:r>
      <w:r>
        <w:rPr>
          <w:szCs w:val="24"/>
        </w:rPr>
        <w:t xml:space="preserve">oblasti </w:t>
      </w:r>
      <w:r w:rsidR="00837179">
        <w:rPr>
          <w:szCs w:val="24"/>
        </w:rPr>
        <w:t xml:space="preserve">pořizovací způsobilosti </w:t>
      </w:r>
      <w:r>
        <w:rPr>
          <w:szCs w:val="24"/>
        </w:rPr>
        <w:t>docházelo ke změnám v každém občanském zákoníku, který na našem území vešel v účinnost.</w:t>
      </w:r>
      <w:r w:rsidR="00837179">
        <w:rPr>
          <w:szCs w:val="24"/>
        </w:rPr>
        <w:t xml:space="preserve"> Dle OZO byly nezpůsobilými </w:t>
      </w:r>
      <w:r w:rsidR="000A4BEF">
        <w:rPr>
          <w:szCs w:val="24"/>
        </w:rPr>
        <w:t xml:space="preserve">pořídit </w:t>
      </w:r>
      <w:r w:rsidR="00837179">
        <w:rPr>
          <w:szCs w:val="24"/>
        </w:rPr>
        <w:t>kromě osob, které nedosáhly patřičného věku (viz výše), osoby šílené, blbé</w:t>
      </w:r>
      <w:r w:rsidR="000A4BEF">
        <w:rPr>
          <w:szCs w:val="24"/>
        </w:rPr>
        <w:t>, zuřivé či opilé, které jsou zcela zbaveny rozumu nebo nedovedou rozpoznat následky svého jednání. Dále pak osoby prohlášené za marnotratníka (i osoby zbavené svéprávnosti pro pijáctví nebo nadužívání nervových jedů) a osoby, které složily řeholní slib nebo slavný slib chudoby.</w:t>
      </w:r>
      <w:r w:rsidR="00CA2E92">
        <w:rPr>
          <w:szCs w:val="24"/>
        </w:rPr>
        <w:t xml:space="preserve"> Do zrušení příslušných ustanovení</w:t>
      </w:r>
      <w:r w:rsidR="00975AA2">
        <w:rPr>
          <w:szCs w:val="24"/>
        </w:rPr>
        <w:t>,</w:t>
      </w:r>
      <w:r w:rsidR="00CA2E92">
        <w:rPr>
          <w:szCs w:val="24"/>
        </w:rPr>
        <w:t xml:space="preserve"> resp. zákonů byly nezpůsobilými pořizovat také zběhové a</w:t>
      </w:r>
      <w:r w:rsidR="006204C8">
        <w:rPr>
          <w:szCs w:val="24"/>
        </w:rPr>
        <w:t> </w:t>
      </w:r>
      <w:r w:rsidR="00CA2E92">
        <w:rPr>
          <w:szCs w:val="24"/>
        </w:rPr>
        <w:t>osoby odsouzené k smrti či těžkému žaláři.</w:t>
      </w:r>
      <w:r w:rsidR="00CA2E92">
        <w:rPr>
          <w:rStyle w:val="Znakapoznpodarou"/>
          <w:szCs w:val="24"/>
        </w:rPr>
        <w:footnoteReference w:id="44"/>
      </w:r>
      <w:r w:rsidR="000C212E">
        <w:rPr>
          <w:szCs w:val="24"/>
        </w:rPr>
        <w:t xml:space="preserve"> Střední kodex stanovil nezpůsobilými pro pořízení osoby mladistvé, k</w:t>
      </w:r>
      <w:r w:rsidR="00BF773E">
        <w:rPr>
          <w:szCs w:val="24"/>
        </w:rPr>
        <w:t xml:space="preserve">teré nedosáhly 15. roku života </w:t>
      </w:r>
      <w:r w:rsidR="000C212E">
        <w:rPr>
          <w:szCs w:val="24"/>
        </w:rPr>
        <w:t>nebo s</w:t>
      </w:r>
      <w:r w:rsidR="00BF773E">
        <w:rPr>
          <w:szCs w:val="24"/>
        </w:rPr>
        <w:t>ice dosáhly</w:t>
      </w:r>
      <w:r w:rsidR="00743C9C">
        <w:rPr>
          <w:szCs w:val="24"/>
        </w:rPr>
        <w:t>, ale svůj majetek ne</w:t>
      </w:r>
      <w:r w:rsidR="000C212E">
        <w:rPr>
          <w:szCs w:val="24"/>
        </w:rPr>
        <w:t>nabyly vlastní prací. A dále osoby zcela nebo i jen částečně zbavené svéprávnosti</w:t>
      </w:r>
      <w:r w:rsidR="001A73CC">
        <w:rPr>
          <w:szCs w:val="24"/>
        </w:rPr>
        <w:t xml:space="preserve"> anebo osoby, které si pro duševní poruchu nejsou schopny obstarat své záležitosti.</w:t>
      </w:r>
      <w:r w:rsidR="001A73CC">
        <w:rPr>
          <w:rStyle w:val="Znakapoznpodarou"/>
          <w:szCs w:val="24"/>
        </w:rPr>
        <w:footnoteReference w:id="45"/>
      </w:r>
      <w:r w:rsidR="00EF6EE3">
        <w:rPr>
          <w:szCs w:val="24"/>
        </w:rPr>
        <w:t xml:space="preserve"> Dle OZ</w:t>
      </w:r>
      <w:r w:rsidR="00BF773E">
        <w:rPr>
          <w:szCs w:val="24"/>
        </w:rPr>
        <w:t xml:space="preserve"> byly</w:t>
      </w:r>
      <w:r w:rsidR="00EF6EE3">
        <w:rPr>
          <w:szCs w:val="24"/>
        </w:rPr>
        <w:t xml:space="preserve"> </w:t>
      </w:r>
      <w:r w:rsidR="00F330C9">
        <w:rPr>
          <w:szCs w:val="24"/>
        </w:rPr>
        <w:t>nezpůsobilé zřídit závěť osoby mladší 18 let (v případě, že neuzavřely manželství), protože to dle tehdejší doktríny neodpovídalo jejich rozumové a volní vyspělosti.</w:t>
      </w:r>
      <w:r w:rsidR="00F330C9">
        <w:rPr>
          <w:rStyle w:val="Znakapoznpodarou"/>
          <w:szCs w:val="24"/>
        </w:rPr>
        <w:footnoteReference w:id="46"/>
      </w:r>
      <w:r w:rsidR="0014064A">
        <w:rPr>
          <w:szCs w:val="24"/>
        </w:rPr>
        <w:t xml:space="preserve"> Změnu přinesla až novela OZ účinná od 1. 1. 1992, která zavedla možnost pořídit závěť formou notářského zápisu osobám starším 15 let.</w:t>
      </w:r>
      <w:r w:rsidR="001A1C2C">
        <w:rPr>
          <w:szCs w:val="24"/>
        </w:rPr>
        <w:t xml:space="preserve"> Pořídit závěť </w:t>
      </w:r>
      <w:r w:rsidR="00BA68C4">
        <w:rPr>
          <w:szCs w:val="24"/>
        </w:rPr>
        <w:t>nemohla</w:t>
      </w:r>
      <w:r w:rsidR="001A1C2C">
        <w:rPr>
          <w:szCs w:val="24"/>
        </w:rPr>
        <w:t xml:space="preserve"> osoba zbavená způsobilosti k právním úkonům, avšak velmi problematickou byla za účinnosti OZ otázka, zda je platná závěť učiněná osobou omezenou ve způsobilosti k právním úkonům. Dle některých názorů</w:t>
      </w:r>
      <w:r w:rsidR="001A1C2C">
        <w:rPr>
          <w:rStyle w:val="Znakapoznpodarou"/>
          <w:szCs w:val="24"/>
        </w:rPr>
        <w:footnoteReference w:id="47"/>
      </w:r>
      <w:r w:rsidR="001A1C2C">
        <w:rPr>
          <w:szCs w:val="24"/>
        </w:rPr>
        <w:t xml:space="preserve"> mohla být takto učiněná závěť platná</w:t>
      </w:r>
      <w:r w:rsidR="00B7303D">
        <w:rPr>
          <w:szCs w:val="24"/>
        </w:rPr>
        <w:t xml:space="preserve"> </w:t>
      </w:r>
      <w:r w:rsidR="005E5202">
        <w:rPr>
          <w:szCs w:val="24"/>
        </w:rPr>
        <w:t>(záleželo na okolnostech jednotlivých případů)</w:t>
      </w:r>
      <w:r w:rsidR="001A1C2C">
        <w:rPr>
          <w:szCs w:val="24"/>
        </w:rPr>
        <w:t>, dle jiných</w:t>
      </w:r>
      <w:r w:rsidR="001A1C2C">
        <w:rPr>
          <w:rStyle w:val="Znakapoznpodarou"/>
          <w:szCs w:val="24"/>
        </w:rPr>
        <w:footnoteReference w:id="48"/>
      </w:r>
      <w:r w:rsidR="001A1C2C">
        <w:rPr>
          <w:szCs w:val="24"/>
        </w:rPr>
        <w:t xml:space="preserve"> nikoli</w:t>
      </w:r>
      <w:r w:rsidR="00E032DE">
        <w:rPr>
          <w:szCs w:val="24"/>
        </w:rPr>
        <w:t>, s čímž se ztotožnila i judikatura</w:t>
      </w:r>
      <w:r w:rsidR="009505D8">
        <w:rPr>
          <w:szCs w:val="24"/>
        </w:rPr>
        <w:t xml:space="preserve"> NS</w:t>
      </w:r>
      <w:r w:rsidR="00BF773E">
        <w:rPr>
          <w:szCs w:val="24"/>
        </w:rPr>
        <w:t>.</w:t>
      </w:r>
      <w:r w:rsidR="00E032DE">
        <w:rPr>
          <w:rStyle w:val="Znakapoznpodarou"/>
          <w:szCs w:val="24"/>
        </w:rPr>
        <w:footnoteReference w:id="49"/>
      </w:r>
      <w:r w:rsidR="009505D8">
        <w:rPr>
          <w:szCs w:val="24"/>
        </w:rPr>
        <w:t xml:space="preserve"> NOZ tuto v minulosti spornou otázku řeší v ustanovení § 1528 odst. 1</w:t>
      </w:r>
      <w:r w:rsidR="00BF773E">
        <w:rPr>
          <w:szCs w:val="24"/>
        </w:rPr>
        <w:t xml:space="preserve"> </w:t>
      </w:r>
      <w:r w:rsidR="009505D8">
        <w:rPr>
          <w:szCs w:val="24"/>
        </w:rPr>
        <w:t>viz</w:t>
      </w:r>
      <w:r w:rsidR="005C3628">
        <w:rPr>
          <w:szCs w:val="24"/>
        </w:rPr>
        <w:t>.</w:t>
      </w:r>
      <w:r w:rsidR="009505D8">
        <w:rPr>
          <w:szCs w:val="24"/>
        </w:rPr>
        <w:t xml:space="preserve"> výše.</w:t>
      </w:r>
    </w:p>
    <w:p w:rsidR="00EF504B" w:rsidRDefault="00EF504B" w:rsidP="00EF504B">
      <w:pPr>
        <w:spacing w:line="360" w:lineRule="auto"/>
        <w:ind w:firstLine="708"/>
        <w:jc w:val="both"/>
        <w:rPr>
          <w:szCs w:val="24"/>
        </w:rPr>
      </w:pPr>
      <w:r>
        <w:rPr>
          <w:szCs w:val="24"/>
        </w:rPr>
        <w:lastRenderedPageBreak/>
        <w:t>Změnou oproti OZ je tedy zejména vypořádání se s problematikou pořízení osoby, která byla omezena ve svéprávnosti. Novinkou je také omezení pořizovací způsobilosti osob, kterým byla omezena svéprávnost z důvodu jejich závislosti na alkoholu, psychotropních či jiných látkách anebo pro chorobné hráčství, když tito mohou pořizovat v libovolné formě, avšak pouze o polovině pozůstalosti.</w:t>
      </w:r>
    </w:p>
    <w:p w:rsidR="00F645B9" w:rsidRPr="00AD6AE6" w:rsidRDefault="006A177C" w:rsidP="00756EE0">
      <w:pPr>
        <w:pStyle w:val="Nadpis1"/>
        <w:spacing w:line="360" w:lineRule="auto"/>
      </w:pPr>
      <w:bookmarkStart w:id="7" w:name="_Toc415452761"/>
      <w:r>
        <w:lastRenderedPageBreak/>
        <w:t>4</w:t>
      </w:r>
      <w:r>
        <w:tab/>
      </w:r>
      <w:r w:rsidR="00F645B9" w:rsidRPr="00AD6AE6">
        <w:t>Obsahová stránka závěti</w:t>
      </w:r>
      <w:bookmarkEnd w:id="7"/>
    </w:p>
    <w:p w:rsidR="00A401AF" w:rsidRPr="00DC722B" w:rsidRDefault="006A177C" w:rsidP="00DC722B">
      <w:pPr>
        <w:pStyle w:val="Nadpis2"/>
      </w:pPr>
      <w:bookmarkStart w:id="8" w:name="_Toc415452762"/>
      <w:r>
        <w:t>4.1</w:t>
      </w:r>
      <w:r>
        <w:tab/>
      </w:r>
      <w:r w:rsidR="00A401AF">
        <w:t>Určení dědice</w:t>
      </w:r>
      <w:bookmarkEnd w:id="8"/>
    </w:p>
    <w:p w:rsidR="00F6661D" w:rsidRDefault="00F6661D" w:rsidP="00A401AF">
      <w:pPr>
        <w:spacing w:line="360" w:lineRule="auto"/>
        <w:jc w:val="both"/>
      </w:pPr>
      <w:r>
        <w:tab/>
        <w:t>Jednou z podstatných náležitostí obsahu závěti je určení dědice či dědi</w:t>
      </w:r>
      <w:r w:rsidR="00B53535">
        <w:t>ců. § 1494 odst.</w:t>
      </w:r>
      <w:r w:rsidR="006204C8">
        <w:t> </w:t>
      </w:r>
      <w:r w:rsidR="00B53535">
        <w:t>1, který charakterizuje závěť, přímo uvádí, že je třeba zůstavit jedné či více osobám alespoň podíl</w:t>
      </w:r>
      <w:r w:rsidR="00D96C55">
        <w:rPr>
          <w:rStyle w:val="Znakapoznpodarou"/>
        </w:rPr>
        <w:footnoteReference w:id="50"/>
      </w:r>
      <w:r w:rsidR="00B53535">
        <w:t xml:space="preserve"> na pozůstalosti. </w:t>
      </w:r>
      <w:r w:rsidR="00D13AF4">
        <w:t xml:space="preserve">Vedle toho je možné </w:t>
      </w:r>
      <w:r w:rsidR="00C509C9">
        <w:t xml:space="preserve">v závěti </w:t>
      </w:r>
      <w:r w:rsidR="00D13AF4">
        <w:t xml:space="preserve">učinit i jiná opatření např. nařídit odkaz. </w:t>
      </w:r>
      <w:r w:rsidR="00B53535">
        <w:t>Pokud by</w:t>
      </w:r>
      <w:r w:rsidR="00C509C9">
        <w:t xml:space="preserve"> v posledním pořízení</w:t>
      </w:r>
      <w:r w:rsidR="00B53535">
        <w:t xml:space="preserve"> podmínka určení dědice (univerzálního sukcesora) nebyla splněna, nebude se jednat o závěť, ale o kodicil (dovětek).</w:t>
      </w:r>
      <w:r w:rsidR="00966AC7">
        <w:rPr>
          <w:rStyle w:val="Znakapoznpodarou"/>
        </w:rPr>
        <w:footnoteReference w:id="51"/>
      </w:r>
      <w:r w:rsidR="00D13AF4">
        <w:t xml:space="preserve"> </w:t>
      </w:r>
    </w:p>
    <w:p w:rsidR="001C5F37" w:rsidRDefault="00B50B9F" w:rsidP="00A401AF">
      <w:pPr>
        <w:spacing w:line="360" w:lineRule="auto"/>
        <w:jc w:val="both"/>
      </w:pPr>
      <w:r>
        <w:tab/>
        <w:t>Určení osoby dědice musí zůstavitel provést osobně</w:t>
      </w:r>
      <w:r w:rsidR="00505780">
        <w:t xml:space="preserve"> a nemůže se nechat </w:t>
      </w:r>
      <w:r w:rsidR="00897FA9">
        <w:t xml:space="preserve">v tomto </w:t>
      </w:r>
      <w:r w:rsidR="00505780">
        <w:t xml:space="preserve">nikým zastoupit. </w:t>
      </w:r>
      <w:r w:rsidR="00FA69BA">
        <w:t>Dědic</w:t>
      </w:r>
      <w:r w:rsidR="003E0128">
        <w:t xml:space="preserve"> musí mít právní osobnost a tak kromě fyzické a právnické osoby jím může být i počaté, ale dosud nenarozené dítě, tzv. </w:t>
      </w:r>
      <w:r w:rsidR="003E0128">
        <w:rPr>
          <w:i/>
        </w:rPr>
        <w:t>nasciturus</w:t>
      </w:r>
      <w:r w:rsidR="003E0128">
        <w:t>, pokud se narodí živé</w:t>
      </w:r>
      <w:r w:rsidR="00170D53">
        <w:t xml:space="preserve"> a</w:t>
      </w:r>
      <w:r w:rsidR="00DA1D04">
        <w:t xml:space="preserve"> také právnická osoba, která má teprve vzniknout, přičemž se tak musí stát do jednoho roku</w:t>
      </w:r>
      <w:r w:rsidR="00D232F8">
        <w:t>, což je oproti OZ novinkou</w:t>
      </w:r>
      <w:r w:rsidR="003E0128">
        <w:t>.</w:t>
      </w:r>
      <w:r w:rsidR="00FA69BA">
        <w:t xml:space="preserve"> </w:t>
      </w:r>
      <w:r w:rsidR="00897FA9">
        <w:t>Je praktické, aby zůstavitel označil dědice co nejkonkrétněji např. uvedením jména, příjmení, adresy, data narození či rodného čísla</w:t>
      </w:r>
      <w:r w:rsidR="001C5F37">
        <w:t xml:space="preserve"> nebo název, sídlo popř</w:t>
      </w:r>
      <w:r w:rsidR="00DB127B">
        <w:t>.</w:t>
      </w:r>
      <w:r w:rsidR="001C5F37">
        <w:t xml:space="preserve"> i</w:t>
      </w:r>
      <w:r w:rsidR="006204C8">
        <w:t> </w:t>
      </w:r>
      <w:r w:rsidR="001C5F37">
        <w:t>identifikační číslo právnické osoby</w:t>
      </w:r>
      <w:r w:rsidR="00897FA9">
        <w:t xml:space="preserve">. V praxi se však objevily i mnohem obecnější formulace označení dědiců. </w:t>
      </w:r>
      <w:r w:rsidR="00685204">
        <w:t xml:space="preserve">Krajský soud v </w:t>
      </w:r>
      <w:r w:rsidR="00253ACC">
        <w:t>B</w:t>
      </w:r>
      <w:r w:rsidR="00685204">
        <w:t>rně</w:t>
      </w:r>
      <w:r w:rsidR="00897FA9">
        <w:t xml:space="preserve"> např</w:t>
      </w:r>
      <w:r w:rsidR="00253ACC">
        <w:t>.</w:t>
      </w:r>
      <w:r w:rsidR="00897FA9">
        <w:t xml:space="preserve"> ve svém rozhodnutí</w:t>
      </w:r>
      <w:r w:rsidR="00287C99">
        <w:rPr>
          <w:rStyle w:val="Znakapoznpodarou"/>
        </w:rPr>
        <w:footnoteReference w:id="52"/>
      </w:r>
      <w:r w:rsidR="00897FA9">
        <w:t xml:space="preserve"> </w:t>
      </w:r>
      <w:r w:rsidR="00685204">
        <w:t>uvedl</w:t>
      </w:r>
      <w:r w:rsidR="00897FA9">
        <w:t>, že</w:t>
      </w:r>
      <w:r w:rsidR="00287C99">
        <w:t xml:space="preserve"> ustanovení závěti, kterým </w:t>
      </w:r>
      <w:r w:rsidR="00685204">
        <w:t>pořizovatel</w:t>
      </w:r>
      <w:r w:rsidR="00287C99">
        <w:t xml:space="preserve"> poroučí svůj majetek </w:t>
      </w:r>
      <w:r w:rsidR="00287C99">
        <w:rPr>
          <w:i/>
        </w:rPr>
        <w:t>„svým dětem“</w:t>
      </w:r>
      <w:r w:rsidR="00287C99">
        <w:t xml:space="preserve"> bez uvedení bližších údajů, nelze považovat za neurčité</w:t>
      </w:r>
      <w:r w:rsidR="00685204">
        <w:t>,</w:t>
      </w:r>
      <w:r w:rsidR="00287C99">
        <w:t xml:space="preserve"> neboť je prokazatelné, kdo je dítětem pořizovatele. Povolány tak budou všechny </w:t>
      </w:r>
      <w:r w:rsidR="00685204">
        <w:t>pořizovatelovy</w:t>
      </w:r>
      <w:r w:rsidR="00287C99">
        <w:t xml:space="preserve"> děti.</w:t>
      </w:r>
      <w:r w:rsidR="00253ACC">
        <w:t xml:space="preserve"> </w:t>
      </w:r>
    </w:p>
    <w:p w:rsidR="00B50B9F" w:rsidRDefault="001C5F37" w:rsidP="002D0F6E">
      <w:pPr>
        <w:spacing w:line="360" w:lineRule="auto"/>
        <w:ind w:firstLine="708"/>
        <w:jc w:val="both"/>
      </w:pPr>
      <w:r>
        <w:t>Také</w:t>
      </w:r>
      <w:r w:rsidR="00253ACC">
        <w:t xml:space="preserve"> NOZ obsahuje ustanovení, která se vypořádávají s obecnějšími označeními dědiců.</w:t>
      </w:r>
      <w:r w:rsidR="005624F4">
        <w:t xml:space="preserve"> Z § 1503 odst. 3 plyne, že pokud zůstavitel povolal za dědice bez bližšího určení chudé či obdobně určenou skupinu osob, má se za to, že za dědice byla povolána obec, na jejímž území měl zůstavitel poslední bydliště, která dědictví použije ve prospěch určené skupiny. Odstavec</w:t>
      </w:r>
      <w:r w:rsidR="0012477A">
        <w:t xml:space="preserve"> 2 stejného ustanovení obsahuje pravidlo, které říká, že pokud zůstavitel povolal bez bližšího určení za dědice</w:t>
      </w:r>
      <w:r w:rsidR="005624F4">
        <w:t xml:space="preserve"> určitou skupinu osob, má se za to, že dědici jsou ti, kteří do určené skup</w:t>
      </w:r>
      <w:r w:rsidR="0012477A">
        <w:t>iny patřili v době zůstavitelovy</w:t>
      </w:r>
      <w:r w:rsidR="005624F4">
        <w:t xml:space="preserve"> smrti.</w:t>
      </w:r>
      <w:r w:rsidR="0012477A">
        <w:t xml:space="preserve"> Takovými mohou být např. spoluhráči z fotbalového týmu, kde zůstavitel působil apod.</w:t>
      </w:r>
      <w:r w:rsidR="009D30D3">
        <w:t xml:space="preserve"> Je třeba také zmínit první odstavec tohoto ustanovení, který stanovuje, že pokud se vyskytnou mezi povolanými dědici osoby pokládané </w:t>
      </w:r>
      <w:r w:rsidR="009D30D3">
        <w:lastRenderedPageBreak/>
        <w:t>při zákonné dědické posloupnosti vzhledem k ostatním za jednu osobu, pokládají se za jednu osobu i při dělení podle závěti, což však neplatí</w:t>
      </w:r>
      <w:r w:rsidR="00796109">
        <w:t>, je-li vůle zůstavitele zřejmě opačná.</w:t>
      </w:r>
    </w:p>
    <w:p w:rsidR="00BE1218" w:rsidRDefault="00BE1218" w:rsidP="002D0F6E">
      <w:pPr>
        <w:spacing w:line="360" w:lineRule="auto"/>
        <w:ind w:firstLine="708"/>
        <w:jc w:val="both"/>
      </w:pPr>
      <w:r>
        <w:t>Je třeba také uvést, že pokud by zůstavitel v pořízení pro případ smrti povolal za dědice (či odkazovníka) osobu, která spravuje zařízení, které poskytuje zdravotní či sociální služby nebo osobu, která je v takovém zařízení zaměstnána či tam jinak působí, bude pořízení pro případ smrti v této části neplatné, jestliže toto pořízení zůstavitel učinil v době, kdy využíval služeb takového zařízení nebo byl v jeho péči. Tato část pořízení bude platn</w:t>
      </w:r>
      <w:r w:rsidR="00173292">
        <w:t>á pouze v případě, že je učiněna</w:t>
      </w:r>
      <w:r>
        <w:t xml:space="preserve"> závětí</w:t>
      </w:r>
      <w:r>
        <w:rPr>
          <w:rStyle w:val="Znakapoznpodarou"/>
        </w:rPr>
        <w:footnoteReference w:id="53"/>
      </w:r>
      <w:r>
        <w:t xml:space="preserve"> </w:t>
      </w:r>
      <w:r w:rsidR="00173292">
        <w:t>ve formě</w:t>
      </w:r>
      <w:r>
        <w:t xml:space="preserve"> veřejné listiny</w:t>
      </w:r>
      <w:r w:rsidR="00173292">
        <w:t xml:space="preserve"> nebo pokud zůstavitel po ukončení péče či užívání služeb zařízení mohl bez obtíží pořídit formou veřejné listiny.</w:t>
      </w:r>
    </w:p>
    <w:p w:rsidR="00DB127B" w:rsidRDefault="006A177C" w:rsidP="00DC722B">
      <w:pPr>
        <w:pStyle w:val="Nadpis2"/>
      </w:pPr>
      <w:bookmarkStart w:id="9" w:name="_Toc415452763"/>
      <w:r>
        <w:t>4.2</w:t>
      </w:r>
      <w:r>
        <w:tab/>
      </w:r>
      <w:r w:rsidR="00DB127B">
        <w:t>Dědická nezpůsobilost</w:t>
      </w:r>
      <w:bookmarkEnd w:id="9"/>
    </w:p>
    <w:p w:rsidR="002E6E60" w:rsidRDefault="002D0F6E" w:rsidP="00DB127B">
      <w:pPr>
        <w:spacing w:line="360" w:lineRule="auto"/>
        <w:jc w:val="both"/>
      </w:pPr>
      <w:r>
        <w:tab/>
      </w:r>
      <w:r w:rsidR="00061448">
        <w:t>V OZ byla nezpůsobilým dědicem taková osoba, která se dopustila úmyslného trestného činu proti zůstaviteli, jeho manželu, dětem nebo rodičům anebo proti projevu poslední vůle zůstavitele</w:t>
      </w:r>
      <w:r w:rsidR="00934E99">
        <w:t>,</w:t>
      </w:r>
      <w:r w:rsidR="00061448">
        <w:t xml:space="preserve"> ledaže této osobě zůstavitel odpustil.</w:t>
      </w:r>
      <w:r w:rsidR="00934E99">
        <w:t xml:space="preserve"> Dědickou nezpůsobilost upravuje NOZ v § 1481</w:t>
      </w:r>
      <w:r w:rsidR="006204C8">
        <w:t xml:space="preserve"> </w:t>
      </w:r>
      <w:r w:rsidR="00934E99">
        <w:t>-</w:t>
      </w:r>
      <w:r w:rsidR="006204C8">
        <w:t xml:space="preserve"> </w:t>
      </w:r>
      <w:r w:rsidR="00934E99">
        <w:t>1483, avšak pro testamentární posloupnost je důležité zejména prvé ze zmíněných ustanovení. Jeho obsah vychází z úpravy obsažené v OZ, která byla rozšířena a</w:t>
      </w:r>
      <w:r w:rsidR="006204C8">
        <w:t> </w:t>
      </w:r>
      <w:r w:rsidR="00934E99">
        <w:t xml:space="preserve">více zkonkrétněna. </w:t>
      </w:r>
    </w:p>
    <w:p w:rsidR="002E6E60" w:rsidRDefault="004D4E38" w:rsidP="002E6E60">
      <w:pPr>
        <w:spacing w:line="360" w:lineRule="auto"/>
        <w:ind w:firstLine="708"/>
        <w:jc w:val="both"/>
      </w:pPr>
      <w:r>
        <w:t xml:space="preserve">Namísto pojmu trestný čin NOZ užívá výraz čin povahy úmyslného trestného činu, což je pojem širší, který kryje i případy, kdy osoba není trestně odpovědná. </w:t>
      </w:r>
      <w:r w:rsidR="00E444FE">
        <w:t xml:space="preserve">Podmínkou je, aby tento čin byl spáchaný za života zůstavitele. </w:t>
      </w:r>
      <w:r>
        <w:t>Dále je nově rozšířen</w:t>
      </w:r>
      <w:r w:rsidR="00934E99">
        <w:t xml:space="preserve"> okruh osob se vztahem k</w:t>
      </w:r>
      <w:r w:rsidR="00877253">
        <w:t> </w:t>
      </w:r>
      <w:r w:rsidR="00934E99">
        <w:t>zůstaviteli</w:t>
      </w:r>
      <w:r w:rsidR="00877253">
        <w:t>, proti</w:t>
      </w:r>
      <w:r>
        <w:t xml:space="preserve"> kterým by čin směřoval. </w:t>
      </w:r>
      <w:r w:rsidR="003D10B9">
        <w:t>Manžel</w:t>
      </w:r>
      <w:r w:rsidR="003D10B9">
        <w:rPr>
          <w:rStyle w:val="Znakapoznpodarou"/>
        </w:rPr>
        <w:footnoteReference w:id="54"/>
      </w:r>
      <w:r w:rsidR="003D10B9">
        <w:t xml:space="preserve"> v úpravě samozřejmě zůstává, ale m</w:t>
      </w:r>
      <w:r>
        <w:t>ísto</w:t>
      </w:r>
      <w:r w:rsidR="00934E99">
        <w:t xml:space="preserve"> dětí </w:t>
      </w:r>
      <w:r>
        <w:t>se úprava</w:t>
      </w:r>
      <w:r w:rsidR="00934E99">
        <w:t xml:space="preserve"> </w:t>
      </w:r>
      <w:r>
        <w:t xml:space="preserve">vztahuje na všechny </w:t>
      </w:r>
      <w:r w:rsidR="00934E99">
        <w:t>potomky a</w:t>
      </w:r>
      <w:r>
        <w:t xml:space="preserve"> namísto</w:t>
      </w:r>
      <w:r w:rsidR="00934E99">
        <w:t xml:space="preserve"> rodičů </w:t>
      </w:r>
      <w:r>
        <w:t xml:space="preserve">se </w:t>
      </w:r>
      <w:r w:rsidR="003D10B9">
        <w:t xml:space="preserve">již </w:t>
      </w:r>
      <w:r>
        <w:t>hovoří o p</w:t>
      </w:r>
      <w:r w:rsidR="00934E99">
        <w:t>řed</w:t>
      </w:r>
      <w:r>
        <w:t>cích</w:t>
      </w:r>
      <w:r w:rsidR="00934E99">
        <w:t>.</w:t>
      </w:r>
      <w:r w:rsidR="00877253">
        <w:rPr>
          <w:rStyle w:val="Znakapoznpodarou"/>
        </w:rPr>
        <w:footnoteReference w:id="55"/>
      </w:r>
    </w:p>
    <w:p w:rsidR="002D0F6E" w:rsidRDefault="002E6E60" w:rsidP="002E6E60">
      <w:pPr>
        <w:spacing w:line="360" w:lineRule="auto"/>
        <w:ind w:firstLine="708"/>
        <w:jc w:val="both"/>
      </w:pPr>
      <w:r>
        <w:t>§ 1481 dále uvádí, že z dědického práva je vyloučena osoba, která se dopustila zavrženíhodného činu pr</w:t>
      </w:r>
      <w:r w:rsidR="001D76FE">
        <w:t>oti zůstavitelově poslední vůli,</w:t>
      </w:r>
      <w:r>
        <w:t xml:space="preserve"> zejména tím, že zůstavitele k projevu vůle donutila nebo lstivě svedla či projev vůle překazila, zatajila, zfalšovala, podvrhla nebo úmyslně zničila. Rozdílem oproti úpravě obsažené v OZ je dopad nejen na projev zůstavitelov</w:t>
      </w:r>
      <w:r w:rsidR="001D76FE">
        <w:t>y</w:t>
      </w:r>
      <w:r>
        <w:t xml:space="preserve"> poslední vůle, ale zůstavitelovu vůli </w:t>
      </w:r>
      <w:r w:rsidR="00E444FE">
        <w:t xml:space="preserve">vůbec a dále demonstrativní výčet </w:t>
      </w:r>
      <w:r w:rsidR="00E444FE">
        <w:lastRenderedPageBreak/>
        <w:t>prohřešků proti zůstavitelově vůli</w:t>
      </w:r>
      <w:r>
        <w:t>.</w:t>
      </w:r>
      <w:r>
        <w:rPr>
          <w:rStyle w:val="Znakapoznpodarou"/>
        </w:rPr>
        <w:footnoteReference w:id="56"/>
      </w:r>
      <w:r w:rsidR="00877253">
        <w:t xml:space="preserve"> Toto zavrženíhodné jednání se může stát jak za života zůstavitele, tak po jeho smrti.</w:t>
      </w:r>
      <w:r w:rsidR="00877253">
        <w:rPr>
          <w:rStyle w:val="Znakapoznpodarou"/>
        </w:rPr>
        <w:footnoteReference w:id="57"/>
      </w:r>
    </w:p>
    <w:p w:rsidR="00E444FE" w:rsidRDefault="00877253" w:rsidP="00E0569D">
      <w:pPr>
        <w:spacing w:line="360" w:lineRule="auto"/>
        <w:ind w:firstLine="708"/>
        <w:jc w:val="both"/>
      </w:pPr>
      <w:r>
        <w:t>Zůstaviteli je zachována možnost tyto skutky dědici či odkazovníku za jeho života odpustit, ale nově se upřesňuje, že se tak m</w:t>
      </w:r>
      <w:r w:rsidR="00786380">
        <w:t>usí stát výslovným projevem vůle</w:t>
      </w:r>
      <w:r>
        <w:t xml:space="preserve">. </w:t>
      </w:r>
      <w:r w:rsidR="00786380">
        <w:t>Zůstavitel může odpustit pouze takové jednání způsobující dědickou nezpůsobilost, o jehož existenci sám ví a</w:t>
      </w:r>
      <w:r w:rsidR="006204C8">
        <w:t> </w:t>
      </w:r>
      <w:r w:rsidR="00786380">
        <w:t>doporučuje se učinit tak v písemné formě.</w:t>
      </w:r>
      <w:r w:rsidR="00786380">
        <w:rPr>
          <w:rStyle w:val="Znakapoznpodarou"/>
        </w:rPr>
        <w:footnoteReference w:id="58"/>
      </w:r>
    </w:p>
    <w:p w:rsidR="00DB127B" w:rsidRDefault="006A177C" w:rsidP="00DC722B">
      <w:pPr>
        <w:pStyle w:val="Nadpis2"/>
      </w:pPr>
      <w:bookmarkStart w:id="10" w:name="_Toc415452764"/>
      <w:r>
        <w:t>4.3</w:t>
      </w:r>
      <w:r>
        <w:tab/>
      </w:r>
      <w:r w:rsidR="00DB127B">
        <w:t>Nepominutelný dědic</w:t>
      </w:r>
      <w:bookmarkEnd w:id="10"/>
    </w:p>
    <w:p w:rsidR="00DB127B" w:rsidRDefault="00E10E75" w:rsidP="00850B69">
      <w:pPr>
        <w:spacing w:line="360" w:lineRule="auto"/>
        <w:ind w:firstLine="708"/>
        <w:jc w:val="both"/>
      </w:pPr>
      <w:r w:rsidRPr="00D22520">
        <w:t xml:space="preserve">Úprava nepominutelného dědice </w:t>
      </w:r>
      <w:r w:rsidR="00D22520" w:rsidRPr="00D22520">
        <w:t>se</w:t>
      </w:r>
      <w:r w:rsidR="00D22520">
        <w:t xml:space="preserve"> v</w:t>
      </w:r>
      <w:r w:rsidR="00D22520" w:rsidRPr="00D22520">
        <w:t xml:space="preserve"> NOZ neliší jen </w:t>
      </w:r>
      <w:r w:rsidR="00D944CD" w:rsidRPr="00D22520">
        <w:t>terminologicky</w:t>
      </w:r>
      <w:r w:rsidR="00D22520" w:rsidRPr="00D22520">
        <w:t>, když se opouští</w:t>
      </w:r>
      <w:r w:rsidR="001F15FA">
        <w:t xml:space="preserve"> výraz neopomenutelný dědic</w:t>
      </w:r>
      <w:r w:rsidR="001F15FA">
        <w:rPr>
          <w:rStyle w:val="Znakapoznpodarou"/>
        </w:rPr>
        <w:footnoteReference w:id="59"/>
      </w:r>
      <w:r w:rsidR="001F15FA">
        <w:t xml:space="preserve"> a navrací se termínu</w:t>
      </w:r>
      <w:r w:rsidR="00D22520">
        <w:t xml:space="preserve"> užívanému za účinnosti OZO</w:t>
      </w:r>
      <w:r w:rsidR="00D22520" w:rsidRPr="00D22520">
        <w:t>, ale také konstrukcí tohoto dědického institutu</w:t>
      </w:r>
      <w:r w:rsidR="00D22520">
        <w:t xml:space="preserve"> i odlišnou výší nároků</w:t>
      </w:r>
      <w:r w:rsidR="00D22520" w:rsidRPr="00D22520">
        <w:t>.</w:t>
      </w:r>
      <w:r w:rsidR="00D22520">
        <w:t xml:space="preserve"> </w:t>
      </w:r>
    </w:p>
    <w:p w:rsidR="00D22520" w:rsidRDefault="00D22520" w:rsidP="00850B69">
      <w:pPr>
        <w:spacing w:line="360" w:lineRule="auto"/>
        <w:ind w:firstLine="708"/>
        <w:jc w:val="both"/>
      </w:pPr>
      <w:r>
        <w:t>OZ upravoval nepominute</w:t>
      </w:r>
      <w:r w:rsidR="00061A97">
        <w:t>lného dědice v § 4</w:t>
      </w:r>
      <w:r w:rsidR="00ED3DFD">
        <w:t>7</w:t>
      </w:r>
      <w:r w:rsidR="00061A97">
        <w:t>9</w:t>
      </w:r>
      <w:r w:rsidR="00ED3DFD">
        <w:t>, kde jimi byli potomci dědice. Nezletilým potomkům se muselo dostat alespoň tolik, kolik činil jejich dědický podíl ze zákona a zletilým alespoň jedna polovina tohoto zákonného podílu. V případě, že nedošlo k vydědění uvedených potomků, byla závěť v této své části stižena relativní neplatností, jestliže tomuto odporovala.</w:t>
      </w:r>
      <w:r w:rsidR="00B144A1">
        <w:t xml:space="preserve"> Nepominutelný dědic nabýval svůj povinný díl stejně jako dědic</w:t>
      </w:r>
      <w:r w:rsidR="00F6292B">
        <w:t xml:space="preserve"> a</w:t>
      </w:r>
      <w:r w:rsidR="006204C8">
        <w:t> </w:t>
      </w:r>
      <w:r w:rsidR="00F6292B">
        <w:t>také odpovídal za dluhy</w:t>
      </w:r>
      <w:r w:rsidR="00B144A1">
        <w:t>.</w:t>
      </w:r>
      <w:r w:rsidR="00B144A1">
        <w:rPr>
          <w:rStyle w:val="Znakapoznpodarou"/>
        </w:rPr>
        <w:footnoteReference w:id="60"/>
      </w:r>
    </w:p>
    <w:p w:rsidR="00D55771" w:rsidRDefault="00850B69" w:rsidP="008F60DC">
      <w:pPr>
        <w:spacing w:line="360" w:lineRule="auto"/>
        <w:ind w:firstLine="708"/>
        <w:jc w:val="both"/>
      </w:pPr>
      <w:r>
        <w:t>NOZ</w:t>
      </w:r>
      <w:r w:rsidR="001F15FA">
        <w:rPr>
          <w:rStyle w:val="Znakapoznpodarou"/>
        </w:rPr>
        <w:footnoteReference w:id="61"/>
      </w:r>
      <w:r>
        <w:t xml:space="preserve"> se k institutu nepominutelného dědice staví odlišně.</w:t>
      </w:r>
      <w:r w:rsidR="005078C6">
        <w:t xml:space="preserve"> Je třeba uvést, že i přes označení nepominutelný dědic </w:t>
      </w:r>
      <w:r w:rsidR="00D57938">
        <w:t>zákon</w:t>
      </w:r>
      <w:r w:rsidR="005078C6">
        <w:t xml:space="preserve"> na takovou osobu jako na dědice nenahlíží.</w:t>
      </w:r>
      <w:r w:rsidR="005078C6">
        <w:rPr>
          <w:rStyle w:val="Znakapoznpodarou"/>
        </w:rPr>
        <w:footnoteReference w:id="62"/>
      </w:r>
      <w:r w:rsidR="00D57938">
        <w:t xml:space="preserve"> </w:t>
      </w:r>
      <w:r w:rsidR="00D55771">
        <w:t>Okruh nepominutelných dědiců zůstává stejný, přestože jeho rozšíření bylo navrhováno.</w:t>
      </w:r>
      <w:r w:rsidR="00D04B7E">
        <w:rPr>
          <w:rStyle w:val="Znakapoznpodarou"/>
        </w:rPr>
        <w:footnoteReference w:id="63"/>
      </w:r>
      <w:r w:rsidR="00D55771">
        <w:t xml:space="preserve"> Jedná se o</w:t>
      </w:r>
      <w:r w:rsidR="006204C8">
        <w:t> </w:t>
      </w:r>
      <w:r w:rsidR="00D55771">
        <w:t xml:space="preserve">děti zůstavitele a pokud ty nedědí, jsou jimi zůstavitelovi potomci. I nadále se rozlišuje mezi zletilým a nezletilým potomkem. Výše povinného dílu pro nezletilého byla snížena na tři čtvrtiny zákonného podílu a v případě zletilého se jedná pouze o jednu čtvrtinu zákonného podílu. </w:t>
      </w:r>
    </w:p>
    <w:p w:rsidR="00850B69" w:rsidRDefault="00D57938" w:rsidP="008F60DC">
      <w:pPr>
        <w:spacing w:line="360" w:lineRule="auto"/>
        <w:ind w:firstLine="708"/>
        <w:jc w:val="both"/>
      </w:pPr>
      <w:r>
        <w:lastRenderedPageBreak/>
        <w:t>Nepominutelnému dědici náleží z pozůstalosti povinný díl. Jestliže by na něj</w:t>
      </w:r>
      <w:r w:rsidR="009F367D">
        <w:t xml:space="preserve"> např.</w:t>
      </w:r>
      <w:r>
        <w:t xml:space="preserve"> v závěti nebylo pamatováno</w:t>
      </w:r>
      <w:r w:rsidR="009F367D">
        <w:t>,</w:t>
      </w:r>
      <w:r>
        <w:t xml:space="preserve"> závěť se </w:t>
      </w:r>
      <w:r w:rsidR="009F367D">
        <w:t xml:space="preserve">sice </w:t>
      </w:r>
      <w:r>
        <w:t xml:space="preserve">nestane </w:t>
      </w:r>
      <w:r w:rsidR="009F367D">
        <w:t>v této části neplatnou a závětním dědicům připadne pozůstalost tak, jak určil zůstavitel, ale v takovém případě bude mít nepominutelný dědic právo</w:t>
      </w:r>
      <w:r w:rsidR="0034473F">
        <w:t xml:space="preserve"> (pohledávku)</w:t>
      </w:r>
      <w:r w:rsidR="009F367D">
        <w:t xml:space="preserve"> na vyplacení povinného dílu vůči závětním dědicům.</w:t>
      </w:r>
      <w:r w:rsidR="003B6ABA">
        <w:rPr>
          <w:rStyle w:val="Znakapoznpodarou"/>
        </w:rPr>
        <w:footnoteReference w:id="64"/>
      </w:r>
      <w:r w:rsidR="0034473F">
        <w:t xml:space="preserve"> Nepominutel</w:t>
      </w:r>
      <w:r w:rsidR="001D76FE">
        <w:t>n</w:t>
      </w:r>
      <w:r w:rsidR="0034473F">
        <w:t>ý dědic se s dědici může dohodnout i na jiném způsobu vypořádání svého povinného dílu. Pokud bylo právo uplatněno, nepominutelný dědic neodpovídá za dluhy pozůstalosti, avšak je</w:t>
      </w:r>
      <w:r w:rsidR="00B70EA4">
        <w:t>ho</w:t>
      </w:r>
      <w:r w:rsidR="0034473F">
        <w:t xml:space="preserve"> povinný díl se vypočítává z čisté hodnoty pozůstalosti, tedy po odečtení</w:t>
      </w:r>
      <w:r w:rsidR="00B70EA4">
        <w:t xml:space="preserve"> zůstavitelových</w:t>
      </w:r>
      <w:r w:rsidR="0034473F">
        <w:t xml:space="preserve"> dluhů od</w:t>
      </w:r>
      <w:r w:rsidR="00B70EA4">
        <w:t xml:space="preserve"> jeho</w:t>
      </w:r>
      <w:r w:rsidR="0034473F">
        <w:t xml:space="preserve"> majetku.</w:t>
      </w:r>
      <w:r w:rsidR="0034473F">
        <w:rPr>
          <w:rStyle w:val="Znakapoznpodarou"/>
        </w:rPr>
        <w:footnoteReference w:id="65"/>
      </w:r>
      <w:r w:rsidR="0063134B">
        <w:t xml:space="preserve"> Na povinný díl se započte vše, co nepominutelný dědic získal z pozůstalosti odkazem nebo jiným zůstavitelovým opatřením a</w:t>
      </w:r>
      <w:r w:rsidR="008F60DC">
        <w:t> </w:t>
      </w:r>
      <w:r w:rsidR="0063134B">
        <w:t>také to</w:t>
      </w:r>
      <w:r w:rsidR="008F60DC">
        <w:t>,</w:t>
      </w:r>
      <w:r w:rsidR="0063134B">
        <w:t xml:space="preserve"> co nepominutelný dědic od zůstavitele v posledních třech letech</w:t>
      </w:r>
      <w:r w:rsidR="0063134B">
        <w:rPr>
          <w:rStyle w:val="Znakapoznpodarou"/>
        </w:rPr>
        <w:footnoteReference w:id="66"/>
      </w:r>
      <w:r w:rsidR="0063134B">
        <w:t xml:space="preserve"> bezplatně obdržel. Potomku se započte i to</w:t>
      </w:r>
      <w:r w:rsidR="001D76FE">
        <w:t>,</w:t>
      </w:r>
      <w:r w:rsidR="0063134B">
        <w:t xml:space="preserve"> co bezplatně obdržel jeho předek.</w:t>
      </w:r>
      <w:r w:rsidR="007E567D">
        <w:t xml:space="preserve"> Dále se potomku započte to, co mu zůstavitel dal za svého života na úlevu v nákladech spojených se založením samostatné domácnosti, založením manželství či obdobného soužití nebo s nástupem povolání či se započetím podnikání a také to</w:t>
      </w:r>
      <w:r w:rsidR="001D76FE">
        <w:t>,</w:t>
      </w:r>
      <w:r w:rsidR="007E567D">
        <w:t xml:space="preserve"> co zůstavitel použil na úhradu dluhů zletilého potomka. </w:t>
      </w:r>
      <w:r w:rsidR="001D76FE">
        <w:t xml:space="preserve">Výčet z předešlé věty </w:t>
      </w:r>
      <w:r w:rsidR="007E567D">
        <w:t>se započte i za období předcházející třem letům před zůstavitelovou smrtí, ledaže by zůstavitel projevil opačnou vůli.</w:t>
      </w:r>
    </w:p>
    <w:p w:rsidR="00D04B7E" w:rsidRPr="00D22520" w:rsidRDefault="00D04B7E" w:rsidP="00D04B7E">
      <w:pPr>
        <w:spacing w:line="360" w:lineRule="auto"/>
        <w:jc w:val="both"/>
      </w:pPr>
    </w:p>
    <w:p w:rsidR="001D76FE" w:rsidRDefault="006A177C" w:rsidP="00DC722B">
      <w:pPr>
        <w:pStyle w:val="Nadpis3"/>
      </w:pPr>
      <w:bookmarkStart w:id="11" w:name="_Toc415452765"/>
      <w:r>
        <w:t>4.3.1</w:t>
      </w:r>
      <w:r>
        <w:tab/>
      </w:r>
      <w:r w:rsidR="00DB127B">
        <w:t>Vydědění</w:t>
      </w:r>
      <w:bookmarkEnd w:id="11"/>
    </w:p>
    <w:p w:rsidR="00AE162C" w:rsidRDefault="00244DB1" w:rsidP="00DB127B">
      <w:pPr>
        <w:spacing w:line="360" w:lineRule="auto"/>
        <w:jc w:val="both"/>
      </w:pPr>
      <w:r>
        <w:tab/>
        <w:t>Institut vydědění v NOZ vychází z úpravy obsažené v O</w:t>
      </w:r>
      <w:r w:rsidR="001830F1">
        <w:t>Z</w:t>
      </w:r>
      <w:r w:rsidR="00543B68">
        <w:rPr>
          <w:rStyle w:val="Znakapoznpodarou"/>
        </w:rPr>
        <w:footnoteReference w:id="67"/>
      </w:r>
      <w:r w:rsidR="001830F1">
        <w:t>, pokud jde o důvody vydědění či formu</w:t>
      </w:r>
      <w:r w:rsidR="00044386">
        <w:rPr>
          <w:rStyle w:val="Znakapoznpodarou"/>
        </w:rPr>
        <w:footnoteReference w:id="68"/>
      </w:r>
      <w:r>
        <w:t xml:space="preserve">. Zůstavitel má možnost svým projevem vůle </w:t>
      </w:r>
      <w:r w:rsidR="001830F1">
        <w:t>(prohlášení o vydědění)</w:t>
      </w:r>
      <w:r>
        <w:t xml:space="preserve"> nepominutelného dědice z taxativně stanovených důvodů obsažených § 1646 NOZ</w:t>
      </w:r>
      <w:r w:rsidR="001830F1">
        <w:t xml:space="preserve"> vydědit z jeho práva na povinný díl nebo ho v tomto právu zkrátit</w:t>
      </w:r>
      <w:r>
        <w:t>.</w:t>
      </w:r>
    </w:p>
    <w:p w:rsidR="00244DB1" w:rsidRDefault="001830F1" w:rsidP="00DB127B">
      <w:pPr>
        <w:spacing w:line="360" w:lineRule="auto"/>
        <w:jc w:val="both"/>
      </w:pPr>
      <w:r>
        <w:tab/>
        <w:t xml:space="preserve">Zůstavitel smí vydědit nepominutelného dědice proto, že mu neposkytl potřebnou pomoc, neprojevuje o zůstavitele opravdový zájem, jaký by projevovat měl, byl odsouzen pro úmyslný trestný čin za okolností svědčících o jeho zvrhlé povaze nebo vede trvale nezřízený život. </w:t>
      </w:r>
      <w:r w:rsidR="00543B68">
        <w:t>Změny oproti úpravě obsažené v</w:t>
      </w:r>
      <w:r w:rsidR="00402613">
        <w:t> </w:t>
      </w:r>
      <w:r w:rsidR="00543B68">
        <w:t>OZ</w:t>
      </w:r>
      <w:r w:rsidR="00402613">
        <w:t xml:space="preserve">, pokud jde o důvody, se týkají zejména třetího důvodu. OZ umožňoval zůstaviteli svého potomka vydědit, jestliže byl odsouzen pro úmyslný trestný čin k trestu odnětí svobody v trvání alespoň jednoho roku. Takto nastavený důvod </w:t>
      </w:r>
      <w:r w:rsidR="00402613">
        <w:lastRenderedPageBreak/>
        <w:t>vydědění však umožňoval zůstaviteli svého potomka vydědit i pro trestný čin, který měl pro rodinné vazby minimální důležitost a zůstavitelova motivace pro tento projev vůle spočívala na jiném, pro zákon bezvýznamném důvodu. Zvolena proto byla úprava</w:t>
      </w:r>
      <w:r w:rsidR="00AF2A73">
        <w:t xml:space="preserve"> obecnější</w:t>
      </w:r>
      <w:r w:rsidR="00402613">
        <w:t>, která zohledňuje</w:t>
      </w:r>
      <w:r w:rsidR="00AF2A73">
        <w:t xml:space="preserve"> případné dopady činu zejména na rodinné poměry a čest. Zvrhlá povaha se bude hodnotit nejen podle obecné morálky, ale také vzhledem</w:t>
      </w:r>
      <w:r w:rsidR="00DC128F">
        <w:t xml:space="preserve"> k</w:t>
      </w:r>
      <w:r w:rsidR="00C745C3">
        <w:t> </w:t>
      </w:r>
      <w:r w:rsidR="00AF2A73">
        <w:t>tomu</w:t>
      </w:r>
      <w:r w:rsidR="00C745C3">
        <w:t>,</w:t>
      </w:r>
      <w:r w:rsidR="00AF2A73">
        <w:t xml:space="preserve"> jakým způsobem se čin dotýká cti zůstavitele a jeho rodiny a proto např. nebude možné, aby zůstavitel, který byl několikrát odsouzen pro trestný čin krádeže vydědil svého potomka rovněž pro krádež.</w:t>
      </w:r>
      <w:r w:rsidR="00AF2A73">
        <w:rPr>
          <w:rStyle w:val="Znakapoznpodarou"/>
        </w:rPr>
        <w:footnoteReference w:id="69"/>
      </w:r>
    </w:p>
    <w:p w:rsidR="00AF2A73" w:rsidRDefault="00AF2A73" w:rsidP="00DB127B">
      <w:pPr>
        <w:spacing w:line="360" w:lineRule="auto"/>
        <w:jc w:val="both"/>
      </w:pPr>
      <w:r>
        <w:tab/>
        <w:t xml:space="preserve">U ostatních důvodů nedošlo </w:t>
      </w:r>
      <w:r w:rsidR="000D7715">
        <w:t>k větším či závažnějším změnám a tak jejich interpreta</w:t>
      </w:r>
      <w:r w:rsidR="00C745C3">
        <w:t>ce bude velmi podobná jako</w:t>
      </w:r>
      <w:r w:rsidR="000D7715">
        <w:t xml:space="preserve"> za účinnosti OZ. Např. pokud jde o důvod neprojevování opr</w:t>
      </w:r>
      <w:r w:rsidR="00C745C3">
        <w:t>avdového zájmu o zůstavitele,</w:t>
      </w:r>
      <w:r w:rsidR="000D7715">
        <w:t xml:space="preserve"> bude </w:t>
      </w:r>
      <w:r w:rsidR="00C745C3">
        <w:t xml:space="preserve">se </w:t>
      </w:r>
      <w:r w:rsidR="000D7715">
        <w:t>vydědění hodnotit jako neplatné</w:t>
      </w:r>
      <w:r w:rsidR="00C745C3">
        <w:t>,</w:t>
      </w:r>
      <w:r w:rsidR="000D7715">
        <w:t xml:space="preserve"> pokud zůstavitel sám neměl snahu se s potomkem stýkat a udržovat s ním příbuzenské vztahy.</w:t>
      </w:r>
      <w:r w:rsidR="000D7715">
        <w:rPr>
          <w:rStyle w:val="Znakapoznpodarou"/>
        </w:rPr>
        <w:footnoteReference w:id="70"/>
      </w:r>
      <w:r w:rsidR="004E424E">
        <w:t xml:space="preserve"> </w:t>
      </w:r>
      <w:r w:rsidR="00D0201F">
        <w:t>Bude třeba také posoudit jednání potomka nejen podle obecného pojetí dobrých mravů, ale také zohlednit velikost, zvyklosti, sociální postavení a náboženské založení rodiny zůstavitele a samotný zájem zůstavitele na udržování rodinných vztahů s potomkem apod.</w:t>
      </w:r>
      <w:r w:rsidR="00D0201F">
        <w:rPr>
          <w:rStyle w:val="Znakapoznpodarou"/>
        </w:rPr>
        <w:footnoteReference w:id="71"/>
      </w:r>
      <w:r w:rsidR="00D0201F">
        <w:t xml:space="preserve"> </w:t>
      </w:r>
      <w:r w:rsidR="004E424E">
        <w:t>Dále např. hodnocení ved</w:t>
      </w:r>
      <w:r w:rsidR="00C745C3">
        <w:t>ení nezřízeného života, za něž</w:t>
      </w:r>
      <w:r w:rsidR="004E424E">
        <w:t xml:space="preserve"> lze označit takové chování, které evidentně vybočuje z obecné představy o chování, kter</w:t>
      </w:r>
      <w:r w:rsidR="00C745C3">
        <w:t>é respektuje dobré mravy a</w:t>
      </w:r>
      <w:r w:rsidR="004E424E">
        <w:t xml:space="preserve"> není pouze ojedinělé.</w:t>
      </w:r>
      <w:r w:rsidR="004E424E">
        <w:rPr>
          <w:rStyle w:val="Znakapoznpodarou"/>
        </w:rPr>
        <w:footnoteReference w:id="72"/>
      </w:r>
      <w:r w:rsidR="001D1120">
        <w:t xml:space="preserve"> V případě důvodu dle </w:t>
      </w:r>
      <w:r w:rsidR="00941D89">
        <w:t xml:space="preserve">§ </w:t>
      </w:r>
      <w:r w:rsidR="001D1120">
        <w:t xml:space="preserve">1646 odst. 1 písm. a) je třeba považovat za nouzi nikoli jen finanční, ale také </w:t>
      </w:r>
      <w:r w:rsidR="00C745C3">
        <w:t xml:space="preserve">situaci, kdy </w:t>
      </w:r>
      <w:r w:rsidR="001D1120">
        <w:t>potomek úmyslně nesplní vyživovací povinnost, ačkoli tak učinit mohl a</w:t>
      </w:r>
      <w:r w:rsidR="008F60DC">
        <w:t> </w:t>
      </w:r>
      <w:r w:rsidR="001D1120">
        <w:t>lze to po něm spravedlivě požadovat.</w:t>
      </w:r>
      <w:r w:rsidR="001D1120">
        <w:rPr>
          <w:rStyle w:val="Znakapoznpodarou"/>
        </w:rPr>
        <w:footnoteReference w:id="73"/>
      </w:r>
    </w:p>
    <w:p w:rsidR="00267122" w:rsidRDefault="00C745C3" w:rsidP="00DB127B">
      <w:pPr>
        <w:spacing w:line="360" w:lineRule="auto"/>
        <w:jc w:val="both"/>
      </w:pPr>
      <w:r>
        <w:tab/>
        <w:t>Novou možností pro zůstavitele</w:t>
      </w:r>
      <w:r w:rsidR="00267122">
        <w:t xml:space="preserve"> je § 1647 NOZ. Tento umožňuje zůstaviteli vydědit potomka, jestliže je tak zadlužen nebo si počíná tak marnotratně, že je tu obava, že se </w:t>
      </w:r>
      <w:r w:rsidR="00624DD0">
        <w:t>pro jeho potomky nezachová povinný díl. Je však třeba, aby zůstavitel jeho potomkům</w:t>
      </w:r>
      <w:r w:rsidR="00624DD0">
        <w:rPr>
          <w:rStyle w:val="Znakapoznpodarou"/>
        </w:rPr>
        <w:footnoteReference w:id="74"/>
      </w:r>
      <w:r w:rsidR="00624DD0">
        <w:t xml:space="preserve"> zůstavil po</w:t>
      </w:r>
      <w:r w:rsidR="00384BD5">
        <w:t>vinný díl. Pokud</w:t>
      </w:r>
      <w:r>
        <w:t xml:space="preserve"> tak neučiní</w:t>
      </w:r>
      <w:r w:rsidR="00624DD0">
        <w:t xml:space="preserve"> neb</w:t>
      </w:r>
      <w:r>
        <w:t>o pokud nepominutelný dědic nemá</w:t>
      </w:r>
      <w:r w:rsidR="00624DD0">
        <w:t xml:space="preserve"> potomky, je toto vydědění neplatné a nepominutelnému dědici bude dle § 1650 náležet povinný díl. Zadlužení</w:t>
      </w:r>
      <w:r w:rsidR="00395FFB">
        <w:t>,</w:t>
      </w:r>
      <w:r w:rsidR="00624DD0">
        <w:t xml:space="preserve"> resp. marnotratnost bude třeba vždy hodnotit v každém jednotlivém případě podle individuálních okolností.</w:t>
      </w:r>
      <w:r w:rsidR="00624DD0">
        <w:rPr>
          <w:rStyle w:val="Znakapoznpodarou"/>
        </w:rPr>
        <w:footnoteReference w:id="75"/>
      </w:r>
      <w:r w:rsidR="00CC5AB1">
        <w:t xml:space="preserve"> Ustanovení § 1646 odst. 2 také explicitně stanovuje zůstavitelovu </w:t>
      </w:r>
      <w:r w:rsidR="00CC5AB1">
        <w:lastRenderedPageBreak/>
        <w:t>možnost vydědit nepominutelného dědice, který je nezpůsobilý dědit, a proto je z dědického práva vyloučen.</w:t>
      </w:r>
    </w:p>
    <w:p w:rsidR="00151584" w:rsidRDefault="00006DDB" w:rsidP="00DB127B">
      <w:pPr>
        <w:spacing w:line="360" w:lineRule="auto"/>
        <w:jc w:val="both"/>
      </w:pPr>
      <w:r>
        <w:tab/>
        <w:t>Výraznější změnou</w:t>
      </w:r>
      <w:r w:rsidR="002A4766">
        <w:t xml:space="preserve"> oproti OZ je fakt, že důvod vydědění nemusí být v prohlášení uveden a přesto se bude jednat o platné vydědění. K tomu nutno dodat, že je třeba, aby byl prokázán zákonný důvod vydědění, jinak právo na povinný díl nepominutelnému dědici náleží. Jestliže zůstavitel pořídí o veškerém svém majetku a nepominutelnému dědici nezanechá tolik, kolik činí jeho povinný díl, považuje se to za v</w:t>
      </w:r>
      <w:r w:rsidR="0064603A">
        <w:t>y</w:t>
      </w:r>
      <w:r w:rsidR="002A4766">
        <w:t>dědění učiněné mlčky</w:t>
      </w:r>
      <w:r w:rsidR="00151584">
        <w:t xml:space="preserve"> a po právu</w:t>
      </w:r>
      <w:r w:rsidR="0064603A">
        <w:t>, jestliže</w:t>
      </w:r>
      <w:r w:rsidR="00151584">
        <w:t xml:space="preserve"> nepominutelný dědic udělal něco, co naplňuje zákonné důvody vydědění. Pokud by však nepominutelný dědic byl schopen prokázat, že o něm zůstavitel nevěděl a jen z toho důvodu jej opominul, má takový nepominutelný dědic právo na povinný díl.</w:t>
      </w:r>
    </w:p>
    <w:p w:rsidR="00006DDB" w:rsidRDefault="00151584" w:rsidP="00DB127B">
      <w:pPr>
        <w:spacing w:line="360" w:lineRule="auto"/>
        <w:jc w:val="both"/>
      </w:pPr>
      <w:r>
        <w:tab/>
        <w:t>Důvod vydědění t</w:t>
      </w:r>
      <w:r w:rsidR="00EE415F">
        <w:t>u nově nemusí být už v době pořízení projevu vůle o vydědění, ale postačí, pokud tu bude v době smrti zůstavitele. Tímto je zůstaviteli umožněno vydědit svého potomka podmíněně, když vidí, že jeho chování nasvědčuje tomu, že důvod pro vydědění může v budoucnu nastat, přestože tu v době projevu vůle o vydědění ještě není.</w:t>
      </w:r>
      <w:r w:rsidR="00EE415F">
        <w:rPr>
          <w:rStyle w:val="Znakapoznpodarou"/>
        </w:rPr>
        <w:footnoteReference w:id="76"/>
      </w:r>
    </w:p>
    <w:p w:rsidR="00DD111B" w:rsidRDefault="00DD111B" w:rsidP="00DB127B">
      <w:pPr>
        <w:spacing w:line="360" w:lineRule="auto"/>
        <w:jc w:val="both"/>
      </w:pPr>
      <w:r>
        <w:tab/>
        <w:t>Ustanovení § 1646 odst. 3 se věnuje vydědění v</w:t>
      </w:r>
      <w:r w:rsidR="0009439C">
        <w:t> </w:t>
      </w:r>
      <w:r>
        <w:t>souvislosti</w:t>
      </w:r>
      <w:r w:rsidR="0009439C">
        <w:t xml:space="preserve"> </w:t>
      </w:r>
      <w:r>
        <w:t>s potomky nepominutelného dědice. Prohlášení o vydědění se vztahuje automaticky i na ně, ledaže zůstavitel projeví opačnou vůli. Jestliže se vyděděný nepominutelný dědic</w:t>
      </w:r>
      <w:r w:rsidR="0009439C">
        <w:t xml:space="preserve"> dožije smrti zůstavitele, nebudou kromě něj dědit ani jeho potomci, ledaže by zůstavitel určil jinak. Pokud se ale vyděděný n</w:t>
      </w:r>
      <w:r w:rsidR="00836A6B">
        <w:t>epominutelný dědic zůstavitelovy</w:t>
      </w:r>
      <w:r w:rsidR="0009439C">
        <w:t xml:space="preserve"> smrti nedožije, jeho potomci budou po zůstaviteli dědit, vyjma případu, kdy zůstavitel vyloučí z dědického práva i je. Takové vydě</w:t>
      </w:r>
      <w:r w:rsidR="00836A6B">
        <w:t>dě</w:t>
      </w:r>
      <w:r w:rsidR="0009439C">
        <w:t>ní potomků může být však velmi obtížné či dokonce nemožné</w:t>
      </w:r>
      <w:r w:rsidR="00836A6B">
        <w:t>,</w:t>
      </w:r>
      <w:r w:rsidR="0009439C">
        <w:t xml:space="preserve"> pokud se bude jednat o</w:t>
      </w:r>
      <w:r w:rsidR="00C96965">
        <w:t> </w:t>
      </w:r>
      <w:r w:rsidR="0009439C">
        <w:t>potomky velmi nízkého věku.</w:t>
      </w:r>
      <w:r w:rsidR="0009439C">
        <w:rPr>
          <w:rStyle w:val="Znakapoznpodarou"/>
        </w:rPr>
        <w:footnoteReference w:id="77"/>
      </w:r>
    </w:p>
    <w:p w:rsidR="00543B68" w:rsidRDefault="00044386" w:rsidP="00DB127B">
      <w:pPr>
        <w:spacing w:line="360" w:lineRule="auto"/>
        <w:jc w:val="both"/>
      </w:pPr>
      <w:r>
        <w:tab/>
        <w:t xml:space="preserve">Vydědit může zůstavitel pouze nepominutelného dědice, avšak stejným způsobem může zůstavitel prohlásit o jiné osobě, které svědčí zákonná dědická posloupnost, že pozůstalosti nenabude. </w:t>
      </w:r>
      <w:r w:rsidR="00DD111B">
        <w:t xml:space="preserve">Toto prohlášení zůstavitel nemusí opírat o žádný důvod. </w:t>
      </w:r>
      <w:r>
        <w:t>Ustanovením § 1649 odst. 2 se NOZ vrací k tzv. negativní závěti, která nebyla za účinnosti OZ přípustná, i</w:t>
      </w:r>
      <w:r w:rsidR="00C96965">
        <w:t> </w:t>
      </w:r>
      <w:r>
        <w:t>když existovaly i v odborné veřejnosti</w:t>
      </w:r>
      <w:r w:rsidR="00C87763">
        <w:rPr>
          <w:rStyle w:val="Znakapoznpodarou"/>
        </w:rPr>
        <w:footnoteReference w:id="78"/>
      </w:r>
      <w:r>
        <w:t xml:space="preserve"> názory, že tak</w:t>
      </w:r>
      <w:r w:rsidR="00C87763">
        <w:t>to učiněný</w:t>
      </w:r>
      <w:r>
        <w:t xml:space="preserve"> projev vůle je platný.</w:t>
      </w:r>
      <w:r w:rsidR="00DD111B">
        <w:t xml:space="preserve"> </w:t>
      </w:r>
      <w:r w:rsidR="00DD111B">
        <w:lastRenderedPageBreak/>
        <w:t>Výslovné ustanovení lze uvítat s ohledem na zůstavitelovu vůli, která by měla být co nejvíce respektována.</w:t>
      </w:r>
      <w:r w:rsidR="00543B68">
        <w:tab/>
      </w:r>
    </w:p>
    <w:p w:rsidR="00A1277B" w:rsidRDefault="006A177C" w:rsidP="00DC722B">
      <w:pPr>
        <w:pStyle w:val="Nadpis2"/>
      </w:pPr>
      <w:bookmarkStart w:id="12" w:name="_Toc415452766"/>
      <w:r>
        <w:t>4.4</w:t>
      </w:r>
      <w:r>
        <w:tab/>
      </w:r>
      <w:r w:rsidR="00A1277B">
        <w:t>Vedlejší doložky závěti</w:t>
      </w:r>
      <w:bookmarkEnd w:id="12"/>
    </w:p>
    <w:p w:rsidR="008B44B3" w:rsidRDefault="00F215CF" w:rsidP="00F215CF">
      <w:pPr>
        <w:spacing w:line="360" w:lineRule="auto"/>
        <w:ind w:firstLine="708"/>
        <w:jc w:val="both"/>
      </w:pPr>
      <w:r>
        <w:t>Dle OZ neměly podmínky</w:t>
      </w:r>
      <w:r w:rsidR="00073D04">
        <w:rPr>
          <w:rStyle w:val="Znakapoznpodarou"/>
        </w:rPr>
        <w:footnoteReference w:id="79"/>
      </w:r>
      <w:r>
        <w:t xml:space="preserve"> připojené k závěti </w:t>
      </w:r>
      <w:r w:rsidR="00BF00C5">
        <w:t>až na výjimky</w:t>
      </w:r>
      <w:r w:rsidR="00BF00C5">
        <w:rPr>
          <w:rStyle w:val="Znakapoznpodarou"/>
        </w:rPr>
        <w:footnoteReference w:id="80"/>
      </w:r>
      <w:r w:rsidR="00BF00C5">
        <w:t xml:space="preserve"> </w:t>
      </w:r>
      <w:r>
        <w:t>právní účinky</w:t>
      </w:r>
      <w:r w:rsidR="00BF00C5">
        <w:t>.</w:t>
      </w:r>
      <w:r w:rsidR="0051527F">
        <w:t xml:space="preserve"> </w:t>
      </w:r>
      <w:r w:rsidR="007329B9">
        <w:t xml:space="preserve">Vzhledem </w:t>
      </w:r>
      <w:r w:rsidR="005B77C7">
        <w:t xml:space="preserve">k </w:t>
      </w:r>
      <w:r w:rsidR="008F41F6">
        <w:t xml:space="preserve">posílení zůstavitelovy autonomie vůle </w:t>
      </w:r>
      <w:r w:rsidR="007329B9">
        <w:t>NOZ úpravu vedlejších doložek řeší zcela odlišně</w:t>
      </w:r>
      <w:r w:rsidR="008F41F6">
        <w:t xml:space="preserve"> a obsahuje samostatný pododdíl věnující se vedlejším doložkám. Ten rozeznává </w:t>
      </w:r>
      <w:r w:rsidR="00836A6B">
        <w:t xml:space="preserve">kromě </w:t>
      </w:r>
      <w:r w:rsidR="008F41F6">
        <w:t>ustanovení o vykonavateli závěti</w:t>
      </w:r>
      <w:r w:rsidR="00A1292A">
        <w:t xml:space="preserve"> a</w:t>
      </w:r>
      <w:r w:rsidR="008F41F6">
        <w:t xml:space="preserve"> správci pozůstalosti a </w:t>
      </w:r>
      <w:r w:rsidR="00836A6B">
        <w:t>také</w:t>
      </w:r>
      <w:r w:rsidR="008F41F6">
        <w:t xml:space="preserve"> úpravu podmínek, doložení času</w:t>
      </w:r>
      <w:r w:rsidR="005B77C7">
        <w:t xml:space="preserve"> a příkazu, kterým se</w:t>
      </w:r>
      <w:r w:rsidR="00384BD5">
        <w:t xml:space="preserve"> věnují</w:t>
      </w:r>
      <w:r w:rsidR="00836A6B">
        <w:t xml:space="preserve"> v</w:t>
      </w:r>
      <w:r w:rsidR="008F41F6">
        <w:t xml:space="preserve"> následující</w:t>
      </w:r>
      <w:r w:rsidR="00384BD5">
        <w:t xml:space="preserve"> podkapitoly</w:t>
      </w:r>
      <w:r w:rsidR="008F41F6">
        <w:t>.</w:t>
      </w:r>
    </w:p>
    <w:p w:rsidR="00E90F00" w:rsidRDefault="00E90F00" w:rsidP="00F215CF">
      <w:pPr>
        <w:spacing w:line="360" w:lineRule="auto"/>
        <w:ind w:firstLine="708"/>
        <w:jc w:val="both"/>
      </w:pPr>
      <w:r>
        <w:t>Pro vedlejší doložky je společné, že pokud směřují pouze k obtěžování dědice či odkazovníka nebo pokud jsou zjevně nesrozumitelné či odporují veřejnému pořádku, nepřihlíží se k nim. Stejně se nepřihlíží k doložce, kterou zůstavitel ukládá dědici či odkazovníku, aby uzavřel manželství</w:t>
      </w:r>
      <w:r w:rsidR="00BE49B2">
        <w:rPr>
          <w:rStyle w:val="Znakapoznpodarou"/>
        </w:rPr>
        <w:footnoteReference w:id="81"/>
      </w:r>
      <w:r>
        <w:t xml:space="preserve"> nebo v něm setrval, anebo aby manželství zrušil. Zůstavitel má však možnost zřídit někomu právo na dobu, než uzavře manželství.</w:t>
      </w:r>
      <w:r w:rsidR="003D4430">
        <w:t xml:space="preserve"> Jestliže by tedy zůstavitel dal např. dědici příkaz vstoupit do politické strany, opustit zaměstnání či zanechat studia</w:t>
      </w:r>
      <w:r w:rsidR="00836A6B">
        <w:t>,</w:t>
      </w:r>
      <w:r w:rsidR="003D4430">
        <w:t xml:space="preserve"> nebude se k takovým vedlejším doložkám přihlížet.</w:t>
      </w:r>
      <w:r w:rsidR="003D4430">
        <w:rPr>
          <w:rStyle w:val="Znakapoznpodarou"/>
        </w:rPr>
        <w:footnoteReference w:id="82"/>
      </w:r>
    </w:p>
    <w:p w:rsidR="008B44B3" w:rsidRDefault="006A177C" w:rsidP="00DC722B">
      <w:pPr>
        <w:pStyle w:val="Nadpis3"/>
      </w:pPr>
      <w:bookmarkStart w:id="13" w:name="_Toc415452767"/>
      <w:r>
        <w:t>4.4.1</w:t>
      </w:r>
      <w:r>
        <w:tab/>
      </w:r>
      <w:r w:rsidR="008B44B3">
        <w:t>Podmínky</w:t>
      </w:r>
      <w:bookmarkEnd w:id="13"/>
    </w:p>
    <w:p w:rsidR="00E90F00" w:rsidRDefault="00F8274F" w:rsidP="008B44B3">
      <w:pPr>
        <w:spacing w:line="360" w:lineRule="auto"/>
        <w:jc w:val="both"/>
      </w:pPr>
      <w:r>
        <w:tab/>
        <w:t xml:space="preserve">O podmínkách pojednává NOZ obecně </w:t>
      </w:r>
      <w:r w:rsidR="003B552E">
        <w:t>v § 548 a § 549, tedy ve své první části. Na splnění podmínky lze vázat vznik, změnu nebo zánik práv. Rozlišujeme dva druhy podmínek a to odkládací a rozvazovací. Odkládací podmínka je taková, na jejímž splnění závisí</w:t>
      </w:r>
      <w:r w:rsidR="002735F2">
        <w:t>,</w:t>
      </w:r>
      <w:r w:rsidR="003B552E">
        <w:t xml:space="preserve"> zda právní následky nastanou. Rozvazovací je pak taková, na jejímž splnění závisí, zda právní následky již nastalé pominou.</w:t>
      </w:r>
      <w:r w:rsidR="006C3355">
        <w:t xml:space="preserve"> Podmínka musí být budoucí a nejistá a jako její příklad lze uvést narození člověka či absolvování a řádné ukončení studia.</w:t>
      </w:r>
      <w:r w:rsidR="00CE2435">
        <w:rPr>
          <w:rStyle w:val="Znakapoznpodarou"/>
        </w:rPr>
        <w:footnoteReference w:id="83"/>
      </w:r>
    </w:p>
    <w:p w:rsidR="00CE2435" w:rsidRDefault="00CE2435" w:rsidP="008B44B3">
      <w:pPr>
        <w:spacing w:line="360" w:lineRule="auto"/>
        <w:jc w:val="both"/>
      </w:pPr>
      <w:r>
        <w:tab/>
        <w:t>Jestliže podmínka zůstavitele může být opakována, dědic či odkazovník musí podmínku po smrti zůstavitele vykonat znovu</w:t>
      </w:r>
      <w:r w:rsidR="009952E3">
        <w:t>,</w:t>
      </w:r>
      <w:r>
        <w:t xml:space="preserve"> i když již byla splněna za jeho života, ledaže by vůle zůstavitele byla zřejmě jiná. Tuto podmínku by však dědic či odkazovník splnit nemusel, pokud by směřovala pouze k jeho zřejmému obtěžování ze zjevné zůstavitelovy </w:t>
      </w:r>
      <w:r>
        <w:lastRenderedPageBreak/>
        <w:t xml:space="preserve">svévole. Příkladem by </w:t>
      </w:r>
      <w:r w:rsidR="00884471">
        <w:t>mohla být situace, kdy zůstavitel dává dědici podmínku vystudování VŠ v určitém oboru</w:t>
      </w:r>
      <w:r w:rsidR="009952E3">
        <w:t>,</w:t>
      </w:r>
      <w:r w:rsidR="00884471">
        <w:t xml:space="preserve"> i když dědic stejný obor na VŠ již vystudoval a zůstavitel o tom věděl.</w:t>
      </w:r>
    </w:p>
    <w:p w:rsidR="00B637EA" w:rsidRDefault="00B637EA" w:rsidP="008B44B3">
      <w:pPr>
        <w:spacing w:line="360" w:lineRule="auto"/>
        <w:jc w:val="both"/>
      </w:pPr>
      <w:r>
        <w:tab/>
        <w:t>Aby osoba, které bylo něco zůstaveno s </w:t>
      </w:r>
      <w:r w:rsidR="009952E3">
        <w:t>odkládací podmínkou toho</w:t>
      </w:r>
      <w:r w:rsidR="008C0601">
        <w:t>,</w:t>
      </w:r>
      <w:r w:rsidR="009952E3">
        <w:t xml:space="preserve"> nabyla,</w:t>
      </w:r>
      <w:r>
        <w:t xml:space="preserve"> je nutné, aby zůstavitele přežila a byla </w:t>
      </w:r>
      <w:r w:rsidR="00AE7CED">
        <w:t>způsobil</w:t>
      </w:r>
      <w:r w:rsidR="00EE1148">
        <w:t>á</w:t>
      </w:r>
      <w:r w:rsidR="00AE7CED">
        <w:t xml:space="preserve"> dědit. Pokud by tato osoba zemřela před zůstavitelem, dědit nebude ani ona</w:t>
      </w:r>
      <w:r w:rsidR="009952E3">
        <w:t>,</w:t>
      </w:r>
      <w:r w:rsidR="00AE7CED">
        <w:t xml:space="preserve"> ani její dědicové. Nabytí pozůstalosti je dále vázáno na splnění odkládací podmínky. Oproti OZO</w:t>
      </w:r>
      <w:r w:rsidR="00AE7CED">
        <w:rPr>
          <w:rStyle w:val="Znakapoznpodarou"/>
        </w:rPr>
        <w:footnoteReference w:id="84"/>
      </w:r>
      <w:r w:rsidR="00AE7CED">
        <w:t xml:space="preserve"> není v NOZ výslovně upravena situace, kdy dědic zůstavitele přežil a byl způsobilým dědicem, avšak zemřel dříve, než byla splněna odkládací podmínka. Lze mít za to, že dědické právo</w:t>
      </w:r>
      <w:r w:rsidR="009D7DCE">
        <w:t xml:space="preserve"> po zůstaviteli</w:t>
      </w:r>
      <w:r w:rsidR="00AE7CED">
        <w:t xml:space="preserve"> </w:t>
      </w:r>
      <w:r w:rsidR="009D7DCE">
        <w:t xml:space="preserve">v takovémto případě </w:t>
      </w:r>
      <w:r w:rsidR="00AE7CED">
        <w:t xml:space="preserve">na dědice </w:t>
      </w:r>
      <w:r w:rsidR="009D7DCE">
        <w:t>původního</w:t>
      </w:r>
      <w:r w:rsidR="00AE7CED">
        <w:t xml:space="preserve"> dědice nepřejde</w:t>
      </w:r>
      <w:r w:rsidR="009D7DCE">
        <w:t>. Zůstavitel totiž může s takovou situací počítat a má možnost pro tento případ učinit vhodná opatření.</w:t>
      </w:r>
      <w:r w:rsidR="009D7DCE">
        <w:rPr>
          <w:rStyle w:val="Znakapoznpodarou"/>
        </w:rPr>
        <w:footnoteReference w:id="85"/>
      </w:r>
    </w:p>
    <w:p w:rsidR="00B336CA" w:rsidRDefault="00C45BD1" w:rsidP="008B44B3">
      <w:pPr>
        <w:spacing w:line="360" w:lineRule="auto"/>
        <w:jc w:val="both"/>
      </w:pPr>
      <w:r>
        <w:tab/>
      </w:r>
      <w:r w:rsidR="007C7B42">
        <w:t>Ustan</w:t>
      </w:r>
      <w:r w:rsidR="00602E29">
        <w:t xml:space="preserve">ovení § 1563 upravuje důsledky nemožných </w:t>
      </w:r>
      <w:r w:rsidR="007C7B42">
        <w:t>podmínek. V prvním odstavci je řečeno, že je-li uděleno někomu právo s nemožnou rozvazovací</w:t>
      </w:r>
      <w:r w:rsidR="00602E29">
        <w:t xml:space="preserve"> podmínkou, nepřihlíží se k ní a dědické právo tedy dědici zůstane. </w:t>
      </w:r>
      <w:r w:rsidR="007C7B42">
        <w:t>Jestliže by se obsah prvního odstavce v NOZ nevyskytoval, užila by se obecná úprava z části první a takové ustanovení by bylo neplatné, což by mohlo mít negativní vliv na platnost povolání dědice, což není záměrem zákonodárce.</w:t>
      </w:r>
      <w:r w:rsidR="007C7B42">
        <w:rPr>
          <w:rStyle w:val="Znakapoznpodarou"/>
        </w:rPr>
        <w:footnoteReference w:id="86"/>
      </w:r>
      <w:r w:rsidR="00602E29">
        <w:t xml:space="preserve"> Druhý odstavec pak uvádí, že ustanovení závěti, kterým se někomu uděluje právo s nemožnou odkládací podmínkou, je neplatné a dědic nebude povolán platně. </w:t>
      </w:r>
      <w:r w:rsidR="009702BF">
        <w:t>Je nerozhodné, zda je nemožnost absolutní či relativní, objektivní či subjektivní, fyzická či právní nebo počáteční či dodatečná.</w:t>
      </w:r>
      <w:r w:rsidR="009702BF">
        <w:rPr>
          <w:rStyle w:val="Znakapoznpodarou"/>
        </w:rPr>
        <w:footnoteReference w:id="87"/>
      </w:r>
      <w:r w:rsidR="002840CC">
        <w:t xml:space="preserve"> Nárok závislý na odkládací podmínce pomíjí až v okamžiku, kdy je jisté, že se odkládací podmínka splnit nemůže.</w:t>
      </w:r>
      <w:r w:rsidR="002840CC">
        <w:rPr>
          <w:rStyle w:val="Znakapoznpodarou"/>
        </w:rPr>
        <w:footnoteReference w:id="88"/>
      </w:r>
    </w:p>
    <w:p w:rsidR="008B44B3" w:rsidRDefault="006A177C" w:rsidP="007B331A">
      <w:pPr>
        <w:pStyle w:val="Nadpis3"/>
      </w:pPr>
      <w:bookmarkStart w:id="14" w:name="_Toc415452768"/>
      <w:r>
        <w:t>4.4.2</w:t>
      </w:r>
      <w:r>
        <w:tab/>
      </w:r>
      <w:r w:rsidR="008B44B3">
        <w:t>Doložení času</w:t>
      </w:r>
      <w:bookmarkEnd w:id="14"/>
    </w:p>
    <w:p w:rsidR="002840CC" w:rsidRDefault="00E8106C" w:rsidP="00514882">
      <w:pPr>
        <w:spacing w:line="360" w:lineRule="auto"/>
        <w:jc w:val="both"/>
      </w:pPr>
      <w:r>
        <w:tab/>
        <w:t>Podstata doložení času</w:t>
      </w:r>
      <w:r w:rsidR="008654AF">
        <w:t xml:space="preserve"> v dědickém právu</w:t>
      </w:r>
      <w:r>
        <w:t xml:space="preserve"> je v zůstavitelově určení, že dědic či odkazovník má právo nabýt jen na určitou dobu</w:t>
      </w:r>
      <w:r w:rsidR="008654AF">
        <w:t>,</w:t>
      </w:r>
      <w:r>
        <w:t xml:space="preserve"> nebo</w:t>
      </w:r>
      <w:r w:rsidR="008654AF">
        <w:t xml:space="preserve"> </w:t>
      </w:r>
      <w:r w:rsidR="006A5009">
        <w:t>že</w:t>
      </w:r>
      <w:r>
        <w:t xml:space="preserve"> má nabýt pozděj</w:t>
      </w:r>
      <w:r w:rsidR="009952E3">
        <w:t>i než v den zůstavitelovy</w:t>
      </w:r>
      <w:r w:rsidR="00704C79">
        <w:t xml:space="preserve"> smrti</w:t>
      </w:r>
      <w:r>
        <w:t>.</w:t>
      </w:r>
      <w:r>
        <w:rPr>
          <w:rStyle w:val="Znakapoznpodarou"/>
        </w:rPr>
        <w:footnoteReference w:id="89"/>
      </w:r>
      <w:r w:rsidR="00704C79" w:rsidRPr="00704C79">
        <w:t xml:space="preserve"> </w:t>
      </w:r>
      <w:r w:rsidR="00704C79">
        <w:t xml:space="preserve">Rozdíl mezi podmínkou a doložením času spočívá v tom, že určení času </w:t>
      </w:r>
      <w:r w:rsidR="00704C79">
        <w:lastRenderedPageBreak/>
        <w:t>je vázáno na skutečnost, která nastat musí. Pokud by tato skutečnost byla nejistá, nejedná se o</w:t>
      </w:r>
      <w:r w:rsidR="00C96965">
        <w:t> </w:t>
      </w:r>
      <w:r w:rsidR="00704C79">
        <w:t>doložení času</w:t>
      </w:r>
      <w:r w:rsidR="009952E3">
        <w:t>,</w:t>
      </w:r>
      <w:r w:rsidR="00704C79">
        <w:t xml:space="preserve"> nýbrž o podmínku.</w:t>
      </w:r>
      <w:r w:rsidR="00704C79">
        <w:rPr>
          <w:rStyle w:val="Znakapoznpodarou"/>
        </w:rPr>
        <w:footnoteReference w:id="90"/>
      </w:r>
      <w:r w:rsidR="008B2933">
        <w:t xml:space="preserve"> </w:t>
      </w:r>
    </w:p>
    <w:p w:rsidR="00B753F9" w:rsidRDefault="00B753F9" w:rsidP="00514882">
      <w:pPr>
        <w:spacing w:line="360" w:lineRule="auto"/>
        <w:jc w:val="both"/>
      </w:pPr>
      <w:r>
        <w:tab/>
        <w:t>Jestliže je čas určen tak, že rozhodná chvíle nastat musí, přechází zůstavené právo stejně jako jiná nepodmíněná</w:t>
      </w:r>
      <w:r w:rsidR="001F14F8">
        <w:t xml:space="preserve"> práva</w:t>
      </w:r>
      <w:r>
        <w:t xml:space="preserve"> i na dědice té osoby, jíž bylo zůstaveno.</w:t>
      </w:r>
      <w:r w:rsidR="00DF62F2">
        <w:t xml:space="preserve"> V případě, že dědic či odkazovník nepřežije zůstavitele, pak na jeho dědice toto právo nepřejde. K přejití by došlo za situace, kdy dědic či odkazovník zůstavitele přežije.</w:t>
      </w:r>
      <w:r w:rsidR="00DF62F2">
        <w:rPr>
          <w:rStyle w:val="Znakapoznpodarou"/>
        </w:rPr>
        <w:footnoteReference w:id="91"/>
      </w:r>
      <w:r w:rsidR="008B2933">
        <w:t xml:space="preserve"> U doložení času nepřipadá v </w:t>
      </w:r>
      <w:r w:rsidR="00C13822">
        <w:t>úvahu opakování tohoto okamžiku,</w:t>
      </w:r>
      <w:r w:rsidR="008B2933">
        <w:t xml:space="preserve"> a jakmile tedy okamžik nastane, nastanou také právní následky s tímto spojené. Pokud by se zůstavitel tohoto okamžiku dožil, stane se dědicem přímo tzv. dědic následný</w:t>
      </w:r>
      <w:r w:rsidR="00C13822">
        <w:rPr>
          <w:rStyle w:val="Znakapoznpodarou"/>
        </w:rPr>
        <w:footnoteReference w:id="92"/>
      </w:r>
      <w:r w:rsidR="008B2933">
        <w:t xml:space="preserve"> </w:t>
      </w:r>
      <w:r w:rsidR="00273975">
        <w:t xml:space="preserve">a tzv. dědic přední </w:t>
      </w:r>
      <w:r w:rsidR="008B2933">
        <w:t>se dědicem vůbec nestane.</w:t>
      </w:r>
      <w:r w:rsidR="008B2933">
        <w:rPr>
          <w:rStyle w:val="Znakapoznpodarou"/>
        </w:rPr>
        <w:footnoteReference w:id="93"/>
      </w:r>
    </w:p>
    <w:p w:rsidR="007766C7" w:rsidRDefault="007766C7" w:rsidP="00514882">
      <w:pPr>
        <w:spacing w:line="360" w:lineRule="auto"/>
        <w:jc w:val="both"/>
      </w:pPr>
      <w:r>
        <w:tab/>
        <w:t xml:space="preserve"> </w:t>
      </w:r>
      <w:r w:rsidR="000645E1">
        <w:t>Nemožné doložení času upravuje v NOZ § 1566, ze kterého vyplývá, že je-li jisté, že doložení času v závěti nikdy nastat nemůže, posoudí se toto jako nemožná podmínka. Např. když zůstavitel podmíní vznik dědického práva dědice za 300 let. Pokud se však zůstavitel při určení času nepochybně pouze zmýlil, určí se rozhodná chvíle podle jeho pravděpodobné vůle. Např. j</w:t>
      </w:r>
      <w:r w:rsidR="006428EB">
        <w:t>estliže určil čas 31. dubna 2025</w:t>
      </w:r>
      <w:r w:rsidR="000645E1">
        <w:t xml:space="preserve"> bude rozhodná</w:t>
      </w:r>
      <w:r w:rsidR="006428EB">
        <w:t xml:space="preserve"> chvíle určena na 30. dubna 2025</w:t>
      </w:r>
      <w:r w:rsidR="000645E1">
        <w:t>.</w:t>
      </w:r>
    </w:p>
    <w:p w:rsidR="00514882" w:rsidRDefault="006A177C" w:rsidP="007B331A">
      <w:pPr>
        <w:pStyle w:val="Nadpis3"/>
      </w:pPr>
      <w:bookmarkStart w:id="15" w:name="_Toc415452769"/>
      <w:r>
        <w:t>4.4.3</w:t>
      </w:r>
      <w:r>
        <w:tab/>
      </w:r>
      <w:r w:rsidR="00514882">
        <w:t>Příkaz</w:t>
      </w:r>
      <w:bookmarkEnd w:id="15"/>
    </w:p>
    <w:p w:rsidR="006A5009" w:rsidRDefault="006A5009" w:rsidP="009B7699">
      <w:pPr>
        <w:spacing w:line="360" w:lineRule="auto"/>
        <w:ind w:firstLine="708"/>
        <w:jc w:val="both"/>
      </w:pPr>
      <w:r>
        <w:t xml:space="preserve">Poslední z vedlejších doložek je příkaz, který NOZ upravuje v § </w:t>
      </w:r>
      <w:r w:rsidR="009B7699">
        <w:t>1569</w:t>
      </w:r>
      <w:r w:rsidR="00C96965">
        <w:t xml:space="preserve"> </w:t>
      </w:r>
      <w:r w:rsidR="009B7699">
        <w:t>-</w:t>
      </w:r>
      <w:r w:rsidR="00C96965">
        <w:t xml:space="preserve"> </w:t>
      </w:r>
      <w:r w:rsidR="009B7699">
        <w:t>1574.</w:t>
      </w:r>
      <w:r w:rsidR="00742B1C">
        <w:t xml:space="preserve"> Příkaz je výslovné stanovení povinnosti, která spočívá v omezení dědice, aby </w:t>
      </w:r>
      <w:r w:rsidR="000D2573">
        <w:t xml:space="preserve">se zděděným majetkem či jeho částí nakládal určitým způsobem, nebo aby něco vykonal, opomenul nebo strpěl, což obdobně platí také </w:t>
      </w:r>
      <w:r w:rsidR="00546A16">
        <w:t>pro odkazovníka</w:t>
      </w:r>
      <w:r w:rsidR="000D2573">
        <w:t>.</w:t>
      </w:r>
      <w:r w:rsidR="000D2573">
        <w:rPr>
          <w:rStyle w:val="Znakapoznpodarou"/>
        </w:rPr>
        <w:footnoteReference w:id="94"/>
      </w:r>
      <w:r w:rsidR="000D2573">
        <w:t xml:space="preserve"> </w:t>
      </w:r>
      <w:r w:rsidR="007F32B0">
        <w:t>Jestliže se zůstavitel vysloví o účelu, ke kterému něco někomu zanechává, ale neuloží k tomu příkaz, hledí se na projev jeho vůle jako na přání bez právní závaznosti.</w:t>
      </w:r>
      <w:r w:rsidR="00267F6D">
        <w:t xml:space="preserve"> Doporučuje se proto užívat kategorických výrazů jako např. „nařizuji“</w:t>
      </w:r>
      <w:r w:rsidR="00C13822">
        <w:t>,</w:t>
      </w:r>
      <w:r w:rsidR="00267F6D">
        <w:t xml:space="preserve"> „přikazuji“ apod.</w:t>
      </w:r>
    </w:p>
    <w:p w:rsidR="00595501" w:rsidRDefault="00595501" w:rsidP="009B7699">
      <w:pPr>
        <w:spacing w:line="360" w:lineRule="auto"/>
        <w:ind w:firstLine="708"/>
        <w:jc w:val="both"/>
      </w:pPr>
      <w:r>
        <w:t>Příkaz se posuzuje jako rozvazovací podmínka a pokud tedy nebude splněn, zůstavení práva se zmaří, ledaže by zůstavitel stanovil jinak. Jestliže příkaz nelze splnit přesně, je třeba, aby došlo alespoň k takovému splnění, které co nejvíce vyhovuje zůstavitelově</w:t>
      </w:r>
      <w:r w:rsidR="00C13822">
        <w:t xml:space="preserve"> vůli. V</w:t>
      </w:r>
      <w:r>
        <w:t> případě, že by nebylo příkaz možné splnit vůbec, náleží osobě obtížené příkazem to, co jí bylo zůstaveno</w:t>
      </w:r>
      <w:r w:rsidR="00C13822">
        <w:t>, neprojevil-li zůstavitel něco jiného</w:t>
      </w:r>
      <w:r>
        <w:t xml:space="preserve">. Nebude tedy záležet na tom, zda jde </w:t>
      </w:r>
      <w:r>
        <w:lastRenderedPageBreak/>
        <w:t>o</w:t>
      </w:r>
      <w:r w:rsidR="00012597">
        <w:t> </w:t>
      </w:r>
      <w:r>
        <w:t>nemožnost s</w:t>
      </w:r>
      <w:r w:rsidR="00892EC4">
        <w:t>plnění příkazu danou</w:t>
      </w:r>
      <w:r>
        <w:t xml:space="preserve"> od počátku či dodatečně nebo z objektivních důvodů či z důvodů na straně dědice, ledaže by </w:t>
      </w:r>
      <w:r w:rsidR="00892EC4">
        <w:t>se dědic učinil neschopným splnit příkaz, přičemž by věděl, že tím splnění příkazu zmaří. V posledně uvedené situaci dojde u dědice k pozbytí toho</w:t>
      </w:r>
      <w:r w:rsidR="006A6366">
        <w:t>,</w:t>
      </w:r>
      <w:r w:rsidR="00892EC4">
        <w:t xml:space="preserve"> co nabyl.</w:t>
      </w:r>
      <w:r w:rsidR="006A6366">
        <w:rPr>
          <w:rStyle w:val="Znakapoznpodarou"/>
        </w:rPr>
        <w:footnoteReference w:id="95"/>
      </w:r>
    </w:p>
    <w:p w:rsidR="006A6366" w:rsidRDefault="00F41502" w:rsidP="009B7699">
      <w:pPr>
        <w:spacing w:line="360" w:lineRule="auto"/>
        <w:ind w:firstLine="708"/>
        <w:jc w:val="both"/>
      </w:pPr>
      <w:r>
        <w:t xml:space="preserve">NOZ výslovně upravuje situaci, kdy zůstavitel zakáže jím zůstavený majetek zcizit či zatížit. Tento zákaz zavazuje obtíženého jen </w:t>
      </w:r>
      <w:r w:rsidR="00507B88">
        <w:t>při splnění dvou kumulativních podmínek. První z nich se týká</w:t>
      </w:r>
      <w:r>
        <w:t xml:space="preserve"> nařízen</w:t>
      </w:r>
      <w:r w:rsidR="00507B88">
        <w:t>í zákazu</w:t>
      </w:r>
      <w:r>
        <w:t xml:space="preserve"> na určitou přiměřenou dobu</w:t>
      </w:r>
      <w:r w:rsidR="00507B88">
        <w:t>. Tuto dobu je třeba určovat případ od případu, protože v době hluboké hospodářské krize bude jiná než za situace, kdy jsou majetkové poměry dědice více než dobré. Druhou podmínkou je pak vážný zájem hodný právní ochrany.</w:t>
      </w:r>
      <w:r w:rsidR="00507B88">
        <w:rPr>
          <w:rStyle w:val="Znakapoznpodarou"/>
        </w:rPr>
        <w:footnoteReference w:id="96"/>
      </w:r>
      <w:r w:rsidR="00C13822">
        <w:t xml:space="preserve"> J</w:t>
      </w:r>
      <w:r w:rsidR="00507B88">
        <w:t xml:space="preserve">estliže obě podmínky nebudou </w:t>
      </w:r>
      <w:r w:rsidR="00C24E81">
        <w:t xml:space="preserve">splněny zároveň, může soud na návrh obtíženého </w:t>
      </w:r>
      <w:r w:rsidR="00C44E1B">
        <w:t>rozhodnout, že k </w:t>
      </w:r>
      <w:r w:rsidR="00C24E81">
        <w:t>zákaz</w:t>
      </w:r>
      <w:r w:rsidR="00C44E1B">
        <w:t>u se nepřihlíží. Je-li zákaz zapsán do veřejného seznamu, může obtížený požadovat, aby soud zákaz zrušil, přičemž je tu i možnost soudu, aby dobu zákazu přiměřeně zkrátil. Soud však návrhu nevyhoví, jestliže nebude prokázáno, že zájem na zrušení zřejmě převyšuje zájem na zachování zákazu.</w:t>
      </w:r>
      <w:r w:rsidR="00C44E1B">
        <w:rPr>
          <w:rStyle w:val="Znakapoznpodarou"/>
        </w:rPr>
        <w:footnoteReference w:id="97"/>
      </w:r>
    </w:p>
    <w:p w:rsidR="000B34C7" w:rsidRDefault="00FF5C0D" w:rsidP="009B7699">
      <w:pPr>
        <w:spacing w:line="360" w:lineRule="auto"/>
        <w:ind w:firstLine="708"/>
        <w:jc w:val="both"/>
      </w:pPr>
      <w:r>
        <w:t>Pokud příkaz směřuje např. k prospěchu chudých, bezdomovců či seniorů, tedy vůči skupině více osob bez bližšího určení, splní obtížená osoba příkaz vůči právnické osobě, která je oprávn</w:t>
      </w:r>
      <w:r w:rsidR="00C13822">
        <w:t xml:space="preserve">ěna hájit zájmy takových osob. </w:t>
      </w:r>
      <w:r w:rsidR="000B34C7">
        <w:t>Vymáhání splnění příkazu náleží nejen osobě, jíž je příkaz k prospěchu, ale také vykonavateli závěti či jiné osobě, která k tomu byla v</w:t>
      </w:r>
      <w:r w:rsidR="001C5B8F">
        <w:t> </w:t>
      </w:r>
      <w:r w:rsidR="000B34C7">
        <w:t>závěti povolána</w:t>
      </w:r>
      <w:r w:rsidR="001C5B8F">
        <w:t xml:space="preserve"> a také orgán</w:t>
      </w:r>
      <w:r w:rsidR="00EC0425">
        <w:t>u</w:t>
      </w:r>
      <w:r w:rsidR="001C5B8F">
        <w:t xml:space="preserve"> veřejné moci, jestliže splnění příkazu směřuje k veřejnému prospěchu.</w:t>
      </w:r>
    </w:p>
    <w:p w:rsidR="001E6F29" w:rsidRDefault="001E6F29" w:rsidP="009B7699">
      <w:pPr>
        <w:spacing w:line="360" w:lineRule="auto"/>
        <w:ind w:firstLine="708"/>
        <w:jc w:val="both"/>
      </w:pPr>
      <w:r>
        <w:t>Pro některé zůstavitelovy příkazy stanovuje zákon, že nemají právní účinky. Jde o</w:t>
      </w:r>
      <w:r w:rsidR="00012597">
        <w:t> </w:t>
      </w:r>
      <w:r>
        <w:t>případ uvedený v § 1574, ze kterého vyplývá neúčinnost takových příkazů, kdy zůstavitel s pohrůžkou ztráty nějaké výhody zakáže dědic</w:t>
      </w:r>
      <w:r w:rsidR="00D53332">
        <w:t>i</w:t>
      </w:r>
      <w:r>
        <w:t xml:space="preserve"> nebo odkazovníku, aby odporoval </w:t>
      </w:r>
      <w:r w:rsidR="00D53332">
        <w:t xml:space="preserve">výkladu </w:t>
      </w:r>
      <w:r>
        <w:t>smyslu závěti nebo pravosti</w:t>
      </w:r>
      <w:r w:rsidR="00D53332">
        <w:t xml:space="preserve"> závěti</w:t>
      </w:r>
      <w:r>
        <w:t>.</w:t>
      </w:r>
    </w:p>
    <w:p w:rsidR="008A535F" w:rsidRPr="00514882" w:rsidRDefault="008A535F" w:rsidP="009B7699">
      <w:pPr>
        <w:spacing w:line="360" w:lineRule="auto"/>
        <w:ind w:firstLine="708"/>
        <w:jc w:val="both"/>
      </w:pPr>
      <w:r>
        <w:t>Nejenom příkaz, ale vedlejší doložky obecně umožňují zůstaviteli lépe prosadit jeho vůli, kterou pořizuje o svém celoživotně nabytém majetku a posun, ke kterému v této oblasti v NOZ došlo, lze jednoznačně označit jako krok správným směrem.</w:t>
      </w:r>
    </w:p>
    <w:p w:rsidR="00CC3D4E" w:rsidRDefault="006A177C" w:rsidP="007B331A">
      <w:pPr>
        <w:pStyle w:val="Nadpis2"/>
      </w:pPr>
      <w:bookmarkStart w:id="16" w:name="_Toc415452770"/>
      <w:r>
        <w:lastRenderedPageBreak/>
        <w:t>4.5</w:t>
      </w:r>
      <w:r>
        <w:tab/>
      </w:r>
      <w:r w:rsidR="00CC3D4E">
        <w:t>Dědická substituce</w:t>
      </w:r>
      <w:bookmarkEnd w:id="16"/>
    </w:p>
    <w:p w:rsidR="008E4F95" w:rsidRPr="00CC3D4E" w:rsidRDefault="00F83721" w:rsidP="008E4F95">
      <w:pPr>
        <w:spacing w:line="360" w:lineRule="auto"/>
        <w:ind w:firstLine="708"/>
        <w:jc w:val="both"/>
      </w:pPr>
      <w:r>
        <w:t>Dědická substituce dává zůstaviteli možnost lépe naložit se svým majetkem pro případ jeho smrti. Umožňuje mu určit náhradní dědice namísto dědiců původních</w:t>
      </w:r>
      <w:r w:rsidR="006474A0">
        <w:t>,</w:t>
      </w:r>
      <w:r>
        <w:t xml:space="preserve"> ať už k dědění nedošlo z jakýchkoli důvodů. Teorie rozlišuje substituci vulgární (obecné náhradnictví) a</w:t>
      </w:r>
      <w:r w:rsidR="00012597">
        <w:t> </w:t>
      </w:r>
      <w:r>
        <w:t>substituci fideikomisární (svěřenské nástupnictví)</w:t>
      </w:r>
      <w:r w:rsidR="006474A0">
        <w:t>.</w:t>
      </w:r>
      <w:r w:rsidR="009749E4" w:rsidRPr="009749E4">
        <w:t xml:space="preserve"> </w:t>
      </w:r>
      <w:r w:rsidR="009749E4">
        <w:t>OZO rozeznával obě kategorie nástupnictví, SOZ vzhledem k tehdejší ideologii již neupravoval svěřenské nástupnictví a OZ dokonce neobsahoval ani obecné náhradnictví a dědická substitutce v něm tedy nebyla upravena vůbec. Určení náhradního dědice bylo dovozováno judikaturou jako výjimka z ustanovení § 478 OZ.</w:t>
      </w:r>
      <w:r w:rsidR="008E4F95">
        <w:t xml:space="preserve"> NOZ se navrací k úpravě jak vulgár</w:t>
      </w:r>
      <w:r w:rsidR="00D45C1A">
        <w:t>ní tak fideikomisární substituce</w:t>
      </w:r>
      <w:r w:rsidR="008E4F95">
        <w:t xml:space="preserve"> stejně jako to činí </w:t>
      </w:r>
      <w:r w:rsidR="00D45C1A">
        <w:t xml:space="preserve">např. </w:t>
      </w:r>
      <w:r w:rsidR="008E4F95">
        <w:t>německá či rakouská úprava.</w:t>
      </w:r>
      <w:r w:rsidR="006474A0">
        <w:rPr>
          <w:rStyle w:val="Znakapoznpodarou"/>
        </w:rPr>
        <w:footnoteReference w:id="98"/>
      </w:r>
    </w:p>
    <w:p w:rsidR="00A1277B" w:rsidRDefault="006A177C" w:rsidP="007B331A">
      <w:pPr>
        <w:pStyle w:val="Nadpis3"/>
      </w:pPr>
      <w:bookmarkStart w:id="17" w:name="_Toc415452771"/>
      <w:r>
        <w:t>4.5.1</w:t>
      </w:r>
      <w:r>
        <w:tab/>
      </w:r>
      <w:r w:rsidR="00A1277B">
        <w:t>Náhradnictví</w:t>
      </w:r>
      <w:bookmarkEnd w:id="17"/>
    </w:p>
    <w:p w:rsidR="00CC56A4" w:rsidRDefault="00CC56A4" w:rsidP="00CC56A4">
      <w:pPr>
        <w:spacing w:line="360" w:lineRule="auto"/>
        <w:ind w:firstLine="708"/>
        <w:jc w:val="both"/>
      </w:pPr>
      <w:r>
        <w:t>Náhradnictví umožňuje zůstaviteli řešit projevem vlastní vůle situaci, kdy jím původně povolaný dědic dědit nebude, např. protože se nedožil zůstavitelovy smrti, dědictví odmítne či bude dědicky nezpůsobilý. Účelem je tedy pro takový případ stanovení náhradního dědice. Povolání náhradníka lze učinit jak v</w:t>
      </w:r>
      <w:r w:rsidR="00272B69">
        <w:t> </w:t>
      </w:r>
      <w:r>
        <w:t>závěti</w:t>
      </w:r>
      <w:r w:rsidR="00272B69">
        <w:t>, tak v dovětku a zůstavitel může povolat i</w:t>
      </w:r>
      <w:r w:rsidR="00012597">
        <w:t> </w:t>
      </w:r>
      <w:r w:rsidR="00272B69">
        <w:t xml:space="preserve">náhradníky náhradníkům. Pokud jich povolá několik, bude dědit ten, který je ve výčtu nejblíže osobě, která nedědí. </w:t>
      </w:r>
      <w:r w:rsidR="00B92056">
        <w:t>Jestliže by ze zůstavitelova ustanovení nebylo možné zjistit</w:t>
      </w:r>
      <w:r w:rsidR="00320E5B">
        <w:t>,</w:t>
      </w:r>
      <w:r w:rsidR="00B92056">
        <w:t xml:space="preserve"> zda povolal náhradníka či svěřenského nástupce</w:t>
      </w:r>
      <w:r w:rsidR="00320E5B">
        <w:t xml:space="preserve">, </w:t>
      </w:r>
      <w:r w:rsidR="00C74715">
        <w:t>považuje se jeho nařízení za</w:t>
      </w:r>
      <w:r w:rsidR="00320E5B">
        <w:t xml:space="preserve"> povolán</w:t>
      </w:r>
      <w:r w:rsidR="00C74715">
        <w:t>í</w:t>
      </w:r>
      <w:r w:rsidR="00320E5B">
        <w:t xml:space="preserve"> náhradník</w:t>
      </w:r>
      <w:r w:rsidR="00C74715">
        <w:t>a</w:t>
      </w:r>
      <w:r w:rsidR="00320E5B">
        <w:t>.</w:t>
      </w:r>
    </w:p>
    <w:p w:rsidR="0050011B" w:rsidRDefault="00E05536" w:rsidP="00CC56A4">
      <w:pPr>
        <w:spacing w:line="360" w:lineRule="auto"/>
        <w:ind w:firstLine="708"/>
        <w:jc w:val="both"/>
      </w:pPr>
      <w:r>
        <w:t xml:space="preserve">Za náhradníky lze povolat také spoludědice. Pokud se tak stane, má se za to, že je zůstavitel chtěl podělit v takovém poměru, v jakém je podělil např. v závěti. Jestliže však kromě spoludědiců byly za náhradníky povolány i jiné osoby, podělí se o uvolněný podíl rovným dílem, ledaže by zůstavitel projevil jinou vůli. </w:t>
      </w:r>
      <w:r w:rsidR="0050011B">
        <w:t>Náhradník dědice vstupuje do totožného práva jako dědic a pokud tedy byly zůstavitelem uloženy dědici nějaká omezení, tak tato omezení postihují také jeho náhradníka, ledaže by z projevu zůstavitelovy vůle vyplývalo něco jiného nebo to plyne z povahy věci</w:t>
      </w:r>
      <w:r w:rsidR="0086126C">
        <w:t>,</w:t>
      </w:r>
      <w:r w:rsidR="00646F94">
        <w:t xml:space="preserve"> </w:t>
      </w:r>
      <w:r w:rsidR="0054762D">
        <w:t xml:space="preserve">tedy </w:t>
      </w:r>
      <w:r w:rsidR="00646F94">
        <w:t>např. to</w:t>
      </w:r>
      <w:r w:rsidR="007E6EC5">
        <w:t>,</w:t>
      </w:r>
      <w:r w:rsidR="00646F94">
        <w:t xml:space="preserve"> co může splnit pouze dědic osobně.</w:t>
      </w:r>
      <w:r w:rsidR="007E6EC5">
        <w:rPr>
          <w:rStyle w:val="Znakapoznpodarou"/>
        </w:rPr>
        <w:footnoteReference w:id="99"/>
      </w:r>
    </w:p>
    <w:p w:rsidR="00272B69" w:rsidRDefault="00C01243" w:rsidP="00B92056">
      <w:pPr>
        <w:spacing w:line="360" w:lineRule="auto"/>
        <w:ind w:firstLine="708"/>
        <w:jc w:val="both"/>
      </w:pPr>
      <w:r>
        <w:t xml:space="preserve">K zániku náhradnictví dochází ve dvou případech. Prvním z nich je situace, kdy povolaný dědic nabude dědictví. Druhým pak je případ, kdy zůstavitel zřídil náhradnictví </w:t>
      </w:r>
      <w:r>
        <w:lastRenderedPageBreak/>
        <w:t>svému dítěti</w:t>
      </w:r>
      <w:r>
        <w:rPr>
          <w:rStyle w:val="Znakapoznpodarou"/>
        </w:rPr>
        <w:footnoteReference w:id="100"/>
      </w:r>
      <w:r w:rsidR="001774B3">
        <w:t xml:space="preserve"> v době, kdy nemělo potomky, avšak před zůstavitelovou smrtí již potomky způsobilé dědit mělo.</w:t>
      </w:r>
    </w:p>
    <w:p w:rsidR="00A1277B" w:rsidRDefault="006A177C" w:rsidP="007B331A">
      <w:pPr>
        <w:pStyle w:val="Nadpis3"/>
      </w:pPr>
      <w:bookmarkStart w:id="18" w:name="_Toc415452772"/>
      <w:r>
        <w:t>4.5.2</w:t>
      </w:r>
      <w:r>
        <w:tab/>
      </w:r>
      <w:r w:rsidR="00A1277B">
        <w:t>Svěřenské nástupnictví</w:t>
      </w:r>
      <w:bookmarkEnd w:id="18"/>
    </w:p>
    <w:p w:rsidR="00D45C1A" w:rsidRDefault="00D45C1A" w:rsidP="004B1610">
      <w:pPr>
        <w:spacing w:line="360" w:lineRule="auto"/>
        <w:ind w:firstLine="708"/>
        <w:jc w:val="both"/>
      </w:pPr>
      <w:r>
        <w:t>Institut svěřenského nástupnictví se do dědického práva vrací po více než 60 le</w:t>
      </w:r>
      <w:r w:rsidR="00334852">
        <w:t>tech. NOZ jej upravuje v § 1512</w:t>
      </w:r>
      <w:r w:rsidR="00012597">
        <w:t xml:space="preserve"> </w:t>
      </w:r>
      <w:r w:rsidR="00334852">
        <w:t>-</w:t>
      </w:r>
      <w:r w:rsidR="00012597">
        <w:t xml:space="preserve"> </w:t>
      </w:r>
      <w:r w:rsidR="00334852">
        <w:t>1524.</w:t>
      </w:r>
      <w:r w:rsidR="004B1610">
        <w:t xml:space="preserve"> Svěřenské nástupnictví zavazuje dědice (přední dědic), který dědictví přijal, přenechat</w:t>
      </w:r>
      <w:r w:rsidR="0086126C">
        <w:t xml:space="preserve"> pozůstalost</w:t>
      </w:r>
      <w:r w:rsidR="004B1610">
        <w:t xml:space="preserve"> jiné osobě jako dalšímu dědici (svěřenský nástupce), nastane-li událost určená v pořízení pro případ smrti. Nejdříve bude dědit přední dědic a po něm bude následovat následný dědic.</w:t>
      </w:r>
      <w:r w:rsidR="006212A1">
        <w:rPr>
          <w:rStyle w:val="Znakapoznpodarou"/>
        </w:rPr>
        <w:footnoteReference w:id="101"/>
      </w:r>
      <w:r w:rsidR="00CE5DAF">
        <w:t xml:space="preserve"> Přední dědic bývá také v literatuře označován jako institut nebo fiduciář či v němčině Vorerbe. Svěřenský nástupce pak bývá někdy označován jako zadní dědic, poddědic, substitut, fideikomisární dědic, fideikomisář či v němčině Nacherbe.</w:t>
      </w:r>
      <w:r w:rsidR="00CE5DAF">
        <w:rPr>
          <w:rStyle w:val="Znakapoznpodarou"/>
        </w:rPr>
        <w:footnoteReference w:id="102"/>
      </w:r>
    </w:p>
    <w:p w:rsidR="006A6123" w:rsidRDefault="00ED32A2" w:rsidP="004B1610">
      <w:pPr>
        <w:spacing w:line="360" w:lineRule="auto"/>
        <w:ind w:firstLine="708"/>
        <w:jc w:val="both"/>
      </w:pPr>
      <w:r>
        <w:t>Povolání za svěřenského nástupce se považuje také za povolání za náhrad</w:t>
      </w:r>
      <w:r w:rsidR="0086126C">
        <w:t>n</w:t>
      </w:r>
      <w:r>
        <w:t>íka</w:t>
      </w:r>
      <w:r w:rsidR="00012597">
        <w:t>,</w:t>
      </w:r>
      <w:r>
        <w:t xml:space="preserve"> a</w:t>
      </w:r>
      <w:r w:rsidR="00012597">
        <w:t> </w:t>
      </w:r>
      <w:r>
        <w:t xml:space="preserve">pokud by tedy přední dědic z jakéhokoli důvodu nedědil, dědicem bez omezení se stane svěřenský nástupce. </w:t>
      </w:r>
      <w:r w:rsidR="006A6123">
        <w:t>Za zřízení svěřenského nástupnictví se považují situace, kdy zůstavitel povolá svému dědici dědice, zakáže dědici, aby o zanechaném majetku pořizoval, povolá za dědice někoho, kdo v době zůstavitel</w:t>
      </w:r>
      <w:r w:rsidR="00B82A8D">
        <w:t>ovy</w:t>
      </w:r>
      <w:r w:rsidR="006A6123">
        <w:t xml:space="preserve"> smrti ještě není či povolá dědice s podmínkou nebo na určitou dobu.</w:t>
      </w:r>
      <w:r w:rsidR="002230DF">
        <w:t xml:space="preserve"> O svěřenské nástupnictví však nepůjde v případě, kdy zůstavitel prosí dědice, aby ten ve své závěti povolal k veškerému svému jmění rovným dílem s</w:t>
      </w:r>
      <w:r w:rsidR="00895EAF">
        <w:t>vé dědice a dědice zůstavitel</w:t>
      </w:r>
      <w:r w:rsidR="00B82A8D">
        <w:t>e</w:t>
      </w:r>
      <w:r w:rsidR="002230DF">
        <w:t xml:space="preserve"> a případ se posoudí jako nezávazné přání zůstavitele.</w:t>
      </w:r>
      <w:r w:rsidR="002230DF">
        <w:rPr>
          <w:rStyle w:val="Znakapoznpodarou"/>
        </w:rPr>
        <w:footnoteReference w:id="103"/>
      </w:r>
      <w:r w:rsidR="003E13B1">
        <w:t xml:space="preserve"> Jestliže nastane případ, kdy zůstavitel povolá pouze následného dědice, předním dědicem se stane dědic ze zákona. Následný dědic se předním dědicem nestane ani v případě, kdy mu svědčí dědické právo v aktuální dědické třídě.</w:t>
      </w:r>
      <w:r w:rsidR="003E13B1">
        <w:rPr>
          <w:rStyle w:val="Znakapoznpodarou"/>
        </w:rPr>
        <w:footnoteReference w:id="104"/>
      </w:r>
    </w:p>
    <w:p w:rsidR="00C81737" w:rsidRDefault="00C81737" w:rsidP="00A1277B">
      <w:pPr>
        <w:spacing w:line="360" w:lineRule="auto"/>
        <w:jc w:val="both"/>
      </w:pPr>
      <w:r>
        <w:tab/>
      </w:r>
      <w:r w:rsidR="00CF6BE9">
        <w:t>Přednímu dědici náleží vzhledem k dědictví práva a povinnosti poživatele, ledaže zůstavitel projevil, že smí s dědictvím nakládat volně.</w:t>
      </w:r>
      <w:r w:rsidR="009179B8">
        <w:t xml:space="preserve"> Vlastníkem majetku je i přes omezení se svěřenským nástupnictvím spojená, přední dědic, což plyne z § 1521.</w:t>
      </w:r>
      <w:r w:rsidR="009179B8">
        <w:rPr>
          <w:rStyle w:val="Znakapoznpodarou"/>
        </w:rPr>
        <w:footnoteReference w:id="105"/>
      </w:r>
      <w:r w:rsidR="00CF6BE9">
        <w:t xml:space="preserve"> Zcizit či zatížit věc však lze v případě, kdy je tak učiněno za účelem úhrad</w:t>
      </w:r>
      <w:r w:rsidR="00492AE2">
        <w:t xml:space="preserve">y zůstavitelových dluhů. Zcizení nebo zatížení je také možné pokud s tím vyjádří souhlas svěřenský nástupce, k čemuž však zákon </w:t>
      </w:r>
      <w:r w:rsidR="00492AE2">
        <w:lastRenderedPageBreak/>
        <w:t>vyžaduje formu veřejné listiny. Souhlas může být nahrazen soudem, je-li to vzhledem k péči řádného hospodáře potřebné.</w:t>
      </w:r>
      <w:r w:rsidR="009179B8">
        <w:t xml:space="preserve"> </w:t>
      </w:r>
      <w:r w:rsidR="00C822AB">
        <w:t>Tímto přístupem se NOZ odlišuje od OZO, který v ustanovení §</w:t>
      </w:r>
      <w:r w:rsidR="00012597">
        <w:t> </w:t>
      </w:r>
      <w:r w:rsidR="00C822AB">
        <w:t>614 chránil předního dědice tím, že pokud bylo náhradnictví vysloveno neurčitě, mělo být vykládáno tak, aby</w:t>
      </w:r>
      <w:r w:rsidR="0086126C">
        <w:t xml:space="preserve"> volnost předního dědice s naklá</w:t>
      </w:r>
      <w:r w:rsidR="00C822AB">
        <w:t>dáním toho</w:t>
      </w:r>
      <w:r w:rsidR="00752ED5">
        <w:t>,</w:t>
      </w:r>
      <w:r w:rsidR="00C822AB">
        <w:t xml:space="preserve"> co zdědil</w:t>
      </w:r>
      <w:r w:rsidR="00752ED5">
        <w:t>,</w:t>
      </w:r>
      <w:r w:rsidR="00C822AB">
        <w:t xml:space="preserve"> byla co nejméně omezena.</w:t>
      </w:r>
      <w:r w:rsidR="00752ED5">
        <w:rPr>
          <w:rStyle w:val="Znakapoznpodarou"/>
        </w:rPr>
        <w:footnoteReference w:id="106"/>
      </w:r>
      <w:r w:rsidR="00C822AB">
        <w:t xml:space="preserve"> </w:t>
      </w:r>
      <w:r w:rsidR="00615C1F">
        <w:t xml:space="preserve">Svěřenskému nástupci náleží právo, aby přední dědic sestavil inventář všeho, co děděním nabyl a </w:t>
      </w:r>
      <w:r w:rsidR="005E5510">
        <w:t>pokud to svěřenský nástupce bude</w:t>
      </w:r>
      <w:r w:rsidR="00615C1F">
        <w:t xml:space="preserve"> vyžadovat, aby sestavení bylo učiněno formou veřejné listiny.</w:t>
      </w:r>
      <w:r w:rsidR="005E5510">
        <w:t xml:space="preserve"> Fideikomisář může také po soudu požadovat, aby fiduciáři stanovil způsob a rozsah hospodaření s věcí, která přináší plody či užitky.</w:t>
      </w:r>
      <w:r w:rsidR="00567BD5">
        <w:t xml:space="preserve"> Mezi práva </w:t>
      </w:r>
      <w:r w:rsidR="00B42881">
        <w:t>následného dědice patří také právo domáhat se určení, že právní jednání předního dědice, které maří nebo omezuje práva svěřenského nástupce, je vůči němu neúčinné. V obdobném případě s rozdílem toho, že věc a svěřenské nástupnictví jsou zapsány ve veřejném seznamu, nastává neúčinnost vůči následnému dědici</w:t>
      </w:r>
      <w:r w:rsidR="00895EAF">
        <w:t xml:space="preserve"> přímo</w:t>
      </w:r>
      <w:r w:rsidR="00B42881">
        <w:t xml:space="preserve"> </w:t>
      </w:r>
      <w:r w:rsidR="00B75F6C">
        <w:t>ze zákona</w:t>
      </w:r>
      <w:r w:rsidR="00B42881">
        <w:t>.</w:t>
      </w:r>
    </w:p>
    <w:p w:rsidR="00AB6E95" w:rsidRDefault="00AB6E95" w:rsidP="00A1277B">
      <w:pPr>
        <w:spacing w:line="360" w:lineRule="auto"/>
        <w:jc w:val="both"/>
      </w:pPr>
      <w:r>
        <w:tab/>
        <w:t xml:space="preserve">K zániku fideikomisární substituce </w:t>
      </w:r>
      <w:r w:rsidR="003E13B1">
        <w:t>dochází zejména tehdy, neexistuje-li již žádný následný dědic</w:t>
      </w:r>
      <w:r w:rsidR="00B34B93">
        <w:t xml:space="preserve"> či nenastal případ, pro který bylo náhradnictví zřízeno</w:t>
      </w:r>
      <w:r w:rsidR="003E13B1">
        <w:t xml:space="preserve">. Zákon však zánik svěřenského nástupnictví spojuje i s jinými skutečnostmi. K zániku dojde </w:t>
      </w:r>
      <w:r w:rsidR="00B34B93">
        <w:t>uplynutím 100 let od smrti zůstavitele, z čehož je možná výjimka a to pokud zůstavitel stanoví, že svěřenský nástupce má nabýt dědictví až po smrti předního dědice, který ž</w:t>
      </w:r>
      <w:r w:rsidR="005C5336">
        <w:t xml:space="preserve">il v době </w:t>
      </w:r>
      <w:r w:rsidR="0086126C">
        <w:t>zůstavitelovy</w:t>
      </w:r>
      <w:r w:rsidR="005C5336">
        <w:t xml:space="preserve"> smrti. Přední dědic by tedy musel žít déle než sto let a svěřenské nástupnictví by zaniklo, jakmile by se dědictví ujal první ze svěřenských nástupců. Dále fideikomisární substituce zaniká v rozsahu povinného dílu okamžikem nabytí pořizovací způsobilosti dítěte, kterému zůstavitel v době, kdy toto dítě nebylo způsobilé pořizovat</w:t>
      </w:r>
      <w:r w:rsidR="005C40B2">
        <w:t>,</w:t>
      </w:r>
      <w:r w:rsidR="005C5336">
        <w:t xml:space="preserve"> povolal svěřenského nástupce.</w:t>
      </w:r>
      <w:r w:rsidR="005C40B2">
        <w:t xml:space="preserve"> </w:t>
      </w:r>
      <w:r w:rsidR="00595BD9">
        <w:t>Svěřenské nástupnictví, které zůstavitel zřídil svému potomku v době, kdy tento neměl své potomky, zaniká, zanechá-li potomek potomka způsobilého dědit. Dalším důvodem zániku je nabytí pořizovací způsobilosti osobou, která byla ve způsobilosti omezena</w:t>
      </w:r>
      <w:r w:rsidR="00012597">
        <w:t>,</w:t>
      </w:r>
      <w:r w:rsidR="00595BD9">
        <w:t xml:space="preserve"> a byl jí povolán svěřenský nástupce</w:t>
      </w:r>
      <w:r w:rsidR="00E138BD">
        <w:t>. Poslední případ zániku nastává, když pozůstalost nabude první ze svěřenských nást</w:t>
      </w:r>
      <w:r w:rsidR="00B82A8D">
        <w:t>upců, který v době zůstavitelovy</w:t>
      </w:r>
      <w:r w:rsidR="00E138BD">
        <w:t xml:space="preserve"> smrti ještě neexistoval.</w:t>
      </w:r>
    </w:p>
    <w:p w:rsidR="00E138BD" w:rsidRPr="00A1277B" w:rsidRDefault="00E138BD" w:rsidP="00A1277B">
      <w:pPr>
        <w:spacing w:line="360" w:lineRule="auto"/>
        <w:jc w:val="both"/>
      </w:pPr>
      <w:r>
        <w:tab/>
      </w:r>
      <w:r w:rsidR="00737277">
        <w:t xml:space="preserve">Navrácení úpravy vulgární i fideikomisární substituce </w:t>
      </w:r>
      <w:r w:rsidR="00C673BB">
        <w:t>do zákonného textu</w:t>
      </w:r>
      <w:r w:rsidR="00D6722D">
        <w:t xml:space="preserve"> považuji za správný krok </w:t>
      </w:r>
      <w:r w:rsidR="00C673BB">
        <w:t>vzhledem k tradičnosti tohoto institut</w:t>
      </w:r>
      <w:r w:rsidR="00D6722D">
        <w:t>u</w:t>
      </w:r>
      <w:r w:rsidR="00C673BB">
        <w:t xml:space="preserve">. </w:t>
      </w:r>
      <w:r w:rsidR="00DE0CCE">
        <w:t>Zůstaviteli je tímto do ruky dán nástroj, který mu poskytuje široké možnosti jak naložit se svým majetkem pro případ své smrti a to i</w:t>
      </w:r>
      <w:r w:rsidR="00012597">
        <w:t> </w:t>
      </w:r>
      <w:r w:rsidR="00DE0CCE">
        <w:t>ve složitějších majetkových či rodinných poměrech.</w:t>
      </w:r>
    </w:p>
    <w:p w:rsidR="009054F2" w:rsidRDefault="006A177C" w:rsidP="007B331A">
      <w:pPr>
        <w:pStyle w:val="Nadpis1"/>
        <w:spacing w:line="360" w:lineRule="auto"/>
        <w:jc w:val="both"/>
      </w:pPr>
      <w:bookmarkStart w:id="19" w:name="_Toc415452773"/>
      <w:r>
        <w:lastRenderedPageBreak/>
        <w:t>5</w:t>
      </w:r>
      <w:r>
        <w:tab/>
      </w:r>
      <w:r w:rsidR="009054F2">
        <w:t>Formy závěti</w:t>
      </w:r>
      <w:bookmarkEnd w:id="19"/>
    </w:p>
    <w:p w:rsidR="009054F2" w:rsidRDefault="00BF773E" w:rsidP="00966C42">
      <w:pPr>
        <w:spacing w:line="360" w:lineRule="auto"/>
        <w:ind w:firstLine="708"/>
        <w:jc w:val="both"/>
      </w:pPr>
      <w:r>
        <w:t>Jak vyplývá z § 1532</w:t>
      </w:r>
      <w:r w:rsidR="00A56884">
        <w:t>,</w:t>
      </w:r>
      <w:r w:rsidR="009054F2">
        <w:t xml:space="preserve"> závěť musí být sepsána v písemné formě, ledaže byla pořízena s úlevami (viz. výklad v podkapitole).</w:t>
      </w:r>
      <w:r w:rsidR="0050203B">
        <w:rPr>
          <w:rStyle w:val="Znakapoznpodarou"/>
        </w:rPr>
        <w:footnoteReference w:id="107"/>
      </w:r>
      <w:r w:rsidR="009054F2">
        <w:t xml:space="preserve"> Nedodržení písemné formy má za následek neplatnost. I pro pořízení závěti platí obecná ustanovení o právním jednání, o jeho výkladu a</w:t>
      </w:r>
      <w:r w:rsidR="00BF5BE8">
        <w:t> </w:t>
      </w:r>
      <w:r w:rsidR="009054F2">
        <w:t>neplatnosti, která jsou doplněna některými speciálními vykládacími pravidly. NOZ rozlišuje závěti pořízené soukromou a veřejnou listinou. Do první skupiny spadá závěť holografní, allografní a závěť nevidomých osob. Do druhé kategorie řadíme závěť sepsanou formou veřejné listiny</w:t>
      </w:r>
      <w:r w:rsidR="009054F2">
        <w:rPr>
          <w:rStyle w:val="Znakapoznpodarou"/>
        </w:rPr>
        <w:footnoteReference w:id="108"/>
      </w:r>
      <w:r w:rsidR="009054F2">
        <w:t>.</w:t>
      </w:r>
    </w:p>
    <w:p w:rsidR="00F63177" w:rsidRDefault="006A177C" w:rsidP="007B331A">
      <w:pPr>
        <w:pStyle w:val="Nadpis2"/>
        <w:jc w:val="both"/>
      </w:pPr>
      <w:bookmarkStart w:id="20" w:name="_Toc415452774"/>
      <w:r>
        <w:t>5.1.</w:t>
      </w:r>
      <w:r>
        <w:tab/>
      </w:r>
      <w:r w:rsidR="009054F2">
        <w:t>Závěti soukromé</w:t>
      </w:r>
      <w:bookmarkEnd w:id="20"/>
    </w:p>
    <w:p w:rsidR="00F63177" w:rsidRDefault="006A177C" w:rsidP="007B331A">
      <w:pPr>
        <w:pStyle w:val="Nadpis3"/>
        <w:spacing w:line="360" w:lineRule="auto"/>
        <w:jc w:val="both"/>
      </w:pPr>
      <w:bookmarkStart w:id="21" w:name="_Toc415452775"/>
      <w:r>
        <w:t>5.1.1</w:t>
      </w:r>
      <w:r>
        <w:tab/>
      </w:r>
      <w:r w:rsidR="00F63177">
        <w:t>Holografní závěť</w:t>
      </w:r>
      <w:bookmarkEnd w:id="21"/>
    </w:p>
    <w:p w:rsidR="008F10C3" w:rsidRDefault="008F10C3" w:rsidP="0055270D">
      <w:pPr>
        <w:spacing w:line="360" w:lineRule="auto"/>
        <w:ind w:firstLine="708"/>
        <w:jc w:val="both"/>
      </w:pPr>
      <w:r>
        <w:t>Závěť psaná vlastní rukou je nejjednodušší formou závěti</w:t>
      </w:r>
      <w:r w:rsidR="00776E37">
        <w:t>,</w:t>
      </w:r>
      <w:r>
        <w:t xml:space="preserve"> co se formálních požadavků na toto právní jednání týče</w:t>
      </w:r>
      <w:r w:rsidR="00956E86">
        <w:t xml:space="preserve"> a těší se velké oblibě. Nespornou výhodou tohoto pořízení je fakt, že lze uchovat v tajnosti jeho obsah i případné změny či zrušení.</w:t>
      </w:r>
      <w:r w:rsidR="00776E37">
        <w:t xml:space="preserve"> </w:t>
      </w:r>
      <w:r w:rsidR="00797E2E">
        <w:t xml:space="preserve">K řádnému vytvoření </w:t>
      </w:r>
      <w:r w:rsidR="00B968DD">
        <w:t xml:space="preserve">holografní </w:t>
      </w:r>
      <w:r w:rsidR="00797E2E">
        <w:t>závěti není třeba žádných svědků</w:t>
      </w:r>
      <w:r w:rsidR="00A56884">
        <w:t>,</w:t>
      </w:r>
      <w:r w:rsidR="00D47442">
        <w:t xml:space="preserve"> tak jako tomu bývalo v římském právu</w:t>
      </w:r>
      <w:r w:rsidR="009134DE">
        <w:t>.</w:t>
      </w:r>
      <w:r w:rsidR="00A9511C">
        <w:rPr>
          <w:rStyle w:val="Znakapoznpodarou"/>
        </w:rPr>
        <w:footnoteReference w:id="109"/>
      </w:r>
      <w:r w:rsidR="00B968DD">
        <w:t xml:space="preserve"> Dostatečnou zárukou pravosti tohoto pořízení je vlastnoruční napsání celého textu, který pak vykazuje individuální znaky charakteristické </w:t>
      </w:r>
      <w:r w:rsidR="001B25D4">
        <w:t xml:space="preserve">pouze </w:t>
      </w:r>
      <w:r w:rsidR="00B968DD">
        <w:t>pro pisatele a soudní znalec poměrně snadno rozpozná i případné napodobování písma.</w:t>
      </w:r>
      <w:r w:rsidR="00797E2E">
        <w:t xml:space="preserve"> </w:t>
      </w:r>
      <w:r w:rsidR="00B968DD">
        <w:t>NOZ tento druh závěti</w:t>
      </w:r>
      <w:r w:rsidR="00776E37">
        <w:t xml:space="preserve"> upravuje </w:t>
      </w:r>
      <w:r>
        <w:t>v § 1533, který říká, že zůstavitel ji musí napsat vlastní rukou a</w:t>
      </w:r>
      <w:r w:rsidR="00797E2E">
        <w:t xml:space="preserve"> vlastnoručně ji podepsat</w:t>
      </w:r>
      <w:r w:rsidR="00B559EE">
        <w:t>. Základními znak</w:t>
      </w:r>
      <w:r w:rsidR="00776E37">
        <w:t>y jsou tedy vlastnoručnost napsá</w:t>
      </w:r>
      <w:r w:rsidR="00AB4012">
        <w:t>ní a podpisu, které zde podrobněji rozvedu.</w:t>
      </w:r>
    </w:p>
    <w:p w:rsidR="006727F6" w:rsidRDefault="00AB4012" w:rsidP="0055270D">
      <w:pPr>
        <w:spacing w:line="360" w:lineRule="auto"/>
        <w:jc w:val="both"/>
      </w:pPr>
      <w:r>
        <w:tab/>
        <w:t>Vlastnoručně napsaný musí být u holografní závěti celý její text.</w:t>
      </w:r>
      <w:r w:rsidR="00DF2F73">
        <w:t xml:space="preserve"> </w:t>
      </w:r>
      <w:r w:rsidR="00EB02BB">
        <w:t>Pokud by pořízení napsal zčásti zůstavitel a z části jiná osoba je takové pořízení neplatné. Pokud však jiná osoba napsala pouze některá slova (přípisky apod.) jsou neplatná jen slova nepocházející od zůstavitele.</w:t>
      </w:r>
      <w:r w:rsidR="00EB02BB">
        <w:rPr>
          <w:rStyle w:val="Znakapoznpodarou"/>
        </w:rPr>
        <w:footnoteReference w:id="110"/>
      </w:r>
      <w:r w:rsidR="00EB02BB">
        <w:t xml:space="preserve"> </w:t>
      </w:r>
      <w:r w:rsidR="00DF2F73">
        <w:t>Nemusí se však jednat pouze o text napsaný rukou, ale např. i nohou, ústy apod., neboť v případech, kdy zůstavitel</w:t>
      </w:r>
      <w:r w:rsidR="00A0687F">
        <w:t>,</w:t>
      </w:r>
      <w:r w:rsidR="00DF2F73">
        <w:t xml:space="preserve"> ať už z důvodu trvalého (amputace) či přechodného (zranění) nemůže k napsání užít vlastní ruky</w:t>
      </w:r>
      <w:r w:rsidR="00A0687F">
        <w:t xml:space="preserve">, </w:t>
      </w:r>
      <w:r w:rsidR="00DF2F73">
        <w:t>se i sepsání takovýmto způsobem považuje za vlastnoruční.</w:t>
      </w:r>
      <w:r w:rsidR="005F769A">
        <w:t xml:space="preserve"> </w:t>
      </w:r>
      <w:r w:rsidR="00504D19">
        <w:t>K samotnému vyhotovení j</w:t>
      </w:r>
      <w:r w:rsidR="000D134C">
        <w:t>e možné užít i nedominantní ruku</w:t>
      </w:r>
      <w:r w:rsidR="00504D19">
        <w:t xml:space="preserve">, což však v případě </w:t>
      </w:r>
      <w:r w:rsidR="006727F6">
        <w:lastRenderedPageBreak/>
        <w:t>sporu může vyvolat důkazní nouzi, pokud by znalec neměl možnost závěť vyhotovenou nedominantní rukou porovnat s jiným textem psaným též nedominantní rukou</w:t>
      </w:r>
      <w:r w:rsidR="00F2410F">
        <w:t>.</w:t>
      </w:r>
      <w:r w:rsidR="00705108">
        <w:rPr>
          <w:rStyle w:val="Znakapoznpodarou"/>
        </w:rPr>
        <w:footnoteReference w:id="111"/>
      </w:r>
      <w:r w:rsidR="00847621" w:rsidRPr="00847621">
        <w:t xml:space="preserve"> </w:t>
      </w:r>
      <w:r w:rsidR="00847621">
        <w:t>Na platnost holografní závěti nemá vliv jakým prostředkem (tužka, pero, propiska) je napsána, pokud byla dodržena podmínka vlastnoručnosti, avšak psací stroj použít nelze.</w:t>
      </w:r>
      <w:r w:rsidR="00847621">
        <w:rPr>
          <w:rStyle w:val="Znakapoznpodarou"/>
        </w:rPr>
        <w:footnoteReference w:id="112"/>
      </w:r>
      <w:r w:rsidR="00A0687F">
        <w:t xml:space="preserve"> Stejně tak je lhostejné</w:t>
      </w:r>
      <w:r w:rsidR="009D31DF">
        <w:t>,</w:t>
      </w:r>
      <w:r w:rsidR="00847621">
        <w:t xml:space="preserve"> na jakém podkladě je napsána. Téměř vždy se bude jednat o papír, ale k vyhotovení může být použita i jiná forma materiálu (látka, kůže aj.).</w:t>
      </w:r>
      <w:r w:rsidR="00847621">
        <w:rPr>
          <w:rStyle w:val="Znakapoznpodarou"/>
        </w:rPr>
        <w:footnoteReference w:id="113"/>
      </w:r>
      <w:r w:rsidR="00847621">
        <w:t xml:space="preserve"> Nepodstatná je i vnější forma a proto taková závěť může být obsažena např. i v dopise, na korespondenčním lístku či navštívence. Smí být napsána i v cizím jazyce či dokonce v jazyce mrtvém (</w:t>
      </w:r>
      <w:r w:rsidR="00EF7E09">
        <w:t xml:space="preserve">např. </w:t>
      </w:r>
      <w:r w:rsidR="00847621">
        <w:t>latina).</w:t>
      </w:r>
      <w:r w:rsidR="00847621">
        <w:rPr>
          <w:rStyle w:val="Znakapoznpodarou"/>
        </w:rPr>
        <w:footnoteReference w:id="114"/>
      </w:r>
    </w:p>
    <w:p w:rsidR="00AB4012" w:rsidRDefault="000E1791" w:rsidP="0055270D">
      <w:pPr>
        <w:spacing w:line="360" w:lineRule="auto"/>
        <w:jc w:val="both"/>
      </w:pPr>
      <w:r>
        <w:tab/>
      </w:r>
      <w:r w:rsidR="005F769A">
        <w:t>Velmi zajímav</w:t>
      </w:r>
      <w:r w:rsidR="00A0687F">
        <w:t>á</w:t>
      </w:r>
      <w:r w:rsidR="005F769A">
        <w:t xml:space="preserve"> je otázka pomoci jiné osoby při samotném psaní</w:t>
      </w:r>
      <w:r w:rsidR="00EE0CB8">
        <w:t xml:space="preserve"> či podpisu</w:t>
      </w:r>
      <w:r w:rsidR="005F769A">
        <w:t xml:space="preserve"> holografní závěti. </w:t>
      </w:r>
      <w:r w:rsidR="00EE0CB8">
        <w:t>V německé literatuře</w:t>
      </w:r>
      <w:r w:rsidR="00F2410F">
        <w:t xml:space="preserve"> jsou rozlišovány dvě kategorie pomoci při psaní vlastnoručního textu. Dovolenou formou je tzv. podpírání ruky neboli </w:t>
      </w:r>
      <w:r w:rsidR="005D3598">
        <w:t>Handstützung</w:t>
      </w:r>
      <w:r w:rsidR="00B4050E">
        <w:t>, kdy zůstavitel vykonává svou vůli a řídí pohyb ruky sám</w:t>
      </w:r>
      <w:r w:rsidR="005D3598">
        <w:t>.</w:t>
      </w:r>
      <w:r w:rsidR="00F2410F">
        <w:t xml:space="preserve"> Nedovolenou formou je pak tzv. vedení ruky neboli</w:t>
      </w:r>
      <w:r w:rsidR="005D3598">
        <w:t xml:space="preserve"> Handführung</w:t>
      </w:r>
      <w:r w:rsidR="00B4050E">
        <w:t xml:space="preserve">, kdy zůstavitel nevykonává pohyb ruky </w:t>
      </w:r>
      <w:r w:rsidR="001408B1">
        <w:t>(</w:t>
      </w:r>
      <w:r w:rsidR="00B4050E">
        <w:t>zcela</w:t>
      </w:r>
      <w:r w:rsidR="001408B1">
        <w:t>)</w:t>
      </w:r>
      <w:r w:rsidR="00B4050E">
        <w:t xml:space="preserve"> sám a v</w:t>
      </w:r>
      <w:r w:rsidR="001408B1">
        <w:t xml:space="preserve"> písemnosti </w:t>
      </w:r>
      <w:r w:rsidR="00B4050E">
        <w:t>se projevuje vůle pomocníka</w:t>
      </w:r>
      <w:r w:rsidR="00F2410F">
        <w:t>.</w:t>
      </w:r>
      <w:r w:rsidR="006F6E42">
        <w:rPr>
          <w:rStyle w:val="Znakapoznpodarou"/>
        </w:rPr>
        <w:footnoteReference w:id="115"/>
      </w:r>
      <w:r w:rsidR="00F2410F">
        <w:t xml:space="preserve"> </w:t>
      </w:r>
      <w:r w:rsidR="0000750F">
        <w:t>Za účinnosti OZ N</w:t>
      </w:r>
      <w:r w:rsidR="00CE2401">
        <w:t>ejvyšší soud rozhodl, že jakákoli pomoc, která by ovlivňovala charakteristické znaky zůstavitelova rukopisu</w:t>
      </w:r>
      <w:r w:rsidR="00A0687F">
        <w:t>,</w:t>
      </w:r>
      <w:r w:rsidR="00CE2401">
        <w:t xml:space="preserve"> je</w:t>
      </w:r>
      <w:r w:rsidR="00900AB4">
        <w:t xml:space="preserve"> u holografní závěti</w:t>
      </w:r>
      <w:r w:rsidR="00CE2401">
        <w:t xml:space="preserve"> nepřípustná a má za následek neplatnost závěti</w:t>
      </w:r>
      <w:r w:rsidR="00F2410F">
        <w:t>.</w:t>
      </w:r>
      <w:r w:rsidR="00705108">
        <w:rPr>
          <w:rStyle w:val="Znakapoznpodarou"/>
        </w:rPr>
        <w:footnoteReference w:id="116"/>
      </w:r>
      <w:r w:rsidR="00F2410F">
        <w:t xml:space="preserve"> Ve</w:t>
      </w:r>
      <w:r w:rsidR="00F273ED">
        <w:t xml:space="preserve"> z</w:t>
      </w:r>
      <w:r w:rsidR="008436C0">
        <w:t>míněném judikátu soud operoval pouze s</w:t>
      </w:r>
      <w:r w:rsidR="0089004A">
        <w:t> </w:t>
      </w:r>
      <w:r w:rsidR="008436C0">
        <w:t>pojmem</w:t>
      </w:r>
      <w:r w:rsidR="0089004A">
        <w:t xml:space="preserve"> „vedení ruky“</w:t>
      </w:r>
      <w:r w:rsidR="00916B55">
        <w:t>,</w:t>
      </w:r>
      <w:r w:rsidR="0089004A">
        <w:t xml:space="preserve"> u kt</w:t>
      </w:r>
      <w:r w:rsidR="00E24395">
        <w:t xml:space="preserve">erého shledal tento způsob </w:t>
      </w:r>
      <w:r w:rsidR="0089004A">
        <w:t>pomoc</w:t>
      </w:r>
      <w:r w:rsidR="00E24395">
        <w:t>i nedovoleným</w:t>
      </w:r>
      <w:r w:rsidR="0089004A">
        <w:t>, avšak k pojmu „podpírání ruky“ se nevyjádřil. V</w:t>
      </w:r>
      <w:r w:rsidR="001408B1">
        <w:t xml:space="preserve"> české </w:t>
      </w:r>
      <w:r w:rsidR="0089004A">
        <w:t>odborné literatuře se o podpírání ruky v komentáři</w:t>
      </w:r>
      <w:r w:rsidR="0089004A">
        <w:rPr>
          <w:rStyle w:val="Znakapoznpodarou"/>
        </w:rPr>
        <w:footnoteReference w:id="117"/>
      </w:r>
      <w:r w:rsidR="00B9070E">
        <w:t xml:space="preserve"> k OZ zmiňuje</w:t>
      </w:r>
      <w:r w:rsidR="0089004A">
        <w:t xml:space="preserve"> Muzikář, kdy</w:t>
      </w:r>
      <w:r w:rsidR="00916B55">
        <w:t>ž</w:t>
      </w:r>
      <w:r w:rsidR="0089004A">
        <w:t xml:space="preserve"> odkazuje na judikaturu</w:t>
      </w:r>
      <w:r w:rsidR="0089004A">
        <w:rPr>
          <w:rStyle w:val="Znakapoznpodarou"/>
        </w:rPr>
        <w:footnoteReference w:id="118"/>
      </w:r>
      <w:r w:rsidR="0094708C">
        <w:t xml:space="preserve"> z konce 40. let</w:t>
      </w:r>
      <w:r w:rsidR="0089004A">
        <w:t xml:space="preserve">, </w:t>
      </w:r>
      <w:r w:rsidR="00B9070E">
        <w:t xml:space="preserve">která podpírání ruky připouští. </w:t>
      </w:r>
      <w:r w:rsidR="006F25D8">
        <w:t>Rouček ve svém komentáři</w:t>
      </w:r>
      <w:r w:rsidR="001408B1">
        <w:rPr>
          <w:rStyle w:val="Znakapoznpodarou"/>
        </w:rPr>
        <w:footnoteReference w:id="119"/>
      </w:r>
      <w:r w:rsidR="00EE0CB8">
        <w:t xml:space="preserve"> k OZO</w:t>
      </w:r>
      <w:r w:rsidR="001B1CFD">
        <w:t xml:space="preserve"> potvrzuje</w:t>
      </w:r>
      <w:r w:rsidR="002D6371">
        <w:t xml:space="preserve"> u</w:t>
      </w:r>
      <w:r w:rsidR="007869B2">
        <w:t> </w:t>
      </w:r>
      <w:r w:rsidR="002D6371">
        <w:t>holografní závěti</w:t>
      </w:r>
      <w:r w:rsidR="006F25D8">
        <w:t xml:space="preserve"> dovolenost </w:t>
      </w:r>
      <w:r w:rsidR="001B1CFD">
        <w:t xml:space="preserve">nejen </w:t>
      </w:r>
      <w:r w:rsidR="006F25D8">
        <w:t xml:space="preserve">podpírání </w:t>
      </w:r>
      <w:r w:rsidR="001B1CFD">
        <w:t>ruky</w:t>
      </w:r>
      <w:r w:rsidR="007F4DC9">
        <w:t>,</w:t>
      </w:r>
      <w:r w:rsidR="001B1CFD">
        <w:t xml:space="preserve"> ale i dovolenost vedení ruky při vlastnoručním podpisu</w:t>
      </w:r>
      <w:r w:rsidR="00736E25">
        <w:t xml:space="preserve"> a</w:t>
      </w:r>
      <w:r w:rsidR="001B1CFD">
        <w:t xml:space="preserve"> v obou </w:t>
      </w:r>
      <w:r w:rsidR="001B1CFD">
        <w:lastRenderedPageBreak/>
        <w:t>případech odkazuje na</w:t>
      </w:r>
      <w:r w:rsidR="006F25D8">
        <w:t xml:space="preserve"> </w:t>
      </w:r>
      <w:r w:rsidR="0094708C">
        <w:t>starší</w:t>
      </w:r>
      <w:r w:rsidR="006F25D8">
        <w:t xml:space="preserve"> judik</w:t>
      </w:r>
      <w:r w:rsidR="001B1CFD">
        <w:t>át</w:t>
      </w:r>
      <w:r w:rsidR="006F25D8">
        <w:rPr>
          <w:rStyle w:val="Znakapoznpodarou"/>
        </w:rPr>
        <w:footnoteReference w:id="120"/>
      </w:r>
      <w:r w:rsidR="00E510EB">
        <w:t xml:space="preserve"> ze sbírky Glaser-Unger</w:t>
      </w:r>
      <w:r w:rsidR="00DC3896">
        <w:t>.</w:t>
      </w:r>
      <w:r w:rsidR="00E24395">
        <w:t xml:space="preserve"> Vzhledem k výše zmíněnému </w:t>
      </w:r>
      <w:r w:rsidR="00E001C9">
        <w:t>lze očekávat, že</w:t>
      </w:r>
      <w:r w:rsidR="00E24395">
        <w:t xml:space="preserve"> holografní závěť vyhotovená</w:t>
      </w:r>
      <w:r w:rsidR="00380E94">
        <w:t xml:space="preserve"> s podpíráním ruky bude</w:t>
      </w:r>
      <w:r w:rsidR="00E001C9">
        <w:t xml:space="preserve"> platná i</w:t>
      </w:r>
      <w:r w:rsidR="00380E94">
        <w:t xml:space="preserve"> za účinnosti NOZ</w:t>
      </w:r>
      <w:r w:rsidR="00E24395">
        <w:t>.</w:t>
      </w:r>
      <w:r w:rsidR="00531F75">
        <w:t xml:space="preserve"> V případě </w:t>
      </w:r>
      <w:r w:rsidR="00D707DE">
        <w:t>vedení ruky je však mým osobním názorem</w:t>
      </w:r>
      <w:r w:rsidR="00531F75">
        <w:t>, že by tento způsob pomoci měl zůs</w:t>
      </w:r>
      <w:r w:rsidR="00E122B8">
        <w:t>tat nedovoleným i přesto, že se NOZ hojně inspiruje OZO</w:t>
      </w:r>
      <w:r w:rsidR="00EE0CB8">
        <w:t>, který dle Roučkova komentáře</w:t>
      </w:r>
      <w:r w:rsidR="004847B0">
        <w:t xml:space="preserve"> (§ 578</w:t>
      </w:r>
      <w:r w:rsidR="00D707DE">
        <w:t>)</w:t>
      </w:r>
      <w:r w:rsidR="00EE0CB8">
        <w:t xml:space="preserve"> vedení ruky při podpisu závěti dovoloval</w:t>
      </w:r>
      <w:r w:rsidR="00E122B8">
        <w:t>.</w:t>
      </w:r>
    </w:p>
    <w:p w:rsidR="001B1CFD" w:rsidRDefault="001B1CFD" w:rsidP="0055270D">
      <w:pPr>
        <w:spacing w:line="360" w:lineRule="auto"/>
        <w:jc w:val="both"/>
      </w:pPr>
      <w:r>
        <w:tab/>
        <w:t>Druhou z esenciálních náležitostí</w:t>
      </w:r>
      <w:r w:rsidR="002A5FFC">
        <w:t xml:space="preserve"> holografní závěti</w:t>
      </w:r>
      <w:r w:rsidR="0005785D">
        <w:t xml:space="preserve"> je vlastnoruční podpis, který u</w:t>
      </w:r>
      <w:r w:rsidR="008C7180">
        <w:t xml:space="preserve">zavírá celou písemnost. Co je </w:t>
      </w:r>
      <w:r w:rsidR="0005785D">
        <w:t xml:space="preserve">psáno </w:t>
      </w:r>
      <w:r w:rsidR="008C7180">
        <w:t>pod podpisem se již nepovažuje za součást závěti, ledaže se jedná o datum, které se nachází v bezprostřední blízkosti podpisu.</w:t>
      </w:r>
      <w:r w:rsidR="00CB10E8">
        <w:rPr>
          <w:rStyle w:val="Znakapoznpodarou"/>
        </w:rPr>
        <w:footnoteReference w:id="121"/>
      </w:r>
      <w:r w:rsidR="00953EDF" w:rsidRPr="00953EDF">
        <w:t xml:space="preserve"> </w:t>
      </w:r>
      <w:r w:rsidR="00953EDF">
        <w:t>V případě, že je podepsána pouze první strana</w:t>
      </w:r>
      <w:r w:rsidR="003F3B12">
        <w:t>,</w:t>
      </w:r>
      <w:r w:rsidR="00953EDF">
        <w:t xml:space="preserve"> k následujícím str</w:t>
      </w:r>
      <w:r w:rsidR="009C64E6">
        <w:t>an</w:t>
      </w:r>
      <w:r w:rsidR="00953EDF">
        <w:t>á</w:t>
      </w:r>
      <w:r w:rsidR="00221695">
        <w:t>m</w:t>
      </w:r>
      <w:r w:rsidR="00A0687F">
        <w:t xml:space="preserve"> ne</w:t>
      </w:r>
      <w:r w:rsidR="00953EDF">
        <w:t>l</w:t>
      </w:r>
      <w:r w:rsidR="00A0687F">
        <w:t>z</w:t>
      </w:r>
      <w:r w:rsidR="00953EDF">
        <w:t>e přihlížet</w:t>
      </w:r>
      <w:r w:rsidR="003F3B12">
        <w:t xml:space="preserve">. Proto </w:t>
      </w:r>
      <w:r w:rsidR="00953EDF">
        <w:t>lze doporučit pod</w:t>
      </w:r>
      <w:r w:rsidR="003F3B12">
        <w:t xml:space="preserve">epsat každou stranu </w:t>
      </w:r>
      <w:r w:rsidR="00A0687F">
        <w:t xml:space="preserve">zvlášť </w:t>
      </w:r>
      <w:r w:rsidR="003F3B12">
        <w:t>nebo</w:t>
      </w:r>
      <w:r w:rsidR="00953EDF">
        <w:t xml:space="preserve"> strany očíslovat a spojit je do jedné listiny</w:t>
      </w:r>
      <w:r w:rsidR="00953EDF">
        <w:rPr>
          <w:rStyle w:val="Znakapoznpodarou"/>
        </w:rPr>
        <w:footnoteReference w:id="122"/>
      </w:r>
      <w:r w:rsidR="00953EDF">
        <w:t>.</w:t>
      </w:r>
      <w:r w:rsidR="007F3AF1">
        <w:rPr>
          <w:rStyle w:val="Znakapoznpodarou"/>
        </w:rPr>
        <w:footnoteReference w:id="123"/>
      </w:r>
      <w:r w:rsidR="008C7180">
        <w:t xml:space="preserve"> Zůstavitel se může podepsat několikerým způsobem. Mimo uvedení křestního jména a</w:t>
      </w:r>
      <w:r w:rsidR="007869B2">
        <w:t> </w:t>
      </w:r>
      <w:r w:rsidR="008C7180">
        <w:t>příjmení se lze podepsat pouze příjme</w:t>
      </w:r>
      <w:r w:rsidR="00ED035E">
        <w:t>ním či dokonce pouze křestním jménem</w:t>
      </w:r>
      <w:r w:rsidR="007F3AF1">
        <w:t xml:space="preserve"> a prvním písmenem svého příjmení, pokud zůstavitel pro tělesnou slabost nebyl schopen v podpisu pokračovat, přestože tak učinit chtěl a</w:t>
      </w:r>
      <w:r w:rsidR="00ED035E">
        <w:t xml:space="preserve"> </w:t>
      </w:r>
      <w:r w:rsidR="008C7180">
        <w:t>pokud o totožnosti zůstavitele není pochyb</w:t>
      </w:r>
      <w:r w:rsidR="007F3AF1">
        <w:t>.</w:t>
      </w:r>
      <w:r w:rsidR="008C7180">
        <w:rPr>
          <w:rStyle w:val="Znakapoznpodarou"/>
        </w:rPr>
        <w:footnoteReference w:id="124"/>
      </w:r>
      <w:r w:rsidR="00AA638D">
        <w:t xml:space="preserve"> Lze se podepsat i pseudonymem </w:t>
      </w:r>
      <w:r w:rsidR="00953EDF">
        <w:t>či parafou, avšak podpis nemůže</w:t>
      </w:r>
      <w:r w:rsidR="00EF7E09">
        <w:t xml:space="preserve"> být</w:t>
      </w:r>
      <w:r w:rsidR="00953EDF">
        <w:t xml:space="preserve"> vytvořen mechanickými prostředk</w:t>
      </w:r>
      <w:r w:rsidR="003F3B12">
        <w:t>y jako např. razítkem atp. Judikatura</w:t>
      </w:r>
      <w:r w:rsidR="00E16843">
        <w:rPr>
          <w:rStyle w:val="Znakapoznpodarou"/>
        </w:rPr>
        <w:footnoteReference w:id="125"/>
      </w:r>
      <w:r w:rsidR="003F3B12">
        <w:t xml:space="preserve"> </w:t>
      </w:r>
      <w:r w:rsidR="00EF7E09">
        <w:t xml:space="preserve">dále </w:t>
      </w:r>
      <w:r w:rsidR="003F3B12">
        <w:t>označuje za neplatný takový podpis, který neobsahuje ani jméno ani příjemní zůstavitele (např. Tvá Matka apod.)</w:t>
      </w:r>
      <w:r w:rsidR="00E16843">
        <w:t>.</w:t>
      </w:r>
      <w:r w:rsidR="003F3B12">
        <w:rPr>
          <w:rStyle w:val="Znakapoznpodarou"/>
        </w:rPr>
        <w:footnoteReference w:id="126"/>
      </w:r>
      <w:r w:rsidR="002F5C65">
        <w:t xml:space="preserve"> </w:t>
      </w:r>
      <w:r w:rsidR="00C20061">
        <w:t>Odlišný názor uvádí ve svém článku</w:t>
      </w:r>
      <w:r w:rsidR="00C20061">
        <w:rPr>
          <w:rStyle w:val="Znakapoznpodarou"/>
        </w:rPr>
        <w:footnoteReference w:id="127"/>
      </w:r>
      <w:r w:rsidR="00C20061">
        <w:t xml:space="preserve"> Karhanová</w:t>
      </w:r>
      <w:r w:rsidR="00935850">
        <w:t xml:space="preserve">, která tuto situaci srovnává s rozhodnutím KS v Brně, který rozhodoval o určitosti povolání dědiců formulací </w:t>
      </w:r>
      <w:r w:rsidR="00935850">
        <w:rPr>
          <w:i/>
        </w:rPr>
        <w:t>„svým dětem“</w:t>
      </w:r>
      <w:r w:rsidR="00935850">
        <w:t xml:space="preserve"> a dospěl k závěru, že neurčitým není</w:t>
      </w:r>
      <w:r w:rsidR="00C20061">
        <w:t>.</w:t>
      </w:r>
      <w:r w:rsidR="002F5C65">
        <w:t xml:space="preserve"> K této problematice se ve svém článku také vyjádřil Fekete, když k tomuto dodává, že v takovémto případě je nutné posoudit případ individuálně s přihlédnutím na všechny okolnosti sepsání závěti.</w:t>
      </w:r>
      <w:r w:rsidR="002F5C65">
        <w:rPr>
          <w:rStyle w:val="Znakapoznpodarou"/>
        </w:rPr>
        <w:footnoteReference w:id="128"/>
      </w:r>
    </w:p>
    <w:p w:rsidR="00E24395" w:rsidRDefault="00E24395" w:rsidP="0055270D">
      <w:pPr>
        <w:spacing w:line="360" w:lineRule="auto"/>
        <w:jc w:val="both"/>
      </w:pPr>
      <w:r>
        <w:lastRenderedPageBreak/>
        <w:tab/>
      </w:r>
      <w:r w:rsidR="00221695">
        <w:t xml:space="preserve">Za účinnosti OZ bylo datum nezbytnou součástí </w:t>
      </w:r>
      <w:r w:rsidR="0060296E">
        <w:t>všech typů závětí. Tento nedostatek způsoboval absolutní neplatnost, jak</w:t>
      </w:r>
      <w:r w:rsidR="007637B1">
        <w:t xml:space="preserve"> uváděl § 476 odst. </w:t>
      </w:r>
      <w:r w:rsidR="0060296E">
        <w:t>2 OZ</w:t>
      </w:r>
      <w:r w:rsidR="00221695">
        <w:t>.</w:t>
      </w:r>
      <w:r w:rsidR="009C64E6">
        <w:t xml:space="preserve"> Datum muselo být uvedeno v podobě označení konkrétní</w:t>
      </w:r>
      <w:r w:rsidR="0060296E">
        <w:t>ho dne</w:t>
      </w:r>
      <w:r w:rsidR="00194729">
        <w:t>,</w:t>
      </w:r>
      <w:r w:rsidR="0060296E">
        <w:t xml:space="preserve"> měsíce a roku a nebyla přípustn</w:t>
      </w:r>
      <w:r w:rsidR="005164D1">
        <w:t>á formulace, ze které datum pouze</w:t>
      </w:r>
      <w:r w:rsidR="0060296E">
        <w:t xml:space="preserve"> vyplývalo jako např</w:t>
      </w:r>
      <w:r w:rsidR="00A03671">
        <w:t>. „</w:t>
      </w:r>
      <w:r w:rsidR="0060296E">
        <w:t>v den mých padesátých narozenin“</w:t>
      </w:r>
      <w:r w:rsidR="00CD6CC4">
        <w:t>, což bylo přípustné u</w:t>
      </w:r>
      <w:r w:rsidR="007637B1">
        <w:t> </w:t>
      </w:r>
      <w:r w:rsidR="00CD6CC4">
        <w:t>občanského zákoníku z roku 1950</w:t>
      </w:r>
      <w:r w:rsidR="0060296E">
        <w:t>.</w:t>
      </w:r>
      <w:r w:rsidR="00685272">
        <w:t xml:space="preserve"> </w:t>
      </w:r>
      <w:r w:rsidR="00194729">
        <w:t>U holografní závěti bylo vyžadováno, aby i datum bylo napsáno vlastní rukou pod sankcí neplatnosti</w:t>
      </w:r>
      <w:r w:rsidR="00444C72">
        <w:t>, jak potvrdilo např. rozhodnutí</w:t>
      </w:r>
      <w:r w:rsidR="00444C72">
        <w:rPr>
          <w:rStyle w:val="Znakapoznpodarou"/>
        </w:rPr>
        <w:footnoteReference w:id="129"/>
      </w:r>
      <w:r w:rsidR="0000750F">
        <w:t xml:space="preserve"> N</w:t>
      </w:r>
      <w:r w:rsidR="00444C72">
        <w:t>ejvyššího soudu</w:t>
      </w:r>
      <w:r w:rsidR="00194729">
        <w:t>.</w:t>
      </w:r>
      <w:r w:rsidR="00515750" w:rsidRPr="00515750">
        <w:t xml:space="preserve"> </w:t>
      </w:r>
      <w:r w:rsidR="00515750">
        <w:t>Uvedení dne, měsíce a roku označovalo okamžik, kdy byla závěť zůstavitelem podepsána a nikoli sepsána. Zde došlo v OZ ke změně oproti střednímu kodexu, který hovořil o datu sepsání závěti, a který také zavedl datum jako jednu z povinných náležitostí.</w:t>
      </w:r>
      <w:r w:rsidR="00E31989">
        <w:rPr>
          <w:rStyle w:val="Znakapoznpodarou"/>
        </w:rPr>
        <w:footnoteReference w:id="130"/>
      </w:r>
      <w:r w:rsidR="00E4036D">
        <w:t xml:space="preserve"> Jak vyplývá z § 1494</w:t>
      </w:r>
      <w:r w:rsidR="00E3179F">
        <w:t xml:space="preserve"> odst. 1</w:t>
      </w:r>
      <w:r w:rsidR="00E4036D">
        <w:t xml:space="preserve"> NOZ se ohledně data p</w:t>
      </w:r>
      <w:r w:rsidR="00B41B18">
        <w:t>ři pořízení závěti navrací k nepovinnosti tohoto údaje tak</w:t>
      </w:r>
      <w:r w:rsidR="007D38EE">
        <w:t>,</w:t>
      </w:r>
      <w:r w:rsidR="00B41B18">
        <w:t xml:space="preserve"> jako tomu bylo</w:t>
      </w:r>
      <w:r w:rsidR="00E4036D">
        <w:t xml:space="preserve"> v OZO,</w:t>
      </w:r>
      <w:r w:rsidR="00B41B18">
        <w:t xml:space="preserve"> kde</w:t>
      </w:r>
      <w:r w:rsidR="00E4036D">
        <w:t xml:space="preserve"> datum </w:t>
      </w:r>
      <w:r w:rsidR="00B41B18">
        <w:t xml:space="preserve">bylo </w:t>
      </w:r>
      <w:r w:rsidR="00E4036D">
        <w:t>nepodstatnou náležitostí</w:t>
      </w:r>
      <w:r w:rsidR="00B41B18">
        <w:t>,</w:t>
      </w:r>
      <w:r w:rsidR="00E4036D">
        <w:t xml:space="preserve"> avšak uvedení dne, roku a místa se doporučovalo k zamezení </w:t>
      </w:r>
      <w:r w:rsidR="009710EA">
        <w:t>případných sporů.</w:t>
      </w:r>
      <w:r w:rsidR="007D38EE">
        <w:t xml:space="preserve"> K tomu nutno dodat, že není-li zřejmé, kdy byla závěť pořízena a pořídil-li zůstavitel více závětí, které si odporují nebo by jejich právní účinky záležely na určení doby jejího pořízení, byla by taková závěť neplatná. Uvedení data lze však vřele </w:t>
      </w:r>
      <w:r w:rsidR="00736BEF">
        <w:t>doporučit, protože doba</w:t>
      </w:r>
      <w:r w:rsidR="00D648F1">
        <w:t xml:space="preserve"> pořízení</w:t>
      </w:r>
      <w:r w:rsidR="000B2503">
        <w:t xml:space="preserve"> bude hrát významnou roli při hledání objektivní pravdy ve sporných případech. Pěcha ve svém článku</w:t>
      </w:r>
      <w:r w:rsidR="000B2503">
        <w:rPr>
          <w:rStyle w:val="Znakapoznpodarou"/>
        </w:rPr>
        <w:footnoteReference w:id="131"/>
      </w:r>
      <w:r w:rsidR="000B2503">
        <w:t xml:space="preserve"> udává jako jeden z možných příkladů situaci, kdy se dědic ze zákona bude na soudu žalobou domáhat určení neplatnosti závěti bez data z důvodu </w:t>
      </w:r>
      <w:r w:rsidR="00317073">
        <w:t>duševní poruchy</w:t>
      </w:r>
      <w:r w:rsidR="000B2503">
        <w:t xml:space="preserve"> zůstavitele v době pořízení.</w:t>
      </w:r>
      <w:r w:rsidR="008350E2">
        <w:t xml:space="preserve"> Jako další příklad lze uvést podobnou situaci s tím rozdílem, že místo duševní poruchy bude namítán nedos</w:t>
      </w:r>
      <w:r w:rsidR="00D648F1">
        <w:t>tatek věku resp. nesvéprávnost</w:t>
      </w:r>
      <w:r w:rsidR="008350E2">
        <w:t>.</w:t>
      </w:r>
    </w:p>
    <w:p w:rsidR="004847B0" w:rsidRDefault="004847B0" w:rsidP="0055270D">
      <w:pPr>
        <w:spacing w:line="360" w:lineRule="auto"/>
        <w:ind w:firstLine="708"/>
        <w:jc w:val="both"/>
      </w:pPr>
      <w:r>
        <w:t>Ustanovení §1533</w:t>
      </w:r>
      <w:r w:rsidR="00514ED6">
        <w:t xml:space="preserve"> NOZ</w:t>
      </w:r>
      <w:r>
        <w:t xml:space="preserve"> se</w:t>
      </w:r>
      <w:r w:rsidR="00B621C4">
        <w:t xml:space="preserve"> obsahově</w:t>
      </w:r>
      <w:r>
        <w:t xml:space="preserve"> v podstatě </w:t>
      </w:r>
      <w:r w:rsidR="00B621C4">
        <w:t xml:space="preserve">shoduje se zněním § 476a </w:t>
      </w:r>
      <w:r>
        <w:t xml:space="preserve">OZ. Vlastnoručnost napsání i podpisu zůstává a stejně tak </w:t>
      </w:r>
      <w:r w:rsidR="00514ED6">
        <w:t xml:space="preserve">není třeba k tomuto druhu pořízení žádných svědků. Jedinou výraznou změnou je tedy oproti předcházejícímu zákoníku v požadavku </w:t>
      </w:r>
      <w:r w:rsidR="00B621C4">
        <w:t>data. Před nástupem NOZ byla judikaturou</w:t>
      </w:r>
      <w:r w:rsidR="00514ED6">
        <w:t xml:space="preserve"> tato otázka vykládána velmi rigidně a závěť byla stižena neplatností i v případě, že údaj dne, měsíce a roku byl vyznačen, avšak pouze v úředním ověření</w:t>
      </w:r>
      <w:r w:rsidR="00F8193B">
        <w:t xml:space="preserve"> podpisu</w:t>
      </w:r>
      <w:r w:rsidR="00514ED6">
        <w:t>, přičemž zjevná vůle zůstavitele byla upozaděna</w:t>
      </w:r>
      <w:r w:rsidR="00F8193B">
        <w:rPr>
          <w:rStyle w:val="Znakapoznpodarou"/>
        </w:rPr>
        <w:footnoteReference w:id="132"/>
      </w:r>
      <w:r w:rsidR="00514ED6">
        <w:t>.</w:t>
      </w:r>
      <w:r w:rsidR="00B621C4">
        <w:t xml:space="preserve"> Nyní </w:t>
      </w:r>
      <w:r w:rsidR="00F8193B">
        <w:t>je možné pořídit i be</w:t>
      </w:r>
      <w:r w:rsidR="00B621C4">
        <w:t>z uveden</w:t>
      </w:r>
      <w:r w:rsidR="001974B0">
        <w:t xml:space="preserve">í data, ale jeho </w:t>
      </w:r>
      <w:r w:rsidR="00B621C4">
        <w:t>zanesení</w:t>
      </w:r>
      <w:r w:rsidR="00EF7E09">
        <w:t xml:space="preserve"> se výrazně doporučuje z důvodu</w:t>
      </w:r>
      <w:r w:rsidR="00F8193B">
        <w:t xml:space="preserve"> případných sporů.</w:t>
      </w:r>
    </w:p>
    <w:p w:rsidR="00F63177" w:rsidRDefault="006A177C" w:rsidP="007B331A">
      <w:pPr>
        <w:pStyle w:val="Nadpis3"/>
        <w:jc w:val="both"/>
      </w:pPr>
      <w:bookmarkStart w:id="22" w:name="_Toc415452776"/>
      <w:r>
        <w:lastRenderedPageBreak/>
        <w:t>5.1.2</w:t>
      </w:r>
      <w:r>
        <w:tab/>
      </w:r>
      <w:r w:rsidR="00F63177">
        <w:t>Al</w:t>
      </w:r>
      <w:r w:rsidR="000C675C">
        <w:t>l</w:t>
      </w:r>
      <w:r w:rsidR="00F63177">
        <w:t>ografní závěť</w:t>
      </w:r>
      <w:bookmarkEnd w:id="22"/>
    </w:p>
    <w:p w:rsidR="00D9758B" w:rsidRDefault="001C6F41" w:rsidP="0055270D">
      <w:pPr>
        <w:spacing w:line="360" w:lineRule="auto"/>
        <w:ind w:firstLine="708"/>
        <w:jc w:val="both"/>
      </w:pPr>
      <w:r>
        <w:t>Druhým typem soukromého pořízení je a</w:t>
      </w:r>
      <w:r w:rsidR="00045644">
        <w:t>l</w:t>
      </w:r>
      <w:r>
        <w:t xml:space="preserve">lografní </w:t>
      </w:r>
      <w:r w:rsidR="00045644">
        <w:t xml:space="preserve">závěť, kterou NOZ upravuje v ustanovení § 1534: </w:t>
      </w:r>
      <w:r w:rsidR="00045644">
        <w:rPr>
          <w:i/>
        </w:rPr>
        <w:t>Závěť, kterou zůstavitel nenapsal vlastní rukou, musí vlastní rukou podepsat a před dvěma svědky současně přítomnými výslovně prohlásit, že listina obsahuje jeho poslední vůli.</w:t>
      </w:r>
      <w:r w:rsidR="00045644">
        <w:t xml:space="preserve"> </w:t>
      </w:r>
      <w:r w:rsidR="004A1CB4">
        <w:t>Jak plyne ze zmíněného ustanovení</w:t>
      </w:r>
      <w:r w:rsidR="003A24AE">
        <w:t>,</w:t>
      </w:r>
      <w:r w:rsidR="004A1CB4">
        <w:t xml:space="preserve"> tento druh pořízení lze vytvořit jinak než vlastní rukou, tedy např. i</w:t>
      </w:r>
      <w:r w:rsidR="003A24AE">
        <w:t xml:space="preserve"> napsáním</w:t>
      </w:r>
      <w:r w:rsidR="004A1CB4">
        <w:t xml:space="preserve"> na stroji, počítači nebo cizím rukopisem. </w:t>
      </w:r>
      <w:r w:rsidR="00A95A03">
        <w:t>OZO vyžadoval pro allografní závěť podpis tří svědků, z nichž alespoň dva museli být současně přítomni, když zůstavitel</w:t>
      </w:r>
      <w:r w:rsidR="00CD2A3E">
        <w:t xml:space="preserve"> svědkům</w:t>
      </w:r>
      <w:r w:rsidR="00A95A03">
        <w:t xml:space="preserve"> výslovně projevoval, že spis obsahuje jeho poslední vůli.</w:t>
      </w:r>
      <w:r w:rsidR="00A95A03">
        <w:rPr>
          <w:rStyle w:val="Znakapoznpodarou"/>
        </w:rPr>
        <w:footnoteReference w:id="133"/>
      </w:r>
      <w:r w:rsidR="00A95A03">
        <w:t xml:space="preserve"> </w:t>
      </w:r>
      <w:r w:rsidR="00CD2A3E">
        <w:t>Střední kodex pro platnost tohoto úkonu požadoval podpisy už jen dvou svědků, přičemž byl zachován požadav</w:t>
      </w:r>
      <w:r w:rsidR="003A24AE">
        <w:t>ek jejich současné přítomnosti</w:t>
      </w:r>
      <w:r w:rsidR="00C94B03">
        <w:t xml:space="preserve"> při zůstavitelově prohlášení o</w:t>
      </w:r>
      <w:r w:rsidR="00E3179F">
        <w:t> </w:t>
      </w:r>
      <w:r w:rsidR="00C94B03">
        <w:t>tom, že listina obsahuje jeho poslední vůli.</w:t>
      </w:r>
      <w:r w:rsidR="00C94B03">
        <w:rPr>
          <w:rStyle w:val="Znakapoznpodarou"/>
        </w:rPr>
        <w:footnoteReference w:id="134"/>
      </w:r>
      <w:r w:rsidR="00C94B03">
        <w:t xml:space="preserve"> </w:t>
      </w:r>
      <w:r w:rsidR="004B4458">
        <w:t>V OZ úprava allografní závěti chyběla</w:t>
      </w:r>
      <w:r w:rsidR="00FF37F7">
        <w:t xml:space="preserve"> a</w:t>
      </w:r>
      <w:r w:rsidR="00E3179F">
        <w:t> </w:t>
      </w:r>
      <w:r w:rsidR="00FF37F7">
        <w:t>j</w:t>
      </w:r>
      <w:r w:rsidR="004B4458">
        <w:t>ediný</w:t>
      </w:r>
      <w:r w:rsidR="008F1DA8">
        <w:t xml:space="preserve">mi pořízeními, které tento občanský zákoník </w:t>
      </w:r>
      <w:r w:rsidR="00375F65">
        <w:t>rozeznával, byly</w:t>
      </w:r>
      <w:r w:rsidR="008F1DA8">
        <w:t xml:space="preserve"> zá</w:t>
      </w:r>
      <w:r w:rsidR="004B4458">
        <w:t>věť holografní</w:t>
      </w:r>
      <w:r w:rsidR="003A24AE">
        <w:t>,</w:t>
      </w:r>
      <w:r w:rsidR="004B4458">
        <w:t xml:space="preserve"> resp. ve formě notářského zápisu.</w:t>
      </w:r>
      <w:r w:rsidR="00375F65">
        <w:t xml:space="preserve"> Al</w:t>
      </w:r>
      <w:r w:rsidR="00FF37F7">
        <w:t xml:space="preserve">lografní závěť se do OZ dostala </w:t>
      </w:r>
      <w:r w:rsidR="00375F65">
        <w:t>až po novelizaci a to od roku 1992.</w:t>
      </w:r>
      <w:r w:rsidR="008F1DA8">
        <w:rPr>
          <w:rStyle w:val="Znakapoznpodarou"/>
        </w:rPr>
        <w:footnoteReference w:id="135"/>
      </w:r>
    </w:p>
    <w:p w:rsidR="00D9758B" w:rsidRDefault="00D9758B" w:rsidP="0055270D">
      <w:pPr>
        <w:spacing w:line="360" w:lineRule="auto"/>
        <w:ind w:firstLine="708"/>
        <w:jc w:val="both"/>
      </w:pPr>
      <w:r>
        <w:t>Jedním ze zásadních požadavků na platnost tohoto pořízení je výslovné prohlášení zůstavitele, že listina obsahuje jeho poslední vůli, čemuž musí být současně přítomni alespoň dva svědci.</w:t>
      </w:r>
      <w:r w:rsidR="005617B1">
        <w:t xml:space="preserve"> Takovéto prohlášení</w:t>
      </w:r>
      <w:r w:rsidR="00BE2304">
        <w:t xml:space="preserve"> nemusí být prov</w:t>
      </w:r>
      <w:r w:rsidR="00F27409">
        <w:t>edeno vyřčením zvláštní formule</w:t>
      </w:r>
      <w:r w:rsidR="00AA4C5F">
        <w:t>, musí být však výslovné</w:t>
      </w:r>
      <w:r w:rsidR="0058575F">
        <w:rPr>
          <w:rStyle w:val="Znakapoznpodarou"/>
        </w:rPr>
        <w:footnoteReference w:id="136"/>
      </w:r>
      <w:r w:rsidR="00F27409">
        <w:t>. OZO</w:t>
      </w:r>
      <w:r w:rsidR="00AA4C5F">
        <w:t xml:space="preserve"> ve svém ustanovení § 579 také trval na výslovném prohlášení, avšak judikaturou bylo několikrát připuštěno i potvrzení konkludentní </w:t>
      </w:r>
      <w:r w:rsidR="005C4BB4">
        <w:t>např.</w:t>
      </w:r>
      <w:r w:rsidR="005617B1">
        <w:t xml:space="preserve"> tím,</w:t>
      </w:r>
      <w:r w:rsidR="005C4BB4">
        <w:t xml:space="preserve"> že zůstavitelka souhlasně </w:t>
      </w:r>
      <w:r w:rsidR="005617B1">
        <w:t>pokývne a následně listinu podepíše</w:t>
      </w:r>
      <w:r w:rsidR="005C4BB4">
        <w:t xml:space="preserve"> po tom</w:t>
      </w:r>
      <w:r w:rsidR="003A24AE">
        <w:t>,</w:t>
      </w:r>
      <w:r w:rsidR="005C4BB4">
        <w:t xml:space="preserve"> co pisatel</w:t>
      </w:r>
      <w:r w:rsidR="00AA4C5F">
        <w:t xml:space="preserve"> allografní závěti</w:t>
      </w:r>
      <w:r w:rsidR="005C4BB4">
        <w:t xml:space="preserve"> prohlásil: „</w:t>
      </w:r>
      <w:r w:rsidR="000A1378">
        <w:rPr>
          <w:i/>
        </w:rPr>
        <w:t>Je-</w:t>
      </w:r>
      <w:r w:rsidR="005C4BB4">
        <w:rPr>
          <w:i/>
        </w:rPr>
        <w:t>li to správné, pak nechť to matka podepíše</w:t>
      </w:r>
      <w:r w:rsidR="005C4BB4">
        <w:t>“</w:t>
      </w:r>
      <w:r w:rsidR="005617B1">
        <w:t>.</w:t>
      </w:r>
      <w:r w:rsidR="00F050FC">
        <w:rPr>
          <w:rStyle w:val="Znakapoznpodarou"/>
        </w:rPr>
        <w:footnoteReference w:id="137"/>
      </w:r>
      <w:r w:rsidR="003A24AE">
        <w:t xml:space="preserve"> </w:t>
      </w:r>
      <w:r w:rsidR="00784969">
        <w:rPr>
          <w:rStyle w:val="Znakapoznpodarou"/>
        </w:rPr>
        <w:footnoteReference w:id="138"/>
      </w:r>
      <w:r w:rsidR="005C4BB4">
        <w:t xml:space="preserve"> Za účinnosti SOZ b</w:t>
      </w:r>
      <w:r w:rsidR="0081372B">
        <w:t>y však</w:t>
      </w:r>
      <w:r w:rsidR="005C4BB4">
        <w:t xml:space="preserve"> konkludentní prohlášení zůstavitele </w:t>
      </w:r>
      <w:r w:rsidR="00BE2304">
        <w:t>nebylo dostačující</w:t>
      </w:r>
      <w:r w:rsidR="005C4BB4">
        <w:t xml:space="preserve"> a závěť by byla neplatná.</w:t>
      </w:r>
      <w:r w:rsidR="0081372B">
        <w:rPr>
          <w:rStyle w:val="Znakapoznpodarou"/>
        </w:rPr>
        <w:footnoteReference w:id="139"/>
      </w:r>
      <w:r w:rsidR="00BE2304">
        <w:t xml:space="preserve"> </w:t>
      </w:r>
      <w:r w:rsidR="00AA4C5F">
        <w:t>Stejně tak se vyjádřil k požadavku výslovnosti v případě § 476b OZ Nejvyšší soud ve svém rozhodnutí.</w:t>
      </w:r>
      <w:r w:rsidR="00AA4C5F">
        <w:rPr>
          <w:rStyle w:val="Znakapoznpodarou"/>
        </w:rPr>
        <w:footnoteReference w:id="140"/>
      </w:r>
    </w:p>
    <w:p w:rsidR="00931F2D" w:rsidRDefault="00931F2D" w:rsidP="0055270D">
      <w:pPr>
        <w:spacing w:line="360" w:lineRule="auto"/>
        <w:ind w:firstLine="708"/>
        <w:jc w:val="both"/>
      </w:pPr>
      <w:r>
        <w:t xml:space="preserve">Svědkům závěti se v NOZ věnují ustanovení § 1539 a </w:t>
      </w:r>
      <w:r w:rsidR="003A24AE">
        <w:t xml:space="preserve">§ </w:t>
      </w:r>
      <w:r>
        <w:t>1540</w:t>
      </w:r>
      <w:r w:rsidR="008D76DA">
        <w:t xml:space="preserve">. První z nich uvádí, že svědci se zúčastní pořizování závěti takovým způsobem, aby byli s to potvrdit, že zůstavitel </w:t>
      </w:r>
      <w:r w:rsidR="008D76DA">
        <w:lastRenderedPageBreak/>
        <w:t>a</w:t>
      </w:r>
      <w:r w:rsidR="00E3179F">
        <w:t> </w:t>
      </w:r>
      <w:r w:rsidR="008D76DA">
        <w:t xml:space="preserve">pořizovatel jsou jedna a táž osoba. Z těchto slov zákona </w:t>
      </w:r>
      <w:r w:rsidR="00470D0D">
        <w:t>vyplývá co je jejich hlavním úkolem a dále</w:t>
      </w:r>
      <w:r w:rsidR="008D76DA">
        <w:t xml:space="preserve">, že ani jeden ze svědků allografní závěti nemusí znát samotný obsah pořízení, což je posun oproti úpravě obsažené v OZ, kde tento názor dovozovala </w:t>
      </w:r>
      <w:r w:rsidR="000A1378">
        <w:t>teorie</w:t>
      </w:r>
      <w:r w:rsidR="008F4916">
        <w:rPr>
          <w:rStyle w:val="Znakapoznpodarou"/>
        </w:rPr>
        <w:footnoteReference w:id="141"/>
      </w:r>
      <w:r w:rsidR="008D76DA">
        <w:t xml:space="preserve">. </w:t>
      </w:r>
      <w:r w:rsidR="000750D6">
        <w:t>Svědci se na listinu obsahující závěť podepíší a ke svému podpisu připojí doložku</w:t>
      </w:r>
      <w:r w:rsidR="000B57B6">
        <w:t xml:space="preserve"> </w:t>
      </w:r>
      <w:r w:rsidR="000750D6">
        <w:t xml:space="preserve">poukazující </w:t>
      </w:r>
      <w:r w:rsidR="000B57B6">
        <w:t>na jejich vlastnost svědků (např. „jako svědek“) a dále údaje, podle kterých je lze zjistit (např. jméno, příjmení, datum narození, adresa).</w:t>
      </w:r>
      <w:r w:rsidR="000750D6">
        <w:t xml:space="preserve"> </w:t>
      </w:r>
      <w:r w:rsidR="00E57A13">
        <w:t>Požadavek svědecké doložky a</w:t>
      </w:r>
      <w:r w:rsidR="00B42D21">
        <w:t xml:space="preserve"> dalších</w:t>
      </w:r>
      <w:r w:rsidR="00E57A13">
        <w:t xml:space="preserve"> údajů je však pouze pořádkový a nemá za následek neplatnost závěti</w:t>
      </w:r>
      <w:r w:rsidR="00B42D21">
        <w:t>.</w:t>
      </w:r>
      <w:r w:rsidR="00B42D21">
        <w:rPr>
          <w:rStyle w:val="Znakapoznpodarou"/>
        </w:rPr>
        <w:footnoteReference w:id="142"/>
      </w:r>
      <w:r w:rsidR="002700FA">
        <w:t xml:space="preserve"> V</w:t>
      </w:r>
      <w:r w:rsidR="00613F8C">
        <w:t> </w:t>
      </w:r>
      <w:r w:rsidR="00653832">
        <w:t>OZO nedostatek svědecké doložky</w:t>
      </w:r>
      <w:r w:rsidR="00613F8C">
        <w:t xml:space="preserve"> způsobil neplatnost závěti, což vyplývalo z § 579 resp.</w:t>
      </w:r>
      <w:r w:rsidR="00992562">
        <w:t xml:space="preserve"> </w:t>
      </w:r>
      <w:r w:rsidR="00613F8C">
        <w:t>§ 601 a to také potvrdil NS.</w:t>
      </w:r>
      <w:r w:rsidR="00613F8C">
        <w:rPr>
          <w:rStyle w:val="Znakapoznpodarou"/>
        </w:rPr>
        <w:footnoteReference w:id="143"/>
      </w:r>
      <w:r w:rsidR="00ED457C">
        <w:t xml:space="preserve"> </w:t>
      </w:r>
      <w:r w:rsidR="00E650C1">
        <w:t>Náležitosti, které jsou stanoveny zákonem, že zůstavitel se podepíše vlastní rukou, že také prohlásí, že listina obsahuje jeho poslední vůli, a že svědci listinu podepíší, se mohou stát v době právního jednání i v jiném pořadí, než se uvádí v příslušném ustanovení.</w:t>
      </w:r>
      <w:r w:rsidR="00E650C1">
        <w:rPr>
          <w:rStyle w:val="Znakapoznpodarou"/>
        </w:rPr>
        <w:footnoteReference w:id="144"/>
      </w:r>
      <w:r w:rsidR="00470D0D">
        <w:t xml:space="preserve"> </w:t>
      </w:r>
      <w:r w:rsidR="00ED457C">
        <w:t>Svědke</w:t>
      </w:r>
      <w:r w:rsidR="00653832">
        <w:t>m nemohou být osoby nesvéprávné</w:t>
      </w:r>
      <w:r w:rsidR="00ED457C">
        <w:t xml:space="preserve"> nebo osoby, které neznají jazyka nebo způsobu dorozumívání, v němž je projev vůle učiněn.</w:t>
      </w:r>
      <w:r w:rsidR="00763BA3">
        <w:t xml:space="preserve"> Dl</w:t>
      </w:r>
      <w:r w:rsidR="00CE066B">
        <w:t>e § 1540</w:t>
      </w:r>
      <w:r w:rsidR="00763BA3">
        <w:t xml:space="preserve"> </w:t>
      </w:r>
      <w:r w:rsidR="00CE066B">
        <w:t>dědic nebo odkazovník nemohou svědčit o tom, co se jim zůstavuje a stejně tak nemůže být svědkem osoba dědici nebo odkazovníku blízká</w:t>
      </w:r>
      <w:r w:rsidR="00ED04C9">
        <w:t xml:space="preserve"> nebo zaměstnanec dědice nebo odkazovníka</w:t>
      </w:r>
      <w:r w:rsidR="00CE066B">
        <w:t>. Pokud se tak stane, závěť nebude neplatná jako celek</w:t>
      </w:r>
      <w:r w:rsidR="00ED04C9">
        <w:t>,</w:t>
      </w:r>
      <w:r w:rsidR="00CE066B">
        <w:t xml:space="preserve"> ale pouze v té části, kde osoba není způsobilá svědčit</w:t>
      </w:r>
      <w:r w:rsidR="00D7573D">
        <w:t xml:space="preserve">, </w:t>
      </w:r>
      <w:r w:rsidR="004A73C8">
        <w:t>leda by závěť byla z jiných důvodů neplatná celá</w:t>
      </w:r>
      <w:r w:rsidR="00CE066B">
        <w:t>.</w:t>
      </w:r>
      <w:r w:rsidR="00CE066B">
        <w:rPr>
          <w:rStyle w:val="Znakapoznpodarou"/>
        </w:rPr>
        <w:footnoteReference w:id="145"/>
      </w:r>
      <w:r w:rsidR="009D2DB3">
        <w:t xml:space="preserve"> Taková část závěti však bude platnou, pokud zůstavitel jméno dědice resp. odkazovníka napíše vlastní rukou (nelze u notářského zápisu) nebo závěť potvrdí tři svědci.</w:t>
      </w:r>
      <w:r w:rsidR="00B46494">
        <w:t xml:space="preserve"> Závěť musí být zůstavitelem vlastnoručně podepsána (o tom viz podkapitola holografní závěť), k dovršení tohoto právního jednání však dochází až v okamžiku, kdy listinu podepíší svědci.</w:t>
      </w:r>
      <w:r w:rsidR="00B46494">
        <w:rPr>
          <w:rStyle w:val="Znakapoznpodarou"/>
        </w:rPr>
        <w:footnoteReference w:id="146"/>
      </w:r>
      <w:r w:rsidR="001021D8" w:rsidRPr="001021D8">
        <w:t xml:space="preserve"> </w:t>
      </w:r>
      <w:r w:rsidR="001021D8">
        <w:t>Mlčenlivost osob působících při pořizování závěti upravuje § 1550, který dává takovou povinnost pisateli, svědku, předčitateli, tlumočníkovi, schovateli a úřední osobě, ledaže je zřejmá jiná vůle zůstavitele. Ten kdo poruší mlčenlivost, odčiní zůstaviteli újmu, kterou mu tím způsobil.</w:t>
      </w:r>
    </w:p>
    <w:p w:rsidR="003D7E3A" w:rsidRDefault="003D7E3A" w:rsidP="0055270D">
      <w:pPr>
        <w:spacing w:line="360" w:lineRule="auto"/>
        <w:ind w:firstLine="708"/>
        <w:jc w:val="both"/>
      </w:pPr>
      <w:r>
        <w:t xml:space="preserve">Allografní závěť může být vyhotovena v jakémkoli jazyce, kterému zůstavitel rozumí. Spornou otázkou je, zda tento jazyk musí znát i svědci závěti. </w:t>
      </w:r>
      <w:r w:rsidR="001901A5">
        <w:t>Názory a výklad ustanovení o</w:t>
      </w:r>
      <w:r w:rsidR="00E3179F">
        <w:t> </w:t>
      </w:r>
      <w:r w:rsidR="001901A5">
        <w:t xml:space="preserve">nezpůsobilosti svědka pro jeho neznalost jazyka se liší. Muzikář zastává postoj, že svědek nemusí znát obsah závěti, ale vzhledem k ustanovení o nezpůsobilosti svědka při jeho </w:t>
      </w:r>
      <w:r w:rsidR="001901A5">
        <w:lastRenderedPageBreak/>
        <w:t>neznalosti jazyka, ve kterém je činěn projev vůle</w:t>
      </w:r>
      <w:r w:rsidR="00083E26">
        <w:t>,</w:t>
      </w:r>
      <w:r w:rsidR="001901A5">
        <w:t xml:space="preserve"> musí znát jazyk jakým je závěť napsána.</w:t>
      </w:r>
      <w:r w:rsidR="001901A5">
        <w:rPr>
          <w:rStyle w:val="Znakapoznpodarou"/>
        </w:rPr>
        <w:footnoteReference w:id="147"/>
      </w:r>
      <w:r w:rsidR="001901A5">
        <w:t xml:space="preserve"> </w:t>
      </w:r>
      <w:r w:rsidR="00083E26">
        <w:t>Jinak</w:t>
      </w:r>
      <w:r w:rsidR="001901A5">
        <w:t xml:space="preserve"> hodnotí situaci Bedná</w:t>
      </w:r>
      <w:r w:rsidR="00653832">
        <w:t>ř</w:t>
      </w:r>
      <w:r w:rsidR="000A1378">
        <w:t>,</w:t>
      </w:r>
      <w:r w:rsidR="00653832">
        <w:t xml:space="preserve"> </w:t>
      </w:r>
      <w:r w:rsidR="001901A5">
        <w:t>když tvrdí, že svědek nemusí znát jazyk závěti, pro</w:t>
      </w:r>
      <w:r w:rsidR="00425B98">
        <w:t>tože nemusí znát ani její obsah</w:t>
      </w:r>
      <w:r w:rsidR="00083E26">
        <w:t xml:space="preserve"> a požadavek znalosti jazyka se týká pouze prohlášení o tom, že listina obsahuje zůstavitelovu poslední vůli</w:t>
      </w:r>
      <w:r w:rsidR="00425B98">
        <w:t xml:space="preserve">. Odlišnost obou výkladů spočívá v interpretaci pojmu </w:t>
      </w:r>
      <w:r w:rsidR="00425B98" w:rsidRPr="00425B98">
        <w:rPr>
          <w:i/>
        </w:rPr>
        <w:t>projev vůle</w:t>
      </w:r>
      <w:r w:rsidR="00425B98">
        <w:t xml:space="preserve"> v konkrétním ustanovení o nezpůsobilosti svědků. Muzikář s pojmem projevu vůle spojuje závěť jako celek a proto dochází ke svému závěru o nutnosti </w:t>
      </w:r>
      <w:r w:rsidR="00083E26">
        <w:t>znalosti jazyka jakým je závěť psaná.</w:t>
      </w:r>
      <w:r w:rsidR="00083E26">
        <w:rPr>
          <w:rStyle w:val="Znakapoznpodarou"/>
        </w:rPr>
        <w:footnoteReference w:id="148"/>
      </w:r>
      <w:r w:rsidR="00083E26">
        <w:t xml:space="preserve"> Bednář projev vůle spojuje s výslovným potvrzením zůstavitele, že listina obsahuje jeho poslední vůli, a protože nemusí znát obsah závěti, nemusí znát ani jazyk a postačí tedy, pokud svědkové budou rozumět pouze zůstavitelovu projevu vůle o tom, že listina obsahuje jeho poslední vůli.</w:t>
      </w:r>
      <w:r w:rsidR="006F41EA">
        <w:t xml:space="preserve"> Osobně se kloním k interpretaci Bednáře.</w:t>
      </w:r>
    </w:p>
    <w:p w:rsidR="00F63177" w:rsidRDefault="004B4458" w:rsidP="0055270D">
      <w:pPr>
        <w:spacing w:line="360" w:lineRule="auto"/>
        <w:ind w:firstLine="708"/>
        <w:jc w:val="both"/>
      </w:pPr>
      <w:r>
        <w:t xml:space="preserve"> </w:t>
      </w:r>
      <w:r w:rsidR="00C76C12">
        <w:t>Znění § 1534</w:t>
      </w:r>
      <w:r w:rsidR="00D7573D">
        <w:t xml:space="preserve"> NOZ</w:t>
      </w:r>
      <w:r w:rsidR="00045644">
        <w:t xml:space="preserve"> </w:t>
      </w:r>
      <w:r w:rsidR="00C76C12">
        <w:t>o al</w:t>
      </w:r>
      <w:r w:rsidR="00D7573D">
        <w:t>l</w:t>
      </w:r>
      <w:r w:rsidR="00C76C12">
        <w:t xml:space="preserve">ografní závěti </w:t>
      </w:r>
      <w:r w:rsidR="00045644">
        <w:t>je téměř identické jako ustanovení § 476b OZ.</w:t>
      </w:r>
      <w:r w:rsidR="00D7573D">
        <w:t xml:space="preserve"> Změnou oproti OZ je výslovné zanesení svědecké doložky do ustanovení věnující se svědkům závěti, které má však pouze pořádkový charakter</w:t>
      </w:r>
      <w:r w:rsidR="00572DF3">
        <w:t>,</w:t>
      </w:r>
      <w:r w:rsidR="00D7573D">
        <w:t xml:space="preserve"> a které je tu zejména pro ochranu samotných svědků. Zásadní změnou je také fakt, že datum již nemusí být u závěti vždy uvedeno (o tom </w:t>
      </w:r>
      <w:r w:rsidR="00EA4DB3">
        <w:t>více v podkapitole</w:t>
      </w:r>
      <w:r w:rsidR="00D7573D">
        <w:t xml:space="preserve"> holografní závěť).</w:t>
      </w:r>
    </w:p>
    <w:p w:rsidR="00836E5F" w:rsidRDefault="006A177C" w:rsidP="007B331A">
      <w:pPr>
        <w:pStyle w:val="Nadpis3"/>
        <w:jc w:val="both"/>
      </w:pPr>
      <w:bookmarkStart w:id="23" w:name="_Toc415452777"/>
      <w:r>
        <w:t>5.1.3</w:t>
      </w:r>
      <w:r>
        <w:tab/>
      </w:r>
      <w:r w:rsidR="003F2F40">
        <w:t xml:space="preserve">Závěť nevidomých </w:t>
      </w:r>
      <w:r w:rsidR="00C527BB">
        <w:t>a osob se smyslovým postižením</w:t>
      </w:r>
      <w:bookmarkEnd w:id="23"/>
    </w:p>
    <w:p w:rsidR="00C527BB" w:rsidRDefault="00C527BB" w:rsidP="0055270D">
      <w:pPr>
        <w:spacing w:line="360" w:lineRule="auto"/>
        <w:jc w:val="both"/>
      </w:pPr>
      <w:r>
        <w:tab/>
      </w:r>
      <w:r w:rsidR="00476666">
        <w:t>Vedle obecné úpravy a</w:t>
      </w:r>
      <w:r w:rsidR="00021373">
        <w:t>ll</w:t>
      </w:r>
      <w:r w:rsidR="00572DF3">
        <w:t>ografní závěti</w:t>
      </w:r>
      <w:r w:rsidR="00476666">
        <w:t xml:space="preserve"> je v § 1535 a </w:t>
      </w:r>
      <w:r w:rsidR="00021373">
        <w:t xml:space="preserve">§ </w:t>
      </w:r>
      <w:r w:rsidR="00476666">
        <w:t>1536 zakotvena al</w:t>
      </w:r>
      <w:r w:rsidR="00021373">
        <w:t>l</w:t>
      </w:r>
      <w:r w:rsidR="00476666">
        <w:t>ografní závěť zvláštní, která je předepsána pro osoby s různým smyslovým postižením.</w:t>
      </w:r>
      <w:r w:rsidR="00B62F49">
        <w:t xml:space="preserve"> </w:t>
      </w:r>
      <w:r w:rsidR="0006301D">
        <w:t>V případě, že je zůstavitel nevidomý, svoji poslední vůli musí projevit před třemi současně přítomnými svědky a to v listině, která musí být nahlas přečtena svědkem, který závěť nepsal. Zůstavitel dále potvrdí, že listina obsahuje jeho poslední vůli. První odstavec § 1535 se tedy věnuje osobám, kterým závěť nemusí být tlumočena zvláštním způsobem dorozumívání.</w:t>
      </w:r>
      <w:r w:rsidR="000E1477">
        <w:t xml:space="preserve"> Tuto závěť může sepsat svědek nebo i jiná osoba, nikoli však předčitatel. Potvrzení zůstavitele, že listina obsahuje jeho poslední vůli pomocí slov, ze kterých to bude vyplývat a nemělo by jít pouze o</w:t>
      </w:r>
      <w:r w:rsidR="00E3179F">
        <w:t> </w:t>
      </w:r>
      <w:r w:rsidR="000E1477">
        <w:t>konkludentní jednání jako např. kývnutí. I nevidomý je osobou se smyslovým postižením, a</w:t>
      </w:r>
      <w:r w:rsidR="00E3179F">
        <w:t> </w:t>
      </w:r>
      <w:r w:rsidR="000E1477">
        <w:t>proto lze mít za to, že by mělo být vyhověno požadavkům uvedeným v § 1536 a v listině uvedeno, že zůstavitel nemůže číst</w:t>
      </w:r>
      <w:r w:rsidR="006329E5">
        <w:t>, údaj o osobě, která závěť napsala, údaj o tom, kdo závěť přečetl a také jakým způsobem zůstavitel potvrdil, že listina obsahuje jeho poslední vůli.</w:t>
      </w:r>
      <w:r w:rsidR="006329E5">
        <w:rPr>
          <w:rStyle w:val="Znakapoznpodarou"/>
        </w:rPr>
        <w:footnoteReference w:id="149"/>
      </w:r>
      <w:r w:rsidR="006329E5">
        <w:t xml:space="preserve"> Tuto listin</w:t>
      </w:r>
      <w:r w:rsidR="00CA0602">
        <w:t>u zůstavitel podepíše. Pokud není schopen psát, připojí místo podpisu vlastní</w:t>
      </w:r>
      <w:r w:rsidR="00DA1F4F">
        <w:t xml:space="preserve"> </w:t>
      </w:r>
      <w:r w:rsidR="00DA1F4F">
        <w:lastRenderedPageBreak/>
        <w:t>znamení</w:t>
      </w:r>
      <w:r w:rsidR="00CA0602">
        <w:t>, ke kterému jeden ze svědků připíše jméno zůstavitele.</w:t>
      </w:r>
      <w:r w:rsidR="00DA1F4F">
        <w:t xml:space="preserve"> Pakliže by</w:t>
      </w:r>
      <w:r w:rsidR="00A35EBF">
        <w:t xml:space="preserve"> zůstavitel nebyl schopen připojit ani vlastní znamení, je třeba k tomuto právnímu jednání využít závěť formou veřejné listiny. Listinu podepíší také svědci a ke svým podpisům připojí údaje, dle kterých je lze identifikovat, jak plyne z § 1539/1.</w:t>
      </w:r>
      <w:r w:rsidR="00A45E7E">
        <w:t xml:space="preserve"> Svědci i pisatel a předčitatel (nejsou-li též svědky) musí být celému tomuto právnímu jednání přítomni současně a nepřetržitě.</w:t>
      </w:r>
      <w:r w:rsidR="00A45E7E">
        <w:rPr>
          <w:rStyle w:val="Znakapoznpodarou"/>
        </w:rPr>
        <w:footnoteReference w:id="150"/>
      </w:r>
    </w:p>
    <w:p w:rsidR="00A35EBF" w:rsidRDefault="00A35EBF" w:rsidP="0055270D">
      <w:pPr>
        <w:spacing w:line="360" w:lineRule="auto"/>
        <w:jc w:val="both"/>
      </w:pPr>
      <w:r>
        <w:tab/>
        <w:t>Druhý odstavec § 1535 hovoří o ostatních osobách se smyslovým postižením, kdy zůstavitel nemůže číst nebo psát</w:t>
      </w:r>
      <w:r w:rsidR="00FF3E17">
        <w:t xml:space="preserve"> a obsah listiny mu musí být tlumočen zvláštním způsobem dorozumívání, který si zvolí. Slovní spojení „zvláštní způsob dorozumívání“ nahradilo</w:t>
      </w:r>
      <w:r w:rsidR="001D0990">
        <w:t xml:space="preserve"> v NOZ</w:t>
      </w:r>
      <w:r w:rsidR="006E1FD7">
        <w:t xml:space="preserve"> užší</w:t>
      </w:r>
      <w:r w:rsidR="00FF3E17">
        <w:t xml:space="preserve"> pojem </w:t>
      </w:r>
      <w:r w:rsidR="006E1FD7">
        <w:t>„znaková řeč“obsažený v § 476d OZ.</w:t>
      </w:r>
      <w:r w:rsidR="00BA0256">
        <w:rPr>
          <w:rStyle w:val="Znakapoznpodarou"/>
        </w:rPr>
        <w:footnoteReference w:id="151"/>
      </w:r>
      <w:r w:rsidR="006328F8">
        <w:t xml:space="preserve"> V takovém</w:t>
      </w:r>
      <w:r w:rsidR="006E4C36">
        <w:t>to případě jsou požadavky na toto právní jednání velmi podobné těm výše zmíněným. Zůstavitel také musí projevit svoji vůli před třemi současně přítomnými svědky, obsah listiny mu musí být tlumočen zvláštním způsobem dorozumívání, který si zvolí a to svědkem, který závěť nepsal.</w:t>
      </w:r>
      <w:r w:rsidR="0066379F">
        <w:t xml:space="preserve"> Dále zůstavitel prostřednictvím</w:t>
      </w:r>
      <w:r w:rsidR="006E4C36">
        <w:t xml:space="preserve"> z</w:t>
      </w:r>
      <w:r w:rsidR="0066379F">
        <w:t>voleného zvláštního způsobu dorozumívání potvrdí, že listina obsahuje jeho poslední vůli. Dalším požadavkem je uvedení skutečností, že zůstavitel nemůže číst nebo psát, údaje o osobě, která závěť napsala, údaje o osobě která závěť tlumočila, poté zaznamenání jakým způsobem zůstavitel potvrdil, že listina obsahuje jeho poslední vůli a také údaj o tom, že obsah listiny byl tlumočen zvláštním způsobem dorozumívání, který si zůstavitel zvolil a</w:t>
      </w:r>
      <w:r w:rsidR="00E3179F">
        <w:t> </w:t>
      </w:r>
      <w:r w:rsidR="0066379F">
        <w:t>o</w:t>
      </w:r>
      <w:r w:rsidR="00E3179F">
        <w:t> </w:t>
      </w:r>
      <w:r w:rsidR="0066379F">
        <w:t>jaký konkrétní zvláštní způsob dorozumívání šlo.</w:t>
      </w:r>
      <w:r w:rsidR="00885CF3">
        <w:t xml:space="preserve"> Listinu zůstavitel podepíše, nemůže-li psát, použije se § 1536/2, který odkazuje na § 563 a zůstavitel učiní na listině rukou nebo jinak </w:t>
      </w:r>
      <w:r w:rsidR="00472037">
        <w:t xml:space="preserve">vlastní </w:t>
      </w:r>
      <w:r w:rsidR="00885CF3">
        <w:t>znamení.</w:t>
      </w:r>
      <w:r w:rsidR="001E2C5C">
        <w:t xml:space="preserve"> </w:t>
      </w:r>
      <w:r w:rsidR="00885CF3">
        <w:t>Svědek k tomuto znamení připíše jméno zůstavitele a spolu s ostatními svědky závěť podepíše</w:t>
      </w:r>
      <w:r w:rsidR="00472037">
        <w:t xml:space="preserve"> a připojí údaje o své osobě</w:t>
      </w:r>
      <w:r w:rsidR="00885CF3">
        <w:t>.</w:t>
      </w:r>
      <w:r w:rsidR="00024C0A">
        <w:t xml:space="preserve"> V případě, že zůstavitel není s to učinit ani znamení dle § 563</w:t>
      </w:r>
      <w:r w:rsidR="00A216D3">
        <w:t>,</w:t>
      </w:r>
      <w:r w:rsidR="00024C0A">
        <w:t xml:space="preserve"> závěť musí být učiněna formou veřejné listiny.</w:t>
      </w:r>
      <w:r w:rsidR="00024C0A">
        <w:rPr>
          <w:rStyle w:val="Znakapoznpodarou"/>
        </w:rPr>
        <w:footnoteReference w:id="152"/>
      </w:r>
      <w:r w:rsidR="00BD7A1C">
        <w:t xml:space="preserve"> </w:t>
      </w:r>
      <w:r w:rsidR="00454827">
        <w:t>Vlastního znamení namísto podpisu nemůže využít osoba, která je písma znalá, leda by jí v tom bránil zdravotní stav.</w:t>
      </w:r>
      <w:r w:rsidR="00454827">
        <w:rPr>
          <w:rStyle w:val="Znakapoznpodarou"/>
        </w:rPr>
        <w:footnoteReference w:id="153"/>
      </w:r>
      <w:r w:rsidR="00454827">
        <w:t xml:space="preserve"> </w:t>
      </w:r>
      <w:r w:rsidR="00BD7A1C">
        <w:t>Pokud by byl zůstavitel analfabet a jinak byl zdráv, musí využít k pořízení závěti veřejnou listinu, jak stanovuje zákon.</w:t>
      </w:r>
      <w:r w:rsidR="00CC6FA0">
        <w:t xml:space="preserve"> Touto veřejnou listinou bude</w:t>
      </w:r>
      <w:r w:rsidR="00472037">
        <w:t xml:space="preserve"> nyní</w:t>
      </w:r>
      <w:r w:rsidR="00CC6FA0">
        <w:t xml:space="preserve"> notářský zápis, který je upraven v § 62 a násl. NŘ.</w:t>
      </w:r>
    </w:p>
    <w:p w:rsidR="000F093D" w:rsidRDefault="000F093D" w:rsidP="0055270D">
      <w:pPr>
        <w:spacing w:line="360" w:lineRule="auto"/>
        <w:jc w:val="both"/>
      </w:pPr>
      <w:r>
        <w:tab/>
      </w:r>
      <w:r w:rsidR="00472037">
        <w:t xml:space="preserve">Povinnosti a způsobilost svědků upravují ustanovení § 1539 a § 1540. Svědkem nemůže být osoba nesvéprávná, osoba neznalá jazyka nebo způsobu dorozumívání, v němž je </w:t>
      </w:r>
      <w:r w:rsidR="00472037">
        <w:lastRenderedPageBreak/>
        <w:t xml:space="preserve">projev vůle učiněn. </w:t>
      </w:r>
      <w:r w:rsidR="00B91D21">
        <w:t>Jak stanovuje § 1540</w:t>
      </w:r>
      <w:r w:rsidR="00C132F2">
        <w:t>,</w:t>
      </w:r>
      <w:r w:rsidR="00B91D21">
        <w:t xml:space="preserve"> d</w:t>
      </w:r>
      <w:r w:rsidR="00472037">
        <w:t>ále je nezpůsobilým svědkem dědic nebo odkazovník, osoba dědici nebo odkazovníku blízká nebo zaměstnanec dědice či odkazovníka, ledaže zůs</w:t>
      </w:r>
      <w:r w:rsidR="00B91D21">
        <w:t>tavitel napíše jejich jména vlastnoručně nebo pořízení potvrdí tři svědci</w:t>
      </w:r>
      <w:r w:rsidR="00472037">
        <w:t>.</w:t>
      </w:r>
      <w:r w:rsidR="00B91D21">
        <w:t xml:space="preserve"> Toto ustanovení dopadá i na vykonavatele závěti, pisatele, předčitatele, tlumočníka či úřední osobu.</w:t>
      </w:r>
      <w:r w:rsidR="00472037">
        <w:t xml:space="preserve"> Na rozdíl od al</w:t>
      </w:r>
      <w:r w:rsidR="00B91D21">
        <w:t>l</w:t>
      </w:r>
      <w:r w:rsidR="00472037">
        <w:t>ografní závěti obecné musí svědek u a</w:t>
      </w:r>
      <w:r w:rsidR="00B91D21">
        <w:t>l</w:t>
      </w:r>
      <w:r w:rsidR="00472037">
        <w:t>lografní závěti zvláštní znát obsah listiny</w:t>
      </w:r>
      <w:r w:rsidR="00AF2AC8">
        <w:t>, ale je vázán mlčenlivostí. Mlčenlivost osob působících při pořizování závěti upravuje § 1550, který dává takovou povinnost pisateli, svědku, předčitateli, tlumočníkovi, schovat</w:t>
      </w:r>
      <w:r w:rsidR="00DC23B8">
        <w:t>eli a</w:t>
      </w:r>
      <w:r w:rsidR="00E3179F">
        <w:t> </w:t>
      </w:r>
      <w:r w:rsidR="00AF2AC8">
        <w:t xml:space="preserve">úřední osobě, ledaže je zřejmá jiná vůle zůstavitele. </w:t>
      </w:r>
      <w:r w:rsidR="00123973">
        <w:t xml:space="preserve">Ten kdo poruší mlčenlivost, </w:t>
      </w:r>
      <w:r w:rsidR="00AF2AC8">
        <w:t>odč</w:t>
      </w:r>
      <w:r w:rsidR="00123973">
        <w:t xml:space="preserve">iní zůstaviteli újmu, kterou </w:t>
      </w:r>
      <w:r w:rsidR="00AF2AC8">
        <w:t xml:space="preserve">mu </w:t>
      </w:r>
      <w:r w:rsidR="00123973">
        <w:t>tím způsobil</w:t>
      </w:r>
      <w:r w:rsidR="00AF2AC8">
        <w:t>.</w:t>
      </w:r>
    </w:p>
    <w:p w:rsidR="00B91D21" w:rsidRDefault="00B91D21" w:rsidP="0055270D">
      <w:pPr>
        <w:spacing w:line="360" w:lineRule="auto"/>
        <w:jc w:val="both"/>
      </w:pPr>
      <w:r>
        <w:tab/>
      </w:r>
      <w:r w:rsidR="00D17EFE">
        <w:t>Úprava takto učiněného pořízení se téměř neliší</w:t>
      </w:r>
      <w:r w:rsidR="00DD5A3B">
        <w:t xml:space="preserve"> od úpravy obsažené v OZ. Jednou z mála změn je</w:t>
      </w:r>
      <w:r w:rsidR="00D17EFE">
        <w:t xml:space="preserve"> výměna slovního spojení „znaková řeč“ za širší pojem „zvláštní způsob dorozumívání“</w:t>
      </w:r>
      <w:r w:rsidR="001E2C5C">
        <w:t xml:space="preserve"> a dále</w:t>
      </w:r>
      <w:r w:rsidR="00DD5A3B">
        <w:t xml:space="preserve"> fakt</w:t>
      </w:r>
      <w:r w:rsidR="001E2C5C">
        <w:t xml:space="preserve">, </w:t>
      </w:r>
      <w:r w:rsidR="00032759">
        <w:t xml:space="preserve">že analfabet, který je </w:t>
      </w:r>
      <w:r w:rsidR="001E2C5C">
        <w:t>bez zdravotních potíží musí pořídit formou veřejné listiny.</w:t>
      </w:r>
    </w:p>
    <w:p w:rsidR="009054F2" w:rsidRPr="009054F2" w:rsidRDefault="006A177C" w:rsidP="007B331A">
      <w:pPr>
        <w:pStyle w:val="Nadpis2"/>
        <w:jc w:val="both"/>
      </w:pPr>
      <w:bookmarkStart w:id="24" w:name="_Toc415452778"/>
      <w:r>
        <w:t>5.2</w:t>
      </w:r>
      <w:r>
        <w:tab/>
      </w:r>
      <w:r w:rsidR="008741FC">
        <w:t>Závěti veřejné</w:t>
      </w:r>
      <w:bookmarkEnd w:id="24"/>
    </w:p>
    <w:p w:rsidR="00F63177" w:rsidRDefault="006A177C" w:rsidP="007B331A">
      <w:pPr>
        <w:pStyle w:val="Nadpis3"/>
        <w:jc w:val="both"/>
      </w:pPr>
      <w:bookmarkStart w:id="25" w:name="_Toc415452779"/>
      <w:r>
        <w:t>5.2.1</w:t>
      </w:r>
      <w:r>
        <w:tab/>
      </w:r>
      <w:r w:rsidR="00F63177">
        <w:t>Závěť formou veřejné listiny</w:t>
      </w:r>
      <w:bookmarkEnd w:id="25"/>
    </w:p>
    <w:p w:rsidR="00F63177" w:rsidRDefault="00334948" w:rsidP="00001044">
      <w:pPr>
        <w:spacing w:line="360" w:lineRule="auto"/>
        <w:ind w:firstLine="708"/>
        <w:jc w:val="both"/>
      </w:pPr>
      <w:r>
        <w:t>Jednou z dalších forem závěti je z</w:t>
      </w:r>
      <w:r w:rsidR="00370AC0">
        <w:t xml:space="preserve">ávěť </w:t>
      </w:r>
      <w:r>
        <w:t>ve formě</w:t>
      </w:r>
      <w:r w:rsidR="00370AC0">
        <w:t xml:space="preserve"> veřejné listiny</w:t>
      </w:r>
      <w:r>
        <w:t>, kterou NOZ</w:t>
      </w:r>
      <w:r w:rsidR="00370AC0">
        <w:t xml:space="preserve"> upravu</w:t>
      </w:r>
      <w:r>
        <w:t xml:space="preserve">je </w:t>
      </w:r>
      <w:r w:rsidR="00370AC0">
        <w:t>v § 1537</w:t>
      </w:r>
      <w:r w:rsidR="009A7051">
        <w:t xml:space="preserve">: </w:t>
      </w:r>
      <w:r>
        <w:rPr>
          <w:i/>
        </w:rPr>
        <w:t>Zůstavitel může projevit poslední vůli ve veřejné listině. Pořizuje-li závěť v této formě osoba nevidomá ne</w:t>
      </w:r>
      <w:r w:rsidR="00745D4D">
        <w:rPr>
          <w:i/>
        </w:rPr>
        <w:t>bo</w:t>
      </w:r>
      <w:r>
        <w:rPr>
          <w:i/>
        </w:rPr>
        <w:t xml:space="preserve"> osoba se smyslovým postižením, která nemůže číst nebo psát, použije se § 1535 obdobně</w:t>
      </w:r>
      <w:r w:rsidR="0062312D">
        <w:t>. Znění tohoto ustanovení</w:t>
      </w:r>
      <w:r w:rsidR="00745D4D">
        <w:t xml:space="preserve"> přejímá obsah úpravy</w:t>
      </w:r>
      <w:r>
        <w:t xml:space="preserve"> obsažené v </w:t>
      </w:r>
      <w:r w:rsidR="00745D4D">
        <w:t>§</w:t>
      </w:r>
      <w:r w:rsidR="00383943">
        <w:t> </w:t>
      </w:r>
      <w:r w:rsidR="00745D4D">
        <w:t xml:space="preserve">476d odst. 1 </w:t>
      </w:r>
      <w:r>
        <w:t>OZ.</w:t>
      </w:r>
      <w:r w:rsidR="0055270D">
        <w:t xml:space="preserve"> Ke změně došlo výměnou pojmu „notářský zápis“ obsaženého v OZ za pojem „veřejná listina“, se kterým pracuje NOZ. Poje</w:t>
      </w:r>
      <w:r w:rsidR="00070B16">
        <w:t>m veřejná listina je širší a také vhodnější ve vztahu k budoucnosti,</w:t>
      </w:r>
      <w:r w:rsidR="00F93153">
        <w:t xml:space="preserve"> kdy </w:t>
      </w:r>
      <w:r w:rsidR="00070B16">
        <w:t>by</w:t>
      </w:r>
      <w:r w:rsidR="00F93153">
        <w:t xml:space="preserve"> do této kategorie</w:t>
      </w:r>
      <w:r w:rsidR="00070B16">
        <w:t xml:space="preserve"> mohly</w:t>
      </w:r>
      <w:r w:rsidR="00F93153">
        <w:t xml:space="preserve"> spadat např. advokátní zápisy či</w:t>
      </w:r>
      <w:r w:rsidR="00070B16">
        <w:t xml:space="preserve"> jiné.</w:t>
      </w:r>
      <w:r w:rsidR="00715B01">
        <w:t xml:space="preserve"> Za současného stavu je však jedinou možností jak pořídit ve formě veřejné listiny notářský zápis, jak vyplývá z přechodného ustanovení § 3026 odst. 2.</w:t>
      </w:r>
    </w:p>
    <w:p w:rsidR="00715B01" w:rsidRDefault="00715B01" w:rsidP="0055270D">
      <w:pPr>
        <w:spacing w:line="360" w:lineRule="auto"/>
        <w:jc w:val="both"/>
      </w:pPr>
      <w:r>
        <w:tab/>
        <w:t xml:space="preserve">Notářský zápis upravuje notářský řád v ustanovení § </w:t>
      </w:r>
      <w:r w:rsidR="00213892">
        <w:t xml:space="preserve">62 a násl. Notářský zápis </w:t>
      </w:r>
      <w:r w:rsidR="006C0850">
        <w:t>o</w:t>
      </w:r>
      <w:r w:rsidR="00383943">
        <w:t> </w:t>
      </w:r>
      <w:r w:rsidR="006C0850">
        <w:t xml:space="preserve">pořízení závěti </w:t>
      </w:r>
      <w:r w:rsidR="00213892">
        <w:t xml:space="preserve">musí obsahovat místo, den, měsíc a rok právního jednání, </w:t>
      </w:r>
      <w:r w:rsidR="006C0850">
        <w:t>údaje o notáři,</w:t>
      </w:r>
      <w:r w:rsidR="00213892">
        <w:t xml:space="preserve"> </w:t>
      </w:r>
      <w:r w:rsidR="006C0850">
        <w:t>údaje o zůstaviteli, svědcích a tlumočnících, dále prohlášení zůstavitele, že je způsobilý samostatně právně jednat v rozsahu právního jednání, o kterém je notářský zápis, dále také údaj o prokázání totožnosti výše zmíněných osob nebo údaj o tom, že tyto osoby notář zná osobně, dále pak samotný obsah závěti a údaj o tom, že byl notá</w:t>
      </w:r>
      <w:r w:rsidR="0047363E">
        <w:t>řský zápis po přečtení schválen a</w:t>
      </w:r>
      <w:r w:rsidR="006C0850">
        <w:t xml:space="preserve"> podpisy výše zmíněných osob a notáře s otiskem úředního razítka.</w:t>
      </w:r>
      <w:r w:rsidR="002210C5">
        <w:t xml:space="preserve"> Notářský zápis musí mít i jiné náležitosti</w:t>
      </w:r>
      <w:r w:rsidR="00C132F2">
        <w:t>,</w:t>
      </w:r>
      <w:r w:rsidR="002210C5">
        <w:t xml:space="preserve"> jsou-li stanovené zákon</w:t>
      </w:r>
      <w:r w:rsidR="00C132F2">
        <w:t>em</w:t>
      </w:r>
      <w:r w:rsidR="002210C5">
        <w:t xml:space="preserve">. O takový případ se bude jednat např. </w:t>
      </w:r>
      <w:r w:rsidR="002210C5">
        <w:lastRenderedPageBreak/>
        <w:t>v situaci, kdy se touto formou rozhodne pořídit závěť osoba nevidomá nebo osoba se smysl</w:t>
      </w:r>
      <w:r w:rsidR="004A1EDC">
        <w:t>ovým postižením</w:t>
      </w:r>
      <w:r w:rsidR="002210C5">
        <w:t xml:space="preserve"> </w:t>
      </w:r>
      <w:r w:rsidR="00C132F2">
        <w:t xml:space="preserve">a </w:t>
      </w:r>
      <w:r w:rsidR="002210C5">
        <w:t>bude</w:t>
      </w:r>
      <w:r w:rsidR="004A1EDC">
        <w:t xml:space="preserve"> tedy</w:t>
      </w:r>
      <w:r w:rsidR="002210C5">
        <w:t xml:space="preserve"> nutné, aby notářský zápis obsahoval i údaje stanovené v</w:t>
      </w:r>
      <w:r w:rsidR="00383943">
        <w:t> </w:t>
      </w:r>
      <w:r w:rsidR="002210C5">
        <w:t>§</w:t>
      </w:r>
      <w:r w:rsidR="00383943">
        <w:t> </w:t>
      </w:r>
      <w:r w:rsidR="002210C5">
        <w:t>1535 a § 1536, o kterých bylo pojednáno v předchozí podkapitole.</w:t>
      </w:r>
      <w:r w:rsidR="004A1EDC">
        <w:t xml:space="preserve"> V případě, že by u</w:t>
      </w:r>
      <w:r w:rsidR="00383943">
        <w:t> </w:t>
      </w:r>
      <w:r w:rsidR="004A1EDC">
        <w:t>písemnosti sepiso</w:t>
      </w:r>
      <w:r w:rsidR="00C132F2">
        <w:t>vané jako notářský zápis chyběly</w:t>
      </w:r>
      <w:r w:rsidR="004A1EDC">
        <w:t xml:space="preserve"> takové náležitosti, které jsou nezbytnými náležitostmi notářských zápisů, nelze tuto písemnost považovat za notářský zápis.</w:t>
      </w:r>
      <w:r w:rsidR="004A1EDC">
        <w:rPr>
          <w:rStyle w:val="Znakapoznpodarou"/>
        </w:rPr>
        <w:footnoteReference w:id="154"/>
      </w:r>
    </w:p>
    <w:p w:rsidR="00713821" w:rsidRDefault="00001044" w:rsidP="0055270D">
      <w:pPr>
        <w:spacing w:line="360" w:lineRule="auto"/>
        <w:jc w:val="both"/>
      </w:pPr>
      <w:r>
        <w:tab/>
      </w:r>
      <w:r w:rsidR="006975DE">
        <w:t>Závěť s využitím notářského zápisu lze vřele doporučit i přesto, že na takové pořízení je třeba vynaložit ne zcela zanedbatelné finanční prostředky. Notář je nezávislým a</w:t>
      </w:r>
      <w:r w:rsidR="00383943">
        <w:t> </w:t>
      </w:r>
      <w:r w:rsidR="006975DE">
        <w:t>nestranným nositelem veřejné moci, odpovídá za nesprávnosti, kte</w:t>
      </w:r>
      <w:r w:rsidR="00C132F2">
        <w:t>ré by se v závěti mohly</w:t>
      </w:r>
      <w:r w:rsidR="004A1EDC">
        <w:t xml:space="preserve"> objevit. P</w:t>
      </w:r>
      <w:r w:rsidR="006975DE">
        <w:t>ovinností</w:t>
      </w:r>
      <w:r w:rsidR="004A1EDC">
        <w:t xml:space="preserve"> notáře je vložit</w:t>
      </w:r>
      <w:r w:rsidR="006975DE">
        <w:t xml:space="preserve"> pořízení</w:t>
      </w:r>
      <w:r w:rsidR="004A1EDC">
        <w:t xml:space="preserve"> pro případ smrti</w:t>
      </w:r>
      <w:r w:rsidR="006975DE">
        <w:t xml:space="preserve"> do centrální evidence pořízení pro případ smrti, což zajišťuje, že závěť bude po zůstavitelově smrti objevena a v dědickém řízení bude zjištěn její stav a obsah.</w:t>
      </w:r>
      <w:r w:rsidR="006975DE">
        <w:rPr>
          <w:rStyle w:val="Znakapoznpodarou"/>
        </w:rPr>
        <w:footnoteReference w:id="155"/>
      </w:r>
      <w:r w:rsidR="009A7051">
        <w:t xml:space="preserve"> Notář i zaměstnanci notáře musí dle NŘ zachovávat mlčenlivost</w:t>
      </w:r>
      <w:r w:rsidR="009F4506">
        <w:t xml:space="preserve"> o všech skutečnostech, o kterých se dozvěděli v souvislosti s notářskou činností</w:t>
      </w:r>
      <w:r w:rsidR="009A7051">
        <w:t xml:space="preserve"> a</w:t>
      </w:r>
      <w:r w:rsidR="00383943">
        <w:t> </w:t>
      </w:r>
      <w:r w:rsidR="009A7051">
        <w:t>to i potom, co byl výk</w:t>
      </w:r>
      <w:r w:rsidR="002D07E8">
        <w:t>on notářského úřadu</w:t>
      </w:r>
      <w:r w:rsidR="009A7051">
        <w:t xml:space="preserve"> ukončen</w:t>
      </w:r>
      <w:r w:rsidR="00C132F2">
        <w:t>,</w:t>
      </w:r>
      <w:r w:rsidR="009A7051">
        <w:t xml:space="preserve"> resp. ukončen pracovní poměr zaměstnance notáře.</w:t>
      </w:r>
      <w:r w:rsidR="00C132F2">
        <w:t xml:space="preserve"> Před sepsáním</w:t>
      </w:r>
      <w:r w:rsidR="009C56C6">
        <w:t xml:space="preserve"> závěti formou notářského zápisu je notář povinen se přesvědčit, že tento projev vůle se děje s rozvahou, vážně a bez donucení.</w:t>
      </w:r>
      <w:r w:rsidR="009C56C6">
        <w:rPr>
          <w:rStyle w:val="Znakapoznpodarou"/>
        </w:rPr>
        <w:footnoteReference w:id="156"/>
      </w:r>
    </w:p>
    <w:p w:rsidR="00713821" w:rsidRDefault="00713821" w:rsidP="0055270D">
      <w:pPr>
        <w:spacing w:line="360" w:lineRule="auto"/>
        <w:jc w:val="both"/>
      </w:pPr>
      <w:r>
        <w:tab/>
      </w:r>
      <w:r w:rsidR="004D4342">
        <w:t>Závěť ve formě veřejné listiny je povinnou formou pro osoby, které</w:t>
      </w:r>
      <w:r w:rsidR="00681BB5">
        <w:t xml:space="preserve"> dovršily patnáctý rok věku a</w:t>
      </w:r>
      <w:r w:rsidR="0062312D">
        <w:t xml:space="preserve"> nejsou plně svéprávné</w:t>
      </w:r>
      <w:r w:rsidR="001C6874">
        <w:t>. Plně svéprávným se člověk stává zletilostí, které se nabývá dovršením osmnáctého roku života. Dalšími způsoby jsou uzavření manželství před dosažením osmnáctého roku věku anebo přiz</w:t>
      </w:r>
      <w:r w:rsidR="00681BB5">
        <w:t>nání</w:t>
      </w:r>
      <w:r w:rsidR="001143BF">
        <w:t>m</w:t>
      </w:r>
      <w:r w:rsidR="00681BB5">
        <w:t xml:space="preserve"> svéprávnosti</w:t>
      </w:r>
      <w:r w:rsidR="001143BF">
        <w:t xml:space="preserve"> </w:t>
      </w:r>
      <w:r w:rsidR="00681BB5">
        <w:t>emancipac</w:t>
      </w:r>
      <w:r w:rsidR="001143BF">
        <w:t>í</w:t>
      </w:r>
      <w:r w:rsidR="001C6874">
        <w:t>.</w:t>
      </w:r>
      <w:r w:rsidR="00681BB5">
        <w:t xml:space="preserve"> Tyto dva způsoby však mů</w:t>
      </w:r>
      <w:r w:rsidR="001C6874">
        <w:t>že realizovat pouze osoba, která dosáhla alespoň šestnácti let věku.</w:t>
      </w:r>
    </w:p>
    <w:p w:rsidR="00966C42" w:rsidRPr="00334948" w:rsidRDefault="00681BB5" w:rsidP="0055270D">
      <w:pPr>
        <w:spacing w:line="360" w:lineRule="auto"/>
        <w:jc w:val="both"/>
      </w:pPr>
      <w:r>
        <w:tab/>
        <w:t>Povinné pořízení prostřednictvím veřejné listiny</w:t>
      </w:r>
      <w:r w:rsidR="006204DB">
        <w:t xml:space="preserve"> dopadá také na osoby, které byly ve svéprávnosti omezeny a mohou pořizovat v rámci omezení. Jak bylo uvedeno v kapitole pořizovací způsobilost, osoba, která byla ve svéprávnosti omezena, může formou veřejné listiny pořídit, jen pokud nebyla omezena i v pořizovací způsobilosti. Jedinou výjimkou je pak odkázání předmětů malé hodnoty, jak plyne z § 1595. Povinně pořizuje formou veřejné listiny také osoba, která neumí číst a psát a není s to se podepsat ani učinit </w:t>
      </w:r>
      <w:r w:rsidR="00A075BA">
        <w:t>vlastní zn</w:t>
      </w:r>
      <w:r w:rsidR="007F2CF7">
        <w:t>amení rukou nebo jiným způsobem, což bylo popsáno v předchozí podkapitole.</w:t>
      </w:r>
    </w:p>
    <w:p w:rsidR="00966C42" w:rsidRDefault="006A177C" w:rsidP="007B331A">
      <w:pPr>
        <w:pStyle w:val="Nadpis2"/>
      </w:pPr>
      <w:bookmarkStart w:id="26" w:name="_Toc415452780"/>
      <w:r>
        <w:lastRenderedPageBreak/>
        <w:t>5.3</w:t>
      </w:r>
      <w:r>
        <w:tab/>
      </w:r>
      <w:r w:rsidR="00966C42">
        <w:t>Závěti s úlevami</w:t>
      </w:r>
      <w:bookmarkEnd w:id="26"/>
    </w:p>
    <w:p w:rsidR="000648BB" w:rsidRDefault="00966C42" w:rsidP="007B331A">
      <w:pPr>
        <w:spacing w:line="360" w:lineRule="auto"/>
        <w:ind w:firstLine="708"/>
        <w:jc w:val="both"/>
      </w:pPr>
      <w:r>
        <w:t xml:space="preserve">Závěti s úlevami </w:t>
      </w:r>
      <w:r w:rsidR="004230C1">
        <w:t>nebo</w:t>
      </w:r>
      <w:r w:rsidR="005224C3">
        <w:t>li privilegované</w:t>
      </w:r>
      <w:r>
        <w:t xml:space="preserve"> závěti se do tuzemského dědického práva</w:t>
      </w:r>
      <w:r w:rsidR="005224C3">
        <w:t xml:space="preserve"> po delší době</w:t>
      </w:r>
      <w:r>
        <w:t xml:space="preserve"> opět navrací. </w:t>
      </w:r>
      <w:r w:rsidR="005224C3">
        <w:t>Naposledy tomu tak na našem území bylo z</w:t>
      </w:r>
      <w:r w:rsidR="001143BF">
        <w:t xml:space="preserve">a účinnosti OZO, </w:t>
      </w:r>
      <w:r w:rsidR="00CB6F79">
        <w:t>který rozeznáva</w:t>
      </w:r>
      <w:r w:rsidR="005224C3">
        <w:t>l</w:t>
      </w:r>
      <w:r w:rsidR="00CB6F79">
        <w:t xml:space="preserve"> tři druhy privilegovaných pořízení a to taková, která byla zřízena za plavby lodí</w:t>
      </w:r>
      <w:r w:rsidR="00CB6F79">
        <w:rPr>
          <w:rStyle w:val="Znakapoznpodarou"/>
        </w:rPr>
        <w:footnoteReference w:id="157"/>
      </w:r>
      <w:r w:rsidR="00CB6F79">
        <w:t>, dále pořízení učiněná na místech, kde panuje mor či jiná epidemie</w:t>
      </w:r>
      <w:r w:rsidR="00591CB3">
        <w:t xml:space="preserve">, o jejíž nakažlivosti panuje obecné </w:t>
      </w:r>
      <w:r w:rsidR="004230C1">
        <w:t>přesvědčení a je nerozhodné</w:t>
      </w:r>
      <w:r w:rsidR="001143BF">
        <w:t>,</w:t>
      </w:r>
      <w:r w:rsidR="004230C1">
        <w:t xml:space="preserve"> zda</w:t>
      </w:r>
      <w:r w:rsidR="00591CB3">
        <w:t>li je vědecky podložené či nikoli</w:t>
      </w:r>
      <w:r w:rsidR="00CB6F79">
        <w:t xml:space="preserve"> a naposledy pořízení vojenské.</w:t>
      </w:r>
      <w:r w:rsidR="00CB6F79">
        <w:rPr>
          <w:rStyle w:val="Znakapoznpodarou"/>
        </w:rPr>
        <w:footnoteReference w:id="158"/>
      </w:r>
      <w:r w:rsidR="00395714">
        <w:t xml:space="preserve"> SOZ privilegovaný testament nepřejal</w:t>
      </w:r>
      <w:r w:rsidR="002F1024">
        <w:t xml:space="preserve"> a stejně se</w:t>
      </w:r>
      <w:r w:rsidR="004230C1">
        <w:t xml:space="preserve"> k této formě postavil i</w:t>
      </w:r>
      <w:r w:rsidR="00383943">
        <w:t> </w:t>
      </w:r>
      <w:r w:rsidR="004230C1">
        <w:t>OZ. Nový občanský zákoník</w:t>
      </w:r>
      <w:r w:rsidR="002F1024">
        <w:t xml:space="preserve"> privilegované pořízení upravuje v § 1542</w:t>
      </w:r>
      <w:r w:rsidR="00383943">
        <w:t xml:space="preserve"> </w:t>
      </w:r>
      <w:r w:rsidR="002F1024">
        <w:t>-</w:t>
      </w:r>
      <w:r w:rsidR="00383943">
        <w:t xml:space="preserve"> </w:t>
      </w:r>
      <w:r w:rsidR="002F1024">
        <w:t>154</w:t>
      </w:r>
      <w:r w:rsidR="007709DA">
        <w:t xml:space="preserve">9. </w:t>
      </w:r>
      <w:r w:rsidR="009D279A">
        <w:t>Závěť dle §</w:t>
      </w:r>
      <w:r w:rsidR="00383943">
        <w:t> </w:t>
      </w:r>
      <w:r w:rsidR="009D279A">
        <w:t xml:space="preserve">1542 řadíme do soukromých pořízení a ostatní privilegované závěti do veřejných pořízení. </w:t>
      </w:r>
      <w:r w:rsidR="00616629">
        <w:t>Zdrojem inspirací pro úpravu závěti s úlevami v NOZ byly zejména občanské zákoníky Rakouska, Švýcarska, Německa, Polska, Nizozemska a Itálie.</w:t>
      </w:r>
      <w:r w:rsidR="00616629">
        <w:rPr>
          <w:rStyle w:val="Znakapoznpodarou"/>
        </w:rPr>
        <w:footnoteReference w:id="159"/>
      </w:r>
    </w:p>
    <w:p w:rsidR="009D279A" w:rsidRDefault="006A177C" w:rsidP="007B331A">
      <w:pPr>
        <w:pStyle w:val="Nadpis3"/>
      </w:pPr>
      <w:bookmarkStart w:id="27" w:name="_Toc415452781"/>
      <w:r>
        <w:t>5.3.1</w:t>
      </w:r>
      <w:r>
        <w:tab/>
      </w:r>
      <w:r w:rsidR="009D279A">
        <w:t>Závěť při nenadálé události</w:t>
      </w:r>
      <w:bookmarkEnd w:id="27"/>
    </w:p>
    <w:p w:rsidR="000D5CB3" w:rsidRDefault="009D279A" w:rsidP="000D5CB3">
      <w:pPr>
        <w:spacing w:line="360" w:lineRule="auto"/>
        <w:ind w:firstLine="708"/>
        <w:jc w:val="both"/>
      </w:pPr>
      <w:r>
        <w:tab/>
      </w:r>
      <w:r w:rsidR="002B2412">
        <w:t xml:space="preserve">Závěť při nenadálé události upravuje § 1542 NOZ. </w:t>
      </w:r>
      <w:r w:rsidR="000D5CB3">
        <w:t>Obsahem blízké ustanovení se nacházelo v § 597 OZO, které připouštělo privilegovanou závěť učiněnou za plavby lodí (o</w:t>
      </w:r>
      <w:r w:rsidR="00AE01B8">
        <w:t> </w:t>
      </w:r>
      <w:r w:rsidR="000D5CB3">
        <w:t>tom v samostatné podkapitole) a tam, kde panoval mor či jiné sdělné nemoci. Při výkladu výrazu mor a jiné sdělné nemoci měla význam nejen lékařská zkušenost a terminologie, ale také obecně panující přesvědčení o povaze nemoci vyvolávající hrůzu.</w:t>
      </w:r>
      <w:r w:rsidR="000D5CB3">
        <w:rPr>
          <w:rStyle w:val="Znakapoznpodarou"/>
        </w:rPr>
        <w:footnoteReference w:id="160"/>
      </w:r>
      <w:r w:rsidR="000D5CB3">
        <w:t xml:space="preserve"> Avšak sporadický výskyt nakažlivých a třeba i smrtelně probíhajících nemocí (černé neštovice) neodůvodňují použití ustanovení o privilegované závěti.</w:t>
      </w:r>
      <w:r w:rsidR="000D5CB3">
        <w:rPr>
          <w:rStyle w:val="Znakapoznpodarou"/>
        </w:rPr>
        <w:footnoteReference w:id="161"/>
      </w:r>
    </w:p>
    <w:p w:rsidR="001647E0" w:rsidRDefault="000D5CB3" w:rsidP="000D5CB3">
      <w:pPr>
        <w:spacing w:line="360" w:lineRule="auto"/>
        <w:ind w:firstLine="708"/>
        <w:jc w:val="both"/>
      </w:pPr>
      <w:r>
        <w:t>U</w:t>
      </w:r>
      <w:r w:rsidR="002B2412">
        <w:t>stanovení</w:t>
      </w:r>
      <w:r>
        <w:t xml:space="preserve"> § 1542</w:t>
      </w:r>
      <w:r w:rsidR="002B2412">
        <w:t xml:space="preserve"> činí výjimku z jinak obligatorní písemné formy závěti a zůstaviteli umožňuje pořídit ústně. Rozlišujeme dvě kategorie, kdy je tento způsob pořízení přípustný. První z nich </w:t>
      </w:r>
      <w:r w:rsidR="00AA18BF">
        <w:t xml:space="preserve">je </w:t>
      </w:r>
      <w:r w:rsidR="002B2412">
        <w:t>možnost zůstavitele pořídit ústně před třemi současně přítomnými svědky pro patrné a bezprostřední ohrožení života v důsledku nenadálé události.</w:t>
      </w:r>
      <w:r w:rsidR="00AA18BF">
        <w:t xml:space="preserve"> Příklade</w:t>
      </w:r>
      <w:r w:rsidR="00937832">
        <w:t>m takové situace může být těžký úraz či nenadálé vážné onemocnění.</w:t>
      </w:r>
      <w:r w:rsidR="003F4D0A">
        <w:t xml:space="preserve"> </w:t>
      </w:r>
      <w:r w:rsidR="00D81D08">
        <w:t>Stejné právo má zůstavitel v případě druhé kategorie, která</w:t>
      </w:r>
      <w:r w:rsidR="003F4D0A">
        <w:t xml:space="preserve"> s</w:t>
      </w:r>
      <w:r w:rsidR="00D81D08">
        <w:t xml:space="preserve">e týká místa </w:t>
      </w:r>
      <w:r w:rsidR="00B72DC7">
        <w:t xml:space="preserve">jeho </w:t>
      </w:r>
      <w:r w:rsidR="00D81D08">
        <w:t>výskytu</w:t>
      </w:r>
      <w:r w:rsidR="00B72DC7">
        <w:t xml:space="preserve"> a to sice tam, kde je společenský styk ochromen následkem mimořádné události</w:t>
      </w:r>
      <w:r w:rsidR="00145B3F">
        <w:t xml:space="preserve"> a po zůstaviteli nelze rozumně požadovat, aby </w:t>
      </w:r>
      <w:r w:rsidR="00145B3F">
        <w:lastRenderedPageBreak/>
        <w:t>pořídil v jiné formě</w:t>
      </w:r>
      <w:r w:rsidR="00D93BF6">
        <w:t>.</w:t>
      </w:r>
      <w:r w:rsidR="00277873" w:rsidRPr="00277873">
        <w:t xml:space="preserve"> </w:t>
      </w:r>
      <w:r w:rsidR="00277873">
        <w:t>Pokud zůstavi</w:t>
      </w:r>
      <w:r w:rsidR="00AE01B8">
        <w:t xml:space="preserve">tel pořídil ústně dle § 1542, i </w:t>
      </w:r>
      <w:r w:rsidR="00277873">
        <w:t>když mohl pořídit jinou formou, lze mít za to, že ústní závěť nebude považována za neplatnou.</w:t>
      </w:r>
      <w:r w:rsidR="00D93BF6">
        <w:rPr>
          <w:rStyle w:val="Znakapoznpodarou"/>
        </w:rPr>
        <w:footnoteReference w:id="162"/>
      </w:r>
      <w:r w:rsidR="00145B3F">
        <w:t xml:space="preserve"> Úprava byla zvolena široce a obecně a k příkladným výčtům, jako to činí třeba rakouský </w:t>
      </w:r>
      <w:r w:rsidR="0092799F">
        <w:t>či jiné evropské občanské</w:t>
      </w:r>
      <w:r w:rsidR="00145B3F">
        <w:t xml:space="preserve"> zákoník</w:t>
      </w:r>
      <w:r w:rsidR="0092799F">
        <w:t>y</w:t>
      </w:r>
      <w:r w:rsidR="00145B3F">
        <w:t>, se neuchyluje. Mezi nejfrekventovanější případy patří válečné události, epidemie či přírodní katastrofy</w:t>
      </w:r>
      <w:r w:rsidR="00475F9E">
        <w:t>.</w:t>
      </w:r>
      <w:r w:rsidR="00475F9E">
        <w:rPr>
          <w:rStyle w:val="Znakapoznpodarou"/>
        </w:rPr>
        <w:footnoteReference w:id="163"/>
      </w:r>
      <w:r w:rsidR="00AF4212">
        <w:t xml:space="preserve"> </w:t>
      </w:r>
    </w:p>
    <w:p w:rsidR="00CF6352" w:rsidRDefault="008B3CD9" w:rsidP="00277873">
      <w:pPr>
        <w:spacing w:line="360" w:lineRule="auto"/>
        <w:jc w:val="both"/>
      </w:pPr>
      <w:r>
        <w:tab/>
        <w:t>Svědkové závěti musí být současně přítomni, avšak o svém jednání nemusí pořídit záznam. Vytvoření lze však doporučit i s případným podpisem zůstavitele a svědků</w:t>
      </w:r>
      <w:r w:rsidR="001143BF">
        <w:t>,</w:t>
      </w:r>
      <w:r>
        <w:t xml:space="preserve"> je-li to možné. § 1542 odst. 2 uvádí, že pokud svědkové nepořídí záznam o zůstavitelově poslední vůli, bude důvodem dědické posloupnosti výslech svědků dle § </w:t>
      </w:r>
      <w:r w:rsidR="00E43221">
        <w:t>145 ZŘS</w:t>
      </w:r>
      <w:r w:rsidR="001143BF">
        <w:t>. Šešina a Wawerka</w:t>
      </w:r>
      <w:r w:rsidR="00E43221">
        <w:t xml:space="preserve"> však v komentáři k NOZ upozorňují n</w:t>
      </w:r>
      <w:r w:rsidR="001143BF">
        <w:t>a nepřesnost obsaženou v</w:t>
      </w:r>
      <w:r w:rsidR="00AE01B8">
        <w:t> </w:t>
      </w:r>
      <w:r w:rsidR="001143BF">
        <w:t>zákoně</w:t>
      </w:r>
      <w:r w:rsidR="00AE01B8">
        <w:t>,</w:t>
      </w:r>
      <w:r w:rsidR="00E43221">
        <w:t xml:space="preserve"> když uvádí, že důvodem dědické posloupnosti nebude soudní protokol o výslechu svědků, nýbrž ústní závěť, o jejímž obsahu svědčí soudní protokol o výslechu svědků.</w:t>
      </w:r>
      <w:r w:rsidR="00E43221">
        <w:rPr>
          <w:rStyle w:val="Znakapoznpodarou"/>
        </w:rPr>
        <w:footnoteReference w:id="164"/>
      </w:r>
      <w:r w:rsidR="00E43221">
        <w:t xml:space="preserve"> </w:t>
      </w:r>
      <w:r w:rsidR="003262AC">
        <w:t>Pokud zůstavitel pořídil ústně, bude v dědickém řízení vždy nařízeno jednání, aby mohl být zjištěn stav a obsah závěti. Toto jednání bude navíc veřejné a za této situace tak bude prolomena zásada neveřejnosti projednání pozůstalosti.</w:t>
      </w:r>
      <w:r w:rsidR="003262AC">
        <w:rPr>
          <w:rStyle w:val="Znakapoznpodarou"/>
        </w:rPr>
        <w:footnoteReference w:id="165"/>
      </w:r>
      <w:r w:rsidR="001143BF">
        <w:t xml:space="preserve"> Svědkem</w:t>
      </w:r>
      <w:r w:rsidR="00A75981">
        <w:t xml:space="preserve"> tohoto pořízení může být i osoba, která dosáhla alespoň patnácti let a také osoba, která byla ve svéprávnosti omezena, ale je s to věrohodně popsat skutečnosti významné pro platnost závěti.</w:t>
      </w:r>
      <w:r w:rsidR="00534A63">
        <w:t xml:space="preserve"> </w:t>
      </w:r>
    </w:p>
    <w:p w:rsidR="0078365A" w:rsidRPr="0078365A" w:rsidRDefault="00C659DD" w:rsidP="00277873">
      <w:pPr>
        <w:spacing w:line="360" w:lineRule="auto"/>
        <w:jc w:val="both"/>
      </w:pPr>
      <w:r>
        <w:tab/>
        <w:t>Tento druh závěti pozbývá platnosti uplynutím dvou týdnů ode dne pořízení. Lhůty však neběží a ani nepočnou běžet, doku</w:t>
      </w:r>
      <w:r w:rsidR="001143BF">
        <w:t>d</w:t>
      </w:r>
      <w:r>
        <w:t xml:space="preserve"> zůstavitel nemůže pořídit formou veřejné listiny. Určující skutečností k počátku běhu lhůty bude zůstavitelův zdravotní stav a také pominutí nebezpečí nebo omezení, které zůstavitele vedlo k užití závěti s úlevou a záleží tedy jak na objektivních</w:t>
      </w:r>
      <w:r w:rsidR="00AC7BD7">
        <w:t>,</w:t>
      </w:r>
      <w:r>
        <w:t xml:space="preserve"> tak subjektivních hlediscích. Závěť dle § 1542 je soukromou listinou a </w:t>
      </w:r>
      <w:r w:rsidR="00AA20BD">
        <w:t>důkazní břemeno je tedy na tom, kdo se dovolává platnosti tohoto pořízení.</w:t>
      </w:r>
      <w:r w:rsidR="00AA20BD">
        <w:rPr>
          <w:rStyle w:val="Znakapoznpodarou"/>
        </w:rPr>
        <w:footnoteReference w:id="166"/>
      </w:r>
    </w:p>
    <w:p w:rsidR="00262171" w:rsidRDefault="006A177C" w:rsidP="007B331A">
      <w:pPr>
        <w:pStyle w:val="Nadpis3"/>
      </w:pPr>
      <w:bookmarkStart w:id="28" w:name="_Toc415452782"/>
      <w:r>
        <w:t>5.3.2</w:t>
      </w:r>
      <w:r>
        <w:tab/>
      </w:r>
      <w:r w:rsidR="00262171">
        <w:t>Závěť před starostou obce</w:t>
      </w:r>
      <w:bookmarkEnd w:id="28"/>
    </w:p>
    <w:p w:rsidR="003B5E04" w:rsidRDefault="00262171" w:rsidP="00277873">
      <w:pPr>
        <w:spacing w:line="360" w:lineRule="auto"/>
        <w:jc w:val="both"/>
      </w:pPr>
      <w:r>
        <w:tab/>
      </w:r>
      <w:r w:rsidR="00585C36">
        <w:t xml:space="preserve">Závěť před starostou obce je v pořadí druhým privilegovaným pořízením, které NOZ </w:t>
      </w:r>
      <w:r w:rsidR="00CC59CA">
        <w:t>v</w:t>
      </w:r>
      <w:r w:rsidR="00BF5BE8">
        <w:t> </w:t>
      </w:r>
      <w:r w:rsidR="00CC59CA">
        <w:t xml:space="preserve">§ 1543 </w:t>
      </w:r>
      <w:r w:rsidR="00585C36">
        <w:t>upravuje. Německou literaturou je tato forma</w:t>
      </w:r>
      <w:r w:rsidR="009E5C2F">
        <w:t xml:space="preserve"> někdy</w:t>
      </w:r>
      <w:r w:rsidR="00AC43D1">
        <w:t xml:space="preserve"> označována jako tzv. </w:t>
      </w:r>
      <w:r w:rsidR="009E5C2F">
        <w:lastRenderedPageBreak/>
        <w:t>D</w:t>
      </w:r>
      <w:r w:rsidR="00AC43D1">
        <w:t>orftestament</w:t>
      </w:r>
      <w:r w:rsidR="00585C36">
        <w:t xml:space="preserve"> neboli </w:t>
      </w:r>
      <w:r w:rsidR="009E5C2F">
        <w:t>vesnický testament</w:t>
      </w:r>
      <w:r w:rsidR="0059386F">
        <w:t>.</w:t>
      </w:r>
      <w:r w:rsidR="0059386F">
        <w:rPr>
          <w:rStyle w:val="Znakapoznpodarou"/>
        </w:rPr>
        <w:footnoteReference w:id="167"/>
      </w:r>
      <w:r w:rsidR="00521AFA">
        <w:t xml:space="preserve"> Pokud existuje důvodná obava, že by zůstavitel zemřel dříve, než by mohl pořídit ve formě veřejné listiny, jeho vůli může zaznamenat starosta obce</w:t>
      </w:r>
      <w:r w:rsidR="00512079">
        <w:t>,</w:t>
      </w:r>
      <w:r w:rsidR="00521AFA">
        <w:t xml:space="preserve"> na jejímž území se zůstavitel nachází a to za přítomnosti dvou svědků.</w:t>
      </w:r>
      <w:r w:rsidR="00237E73">
        <w:t xml:space="preserve"> Dle</w:t>
      </w:r>
      <w:r w:rsidR="00CC59CA">
        <w:t xml:space="preserve"> judikatury</w:t>
      </w:r>
      <w:r w:rsidR="00237E73">
        <w:t xml:space="preserve"> německého</w:t>
      </w:r>
      <w:r w:rsidR="00CC59CA">
        <w:t xml:space="preserve"> </w:t>
      </w:r>
      <w:r w:rsidR="00237E73">
        <w:t xml:space="preserve">Spolkového soudního dvora (BGH) </w:t>
      </w:r>
      <w:r w:rsidR="00CC59CA">
        <w:t>je důvodné obavě o brzké smrti zůstavitele postaveno na roveň nebezpečí doživotní ztráty testovací způsobilosti.</w:t>
      </w:r>
      <w:r w:rsidR="00CC59CA">
        <w:rPr>
          <w:rStyle w:val="Znakapoznpodarou"/>
        </w:rPr>
        <w:footnoteReference w:id="168"/>
      </w:r>
      <w:r w:rsidR="00CC59CA">
        <w:t xml:space="preserve"> </w:t>
      </w:r>
      <w:r w:rsidR="00512079">
        <w:t>Kromě starosty může</w:t>
      </w:r>
      <w:r w:rsidR="00632A48">
        <w:t xml:space="preserve"> takto zaznamenat zůstavitelovu poslední vůli i ten, kdo je dle jiného právního předpisu</w:t>
      </w:r>
      <w:r w:rsidR="00632A48">
        <w:rPr>
          <w:rStyle w:val="Znakapoznpodarou"/>
        </w:rPr>
        <w:footnoteReference w:id="169"/>
      </w:r>
      <w:r w:rsidR="00632A48">
        <w:t xml:space="preserve"> oprávněn vykonávat pravomoci starosty, tedy místostarosta.</w:t>
      </w:r>
      <w:r w:rsidR="003B5E04">
        <w:t xml:space="preserve"> </w:t>
      </w:r>
      <w:r w:rsidR="00AA20DB">
        <w:t>Ustanovení § 1538 o</w:t>
      </w:r>
      <w:r w:rsidR="00AE01B8">
        <w:t> </w:t>
      </w:r>
      <w:r w:rsidR="00AA20DB">
        <w:t>tom, že ten, kdo sepisuje veřejnou listinu o závěti, se přesvědčí, zda se projev poslední vůle děje s rozvahou, vážně a bez donucení, dopadá i na takto pořízené závěti s úlevami.</w:t>
      </w:r>
      <w:r w:rsidR="00AA20DB">
        <w:rPr>
          <w:rStyle w:val="Znakapoznpodarou"/>
        </w:rPr>
        <w:footnoteReference w:id="170"/>
      </w:r>
    </w:p>
    <w:p w:rsidR="00646D28" w:rsidRDefault="003B5E04" w:rsidP="007B331A">
      <w:pPr>
        <w:spacing w:line="360" w:lineRule="auto"/>
        <w:ind w:firstLine="708"/>
        <w:jc w:val="both"/>
      </w:pPr>
      <w:r>
        <w:t>Starostovou povinností je záznam o poslední vůli za přítomnosti obou svědků přečíst zůstaviteli a ten potvrdí, že jde o jeho poslední vůli. Záznam podepíše starosta, oba svědci, a</w:t>
      </w:r>
      <w:r w:rsidR="00AE01B8">
        <w:t> </w:t>
      </w:r>
      <w:r>
        <w:t>pokud je toho schopen</w:t>
      </w:r>
      <w:r w:rsidR="00694020">
        <w:t>,</w:t>
      </w:r>
      <w:r>
        <w:t xml:space="preserve"> pak i zůstavitel. Takto pořízená závěť se považuje za veřejnou listinu</w:t>
      </w:r>
      <w:r w:rsidR="004F0A7C">
        <w:t>, u které obec zajistí bez zbytečného odkladu úschovu u notáře</w:t>
      </w:r>
      <w:r>
        <w:t>.</w:t>
      </w:r>
      <w:r w:rsidR="004A7113">
        <w:t xml:space="preserve"> P</w:t>
      </w:r>
      <w:r>
        <w:t>oslední věta v § 1547 odst. 1 vzbudila u odborné veřejnosti</w:t>
      </w:r>
      <w:r>
        <w:rPr>
          <w:rStyle w:val="Znakapoznpodarou"/>
        </w:rPr>
        <w:footnoteReference w:id="171"/>
      </w:r>
      <w:r>
        <w:t xml:space="preserve"> velké kontroverze, p</w:t>
      </w:r>
      <w:r w:rsidR="00694020">
        <w:t xml:space="preserve">rotože důkazní břemeno </w:t>
      </w:r>
      <w:r w:rsidR="004F0A7C">
        <w:t xml:space="preserve">u veřejné listiny </w:t>
      </w:r>
      <w:r w:rsidR="00694020">
        <w:t>je tak přeneseno na toho, kdo tvrdí, že listina je neplatná. Takto zvolenou úpravou se NOZ dle důvodové zprávy inspiroval nizozems</w:t>
      </w:r>
      <w:r w:rsidR="00DB03F8">
        <w:t>kým právem</w:t>
      </w:r>
      <w:r w:rsidR="00694020">
        <w:t>.</w:t>
      </w:r>
      <w:r w:rsidR="00694020">
        <w:rPr>
          <w:rStyle w:val="Znakapoznpodarou"/>
        </w:rPr>
        <w:footnoteReference w:id="172"/>
      </w:r>
      <w:r w:rsidR="004A7113">
        <w:t xml:space="preserve"> Navíc jestliže dojde při vyhotovování závěti před starostou obce k porušení stanovených formalit a je</w:t>
      </w:r>
      <w:r w:rsidR="001B10C6">
        <w:t>-</w:t>
      </w:r>
      <w:r w:rsidR="004A7113">
        <w:t>li přesto jisté, že listina spolehlivě zaznamenává zůstavitelovu vůli, nebudou tyto formální nedostatky působit neplatnost pořízení. Taková listina se však nebud</w:t>
      </w:r>
      <w:r w:rsidR="004F0A7C">
        <w:t>e považovat za veřejnou, ale pouze</w:t>
      </w:r>
      <w:r w:rsidR="004A7113">
        <w:t xml:space="preserve"> za soukromou. Jako příklad nedostatku byl v textu zákona uveden chybějící podpis svědka.</w:t>
      </w:r>
      <w:r w:rsidR="004F0A7C">
        <w:t xml:space="preserve"> Svědkem závěti smí být osoba, která dosáhla alespoň patnácti let věku či osoba s omezenou svéprávností, pakliže dovede věrohodně popsat skutečnosti významné pro platnost závěti. Záznam o závěti před starostou obce nemusí být ani podepsán zůstavitelem či svědkem, pokud důvodem nepodepsání se byl fakt, že zůstavitel či svědek nemohl psát</w:t>
      </w:r>
      <w:r w:rsidR="008E3CBF">
        <w:t xml:space="preserve"> nebo nebyl podepsán pro jinou závažnou překážku a v listině je to výslovně uvedeno.</w:t>
      </w:r>
      <w:r w:rsidR="00916AA0">
        <w:t xml:space="preserve"> Platnost závěti dle § 1543 končí uplynutím 3 měsíců ode dne pořízení, je-li zůstavitel naživu. Tyto </w:t>
      </w:r>
      <w:r w:rsidR="00916AA0">
        <w:lastRenderedPageBreak/>
        <w:t>doby ale neběží a ani nezačnou běžet, dokud zůstavitel nemůže pořídit ve formě veřejné listiny</w:t>
      </w:r>
      <w:r w:rsidR="00646D28">
        <w:t>.</w:t>
      </w:r>
    </w:p>
    <w:p w:rsidR="00262171" w:rsidRDefault="006A177C" w:rsidP="007B331A">
      <w:pPr>
        <w:pStyle w:val="Nadpis3"/>
      </w:pPr>
      <w:bookmarkStart w:id="29" w:name="_Toc415452783"/>
      <w:r>
        <w:t>5.3.3</w:t>
      </w:r>
      <w:r>
        <w:tab/>
      </w:r>
      <w:r w:rsidR="00262171">
        <w:t>Závěť před velitelem lodi či letadla</w:t>
      </w:r>
      <w:bookmarkEnd w:id="29"/>
    </w:p>
    <w:p w:rsidR="000F32E7" w:rsidRDefault="00262171" w:rsidP="00277873">
      <w:pPr>
        <w:spacing w:line="360" w:lineRule="auto"/>
        <w:jc w:val="both"/>
      </w:pPr>
      <w:r>
        <w:tab/>
      </w:r>
      <w:r w:rsidR="00E31E06">
        <w:t>Závěť před velitelem lodi či letadla se co do formálních náležitostí velmi podobá závěti před starostou obce</w:t>
      </w:r>
      <w:r w:rsidR="001B10C6">
        <w:t>,</w:t>
      </w:r>
      <w:r w:rsidR="00E31E06">
        <w:t xml:space="preserve"> resp. vojenskému testamentu. Má-li pro to zůstavitel vážný důvod, může na palubě letadla nebo lodi, které jsou registrované v</w:t>
      </w:r>
      <w:r w:rsidR="001B10C6">
        <w:t> </w:t>
      </w:r>
      <w:r w:rsidR="00E31E06">
        <w:t>ČR</w:t>
      </w:r>
      <w:r w:rsidR="001B10C6">
        <w:t>,</w:t>
      </w:r>
      <w:r w:rsidR="00E31E06">
        <w:t xml:space="preserve"> zaznamenat jeho poslední vůli velitel </w:t>
      </w:r>
      <w:r w:rsidR="00F03AD3">
        <w:t>lodi či letadla</w:t>
      </w:r>
      <w:r w:rsidR="00C77431">
        <w:t xml:space="preserve"> nebo jeho zástupce</w:t>
      </w:r>
      <w:r w:rsidR="00E31E06">
        <w:t xml:space="preserve"> </w:t>
      </w:r>
      <w:r w:rsidR="00E7169A">
        <w:t>a to za přítomnosti dvou svědků</w:t>
      </w:r>
      <w:r w:rsidR="000534DB">
        <w:t xml:space="preserve">. </w:t>
      </w:r>
      <w:r w:rsidR="00C77431">
        <w:t>Velitel</w:t>
      </w:r>
      <w:r w:rsidR="001B10C6">
        <w:t xml:space="preserve"> či</w:t>
      </w:r>
      <w:r w:rsidR="00C77431">
        <w:t xml:space="preserve"> zástupce může odmítnout poskytnout součinnost při vyhotovení této závěti, pokud mu v tom brání péče o bezpečnost plavby či letu. </w:t>
      </w:r>
      <w:r w:rsidR="00677A00">
        <w:t xml:space="preserve">Platnost závěti nemůže být popřena tím, že zůstavitel k jejímu pořízení neměl vážný důvod. </w:t>
      </w:r>
      <w:r w:rsidR="000534DB">
        <w:t xml:space="preserve">V případě lodi se </w:t>
      </w:r>
      <w:r w:rsidR="004C2756">
        <w:t>musí jednat o loď námořní, jak vyplývá z textu zákona. Stejně tomu bylo za účinnosti OZO, kdy se tak dovozovalo z historického vývoje.</w:t>
      </w:r>
      <w:r w:rsidR="004C2756">
        <w:rPr>
          <w:rStyle w:val="Znakapoznpodarou"/>
        </w:rPr>
        <w:footnoteReference w:id="173"/>
      </w:r>
      <w:r w:rsidR="00C77431">
        <w:t xml:space="preserve"> </w:t>
      </w:r>
      <w:r w:rsidR="00EF7295">
        <w:t>Pov</w:t>
      </w:r>
      <w:r w:rsidR="000F32E7">
        <w:t xml:space="preserve">inností velitele </w:t>
      </w:r>
      <w:r w:rsidR="00F03AD3">
        <w:t>lodi či letadla</w:t>
      </w:r>
      <w:r w:rsidR="000F32E7">
        <w:t xml:space="preserve"> je přečíst záznam o závěti za přítomnosti obou svědků zůstaviteli, který potvrdí, že listina obsahuje jeho poslední vůli. Listinu velitel, oba svědci a</w:t>
      </w:r>
      <w:r w:rsidR="00DC12AE">
        <w:t> </w:t>
      </w:r>
      <w:r w:rsidR="000F32E7">
        <w:t xml:space="preserve">také zůstavitel podepíší. </w:t>
      </w:r>
      <w:r w:rsidR="00C77431">
        <w:t>Byla-li závěť pořízena na palubě lodi, pak tuto skutečnost velitel zaznamená do lodního deníku a závěť bez zbytečného odkladu předá zastupitelskému úřadu ČR, který je nejblíže přístavu, do něhož loď připluje, popřípadě orgánu veřejné moci, u něhož je loď registrována. Obdobné povinnosti má také velitel letadla</w:t>
      </w:r>
      <w:r w:rsidR="00807D7B">
        <w:t>, který skutečnost zanese do palubního deníku a po přistání v zahraničí předá závěť nejbližšímu zastupitelskému úřadu ČR, popřípadě orgánu veřejné moci, u něhož je letadlo registrováno.</w:t>
      </w:r>
      <w:r w:rsidR="00EF7295">
        <w:t xml:space="preserve"> Tyto úřady následně bez zbytečného odkladu zařídí úschovu závěti u notáře.</w:t>
      </w:r>
      <w:r w:rsidR="00990927">
        <w:t xml:space="preserve"> </w:t>
      </w:r>
    </w:p>
    <w:p w:rsidR="00807D7B" w:rsidRDefault="00EF7295" w:rsidP="00677A00">
      <w:pPr>
        <w:spacing w:line="360" w:lineRule="auto"/>
        <w:ind w:firstLine="708"/>
        <w:jc w:val="both"/>
      </w:pPr>
      <w:r>
        <w:t>Zmíněné</w:t>
      </w:r>
      <w:r w:rsidR="00990927">
        <w:t xml:space="preserve"> pořízení se stejně jako v případě závěti před starostnou obce či vojenského testamentu považuje za veřejnou listinu. Pokud by </w:t>
      </w:r>
      <w:r>
        <w:t>nebyly</w:t>
      </w:r>
      <w:r w:rsidR="00990927">
        <w:t xml:space="preserve"> splněny </w:t>
      </w:r>
      <w:r>
        <w:t>předepsané formality i zde platí, že to nepůsobí neplatnost závěti, je-li přesto jisté, že listina spolehlivě zaznamenává zůstavitelovu poslední vůli. Taková listina se však nepovažuje za veřejnou.</w:t>
      </w:r>
      <w:r w:rsidR="00677A00">
        <w:t xml:space="preserve"> Svědky mohou být i osoby, které dosáhl</w:t>
      </w:r>
      <w:r w:rsidR="001B10C6">
        <w:t>y</w:t>
      </w:r>
      <w:r w:rsidR="00677A00">
        <w:t xml:space="preserve"> patnáctého roku věku a osoby omezené ve svéprávnosti pokud jsou s to věrohodně popsat skutečnosti významné pro platnost závěti. Platnost závěť pozbývá uplynutím tří měsíců od jejího pořízení, je-li zůstavitel naživu. Lhůty neběží a nepočnou běžet</w:t>
      </w:r>
      <w:r w:rsidR="00BA3F01">
        <w:t>,</w:t>
      </w:r>
      <w:r w:rsidR="00677A00">
        <w:t xml:space="preserve"> dokud zůstavitel nemůže pořídit závěť ve formě veřejné listiny.</w:t>
      </w:r>
    </w:p>
    <w:p w:rsidR="00262171" w:rsidRDefault="006A177C" w:rsidP="007B331A">
      <w:pPr>
        <w:pStyle w:val="Nadpis3"/>
      </w:pPr>
      <w:bookmarkStart w:id="30" w:name="_Toc415452784"/>
      <w:r>
        <w:t>5.3.4</w:t>
      </w:r>
      <w:r>
        <w:tab/>
      </w:r>
      <w:r w:rsidR="00534A63">
        <w:t>Závěť vojenských</w:t>
      </w:r>
      <w:r w:rsidR="00262171">
        <w:t xml:space="preserve"> osob</w:t>
      </w:r>
      <w:bookmarkEnd w:id="30"/>
    </w:p>
    <w:p w:rsidR="00FC62D7" w:rsidRDefault="00262171" w:rsidP="00277873">
      <w:pPr>
        <w:spacing w:line="360" w:lineRule="auto"/>
        <w:jc w:val="both"/>
      </w:pPr>
      <w:r>
        <w:tab/>
      </w:r>
      <w:r w:rsidR="00CF5DD2">
        <w:t xml:space="preserve">Vojenský testament upravuje § 1545 NOZ a </w:t>
      </w:r>
      <w:r w:rsidR="001D5EE1">
        <w:t xml:space="preserve">jeho formální náležitosti se příliš neliší od závětí v předchozích dvou podkapitolách. Toto ustanovení dává vojákovi či jiné osobě </w:t>
      </w:r>
      <w:r w:rsidR="001D5EE1">
        <w:lastRenderedPageBreak/>
        <w:t>náležející k ozbrojeným silám možnost pořídit závěť při účasti v ozbrojeném konfliktu a</w:t>
      </w:r>
      <w:r w:rsidR="00DC12AE">
        <w:t> </w:t>
      </w:r>
      <w:r w:rsidR="001D5EE1">
        <w:t>vojenských operacích a to před velitelem vojenské jednotky ČR nebo jiným vojákem v hodnosti důstojník</w:t>
      </w:r>
      <w:r w:rsidR="00A022DB">
        <w:t>a nebo vyšší</w:t>
      </w:r>
      <w:r w:rsidR="001D5EE1">
        <w:t xml:space="preserve"> za přítomnosti dvou svědků. Byla-li závěť takto pořízena, nelze její platnost popřít. Takovou závěť velitel předá bez zbytečného odkladu veliteli nadřízeného velitelství, odkud se bez zbytečného odkladu předá Ministerstvu obrany ČR, které zajistí úschovu u notáře.</w:t>
      </w:r>
      <w:r w:rsidR="00FC62D7">
        <w:t xml:space="preserve"> </w:t>
      </w:r>
    </w:p>
    <w:p w:rsidR="00262171" w:rsidRDefault="00FC62D7" w:rsidP="00DC12AE">
      <w:pPr>
        <w:spacing w:line="360" w:lineRule="auto"/>
        <w:ind w:firstLine="708"/>
        <w:jc w:val="both"/>
        <w:rPr>
          <w:i/>
        </w:rPr>
      </w:pPr>
      <w:r>
        <w:t>O jiných povinnostech zůstavitele, svědků či pořizovatele záznamu, dále o druhu listiny, o způsobilých svědcích a o nedodržení všech formalit</w:t>
      </w:r>
      <w:r w:rsidR="00322E53">
        <w:t xml:space="preserve"> či o délce platnosti</w:t>
      </w:r>
      <w:r>
        <w:t xml:space="preserve"> bylo již pojednáno v předchozích dvou podkapitolách, kde je tato úprava zcela shodná. Na tomto místě bych se však rád vyjádřil k</w:t>
      </w:r>
      <w:r w:rsidR="00B40416">
        <w:t xml:space="preserve"> otázce, zda svědkové privilegovaných závětí dle </w:t>
      </w:r>
      <w:r w:rsidR="00630EEB">
        <w:t>§</w:t>
      </w:r>
      <w:r w:rsidR="00DC12AE">
        <w:t> </w:t>
      </w:r>
      <w:r w:rsidR="00630EEB">
        <w:t>1543</w:t>
      </w:r>
      <w:r w:rsidR="00DC12AE">
        <w:t xml:space="preserve"> </w:t>
      </w:r>
      <w:r w:rsidR="00630EEB">
        <w:t xml:space="preserve">-1545 </w:t>
      </w:r>
      <w:r w:rsidR="00B40416">
        <w:t>musí být současně přítomni či nikoli</w:t>
      </w:r>
      <w:r w:rsidR="00CE79D4">
        <w:t>. Šešina a</w:t>
      </w:r>
      <w:r>
        <w:t xml:space="preserve"> Wawerka v komentáři</w:t>
      </w:r>
      <w:r>
        <w:rPr>
          <w:rStyle w:val="Znakapoznpodarou"/>
        </w:rPr>
        <w:footnoteReference w:id="174"/>
      </w:r>
      <w:r>
        <w:t xml:space="preserve"> k ustanovení §</w:t>
      </w:r>
      <w:r w:rsidR="00BF5BE8">
        <w:t> </w:t>
      </w:r>
      <w:r>
        <w:t>1545 NOZ</w:t>
      </w:r>
      <w:r w:rsidR="00B40416">
        <w:t xml:space="preserve"> uvádí, že</w:t>
      </w:r>
      <w:r>
        <w:t xml:space="preserve"> svědkové </w:t>
      </w:r>
      <w:r w:rsidR="00B40416">
        <w:t>závěti před vojenským velitelem musí být současně přítomni, stejně jako u závěti na palubě lodi či letadla. S tímto názorem se však neztotožňuji, k čemuž mě vede jednak důvodová zpráva a také samotný text zákona. V ustanoveních o allografní závěti</w:t>
      </w:r>
      <w:r w:rsidR="00630EEB">
        <w:t xml:space="preserve"> (§ </w:t>
      </w:r>
      <w:r w:rsidR="00B40416">
        <w:t>1534), o závěti nevidomých a osob se smyslovým postižením (§ 1535) a</w:t>
      </w:r>
      <w:r w:rsidR="00BF5BE8">
        <w:t> </w:t>
      </w:r>
      <w:r w:rsidR="00B40416">
        <w:t>privilegované závěti dle § 1542</w:t>
      </w:r>
      <w:r w:rsidR="00630EEB">
        <w:t>, je požadavek na současnou přítomnost svědků u všech zmíněných forem uveden výslovně.</w:t>
      </w:r>
      <w:r w:rsidR="00E7251B">
        <w:t xml:space="preserve"> V úpravě privilegovaných závětí dle §</w:t>
      </w:r>
      <w:r w:rsidR="00DC12AE">
        <w:t> </w:t>
      </w:r>
      <w:r w:rsidR="00E7251B">
        <w:t>1543</w:t>
      </w:r>
      <w:r w:rsidR="00DC12AE">
        <w:t xml:space="preserve"> </w:t>
      </w:r>
      <w:r w:rsidR="00E7251B">
        <w:t>-</w:t>
      </w:r>
      <w:r w:rsidR="00DC12AE">
        <w:t xml:space="preserve"> </w:t>
      </w:r>
      <w:r w:rsidR="00E7251B">
        <w:t xml:space="preserve">1545 se však slovo </w:t>
      </w:r>
      <w:r w:rsidR="00E7251B">
        <w:rPr>
          <w:i/>
        </w:rPr>
        <w:t>„současné“</w:t>
      </w:r>
      <w:r w:rsidR="00E7251B">
        <w:t xml:space="preserve"> nevyskytuje, </w:t>
      </w:r>
      <w:r w:rsidR="003811ED">
        <w:t>přestože by jeho zapracování</w:t>
      </w:r>
      <w:r w:rsidR="00B2294E">
        <w:t xml:space="preserve"> do textu bylo zcela jednoduché. S ohledem na interpretační předpoklad racionálního zákonodárce</w:t>
      </w:r>
      <w:r w:rsidR="00B2294E">
        <w:rPr>
          <w:rStyle w:val="Znakapoznpodarou"/>
        </w:rPr>
        <w:footnoteReference w:id="175"/>
      </w:r>
      <w:r w:rsidR="00B2294E">
        <w:t xml:space="preserve"> </w:t>
      </w:r>
      <w:r w:rsidR="00E7251B">
        <w:t xml:space="preserve">mám tedy za to, že tak zákonodárce učinil </w:t>
      </w:r>
      <w:r w:rsidR="003811ED">
        <w:t>záměrně, protože současnou přítomnost svědků u</w:t>
      </w:r>
      <w:r w:rsidR="00DC12AE">
        <w:t> </w:t>
      </w:r>
      <w:r w:rsidR="003811ED">
        <w:t>§</w:t>
      </w:r>
      <w:r w:rsidR="00DC12AE">
        <w:t> </w:t>
      </w:r>
      <w:r w:rsidR="003811ED">
        <w:t>1543</w:t>
      </w:r>
      <w:r w:rsidR="00DC12AE">
        <w:t xml:space="preserve"> </w:t>
      </w:r>
      <w:r w:rsidR="003811ED">
        <w:t>-</w:t>
      </w:r>
      <w:r w:rsidR="00DC12AE">
        <w:t xml:space="preserve"> </w:t>
      </w:r>
      <w:r w:rsidR="003811ED">
        <w:t>1545 nepožaduje. V mém názoru mě utvrdila také důvodová zpráva</w:t>
      </w:r>
      <w:r w:rsidR="003811ED">
        <w:rPr>
          <w:rStyle w:val="Znakapoznpodarou"/>
        </w:rPr>
        <w:footnoteReference w:id="176"/>
      </w:r>
      <w:r w:rsidR="008B7669">
        <w:t xml:space="preserve">, která uvádí: </w:t>
      </w:r>
      <w:r w:rsidR="008B7669">
        <w:rPr>
          <w:i/>
        </w:rPr>
        <w:t>„Navrhuje se vyžadovat pro tyto případy dva svědky dosáhnuvší věku alespoň patnácti let s tím, že současná přítomnost obou</w:t>
      </w:r>
      <w:r w:rsidR="008B7669">
        <w:rPr>
          <w:rStyle w:val="Znakapoznpodarou"/>
          <w:i/>
        </w:rPr>
        <w:footnoteReference w:id="177"/>
      </w:r>
      <w:r w:rsidR="008B7669">
        <w:rPr>
          <w:i/>
        </w:rPr>
        <w:t xml:space="preserve"> svědků se vyžaduje jen u soukromé závěti pořízené ve stavu nouze ústně</w:t>
      </w:r>
      <w:r w:rsidR="007E79E6">
        <w:rPr>
          <w:i/>
        </w:rPr>
        <w:t>…Návrh vychází z pojetí, že při pořízení závěti s úlevami soukromou listinou bude nutná současná přítomnost tří svědků; v ostatních případech postačí svědci dva.</w:t>
      </w:r>
      <w:r w:rsidR="008B7669">
        <w:rPr>
          <w:i/>
        </w:rPr>
        <w:t>“</w:t>
      </w:r>
    </w:p>
    <w:p w:rsidR="008C29A0" w:rsidRPr="008C29A0" w:rsidRDefault="008C29A0" w:rsidP="00FC62D7">
      <w:pPr>
        <w:spacing w:line="360" w:lineRule="auto"/>
        <w:ind w:firstLine="708"/>
        <w:jc w:val="both"/>
      </w:pPr>
      <w:r>
        <w:t>Považuji za správné a souhlasím s tím, že úprava závěti s úlevami byla do NOZ zanese</w:t>
      </w:r>
      <w:r w:rsidR="002F303C">
        <w:t xml:space="preserve">na. Věřím, že i v ojedinělých tísnivých situacích, které znemožňují pořídit v obvyklé formě, by měl zůstavitel mít možnost rozhodnout o svém majetku pro případ své smrti. </w:t>
      </w:r>
      <w:r w:rsidR="002F303C">
        <w:lastRenderedPageBreak/>
        <w:t>Úpravu však nepovažuji ve všech ohledec</w:t>
      </w:r>
      <w:r w:rsidR="00401701">
        <w:t>h za zcela vhodnou, zejména tam, kde je závěť dle §</w:t>
      </w:r>
      <w:r w:rsidR="00DC12AE">
        <w:t> </w:t>
      </w:r>
      <w:r w:rsidR="00401701">
        <w:t>1543</w:t>
      </w:r>
      <w:r w:rsidR="00DC12AE">
        <w:t xml:space="preserve"> </w:t>
      </w:r>
      <w:r w:rsidR="00401701">
        <w:t>-</w:t>
      </w:r>
      <w:r w:rsidR="00DC12AE">
        <w:t xml:space="preserve"> </w:t>
      </w:r>
      <w:r w:rsidR="00401701">
        <w:t xml:space="preserve">1545 prohlášena za veřejnou listinu. </w:t>
      </w:r>
    </w:p>
    <w:p w:rsidR="000759B9" w:rsidRPr="00E7251B" w:rsidRDefault="000759B9" w:rsidP="00FC62D7">
      <w:pPr>
        <w:spacing w:line="360" w:lineRule="auto"/>
        <w:ind w:firstLine="708"/>
        <w:jc w:val="both"/>
      </w:pPr>
    </w:p>
    <w:p w:rsidR="00D43E03" w:rsidRDefault="006A177C" w:rsidP="007B331A">
      <w:pPr>
        <w:pStyle w:val="Nadpis1"/>
        <w:spacing w:line="360" w:lineRule="auto"/>
      </w:pPr>
      <w:bookmarkStart w:id="31" w:name="_Toc415452785"/>
      <w:r>
        <w:lastRenderedPageBreak/>
        <w:t>6</w:t>
      </w:r>
      <w:r>
        <w:tab/>
      </w:r>
      <w:r w:rsidR="00F645B9" w:rsidRPr="00AD6AE6">
        <w:t>Zrušení závěti</w:t>
      </w:r>
      <w:bookmarkEnd w:id="31"/>
    </w:p>
    <w:p w:rsidR="00E03900" w:rsidRDefault="00E03900" w:rsidP="00E03900">
      <w:pPr>
        <w:spacing w:line="360" w:lineRule="auto"/>
        <w:jc w:val="both"/>
      </w:pPr>
      <w:r>
        <w:tab/>
      </w:r>
      <w:r w:rsidR="00A804DE">
        <w:t xml:space="preserve">Jednou z charakteristických vlastností závěti je fakt, že se jedná o kdykoli odvolatelný projev vůle. </w:t>
      </w:r>
      <w:r>
        <w:t>Dle OZ existovaly</w:t>
      </w:r>
      <w:r w:rsidR="00A804DE">
        <w:t xml:space="preserve"> </w:t>
      </w:r>
      <w:r>
        <w:t>tři zákonem dané možnost</w:t>
      </w:r>
      <w:r w:rsidR="00DC6531">
        <w:t>i jak</w:t>
      </w:r>
      <w:r>
        <w:t xml:space="preserve"> závěť</w:t>
      </w:r>
      <w:r w:rsidR="00DC6531">
        <w:t xml:space="preserve"> zrušit a</w:t>
      </w:r>
      <w:r>
        <w:t xml:space="preserve"> </w:t>
      </w:r>
      <w:r w:rsidR="00DC6531">
        <w:t>v</w:t>
      </w:r>
      <w:r w:rsidR="00A804DE">
        <w:t xml:space="preserve">šechny </w:t>
      </w:r>
      <w:r w:rsidR="00DC6531">
        <w:t>byly upraveny v</w:t>
      </w:r>
      <w:r w:rsidR="00A804DE">
        <w:t xml:space="preserve"> § 480 OZ</w:t>
      </w:r>
      <w:r w:rsidR="00DC6531">
        <w:t>. Ten připouštěl zrušení závěti jednak pořízením závěti pozdější, vedle které dřívější závěť nemohla obstát, dále odvoláním závěti, které muselo být učiněno ve formě</w:t>
      </w:r>
      <w:r w:rsidR="005F1FC0">
        <w:t>,</w:t>
      </w:r>
      <w:r w:rsidR="00DC6531">
        <w:t xml:space="preserve"> jaká se vyžadovala pro závěť</w:t>
      </w:r>
      <w:r w:rsidR="0064658A">
        <w:t>,</w:t>
      </w:r>
      <w:r w:rsidR="00DC6531">
        <w:t xml:space="preserve"> a posledním způsobem bylo zničení listiny, na níž byla závěť napsána. </w:t>
      </w:r>
    </w:p>
    <w:p w:rsidR="00AE31B3" w:rsidRDefault="00AE31B3" w:rsidP="00E03900">
      <w:pPr>
        <w:spacing w:line="360" w:lineRule="auto"/>
        <w:jc w:val="both"/>
      </w:pPr>
      <w:r>
        <w:tab/>
        <w:t>NOZ vychází z</w:t>
      </w:r>
      <w:r w:rsidR="002A7CD8">
        <w:t> </w:t>
      </w:r>
      <w:r>
        <w:t>úpravy</w:t>
      </w:r>
      <w:r w:rsidR="002A7CD8">
        <w:t xml:space="preserve"> obsažené</w:t>
      </w:r>
      <w:r>
        <w:t xml:space="preserve"> v OZ, a</w:t>
      </w:r>
      <w:r w:rsidR="00D6722D">
        <w:t>však tato pravidla jsou zpracována</w:t>
      </w:r>
      <w:r>
        <w:t xml:space="preserve"> v sedmi paragrafech namísto jednoho. </w:t>
      </w:r>
      <w:r w:rsidR="00E55BEC">
        <w:t xml:space="preserve">Jsou tak výslovně </w:t>
      </w:r>
      <w:r w:rsidR="002A7CD8">
        <w:t xml:space="preserve">a přesněji </w:t>
      </w:r>
      <w:r w:rsidR="00E55BEC">
        <w:t>upraveny situace, které za účinnosti OZ dovozovala judikatura.</w:t>
      </w:r>
      <w:r w:rsidR="00DF6DD4">
        <w:t xml:space="preserve"> Výslovně je např. upravena neúčinnost zrušovací doložky, kdy zůstavitel prohlásí, že veškerá následující pořízení pro případ smrti budou neplatná, anebo že neplatná budou taková pořízení, která nebudou učiněna v určité formě.</w:t>
      </w:r>
      <w:r w:rsidR="00D6722D">
        <w:t xml:space="preserve"> </w:t>
      </w:r>
      <w:r w:rsidR="002A7CD8">
        <w:t>NOZ rozlišuje dva způsoby zrušení závěti a to odvolání závěti a pořízení závěti pozdější.</w:t>
      </w:r>
      <w:r w:rsidR="002A7CD8">
        <w:rPr>
          <w:rStyle w:val="Znakapoznpodarou"/>
        </w:rPr>
        <w:footnoteReference w:id="178"/>
      </w:r>
    </w:p>
    <w:p w:rsidR="0051410A" w:rsidRPr="0051410A" w:rsidRDefault="006A177C" w:rsidP="007B331A">
      <w:pPr>
        <w:pStyle w:val="Nadpis2"/>
      </w:pPr>
      <w:bookmarkStart w:id="32" w:name="_Toc415452786"/>
      <w:r>
        <w:t>6.1</w:t>
      </w:r>
      <w:r>
        <w:tab/>
      </w:r>
      <w:r w:rsidR="0051410A">
        <w:t>Odvolání závěti</w:t>
      </w:r>
      <w:bookmarkEnd w:id="32"/>
    </w:p>
    <w:p w:rsidR="0051410A" w:rsidRDefault="002E2603" w:rsidP="005A199E">
      <w:pPr>
        <w:spacing w:line="360" w:lineRule="auto"/>
        <w:jc w:val="both"/>
      </w:pPr>
      <w:r>
        <w:tab/>
      </w:r>
      <w:r w:rsidR="00684A13">
        <w:t>Odvolání závěti může zůstavitel učinit třemi způsoby. Prvním z nich je výslovné odvolání závěti, které musí být dle § 1577 učiněno v takové formě, jakou zákon vyžaduje pro pořízení závěti. Je tedy možné učinit odvolání v písemné, ale i v ústní formě, jestliže jsou dány předpoklady pro pořízení závěti s úlevami</w:t>
      </w:r>
      <w:r w:rsidR="00810729">
        <w:rPr>
          <w:rStyle w:val="Znakapoznpodarou"/>
        </w:rPr>
        <w:footnoteReference w:id="179"/>
      </w:r>
      <w:r w:rsidR="00684A13">
        <w:t>. Na formě závěti, kterou chce zůstavitel odvolat</w:t>
      </w:r>
      <w:r w:rsidR="004019A2">
        <w:t>,</w:t>
      </w:r>
      <w:r w:rsidR="00684A13">
        <w:t xml:space="preserve"> nezáleží a tak </w:t>
      </w:r>
      <w:r w:rsidR="00001F0A">
        <w:t xml:space="preserve">např. </w:t>
      </w:r>
      <w:r w:rsidR="00684A13">
        <w:t>svoji závěť v písemné formě může při splnění pod</w:t>
      </w:r>
      <w:r w:rsidR="00001F0A">
        <w:t>mínek odvolat i ústně a naopak.</w:t>
      </w:r>
      <w:r w:rsidR="00001F0A">
        <w:rPr>
          <w:rStyle w:val="Znakapoznpodarou"/>
        </w:rPr>
        <w:footnoteReference w:id="180"/>
      </w:r>
    </w:p>
    <w:p w:rsidR="002E2603" w:rsidRDefault="00CE0D77" w:rsidP="0051410A">
      <w:pPr>
        <w:spacing w:line="360" w:lineRule="auto"/>
        <w:ind w:firstLine="708"/>
        <w:jc w:val="both"/>
      </w:pPr>
      <w:r>
        <w:t xml:space="preserve"> Druhým způsobem je odvolání učiněné mlčky a to zničením listiny, na níž byla závěť napsána. Půjde o případy, kdy zůstavitel listinu se</w:t>
      </w:r>
      <w:r w:rsidR="005A199E">
        <w:t xml:space="preserve"> závětí úmyslně</w:t>
      </w:r>
      <w:r>
        <w:t xml:space="preserve"> roztrhne, přeškrtne</w:t>
      </w:r>
      <w:r w:rsidR="00F83C2D">
        <w:t xml:space="preserve">, </w:t>
      </w:r>
      <w:r w:rsidR="005A199E">
        <w:t>skartuje</w:t>
      </w:r>
      <w:r w:rsidR="00F83C2D">
        <w:t xml:space="preserve"> či jinak zničí</w:t>
      </w:r>
      <w:r w:rsidR="005A199E">
        <w:t>.</w:t>
      </w:r>
      <w:r w:rsidR="009A19EE">
        <w:t xml:space="preserve"> Jestliže je závěť vyhotovena ve více stejnopisech, je pro zamezení sporů nutné zničit všechny stejnopisy.</w:t>
      </w:r>
      <w:r w:rsidR="005A199E">
        <w:t xml:space="preserve"> </w:t>
      </w:r>
      <w:r w:rsidR="00F83C2D">
        <w:t xml:space="preserve">Pokud by zůstavitel nezničil všechny stejnopisy, bude třeba zkoumat z jakého důvodu tak neučinil. Jinak se poté posoudí případ, kdy zničit všechny stejnopisy opomněl, protože o nějakém z nich nevěděl a jinak situace, kdy stejnopis zachoval a také o něm věděl. </w:t>
      </w:r>
      <w:r w:rsidR="005A199E">
        <w:t xml:space="preserve">Pokud </w:t>
      </w:r>
      <w:r w:rsidR="00E206F8">
        <w:t>byla listina se závětí zničena</w:t>
      </w:r>
      <w:r w:rsidR="001115FA">
        <w:t xml:space="preserve"> či ztracena</w:t>
      </w:r>
      <w:r w:rsidR="00E206F8">
        <w:t xml:space="preserve"> neúmyslně</w:t>
      </w:r>
      <w:r w:rsidR="00B73C6C">
        <w:t>,</w:t>
      </w:r>
      <w:r w:rsidR="00F83C2D">
        <w:t xml:space="preserve"> ať už zůstavitelem či jinou osobou</w:t>
      </w:r>
      <w:r w:rsidR="00E206F8">
        <w:t xml:space="preserve">, </w:t>
      </w:r>
      <w:r w:rsidR="009A19EE">
        <w:t>zrušovací úmysl</w:t>
      </w:r>
      <w:r w:rsidR="00E206F8">
        <w:t xml:space="preserve"> zůstavitele tu bude jen v případě, že zůstavitel </w:t>
      </w:r>
      <w:r w:rsidR="00E206F8">
        <w:lastRenderedPageBreak/>
        <w:t>o zničení</w:t>
      </w:r>
      <w:r w:rsidR="001115FA">
        <w:t xml:space="preserve"> či ztracení</w:t>
      </w:r>
      <w:r w:rsidR="00E206F8">
        <w:t xml:space="preserve"> </w:t>
      </w:r>
      <w:r w:rsidR="00F83C2D">
        <w:t xml:space="preserve">listiny se závětí </w:t>
      </w:r>
      <w:r w:rsidR="00E206F8">
        <w:t>ví a dlouhodobě pro její obnovení nic nečiní.</w:t>
      </w:r>
      <w:r w:rsidR="0051410A">
        <w:rPr>
          <w:rStyle w:val="Znakapoznpodarou"/>
        </w:rPr>
        <w:footnoteReference w:id="181"/>
      </w:r>
      <w:r w:rsidR="00F83C2D">
        <w:t xml:space="preserve"> Úmyslné zničení cizí osobou by mělo za následek její dědickou nezpůsobilost</w:t>
      </w:r>
      <w:r w:rsidR="002924EF">
        <w:t>,</w:t>
      </w:r>
      <w:r w:rsidR="00F83C2D">
        <w:t xml:space="preserve"> jak uvádí § </w:t>
      </w:r>
      <w:r w:rsidR="002924EF">
        <w:t>1481 NOZ.</w:t>
      </w:r>
    </w:p>
    <w:p w:rsidR="001115FA" w:rsidRDefault="001115FA" w:rsidP="0051410A">
      <w:pPr>
        <w:spacing w:line="360" w:lineRule="auto"/>
        <w:ind w:firstLine="708"/>
        <w:jc w:val="both"/>
      </w:pPr>
      <w:r>
        <w:t xml:space="preserve">Třetím </w:t>
      </w:r>
      <w:r w:rsidR="00A81B71">
        <w:t xml:space="preserve">a novým </w:t>
      </w:r>
      <w:r>
        <w:t>způsobem odvolání</w:t>
      </w:r>
      <w:r w:rsidR="00CC37C7">
        <w:t xml:space="preserve"> je případ, kdy zůstavitel pořídil závěť ve formě veřejné listiny a požádal o její vydání. Jestliže mu byla závěť vydána, považuje se za odvolanou, o čemž musí být zůstavitel poučen. Ten, kdo listinu vydává, na ní poznamená její odvolání a poučení zůstavitele o tomto následku. Tuto skutečnost si také poznamená do svého spisu. V současné době lze pořídit závěť ve </w:t>
      </w:r>
      <w:r w:rsidR="00AB198A">
        <w:t>formě veřejné listiny pouze formou notářského zápisu</w:t>
      </w:r>
      <w:r w:rsidR="00CC37C7">
        <w:t xml:space="preserve"> a vydání takové listiny je upraveno i v NŘ v § 101. </w:t>
      </w:r>
      <w:r w:rsidR="00D059E7">
        <w:t xml:space="preserve">Po vydání listiny notář provede výmaz z Evidence právních jednání pro případ smrti. </w:t>
      </w:r>
      <w:r w:rsidR="00CC37C7">
        <w:t>Vydat listinu je možné pouze samotn</w:t>
      </w:r>
      <w:r w:rsidR="005720D2">
        <w:t>ému zůstaviteli a nikomu jinému</w:t>
      </w:r>
      <w:r w:rsidR="00802A53">
        <w:t xml:space="preserve">. </w:t>
      </w:r>
      <w:r w:rsidR="00B54A51">
        <w:t xml:space="preserve">Tato nová úprava byla notáři vesměs pozitivně přijata a to z toho důvodu, že již nebude nutné </w:t>
      </w:r>
      <w:r w:rsidR="00243EAF">
        <w:t>dědice seznamovat s takto zrušenými pořízeními, což bylo v některých dřívějších případech</w:t>
      </w:r>
      <w:r w:rsidR="00463712">
        <w:t xml:space="preserve"> pro dědice</w:t>
      </w:r>
      <w:r w:rsidR="00243EAF">
        <w:t xml:space="preserve"> citlivou otázkou</w:t>
      </w:r>
      <w:r w:rsidR="00B73C6C">
        <w:t xml:space="preserve"> vzhledem k jejich obsahu</w:t>
      </w:r>
      <w:r w:rsidR="00243EAF">
        <w:t>.</w:t>
      </w:r>
      <w:r w:rsidR="00B54A51">
        <w:t xml:space="preserve"> </w:t>
      </w:r>
      <w:r w:rsidR="00CF6A04">
        <w:t>Je však třeba rozlišovat případ, kdy je soukromá závěť pouze v notářské úschově. Vydání z notářské či jiné úřední úschovy totiž nemá za následek odvolání závěti.</w:t>
      </w:r>
      <w:r w:rsidR="00305C84">
        <w:rPr>
          <w:rStyle w:val="Znakapoznpodarou"/>
        </w:rPr>
        <w:footnoteReference w:id="182"/>
      </w:r>
      <w:r w:rsidR="00864CC8">
        <w:t xml:space="preserve"> Pokud by byl vydán pouze opis notářského zápisu, nebude mít toto jednání za následek odvolání závěti a to ani v případě, že zůstavitel opis zničí, protože by pro odvolání závěti nebyl dodržen zákonný postup.</w:t>
      </w:r>
      <w:r w:rsidR="00710CF4">
        <w:rPr>
          <w:rStyle w:val="Znakapoznpodarou"/>
        </w:rPr>
        <w:footnoteReference w:id="183"/>
      </w:r>
    </w:p>
    <w:p w:rsidR="0051410A" w:rsidRDefault="006A177C" w:rsidP="007B331A">
      <w:pPr>
        <w:pStyle w:val="Nadpis2"/>
      </w:pPr>
      <w:bookmarkStart w:id="33" w:name="_Toc415452787"/>
      <w:r>
        <w:t>6.2</w:t>
      </w:r>
      <w:r>
        <w:tab/>
      </w:r>
      <w:r w:rsidR="0051410A">
        <w:t>Pořízení pozdější závěti</w:t>
      </w:r>
      <w:bookmarkEnd w:id="33"/>
    </w:p>
    <w:p w:rsidR="002A7CD8" w:rsidRDefault="0051410A" w:rsidP="00E03900">
      <w:pPr>
        <w:spacing w:line="360" w:lineRule="auto"/>
        <w:jc w:val="both"/>
      </w:pPr>
      <w:r>
        <w:tab/>
      </w:r>
      <w:r w:rsidR="00AB198A">
        <w:t xml:space="preserve">Druhý způsob zrušení závěti upravuje NOZ v § 1575 odst. 2, resp. v § </w:t>
      </w:r>
      <w:r w:rsidR="00B73C6C">
        <w:t>1577. Pořízením závěti pozdější</w:t>
      </w:r>
      <w:r w:rsidR="00AB198A">
        <w:t xml:space="preserve"> se závěť dřívější ruší v takovém rozsahu, v jakém nemůže vedle závěti pozdější obstát. Toto pravidlo obsahoval i OZ a NOZ tedy úpravu zcela přebírá</w:t>
      </w:r>
      <w:r w:rsidR="00815F20">
        <w:t xml:space="preserve"> a</w:t>
      </w:r>
      <w:r w:rsidR="009062C0">
        <w:t> </w:t>
      </w:r>
      <w:r w:rsidR="00815F20">
        <w:t>nenavrací se k úpravě obsažené v OZO</w:t>
      </w:r>
      <w:r w:rsidR="00AB198A">
        <w:t>.</w:t>
      </w:r>
      <w:r w:rsidR="00815F20">
        <w:t xml:space="preserve"> Ten obsahoval ustanovení</w:t>
      </w:r>
      <w:r w:rsidR="00815F20">
        <w:rPr>
          <w:rStyle w:val="Znakapoznpodarou"/>
        </w:rPr>
        <w:footnoteReference w:id="184"/>
      </w:r>
      <w:r w:rsidR="00815F20">
        <w:t xml:space="preserve">, kterým byla dřívější závěť zcela zrušena závětí pozdější, ledaže zůstavitelova vůle byla zřejmě jiná. </w:t>
      </w:r>
      <w:r w:rsidR="00AB198A">
        <w:t>Vedle sebe tak</w:t>
      </w:r>
      <w:r w:rsidR="00815F20">
        <w:t xml:space="preserve"> dle NOZ</w:t>
      </w:r>
      <w:r w:rsidR="00AB198A">
        <w:t xml:space="preserve"> může působit hned několik závětí</w:t>
      </w:r>
      <w:r w:rsidR="00412A32">
        <w:t xml:space="preserve">, aniž by zůstavitel musel projevit vůli, že dřívější </w:t>
      </w:r>
      <w:r w:rsidR="00B73C6C">
        <w:t>závěti</w:t>
      </w:r>
      <w:r w:rsidR="00412A32">
        <w:t xml:space="preserve"> mají zcela nebo z části zůstat v platnosti. </w:t>
      </w:r>
      <w:r w:rsidR="004C4E02">
        <w:t xml:space="preserve">Ke zrušení dřívější závěti dochází okamžikem, kdy byla zřízena závěť </w:t>
      </w:r>
      <w:r w:rsidR="00B73C6C">
        <w:t>pozdější</w:t>
      </w:r>
      <w:r w:rsidR="004C4E02">
        <w:t>.</w:t>
      </w:r>
      <w:r w:rsidR="004C4E02">
        <w:rPr>
          <w:rStyle w:val="Znakapoznpodarou"/>
        </w:rPr>
        <w:footnoteReference w:id="185"/>
      </w:r>
    </w:p>
    <w:p w:rsidR="004C4E02" w:rsidRDefault="004C4E02" w:rsidP="00E03900">
      <w:pPr>
        <w:spacing w:line="360" w:lineRule="auto"/>
        <w:jc w:val="both"/>
      </w:pPr>
      <w:r>
        <w:tab/>
      </w:r>
      <w:r w:rsidR="00F1343A">
        <w:t>Je třeba zmínit, že jednou z mála změn je obnova dřívější závěti neboli tzv. „obživnutí závěti“.</w:t>
      </w:r>
      <w:r w:rsidR="003D38DC">
        <w:t xml:space="preserve"> NOZ ji upravuje v § 1580, který stanovuje, že pokud zůstavitel zruší novější závěť, </w:t>
      </w:r>
      <w:r w:rsidR="003D38DC">
        <w:lastRenderedPageBreak/>
        <w:t>ale dřívější uchová, má se za to, že dřívější závěť platnosti nepozbyla a hledí se na ni jako by vůbec zrušena nebyla.</w:t>
      </w:r>
      <w:r w:rsidR="00B73C6C">
        <w:t xml:space="preserve"> V době účinnosti OZ</w:t>
      </w:r>
      <w:r w:rsidR="00F1343A">
        <w:t xml:space="preserve"> tato obnova nebyla přípustná, což potvrdilo např. rozhodnutí</w:t>
      </w:r>
      <w:r w:rsidR="00F567F1">
        <w:rPr>
          <w:rStyle w:val="Znakapoznpodarou"/>
        </w:rPr>
        <w:footnoteReference w:id="186"/>
      </w:r>
      <w:r w:rsidR="00F1343A">
        <w:t xml:space="preserve"> </w:t>
      </w:r>
      <w:r w:rsidR="00F567F1">
        <w:t>městského soudu v Praze a přikláněla se k němu také většina odborné veřejnosti</w:t>
      </w:r>
      <w:r w:rsidR="00F567F1">
        <w:rPr>
          <w:rStyle w:val="Znakapoznpodarou"/>
        </w:rPr>
        <w:footnoteReference w:id="187"/>
      </w:r>
      <w:r w:rsidR="003D38DC">
        <w:t>. Na tuto problematiku ale</w:t>
      </w:r>
      <w:r w:rsidR="00F1343A">
        <w:t xml:space="preserve"> existovaly i odlišné názory.</w:t>
      </w:r>
      <w:r w:rsidR="00272A37">
        <w:rPr>
          <w:rStyle w:val="Znakapoznpodarou"/>
        </w:rPr>
        <w:footnoteReference w:id="188"/>
      </w:r>
      <w:r w:rsidR="003D38DC">
        <w:t xml:space="preserve"> Bude nutné však rozlišovat případy, kdy zůstavitel pořídil dvě závěti s tím, že novější sice byla zrušena, avšak dřívější závěť </w:t>
      </w:r>
      <w:r w:rsidR="00046698">
        <w:t xml:space="preserve">zůstavitel </w:t>
      </w:r>
      <w:r w:rsidR="003D38DC">
        <w:t>zrušil výslovným projevem vůle obsaženým např. v novější závěti. Dle komentáře</w:t>
      </w:r>
      <w:r w:rsidR="00200964">
        <w:rPr>
          <w:rStyle w:val="Znakapoznpodarou"/>
        </w:rPr>
        <w:footnoteReference w:id="189"/>
      </w:r>
      <w:r w:rsidR="003D38DC">
        <w:t xml:space="preserve"> k NOZ k obživnutí v takovém případě nedojde</w:t>
      </w:r>
      <w:r w:rsidR="00200964">
        <w:t>.</w:t>
      </w:r>
      <w:r w:rsidR="00046698">
        <w:t xml:space="preserve"> Odlišně bude hodnocena situace, kdy vedle sebe budou existovat dvě závěti (dřívější a novější), které vedle sebe nemohou obstát</w:t>
      </w:r>
      <w:r w:rsidR="008620A6">
        <w:t>,</w:t>
      </w:r>
      <w:r w:rsidR="00046698">
        <w:t xml:space="preserve"> a zůstavitel novější závěť zruší a dřívější uchová.</w:t>
      </w:r>
    </w:p>
    <w:p w:rsidR="00570A0A" w:rsidRDefault="00B73C6C" w:rsidP="00E03900">
      <w:pPr>
        <w:spacing w:line="360" w:lineRule="auto"/>
        <w:jc w:val="both"/>
      </w:pPr>
      <w:r>
        <w:tab/>
        <w:t>Úprava zrušení závěti</w:t>
      </w:r>
      <w:r w:rsidR="00570A0A">
        <w:t xml:space="preserve"> až na možnost obživnutí závěti a její vydání z notářské úschovy nepřináší jiné změny a ve velké části se shoduje s úpravou dle předchozího občanského zákoníku. Osobně zastávám názor, že úprava zrušení závěti pořízením závěti pozdější by byla vhodnější v</w:t>
      </w:r>
      <w:r>
        <w:t> takové podobě, v jaké ji upravoval OZO.</w:t>
      </w:r>
    </w:p>
    <w:p w:rsidR="001203E8" w:rsidRDefault="00A14D8C" w:rsidP="00DC722B">
      <w:pPr>
        <w:pStyle w:val="Nadpis1"/>
        <w:spacing w:line="360" w:lineRule="auto"/>
      </w:pPr>
      <w:bookmarkStart w:id="34" w:name="_Toc415452788"/>
      <w:r>
        <w:lastRenderedPageBreak/>
        <w:t>Závěr</w:t>
      </w:r>
      <w:bookmarkEnd w:id="34"/>
    </w:p>
    <w:p w:rsidR="001203E8" w:rsidRDefault="001203E8" w:rsidP="001203E8">
      <w:pPr>
        <w:spacing w:line="360" w:lineRule="auto"/>
        <w:jc w:val="both"/>
      </w:pPr>
      <w:r>
        <w:tab/>
      </w:r>
      <w:r w:rsidR="007F7854">
        <w:t>Cílem této práce bylo podat ucelený přehled o úpravě závěti v NOZ a zachytit a</w:t>
      </w:r>
      <w:r w:rsidR="00DD4E0D">
        <w:t> </w:t>
      </w:r>
      <w:r w:rsidR="007F7854">
        <w:t>zhodnotit změny, které se v nové kodifikaci oproti OZ vyskytly. Vzhledem ke stanovenému rozsahu práce nebylo možné se veškerým aspektům závěti věnovat s náležitou pozorností a</w:t>
      </w:r>
      <w:r w:rsidR="00DD4E0D">
        <w:t> </w:t>
      </w:r>
      <w:r w:rsidR="007F7854">
        <w:t xml:space="preserve">podrobností, protože některé kapitoly by </w:t>
      </w:r>
      <w:r w:rsidR="008A4FE7">
        <w:t xml:space="preserve">při hloubkovějším pojetí </w:t>
      </w:r>
      <w:r w:rsidR="007F7854">
        <w:t>vydaly na samostatné diplomové práce.</w:t>
      </w:r>
      <w:r w:rsidR="008A4FE7">
        <w:t xml:space="preserve"> </w:t>
      </w:r>
    </w:p>
    <w:p w:rsidR="008A4FE7" w:rsidRDefault="00C55845" w:rsidP="001203E8">
      <w:pPr>
        <w:spacing w:line="360" w:lineRule="auto"/>
        <w:jc w:val="both"/>
      </w:pPr>
      <w:r>
        <w:tab/>
        <w:t>První kapitola se zabývala</w:t>
      </w:r>
      <w:r w:rsidR="008A4FE7">
        <w:t xml:space="preserve"> pojmem a znaky závěti. NOZ se v charakteristice závěti drží tradičního pojetí tohoto institutu, což činil i OZ. Lze však přivítat výslovné zanesení </w:t>
      </w:r>
      <w:r w:rsidR="008E3A34">
        <w:t>některých znaků závěti, které se v OZ nevyskytovaly, ale pouze se dovozovaly.</w:t>
      </w:r>
    </w:p>
    <w:p w:rsidR="00B8130D" w:rsidRDefault="00B8130D" w:rsidP="001203E8">
      <w:pPr>
        <w:spacing w:line="360" w:lineRule="auto"/>
        <w:jc w:val="both"/>
      </w:pPr>
      <w:r>
        <w:tab/>
        <w:t>K jednomu z nejvýraznějších posunů došlo</w:t>
      </w:r>
      <w:r w:rsidR="00C55845">
        <w:t xml:space="preserve"> v</w:t>
      </w:r>
      <w:r w:rsidR="003E4041">
        <w:t> </w:t>
      </w:r>
      <w:r w:rsidR="00C55845">
        <w:t>problematice</w:t>
      </w:r>
      <w:r w:rsidR="003E4041">
        <w:t xml:space="preserve"> výkladu vůle zůstavitele</w:t>
      </w:r>
      <w:r w:rsidR="00C55845">
        <w:t>, kterou rozebrala</w:t>
      </w:r>
      <w:r>
        <w:t xml:space="preserve"> druhá kapitola. </w:t>
      </w:r>
      <w:r w:rsidR="00385560">
        <w:t>Pro socialistické zákoníky bylo typické, že vůle zůstavitele byla upozaděna a její výklad nesvědčil vždy v její prospěch</w:t>
      </w:r>
      <w:r w:rsidR="003E4041">
        <w:t>,</w:t>
      </w:r>
      <w:r w:rsidR="00385560">
        <w:t xml:space="preserve"> a to dokonce i dlouho po pádu komunismu. NOZ v tomto ohledu přináší</w:t>
      </w:r>
      <w:r w:rsidR="000C3FA2">
        <w:t xml:space="preserve"> důležitou změnu, která se projeví v ochraně i</w:t>
      </w:r>
      <w:r w:rsidR="001027E2">
        <w:t> </w:t>
      </w:r>
      <w:r w:rsidR="000C3FA2">
        <w:t>respektu k vůli zůstavitele, což je znak typický pro klasické evropské soukromoprávní úpravy demokratických států.</w:t>
      </w:r>
      <w:r w:rsidR="00854DCE">
        <w:t xml:space="preserve"> NOZ obsahuje mnoho pravidel, která vykládají zůstavitelovu vůli včetně speciální úpravy omylu</w:t>
      </w:r>
      <w:r w:rsidR="00EB5B2F">
        <w:t>,</w:t>
      </w:r>
      <w:r w:rsidR="00854DCE">
        <w:t xml:space="preserve"> a v ustanovení charakterizující závěť je</w:t>
      </w:r>
      <w:r w:rsidR="00F46D8F">
        <w:t xml:space="preserve"> dokonce</w:t>
      </w:r>
      <w:r w:rsidR="00854DCE">
        <w:t xml:space="preserve"> výslovně stanoveno, že je třeba </w:t>
      </w:r>
      <w:r w:rsidR="00CB1915">
        <w:t>vůli zůstavitele</w:t>
      </w:r>
      <w:r w:rsidR="00854DCE">
        <w:t xml:space="preserve"> vy</w:t>
      </w:r>
      <w:r w:rsidR="00CB1915">
        <w:t>kládat tak, aby jí</w:t>
      </w:r>
      <w:r w:rsidR="00854DCE">
        <w:t xml:space="preserve"> bylo co nejvíce vyhověno.</w:t>
      </w:r>
      <w:r w:rsidR="00BA7B2D">
        <w:t xml:space="preserve"> Přesto tato úprava obsahuje i některá ustanovení s možnou problematickou interpretací.</w:t>
      </w:r>
    </w:p>
    <w:p w:rsidR="000C3FA2" w:rsidRDefault="00BA7B2D" w:rsidP="001203E8">
      <w:pPr>
        <w:spacing w:line="360" w:lineRule="auto"/>
        <w:jc w:val="both"/>
      </w:pPr>
      <w:r>
        <w:tab/>
        <w:t>Třetí kapitola zpracovala</w:t>
      </w:r>
      <w:r w:rsidR="000C3FA2">
        <w:t xml:space="preserve"> pořizovací způsobilost zůstavitele. </w:t>
      </w:r>
      <w:r w:rsidR="00D2615F">
        <w:t xml:space="preserve">V oblasti věku nedošlo v NOZ k výraznějším změnám, ale vyřešeny byly některé </w:t>
      </w:r>
      <w:r w:rsidR="000C3FA2">
        <w:t>v minulosti sporné či problematické otázky</w:t>
      </w:r>
      <w:r w:rsidR="00D2615F">
        <w:t xml:space="preserve"> týkající se duševního stavu zůstavitele</w:t>
      </w:r>
      <w:r w:rsidR="000C3FA2">
        <w:t xml:space="preserve"> jako např. pořizovací způsobilost osoby, která byla omezena ve svéprávnosti. </w:t>
      </w:r>
      <w:r w:rsidR="00214184">
        <w:t>Zakotvena byla také obdoba omezené pořizovací způsobilosti marnotratníka, jak to činil OZO</w:t>
      </w:r>
      <w:r w:rsidR="00D2615F">
        <w:t>, avšak v jiných směrech šel NOZ vlastní cestou a úprava pořizovací způsobilosti tak odpovídá požadavkům společnosti jednadvacátého století.</w:t>
      </w:r>
    </w:p>
    <w:p w:rsidR="008634D5" w:rsidRDefault="00C55845" w:rsidP="001203E8">
      <w:pPr>
        <w:spacing w:line="360" w:lineRule="auto"/>
        <w:jc w:val="both"/>
      </w:pPr>
      <w:r>
        <w:tab/>
        <w:t>Čtvrtá kapitola se zabýv</w:t>
      </w:r>
      <w:r w:rsidR="00BA7B2D">
        <w:t xml:space="preserve">ala obsahovou stránkou závěti, kam byly zařazeny i některé další instituty pro závěť významné. </w:t>
      </w:r>
      <w:r w:rsidR="003A5AA2">
        <w:t>Zvláště v této kapitole by bylo možné rozebrat jednotlivé části mnohem podrobněji, což však vzhledem k rozsahu práce ne</w:t>
      </w:r>
      <w:r w:rsidR="001F5036">
        <w:t>přicházelo v úvahu</w:t>
      </w:r>
      <w:r w:rsidR="003A5AA2">
        <w:t>.</w:t>
      </w:r>
      <w:r w:rsidR="008954B2">
        <w:t xml:space="preserve"> </w:t>
      </w:r>
      <w:r w:rsidR="004501E3">
        <w:t xml:space="preserve">Jednou z předností NOZ </w:t>
      </w:r>
      <w:r w:rsidR="001F5036">
        <w:t>je</w:t>
      </w:r>
      <w:r w:rsidR="004501E3">
        <w:t xml:space="preserve"> kromě rozlišování mezi závětí a dovětkem také vypořádání se s obecnými formulacemi samotného ustanovení dědiců.</w:t>
      </w:r>
      <w:r w:rsidR="001F5036">
        <w:t xml:space="preserve"> V oblasti dědické nezpůsobilosti došlo ke změnám zejména v rozšíření a zkonkrétnění úpravy. </w:t>
      </w:r>
      <w:r w:rsidR="004501E3">
        <w:t xml:space="preserve">Problematika nepominutelného dědice </w:t>
      </w:r>
      <w:r w:rsidR="002C30DB">
        <w:t xml:space="preserve">se </w:t>
      </w:r>
      <w:r w:rsidR="004501E3">
        <w:t xml:space="preserve">sice </w:t>
      </w:r>
      <w:r w:rsidR="002C30DB">
        <w:t>nezměnila v okruhu osob, avšak výše povinného dílu, na který mají tyto osoby právo</w:t>
      </w:r>
      <w:r w:rsidR="001D77CA">
        <w:t>,</w:t>
      </w:r>
      <w:r w:rsidR="002C30DB">
        <w:t xml:space="preserve"> se </w:t>
      </w:r>
      <w:r w:rsidR="002C30DB">
        <w:lastRenderedPageBreak/>
        <w:t xml:space="preserve">oproti OZ snížila a </w:t>
      </w:r>
      <w:r w:rsidR="001D77CA">
        <w:t xml:space="preserve">také </w:t>
      </w:r>
      <w:r w:rsidR="002C30DB">
        <w:t xml:space="preserve">možnost zůstavitele vydědit </w:t>
      </w:r>
      <w:r w:rsidR="001D77CA">
        <w:t>tohoto potomka doznala určitých změn</w:t>
      </w:r>
      <w:r w:rsidR="002C30DB">
        <w:t xml:space="preserve">. </w:t>
      </w:r>
      <w:r w:rsidR="00D75FCD">
        <w:t>Jedním z </w:t>
      </w:r>
      <w:r w:rsidR="00C54E53">
        <w:t>velkých</w:t>
      </w:r>
      <w:r w:rsidR="00D75FCD">
        <w:t xml:space="preserve"> rozdílů oproti úpravě obsažené v OZ jsou vedlejší doložky závěti</w:t>
      </w:r>
      <w:r w:rsidR="00C54E53">
        <w:t xml:space="preserve">, které </w:t>
      </w:r>
      <w:r w:rsidR="00762CE4">
        <w:t>výrazně posilují zůstavitelovu autonomii vůle a</w:t>
      </w:r>
      <w:r w:rsidR="00C54E53">
        <w:t xml:space="preserve"> dávají</w:t>
      </w:r>
      <w:r w:rsidR="00762CE4">
        <w:t xml:space="preserve"> mu tím možnost lépe </w:t>
      </w:r>
      <w:r w:rsidR="008634D5">
        <w:t xml:space="preserve">prosadit </w:t>
      </w:r>
      <w:r w:rsidR="00762CE4">
        <w:t>sv</w:t>
      </w:r>
      <w:r w:rsidR="008634D5">
        <w:t>ou vůli</w:t>
      </w:r>
      <w:r w:rsidR="00762CE4">
        <w:t>.</w:t>
      </w:r>
      <w:r w:rsidR="008634D5">
        <w:t xml:space="preserve"> Navrací se také vulgární i fideikomisární substituce, což bude oceněno zejména ve složitějších majetkových či rodinných situacích. </w:t>
      </w:r>
    </w:p>
    <w:p w:rsidR="008634D5" w:rsidRDefault="008634D5" w:rsidP="001203E8">
      <w:pPr>
        <w:spacing w:line="360" w:lineRule="auto"/>
        <w:jc w:val="both"/>
      </w:pPr>
      <w:r>
        <w:tab/>
        <w:t>Nejdůležitější a nejrozsáhlejší je pátá kapitola práce, která podrobně rozebrala formy závěti nacházející se v NOZ. V podkapitole holografní závěť byla věnována zvláštní pozornost pomoci jiné osoby při psaní tohoto druhu závěti a v té souvislosti nastíněna otázka platnosti takového pořízení. Rozebrána byla také jedna z nejvýraznějších změn ohledně datování závěti, jehož nedostatek tentokrát nemusí nutně znamenat neplatnost tohoto právního jednání. Nál</w:t>
      </w:r>
      <w:r w:rsidR="001D77CA">
        <w:t>ežité pozornosti se dostalo i</w:t>
      </w:r>
      <w:r>
        <w:t xml:space="preserve"> úlevám při pořizování závěti, které se do našeho právního řádu vrací po více než šedesáti letech a které dávají zůstaviteli možnost pořídit pro případ smrti i v mimořádných podmínkách za snížených formálních požadavků. </w:t>
      </w:r>
    </w:p>
    <w:p w:rsidR="00D84048" w:rsidRDefault="008634D5" w:rsidP="001203E8">
      <w:pPr>
        <w:spacing w:line="360" w:lineRule="auto"/>
        <w:jc w:val="both"/>
      </w:pPr>
      <w:r>
        <w:tab/>
        <w:t xml:space="preserve">V poslední kapitole bylo pojednáno o možnostech zrušení závěti, které NOZ upravil podrobněji než OZ a obnoveno bylo také </w:t>
      </w:r>
      <w:r w:rsidR="00906350">
        <w:t xml:space="preserve">tzv. obživnutí závěti a byla přidána možnost požádat o vydání </w:t>
      </w:r>
      <w:r w:rsidR="00D84048">
        <w:t>závěti vyhotovené formou veřejné listiny</w:t>
      </w:r>
      <w:r w:rsidR="00630669">
        <w:t>,</w:t>
      </w:r>
      <w:r w:rsidR="00D84048">
        <w:t xml:space="preserve"> s čímž je spojeno její zrušení.</w:t>
      </w:r>
    </w:p>
    <w:p w:rsidR="007F7854" w:rsidRPr="001203E8" w:rsidRDefault="00D84048" w:rsidP="006E47C7">
      <w:pPr>
        <w:spacing w:line="360" w:lineRule="auto"/>
        <w:jc w:val="both"/>
      </w:pPr>
      <w:r>
        <w:tab/>
      </w:r>
      <w:r w:rsidR="00CF5490">
        <w:t>Lze říci, že</w:t>
      </w:r>
      <w:r w:rsidR="00695C63">
        <w:t xml:space="preserve"> problematika</w:t>
      </w:r>
      <w:r w:rsidR="00CF5490">
        <w:t xml:space="preserve"> závěti je v NOZ upraven</w:t>
      </w:r>
      <w:r w:rsidR="00695C63">
        <w:t>a</w:t>
      </w:r>
      <w:r w:rsidR="00630669">
        <w:t xml:space="preserve"> mnohem</w:t>
      </w:r>
      <w:r w:rsidR="00CF5490">
        <w:t xml:space="preserve"> komplexně</w:t>
      </w:r>
      <w:r w:rsidR="00630669">
        <w:t>ji</w:t>
      </w:r>
      <w:r w:rsidR="00CF5490">
        <w:t xml:space="preserve"> a na většině míst kvalitně. Největšími přednostmi oproti předcházející úpravě je znovuzavedení tradičních institutů, které se netýkají pouze závěti</w:t>
      </w:r>
      <w:r w:rsidR="00695C63">
        <w:t>,</w:t>
      </w:r>
      <w:r w:rsidR="00CF5490">
        <w:t xml:space="preserve"> ale dědického práva </w:t>
      </w:r>
      <w:r w:rsidR="00942D6B">
        <w:t>jako celku</w:t>
      </w:r>
      <w:r w:rsidR="00CF5490">
        <w:t>. Zůstavitelova vůle se tak opět dostává tam, kam ve vyspělé společnosti bezesporu patří.</w:t>
      </w:r>
    </w:p>
    <w:p w:rsidR="002A6CBB" w:rsidRDefault="002A6CBB" w:rsidP="00DC722B">
      <w:pPr>
        <w:pStyle w:val="Nadpis1"/>
      </w:pPr>
      <w:bookmarkStart w:id="35" w:name="_Toc415452789"/>
      <w:r>
        <w:lastRenderedPageBreak/>
        <w:t>Seznam použitých zdrojů</w:t>
      </w:r>
      <w:bookmarkEnd w:id="35"/>
    </w:p>
    <w:p w:rsidR="002A6CBB" w:rsidRDefault="002A6CBB" w:rsidP="00DC722B">
      <w:pPr>
        <w:pStyle w:val="Nadpis2"/>
      </w:pPr>
      <w:bookmarkStart w:id="36" w:name="_Toc415452790"/>
      <w:r>
        <w:t>Monografie</w:t>
      </w:r>
      <w:r w:rsidR="00AE2921">
        <w:t>, sborníky a komentáře</w:t>
      </w:r>
      <w:bookmarkEnd w:id="36"/>
    </w:p>
    <w:p w:rsidR="00D6375C" w:rsidRPr="000C586F" w:rsidRDefault="00D6375C" w:rsidP="00A13AF3">
      <w:pPr>
        <w:pStyle w:val="Textpoznpodarou"/>
        <w:spacing w:after="240" w:line="360" w:lineRule="auto"/>
        <w:jc w:val="both"/>
        <w:rPr>
          <w:sz w:val="24"/>
          <w:szCs w:val="24"/>
        </w:rPr>
      </w:pPr>
      <w:r w:rsidRPr="000C586F">
        <w:rPr>
          <w:sz w:val="24"/>
          <w:szCs w:val="24"/>
        </w:rPr>
        <w:t xml:space="preserve">BEDNÁŘ, Václav. </w:t>
      </w:r>
      <w:r w:rsidRPr="000C586F">
        <w:rPr>
          <w:i/>
          <w:sz w:val="24"/>
          <w:szCs w:val="24"/>
        </w:rPr>
        <w:t>Testamentární dědická posloupnost.</w:t>
      </w:r>
      <w:r w:rsidRPr="000C586F">
        <w:rPr>
          <w:sz w:val="24"/>
          <w:szCs w:val="24"/>
        </w:rPr>
        <w:t xml:space="preserve"> Plzeň: Aleš Čeněk, 2011. 301 s.</w:t>
      </w:r>
    </w:p>
    <w:p w:rsidR="002D77F0" w:rsidRPr="000C586F" w:rsidRDefault="002D77F0" w:rsidP="00A13AF3">
      <w:pPr>
        <w:pStyle w:val="Textpoznpodarou"/>
        <w:spacing w:after="240" w:line="360" w:lineRule="auto"/>
        <w:jc w:val="both"/>
        <w:rPr>
          <w:sz w:val="24"/>
          <w:szCs w:val="24"/>
        </w:rPr>
      </w:pPr>
      <w:r w:rsidRPr="000C586F">
        <w:rPr>
          <w:sz w:val="24"/>
          <w:szCs w:val="24"/>
        </w:rPr>
        <w:t xml:space="preserve">ELIÁŠ, Karel. </w:t>
      </w:r>
      <w:r w:rsidRPr="000C586F">
        <w:rPr>
          <w:i/>
          <w:sz w:val="24"/>
          <w:szCs w:val="24"/>
        </w:rPr>
        <w:t>Nový občanský zákoník s aktualizovanou důvodovou zprávou a rejstříkem.</w:t>
      </w:r>
      <w:r w:rsidRPr="000C586F">
        <w:rPr>
          <w:sz w:val="24"/>
          <w:szCs w:val="24"/>
        </w:rPr>
        <w:t xml:space="preserve"> Ostrava: Sagit, 2012. 1119 s.</w:t>
      </w:r>
    </w:p>
    <w:p w:rsidR="00D6375C" w:rsidRDefault="00D6375C" w:rsidP="00A13AF3">
      <w:pPr>
        <w:pStyle w:val="Textpoznpodarou"/>
        <w:spacing w:after="240" w:line="360" w:lineRule="auto"/>
        <w:jc w:val="both"/>
        <w:rPr>
          <w:sz w:val="24"/>
          <w:szCs w:val="24"/>
        </w:rPr>
      </w:pPr>
      <w:r w:rsidRPr="000C586F">
        <w:rPr>
          <w:sz w:val="24"/>
          <w:szCs w:val="24"/>
        </w:rPr>
        <w:t xml:space="preserve">ELIÁŠ, Karel a kol. </w:t>
      </w:r>
      <w:r w:rsidRPr="000C586F">
        <w:rPr>
          <w:i/>
          <w:sz w:val="24"/>
          <w:szCs w:val="24"/>
        </w:rPr>
        <w:t xml:space="preserve">Občanský zákoník: Velký akademický komentář, 1. svazek. </w:t>
      </w:r>
      <w:r w:rsidRPr="000C586F">
        <w:rPr>
          <w:sz w:val="24"/>
          <w:szCs w:val="24"/>
        </w:rPr>
        <w:t>Praha: Linde, 2008. 1391 s.</w:t>
      </w:r>
    </w:p>
    <w:p w:rsidR="00636239" w:rsidRPr="00636239" w:rsidRDefault="00636239" w:rsidP="00A13AF3">
      <w:pPr>
        <w:pStyle w:val="Textpoznpodarou"/>
        <w:spacing w:after="240" w:line="360" w:lineRule="auto"/>
        <w:jc w:val="both"/>
        <w:rPr>
          <w:sz w:val="24"/>
          <w:szCs w:val="24"/>
        </w:rPr>
      </w:pPr>
      <w:r w:rsidRPr="00636239">
        <w:rPr>
          <w:sz w:val="24"/>
          <w:szCs w:val="24"/>
        </w:rPr>
        <w:t xml:space="preserve">FIALA, Josef a kol. </w:t>
      </w:r>
      <w:r w:rsidR="00B24EF8">
        <w:rPr>
          <w:i/>
          <w:sz w:val="24"/>
          <w:szCs w:val="24"/>
        </w:rPr>
        <w:t xml:space="preserve">Občanský zákoník, </w:t>
      </w:r>
      <w:r w:rsidRPr="00636239">
        <w:rPr>
          <w:i/>
          <w:sz w:val="24"/>
          <w:szCs w:val="24"/>
        </w:rPr>
        <w:t>Komentář. I. díl.</w:t>
      </w:r>
      <w:r w:rsidRPr="00636239">
        <w:rPr>
          <w:sz w:val="24"/>
          <w:szCs w:val="24"/>
        </w:rPr>
        <w:t xml:space="preserve"> 1. vydání. Praha: Wolters Kluwer, 2009</w:t>
      </w:r>
      <w:r>
        <w:rPr>
          <w:sz w:val="24"/>
          <w:szCs w:val="24"/>
        </w:rPr>
        <w:t>.</w:t>
      </w:r>
      <w:r w:rsidRPr="00636239">
        <w:rPr>
          <w:sz w:val="24"/>
          <w:szCs w:val="24"/>
        </w:rPr>
        <w:t xml:space="preserve"> s</w:t>
      </w:r>
      <w:r>
        <w:rPr>
          <w:sz w:val="24"/>
          <w:szCs w:val="24"/>
        </w:rPr>
        <w:t>.</w:t>
      </w:r>
      <w:r w:rsidRPr="00636239">
        <w:rPr>
          <w:sz w:val="24"/>
          <w:szCs w:val="24"/>
        </w:rPr>
        <w:t> 8</w:t>
      </w:r>
      <w:r>
        <w:rPr>
          <w:sz w:val="24"/>
          <w:szCs w:val="24"/>
        </w:rPr>
        <w:t>66</w:t>
      </w:r>
      <w:r w:rsidRPr="00636239">
        <w:rPr>
          <w:sz w:val="24"/>
          <w:szCs w:val="24"/>
        </w:rPr>
        <w:t>.</w:t>
      </w:r>
    </w:p>
    <w:p w:rsidR="009678A3" w:rsidRPr="000C586F" w:rsidRDefault="009678A3" w:rsidP="00A13AF3">
      <w:pPr>
        <w:pStyle w:val="Textpoznpodarou"/>
        <w:spacing w:after="240" w:line="360" w:lineRule="auto"/>
        <w:jc w:val="both"/>
        <w:rPr>
          <w:sz w:val="24"/>
          <w:szCs w:val="24"/>
        </w:rPr>
      </w:pPr>
      <w:r w:rsidRPr="000C586F">
        <w:rPr>
          <w:sz w:val="24"/>
          <w:szCs w:val="24"/>
        </w:rPr>
        <w:t xml:space="preserve">HOLUB, Rudolf. </w:t>
      </w:r>
      <w:r w:rsidRPr="000C586F">
        <w:rPr>
          <w:i/>
          <w:sz w:val="24"/>
          <w:szCs w:val="24"/>
        </w:rPr>
        <w:t>Komentář k občanskému zákoníku. Právo dědické.</w:t>
      </w:r>
      <w:r w:rsidRPr="000C586F">
        <w:rPr>
          <w:sz w:val="24"/>
          <w:szCs w:val="24"/>
        </w:rPr>
        <w:t xml:space="preserve"> Praha: Orbis, 1957. 380</w:t>
      </w:r>
      <w:r w:rsidR="00BF5BE8">
        <w:rPr>
          <w:sz w:val="24"/>
          <w:szCs w:val="24"/>
        </w:rPr>
        <w:t> </w:t>
      </w:r>
      <w:r w:rsidRPr="000C586F">
        <w:rPr>
          <w:sz w:val="24"/>
          <w:szCs w:val="24"/>
        </w:rPr>
        <w:t>s.</w:t>
      </w:r>
    </w:p>
    <w:p w:rsidR="00BF4C57" w:rsidRPr="000C586F" w:rsidRDefault="00BF4C57" w:rsidP="00A13AF3">
      <w:pPr>
        <w:pStyle w:val="Textpoznpodarou"/>
        <w:spacing w:after="240" w:line="360" w:lineRule="auto"/>
        <w:jc w:val="both"/>
        <w:rPr>
          <w:sz w:val="24"/>
          <w:szCs w:val="24"/>
        </w:rPr>
      </w:pPr>
      <w:r w:rsidRPr="000C586F">
        <w:rPr>
          <w:sz w:val="24"/>
          <w:szCs w:val="24"/>
        </w:rPr>
        <w:t xml:space="preserve">KINCL, Jaromír a kol. </w:t>
      </w:r>
      <w:r w:rsidRPr="000C586F">
        <w:rPr>
          <w:i/>
          <w:sz w:val="24"/>
          <w:szCs w:val="24"/>
        </w:rPr>
        <w:t xml:space="preserve">Římské právo. </w:t>
      </w:r>
      <w:r w:rsidRPr="000C586F">
        <w:rPr>
          <w:sz w:val="24"/>
          <w:szCs w:val="24"/>
        </w:rPr>
        <w:t>2. vydání. Praha: C. H. Beck, 1997. 386 s.</w:t>
      </w:r>
    </w:p>
    <w:p w:rsidR="001D7E96" w:rsidRPr="000C586F" w:rsidRDefault="001D7E96" w:rsidP="00A13AF3">
      <w:pPr>
        <w:pStyle w:val="Textpoznpodarou"/>
        <w:spacing w:after="240" w:line="360" w:lineRule="auto"/>
        <w:jc w:val="both"/>
        <w:rPr>
          <w:sz w:val="24"/>
          <w:szCs w:val="24"/>
        </w:rPr>
      </w:pPr>
      <w:r w:rsidRPr="000C586F">
        <w:rPr>
          <w:sz w:val="24"/>
          <w:szCs w:val="24"/>
        </w:rPr>
        <w:t xml:space="preserve">KNAPP, Viktor, PLANK, Karol. </w:t>
      </w:r>
      <w:r w:rsidRPr="000C586F">
        <w:rPr>
          <w:i/>
          <w:sz w:val="24"/>
          <w:szCs w:val="24"/>
        </w:rPr>
        <w:t>Učebnica československého občianského práva-II. časť.</w:t>
      </w:r>
      <w:r w:rsidRPr="000C586F">
        <w:rPr>
          <w:sz w:val="24"/>
          <w:szCs w:val="24"/>
        </w:rPr>
        <w:t xml:space="preserve"> Bratislava: Obzor, 1965. 571 s.</w:t>
      </w:r>
    </w:p>
    <w:p w:rsidR="002D77F0" w:rsidRDefault="002D77F0" w:rsidP="00A13AF3">
      <w:pPr>
        <w:pStyle w:val="Textpoznpodarou"/>
        <w:spacing w:after="240" w:line="360" w:lineRule="auto"/>
        <w:jc w:val="both"/>
        <w:rPr>
          <w:sz w:val="24"/>
          <w:szCs w:val="24"/>
        </w:rPr>
      </w:pPr>
      <w:r w:rsidRPr="000C586F">
        <w:rPr>
          <w:sz w:val="24"/>
          <w:szCs w:val="24"/>
        </w:rPr>
        <w:t>KRČMÁŘ, Jan</w:t>
      </w:r>
      <w:r w:rsidRPr="000C586F">
        <w:rPr>
          <w:i/>
          <w:sz w:val="24"/>
          <w:szCs w:val="24"/>
        </w:rPr>
        <w:t>. Právo občanské V. Právo dědické</w:t>
      </w:r>
      <w:r w:rsidRPr="000C586F">
        <w:rPr>
          <w:sz w:val="24"/>
          <w:szCs w:val="24"/>
        </w:rPr>
        <w:t>. Praha: Všehrd, 1919. 139 s.</w:t>
      </w:r>
    </w:p>
    <w:p w:rsidR="00803C73" w:rsidRDefault="00803C73" w:rsidP="00A13AF3">
      <w:pPr>
        <w:pStyle w:val="Textpoznpodarou"/>
        <w:spacing w:after="240" w:line="360" w:lineRule="auto"/>
        <w:jc w:val="both"/>
        <w:rPr>
          <w:sz w:val="24"/>
          <w:szCs w:val="24"/>
        </w:rPr>
      </w:pPr>
      <w:r w:rsidRPr="00803C73">
        <w:rPr>
          <w:sz w:val="24"/>
          <w:szCs w:val="24"/>
        </w:rPr>
        <w:t xml:space="preserve">LAVICKÝ, Petr a kol. </w:t>
      </w:r>
      <w:r w:rsidRPr="00803C73">
        <w:rPr>
          <w:i/>
          <w:sz w:val="24"/>
          <w:szCs w:val="24"/>
        </w:rPr>
        <w:t>Občanský zákoník I. Obecná část (§ 1- 654). Komentář.</w:t>
      </w:r>
      <w:r w:rsidRPr="00803C73">
        <w:rPr>
          <w:sz w:val="24"/>
          <w:szCs w:val="24"/>
        </w:rPr>
        <w:t xml:space="preserve"> 1. vydání, Praha: C. H. Beck, 2014. 2380 s.</w:t>
      </w:r>
    </w:p>
    <w:p w:rsidR="0008031C" w:rsidRDefault="0008031C" w:rsidP="00A13AF3">
      <w:pPr>
        <w:pStyle w:val="Textpoznpodarou"/>
        <w:spacing w:after="240" w:line="360" w:lineRule="auto"/>
        <w:jc w:val="both"/>
        <w:rPr>
          <w:sz w:val="24"/>
          <w:szCs w:val="24"/>
        </w:rPr>
      </w:pPr>
      <w:r w:rsidRPr="0008031C">
        <w:rPr>
          <w:sz w:val="24"/>
          <w:szCs w:val="24"/>
        </w:rPr>
        <w:t xml:space="preserve">MELZER, Filip. </w:t>
      </w:r>
      <w:r w:rsidRPr="0008031C">
        <w:rPr>
          <w:i/>
          <w:sz w:val="24"/>
          <w:szCs w:val="24"/>
        </w:rPr>
        <w:t>Metodologie nalézání práva: úvod do právní argumentace.</w:t>
      </w:r>
      <w:r w:rsidRPr="0008031C">
        <w:rPr>
          <w:sz w:val="24"/>
          <w:szCs w:val="24"/>
        </w:rPr>
        <w:t xml:space="preserve"> </w:t>
      </w:r>
      <w:r>
        <w:rPr>
          <w:sz w:val="24"/>
          <w:szCs w:val="24"/>
        </w:rPr>
        <w:t xml:space="preserve">2. vydání. </w:t>
      </w:r>
      <w:r w:rsidRPr="0008031C">
        <w:rPr>
          <w:sz w:val="24"/>
          <w:szCs w:val="24"/>
        </w:rPr>
        <w:t>Praha: C. H. Beck, 2011. 276 s.</w:t>
      </w:r>
    </w:p>
    <w:p w:rsidR="004321F5" w:rsidRPr="004321F5" w:rsidRDefault="004321F5" w:rsidP="00A13AF3">
      <w:pPr>
        <w:pStyle w:val="Textpoznpodarou"/>
        <w:spacing w:after="240" w:line="360" w:lineRule="auto"/>
        <w:jc w:val="both"/>
        <w:rPr>
          <w:sz w:val="24"/>
          <w:szCs w:val="24"/>
        </w:rPr>
      </w:pPr>
      <w:r w:rsidRPr="004321F5">
        <w:rPr>
          <w:sz w:val="24"/>
          <w:szCs w:val="24"/>
        </w:rPr>
        <w:t xml:space="preserve">MELZER, Filip, TÉGL, Petr. </w:t>
      </w:r>
      <w:r w:rsidRPr="004321F5">
        <w:rPr>
          <w:i/>
          <w:sz w:val="24"/>
          <w:szCs w:val="24"/>
        </w:rPr>
        <w:t>Občanský zákoník – velký komentář. Svazek I. § 1-117.</w:t>
      </w:r>
      <w:r w:rsidRPr="004321F5">
        <w:rPr>
          <w:sz w:val="24"/>
          <w:szCs w:val="24"/>
        </w:rPr>
        <w:t xml:space="preserve"> Praha: Leges, 2013</w:t>
      </w:r>
      <w:r>
        <w:rPr>
          <w:sz w:val="24"/>
          <w:szCs w:val="24"/>
        </w:rPr>
        <w:t>.</w:t>
      </w:r>
      <w:r w:rsidRPr="004321F5">
        <w:rPr>
          <w:sz w:val="24"/>
          <w:szCs w:val="24"/>
        </w:rPr>
        <w:t xml:space="preserve"> </w:t>
      </w:r>
      <w:r>
        <w:rPr>
          <w:sz w:val="24"/>
          <w:szCs w:val="24"/>
        </w:rPr>
        <w:t>649 s</w:t>
      </w:r>
      <w:r w:rsidRPr="004321F5">
        <w:rPr>
          <w:sz w:val="24"/>
          <w:szCs w:val="24"/>
        </w:rPr>
        <w:t>.</w:t>
      </w:r>
    </w:p>
    <w:p w:rsidR="001D7E96" w:rsidRPr="000C586F" w:rsidRDefault="001D7E96" w:rsidP="00A13AF3">
      <w:pPr>
        <w:pStyle w:val="Textpoznpodarou"/>
        <w:spacing w:after="240" w:line="360" w:lineRule="auto"/>
        <w:jc w:val="both"/>
        <w:rPr>
          <w:sz w:val="24"/>
          <w:szCs w:val="24"/>
        </w:rPr>
      </w:pPr>
      <w:r w:rsidRPr="000C586F">
        <w:rPr>
          <w:sz w:val="24"/>
          <w:szCs w:val="24"/>
        </w:rPr>
        <w:t xml:space="preserve">MIKEŠ, Jiří, MUZIKÁŘ, Ladislav. </w:t>
      </w:r>
      <w:r w:rsidRPr="000C586F">
        <w:rPr>
          <w:i/>
          <w:sz w:val="24"/>
          <w:szCs w:val="24"/>
        </w:rPr>
        <w:t>Dědické právo.</w:t>
      </w:r>
      <w:r w:rsidRPr="000C586F">
        <w:rPr>
          <w:sz w:val="24"/>
          <w:szCs w:val="24"/>
        </w:rPr>
        <w:t xml:space="preserve"> 3. vydání. Praha: Linde, 2007. 351 s.</w:t>
      </w:r>
    </w:p>
    <w:p w:rsidR="00BF4C57" w:rsidRPr="000C586F" w:rsidRDefault="00BF4C57" w:rsidP="00A13AF3">
      <w:pPr>
        <w:pStyle w:val="Textpoznpodarou"/>
        <w:spacing w:after="240" w:line="360" w:lineRule="auto"/>
        <w:jc w:val="both"/>
        <w:rPr>
          <w:sz w:val="24"/>
          <w:szCs w:val="24"/>
        </w:rPr>
      </w:pPr>
      <w:r w:rsidRPr="000C586F">
        <w:rPr>
          <w:sz w:val="24"/>
          <w:szCs w:val="24"/>
        </w:rPr>
        <w:t xml:space="preserve">MIKEŠ, Jiří, MUZIKÁŘ, Ladislav. </w:t>
      </w:r>
      <w:r w:rsidRPr="000C586F">
        <w:rPr>
          <w:i/>
          <w:sz w:val="24"/>
          <w:szCs w:val="24"/>
        </w:rPr>
        <w:t>Dědické právo v teorii a praxi.</w:t>
      </w:r>
      <w:r w:rsidRPr="000C586F">
        <w:rPr>
          <w:sz w:val="24"/>
          <w:szCs w:val="24"/>
        </w:rPr>
        <w:t xml:space="preserve"> 1. vydání. Praha: Leges, 2011. 432 s.</w:t>
      </w:r>
    </w:p>
    <w:p w:rsidR="001D7E96" w:rsidRPr="000C586F" w:rsidRDefault="001D7E96" w:rsidP="00A13AF3">
      <w:pPr>
        <w:pStyle w:val="Textpoznpodarou"/>
        <w:spacing w:after="240" w:line="360" w:lineRule="auto"/>
        <w:jc w:val="both"/>
        <w:rPr>
          <w:sz w:val="24"/>
          <w:szCs w:val="24"/>
        </w:rPr>
      </w:pPr>
      <w:r w:rsidRPr="000C586F">
        <w:rPr>
          <w:sz w:val="24"/>
          <w:szCs w:val="24"/>
        </w:rPr>
        <w:lastRenderedPageBreak/>
        <w:t xml:space="preserve">PLANK, Karol. </w:t>
      </w:r>
      <w:r w:rsidRPr="000C586F">
        <w:rPr>
          <w:i/>
          <w:sz w:val="24"/>
          <w:szCs w:val="24"/>
        </w:rPr>
        <w:t>Dědičské právo.</w:t>
      </w:r>
      <w:r w:rsidRPr="000C586F">
        <w:rPr>
          <w:sz w:val="24"/>
          <w:szCs w:val="24"/>
        </w:rPr>
        <w:t xml:space="preserve"> Bratislava: Slovenské vydavatelství politické literatury, 1954. 178 s.</w:t>
      </w:r>
    </w:p>
    <w:p w:rsidR="00B24EF8" w:rsidRDefault="002D77F0" w:rsidP="00A13AF3">
      <w:pPr>
        <w:pStyle w:val="Textpoznpodarou"/>
        <w:spacing w:after="240" w:line="360" w:lineRule="auto"/>
        <w:jc w:val="both"/>
        <w:rPr>
          <w:sz w:val="24"/>
          <w:szCs w:val="24"/>
        </w:rPr>
      </w:pPr>
      <w:r w:rsidRPr="000C586F">
        <w:rPr>
          <w:sz w:val="24"/>
          <w:szCs w:val="24"/>
        </w:rPr>
        <w:t xml:space="preserve">ROUČEK, František, SEDLÁČEK, Jaromír. </w:t>
      </w:r>
      <w:r w:rsidRPr="000C586F">
        <w:rPr>
          <w:i/>
          <w:sz w:val="24"/>
          <w:szCs w:val="24"/>
        </w:rPr>
        <w:t>Komentář k československému obecnému zákoníku občanskému a občanské právo platné na Slovensku a v Podkarpatské Rusi. III. díl.</w:t>
      </w:r>
      <w:r w:rsidRPr="000C586F">
        <w:rPr>
          <w:sz w:val="24"/>
          <w:szCs w:val="24"/>
        </w:rPr>
        <w:t xml:space="preserve"> 1. vydání. Praha: V. Linhart, 1936. 680 s.</w:t>
      </w:r>
    </w:p>
    <w:p w:rsidR="00AC43D1" w:rsidRPr="00AC43D1" w:rsidRDefault="00AC43D1" w:rsidP="00A13AF3">
      <w:pPr>
        <w:pStyle w:val="Textpoznpodarou"/>
        <w:spacing w:after="240" w:line="360" w:lineRule="auto"/>
        <w:jc w:val="both"/>
        <w:rPr>
          <w:sz w:val="24"/>
          <w:szCs w:val="24"/>
        </w:rPr>
      </w:pPr>
      <w:r w:rsidRPr="00AC43D1">
        <w:rPr>
          <w:sz w:val="24"/>
          <w:szCs w:val="24"/>
        </w:rPr>
        <w:t xml:space="preserve">STAUDINGERS, Julius von. </w:t>
      </w:r>
      <w:r w:rsidRPr="00AC43D1">
        <w:rPr>
          <w:i/>
          <w:sz w:val="24"/>
          <w:szCs w:val="24"/>
        </w:rPr>
        <w:t>Kommentar zum Bürgerlichen Gesetzbuch und dem Einführungsgesetze, Band 5, Erbrecht.</w:t>
      </w:r>
      <w:r w:rsidRPr="00AC43D1">
        <w:rPr>
          <w:sz w:val="24"/>
          <w:szCs w:val="24"/>
        </w:rPr>
        <w:t xml:space="preserve"> München: Schwitzer, 1914</w:t>
      </w:r>
      <w:r>
        <w:rPr>
          <w:sz w:val="24"/>
          <w:szCs w:val="24"/>
        </w:rPr>
        <w:t>. 946 s.</w:t>
      </w:r>
    </w:p>
    <w:p w:rsidR="00B24EF8" w:rsidRDefault="00B24EF8" w:rsidP="00A13AF3">
      <w:pPr>
        <w:pStyle w:val="Textpoznpodarou"/>
        <w:spacing w:after="240" w:line="360" w:lineRule="auto"/>
        <w:jc w:val="both"/>
        <w:rPr>
          <w:sz w:val="24"/>
          <w:szCs w:val="24"/>
        </w:rPr>
      </w:pPr>
      <w:r w:rsidRPr="00B24EF8">
        <w:rPr>
          <w:sz w:val="24"/>
          <w:szCs w:val="24"/>
        </w:rPr>
        <w:t xml:space="preserve">SVOBODA, Emil. </w:t>
      </w:r>
      <w:r w:rsidRPr="00B24EF8">
        <w:rPr>
          <w:i/>
          <w:sz w:val="24"/>
          <w:szCs w:val="24"/>
        </w:rPr>
        <w:t>Dědické právo.</w:t>
      </w:r>
      <w:r w:rsidRPr="00B24EF8">
        <w:rPr>
          <w:sz w:val="24"/>
          <w:szCs w:val="24"/>
        </w:rPr>
        <w:t xml:space="preserve"> Praha: Vesmír, 1921</w:t>
      </w:r>
      <w:r>
        <w:rPr>
          <w:sz w:val="24"/>
          <w:szCs w:val="24"/>
        </w:rPr>
        <w:t>.</w:t>
      </w:r>
      <w:r w:rsidRPr="00B24EF8">
        <w:rPr>
          <w:sz w:val="24"/>
          <w:szCs w:val="24"/>
        </w:rPr>
        <w:t xml:space="preserve"> </w:t>
      </w:r>
      <w:r>
        <w:rPr>
          <w:sz w:val="24"/>
          <w:szCs w:val="24"/>
        </w:rPr>
        <w:t>104 s</w:t>
      </w:r>
      <w:r w:rsidRPr="00B24EF8">
        <w:rPr>
          <w:sz w:val="24"/>
          <w:szCs w:val="24"/>
        </w:rPr>
        <w:t>.</w:t>
      </w:r>
    </w:p>
    <w:p w:rsidR="00B63EFD" w:rsidRPr="00B63EFD" w:rsidRDefault="00B63EFD" w:rsidP="00A13AF3">
      <w:pPr>
        <w:pStyle w:val="Textpoznpodarou"/>
        <w:spacing w:after="240" w:line="360" w:lineRule="auto"/>
        <w:jc w:val="both"/>
        <w:rPr>
          <w:sz w:val="24"/>
          <w:szCs w:val="24"/>
        </w:rPr>
      </w:pPr>
      <w:r w:rsidRPr="00B63EFD">
        <w:rPr>
          <w:sz w:val="24"/>
          <w:szCs w:val="24"/>
        </w:rPr>
        <w:t xml:space="preserve">SVOBODA, Jiří, KLIČKA, Ondřej. </w:t>
      </w:r>
      <w:r w:rsidRPr="00B63EFD">
        <w:rPr>
          <w:i/>
          <w:sz w:val="24"/>
          <w:szCs w:val="24"/>
        </w:rPr>
        <w:t>Dědické právo v praxi.</w:t>
      </w:r>
      <w:r w:rsidRPr="00B63EFD">
        <w:rPr>
          <w:sz w:val="24"/>
          <w:szCs w:val="24"/>
        </w:rPr>
        <w:t xml:space="preserve"> 1. vydání. Praha: C. H. Beck, 2014</w:t>
      </w:r>
      <w:r>
        <w:rPr>
          <w:sz w:val="24"/>
          <w:szCs w:val="24"/>
        </w:rPr>
        <w:t>.</w:t>
      </w:r>
      <w:r w:rsidRPr="00B63EFD">
        <w:rPr>
          <w:sz w:val="24"/>
          <w:szCs w:val="24"/>
        </w:rPr>
        <w:t xml:space="preserve"> </w:t>
      </w:r>
      <w:r>
        <w:rPr>
          <w:sz w:val="24"/>
          <w:szCs w:val="24"/>
        </w:rPr>
        <w:t>408 s</w:t>
      </w:r>
      <w:r w:rsidRPr="00B63EFD">
        <w:rPr>
          <w:sz w:val="24"/>
          <w:szCs w:val="24"/>
        </w:rPr>
        <w:t>.</w:t>
      </w:r>
    </w:p>
    <w:p w:rsidR="009678A3" w:rsidRPr="000C586F" w:rsidRDefault="009678A3" w:rsidP="00A13AF3">
      <w:pPr>
        <w:pStyle w:val="Textpoznpodarou"/>
        <w:spacing w:after="240" w:line="360" w:lineRule="auto"/>
        <w:jc w:val="both"/>
        <w:rPr>
          <w:sz w:val="24"/>
          <w:szCs w:val="24"/>
        </w:rPr>
      </w:pPr>
      <w:r w:rsidRPr="000C586F">
        <w:rPr>
          <w:sz w:val="24"/>
          <w:szCs w:val="24"/>
        </w:rPr>
        <w:t xml:space="preserve">SVOBODA, Karel a kol. </w:t>
      </w:r>
      <w:r w:rsidRPr="000C586F">
        <w:rPr>
          <w:i/>
          <w:sz w:val="24"/>
          <w:szCs w:val="24"/>
        </w:rPr>
        <w:t>Zákon o zvláštních řízeních soudních. Komentář.</w:t>
      </w:r>
      <w:r w:rsidRPr="000C586F">
        <w:rPr>
          <w:sz w:val="24"/>
          <w:szCs w:val="24"/>
        </w:rPr>
        <w:t xml:space="preserve"> 1. Vydání. Praha: C. H. Beck, 2015. 1032 s.</w:t>
      </w:r>
    </w:p>
    <w:p w:rsidR="002D77F0" w:rsidRDefault="002D77F0" w:rsidP="00A13AF3">
      <w:pPr>
        <w:spacing w:after="240" w:line="360" w:lineRule="auto"/>
        <w:jc w:val="both"/>
        <w:rPr>
          <w:szCs w:val="24"/>
        </w:rPr>
      </w:pPr>
      <w:r w:rsidRPr="000C586F">
        <w:rPr>
          <w:szCs w:val="24"/>
        </w:rPr>
        <w:t xml:space="preserve">ŠVESTKA, Jiří a kol. </w:t>
      </w:r>
      <w:r w:rsidRPr="000C586F">
        <w:rPr>
          <w:i/>
          <w:szCs w:val="24"/>
        </w:rPr>
        <w:t>Občanský zákoník: Komentář Svazek IV.</w:t>
      </w:r>
      <w:r w:rsidRPr="000C586F">
        <w:rPr>
          <w:szCs w:val="24"/>
        </w:rPr>
        <w:t xml:space="preserve"> Praha: Wolters Kluwer,a.s., 2014. 696 s.</w:t>
      </w:r>
    </w:p>
    <w:p w:rsidR="002D77F0" w:rsidRPr="00DC722B" w:rsidRDefault="005A41B0" w:rsidP="00DC722B">
      <w:pPr>
        <w:spacing w:after="240" w:line="360" w:lineRule="auto"/>
        <w:jc w:val="both"/>
        <w:rPr>
          <w:szCs w:val="24"/>
        </w:rPr>
      </w:pPr>
      <w:r>
        <w:t xml:space="preserve">TILSCH, Emanuel. </w:t>
      </w:r>
      <w:r>
        <w:rPr>
          <w:i/>
        </w:rPr>
        <w:t>Občanské právo. Část všeobecná.</w:t>
      </w:r>
      <w:r>
        <w:t xml:space="preserve"> Praha: Wolters Kluwer, 2012. 205 s.</w:t>
      </w:r>
    </w:p>
    <w:p w:rsidR="002A6CBB" w:rsidRDefault="002A6CBB" w:rsidP="00DC722B">
      <w:pPr>
        <w:pStyle w:val="Nadpis2"/>
      </w:pPr>
      <w:bookmarkStart w:id="37" w:name="_Toc415452791"/>
      <w:r>
        <w:t>Odborné články</w:t>
      </w:r>
      <w:bookmarkEnd w:id="37"/>
    </w:p>
    <w:p w:rsidR="003E704E" w:rsidRDefault="003E704E" w:rsidP="00A13AF3">
      <w:pPr>
        <w:spacing w:after="240" w:line="360" w:lineRule="auto"/>
        <w:jc w:val="both"/>
      </w:pPr>
      <w:r>
        <w:t xml:space="preserve">FEKETE, Imrich. Podpis na súkromných listinách. </w:t>
      </w:r>
      <w:r>
        <w:rPr>
          <w:i/>
        </w:rPr>
        <w:t>Justičná revue</w:t>
      </w:r>
      <w:r>
        <w:t>, 2008, č. 2, s. 201-215.</w:t>
      </w:r>
    </w:p>
    <w:p w:rsidR="005078C6" w:rsidRDefault="005078C6" w:rsidP="00A13AF3">
      <w:pPr>
        <w:spacing w:after="240" w:line="360" w:lineRule="auto"/>
        <w:jc w:val="both"/>
      </w:pPr>
      <w:r>
        <w:t xml:space="preserve">HORÁK, Ondřej. Tzv. nepominutelný dědic v novém občanském zákoníku. </w:t>
      </w:r>
      <w:r>
        <w:rPr>
          <w:i/>
        </w:rPr>
        <w:t>Právní rozhledy</w:t>
      </w:r>
      <w:r>
        <w:t>, 2014, č. 11, s. 381.</w:t>
      </w:r>
    </w:p>
    <w:p w:rsidR="00C20061" w:rsidRDefault="00C20061" w:rsidP="00A13AF3">
      <w:pPr>
        <w:spacing w:after="240" w:line="360" w:lineRule="auto"/>
        <w:jc w:val="both"/>
      </w:pPr>
      <w:r>
        <w:t>KARHANOVÁ, Martina. Podpis, jeho forma a umístění, aneb podpis jako podstatná náležitost právních úkonů (zejmé</w:t>
      </w:r>
      <w:r w:rsidR="005078C6">
        <w:t>na závěti) ve světle judikatury.</w:t>
      </w:r>
      <w:r>
        <w:t xml:space="preserve"> </w:t>
      </w:r>
      <w:r>
        <w:rPr>
          <w:i/>
        </w:rPr>
        <w:t>Právní rozhledy</w:t>
      </w:r>
      <w:r>
        <w:t>, 2011, č. 20, s.</w:t>
      </w:r>
      <w:r w:rsidR="00BF5BE8">
        <w:t> </w:t>
      </w:r>
      <w:r>
        <w:t>719.</w:t>
      </w:r>
    </w:p>
    <w:p w:rsidR="00AF3DDB" w:rsidRDefault="00AF3DDB" w:rsidP="00A13AF3">
      <w:pPr>
        <w:spacing w:after="240" w:line="360" w:lineRule="auto"/>
        <w:jc w:val="both"/>
      </w:pPr>
      <w:r>
        <w:t xml:space="preserve">KLEIN, Šimon. Odkaz a dědění konkrétně určených věcí v NOZ. </w:t>
      </w:r>
      <w:r>
        <w:rPr>
          <w:i/>
        </w:rPr>
        <w:t>Ad Notam</w:t>
      </w:r>
      <w:r>
        <w:t>, 2013, č. 2, s. 5.</w:t>
      </w:r>
    </w:p>
    <w:p w:rsidR="0041246E" w:rsidRDefault="0041246E" w:rsidP="00A13AF3">
      <w:pPr>
        <w:spacing w:after="240" w:line="360" w:lineRule="auto"/>
        <w:jc w:val="both"/>
      </w:pPr>
      <w:r>
        <w:t xml:space="preserve">KNAPP, Viktor. Poznámky o fideikomisární substituci. </w:t>
      </w:r>
      <w:r>
        <w:rPr>
          <w:i/>
        </w:rPr>
        <w:t>Ad Notam</w:t>
      </w:r>
      <w:r>
        <w:t>, 1995, č. 5, s. 110.</w:t>
      </w:r>
    </w:p>
    <w:p w:rsidR="00447E84" w:rsidRDefault="00447E84" w:rsidP="00A13AF3">
      <w:pPr>
        <w:spacing w:after="240" w:line="360" w:lineRule="auto"/>
        <w:jc w:val="both"/>
      </w:pPr>
      <w:r>
        <w:lastRenderedPageBreak/>
        <w:t xml:space="preserve">KOLÁŘOVÁ, Marie. Nedostatečná ochrana projevu vůle zůstavitele v důsledku nejednotného výkladu příslušných ustanovení občanského zákoníku. </w:t>
      </w:r>
      <w:r>
        <w:rPr>
          <w:i/>
        </w:rPr>
        <w:t>Právní rozhledy</w:t>
      </w:r>
      <w:r>
        <w:t>, 2011, č. 12, s. 440.</w:t>
      </w:r>
    </w:p>
    <w:p w:rsidR="00AF3DDB" w:rsidRDefault="00AF3DDB" w:rsidP="00A13AF3">
      <w:pPr>
        <w:spacing w:after="240" w:line="360" w:lineRule="auto"/>
        <w:jc w:val="both"/>
      </w:pPr>
      <w:r>
        <w:t xml:space="preserve">KŘIVSKÁ, Miloslava. Privilegované závěti. </w:t>
      </w:r>
      <w:r>
        <w:rPr>
          <w:i/>
        </w:rPr>
        <w:t>Ad Notam,</w:t>
      </w:r>
      <w:r>
        <w:t xml:space="preserve"> 2013, č. 5, s. 9</w:t>
      </w:r>
    </w:p>
    <w:p w:rsidR="009678A3" w:rsidRDefault="009678A3" w:rsidP="00A13AF3">
      <w:pPr>
        <w:spacing w:after="240" w:line="360" w:lineRule="auto"/>
        <w:jc w:val="both"/>
      </w:pPr>
      <w:r>
        <w:t xml:space="preserve">PĚCHA, František. Závěť bez data? To bych nedoporučoval! </w:t>
      </w:r>
      <w:r>
        <w:rPr>
          <w:i/>
        </w:rPr>
        <w:t>Ad Notam,</w:t>
      </w:r>
      <w:r>
        <w:t xml:space="preserve"> 2013, č. 1, s. 14.</w:t>
      </w:r>
    </w:p>
    <w:p w:rsidR="00CA2864" w:rsidRDefault="00CA2864" w:rsidP="00A13AF3">
      <w:pPr>
        <w:spacing w:after="240" w:line="360" w:lineRule="auto"/>
        <w:jc w:val="both"/>
      </w:pPr>
      <w:r>
        <w:t xml:space="preserve">PETR, Pavel. Jirušova (mortis) causa aneb stručná právní analýza závěti. </w:t>
      </w:r>
      <w:r>
        <w:rPr>
          <w:i/>
        </w:rPr>
        <w:t>Sborník národního muzea v Praze</w:t>
      </w:r>
      <w:r>
        <w:t>, 2013, č. 3-4, s. 13-16.</w:t>
      </w:r>
    </w:p>
    <w:p w:rsidR="000C586F" w:rsidRDefault="000C586F" w:rsidP="00A13AF3">
      <w:pPr>
        <w:spacing w:after="240" w:line="360" w:lineRule="auto"/>
        <w:jc w:val="both"/>
      </w:pPr>
      <w:r>
        <w:t xml:space="preserve">ŠEŠINA, Martin. Zamyšlení nad úlevami při pořizování závěti v novém občanském zákoníku. </w:t>
      </w:r>
      <w:r>
        <w:rPr>
          <w:i/>
        </w:rPr>
        <w:t>Ad Notam,</w:t>
      </w:r>
      <w:r>
        <w:t xml:space="preserve"> 2009, č. 2, s 56.</w:t>
      </w:r>
    </w:p>
    <w:p w:rsidR="00055A40" w:rsidRDefault="00055A40" w:rsidP="00A13AF3">
      <w:pPr>
        <w:spacing w:after="240" w:line="360" w:lineRule="auto"/>
        <w:jc w:val="both"/>
      </w:pPr>
      <w:r>
        <w:t xml:space="preserve">VALEŠKA, Jiří. Problematika pomoci jiné osoby při psaní závěti. </w:t>
      </w:r>
      <w:r>
        <w:rPr>
          <w:i/>
        </w:rPr>
        <w:t>Bulletin advokacie.</w:t>
      </w:r>
      <w:r>
        <w:t xml:space="preserve"> roč.</w:t>
      </w:r>
      <w:r w:rsidR="00BF5BE8">
        <w:t> </w:t>
      </w:r>
      <w:r>
        <w:t>1997, č. 4, s. 24-33.</w:t>
      </w:r>
    </w:p>
    <w:p w:rsidR="002A6CBB" w:rsidRDefault="002A6CBB" w:rsidP="00DC722B">
      <w:pPr>
        <w:pStyle w:val="Nadpis2"/>
      </w:pPr>
      <w:bookmarkStart w:id="38" w:name="_Toc415452792"/>
      <w:r>
        <w:t>Právní předpisy</w:t>
      </w:r>
      <w:bookmarkEnd w:id="38"/>
    </w:p>
    <w:p w:rsidR="00AD4A43" w:rsidRDefault="00AD4A43" w:rsidP="002D77F0">
      <w:pPr>
        <w:spacing w:line="360" w:lineRule="auto"/>
      </w:pPr>
      <w:r>
        <w:t>Císařský patent č. 946/1811 Sb. z. s., obecný zákoník občanský, který byl pro ČSR recipován zákonem č. 11/1918 Sb.</w:t>
      </w:r>
    </w:p>
    <w:p w:rsidR="000E69C4" w:rsidRDefault="000E69C4" w:rsidP="002D77F0">
      <w:pPr>
        <w:spacing w:line="360" w:lineRule="auto"/>
      </w:pPr>
      <w:r>
        <w:t xml:space="preserve">Zákon č. </w:t>
      </w:r>
      <w:r w:rsidR="00AD4A43">
        <w:t>141/1950 Sb., občanský zákoník</w:t>
      </w:r>
      <w:r w:rsidR="003D10B9">
        <w:t>.</w:t>
      </w:r>
    </w:p>
    <w:p w:rsidR="005044B1" w:rsidRDefault="005044B1" w:rsidP="002D77F0">
      <w:pPr>
        <w:spacing w:line="360" w:lineRule="auto"/>
      </w:pPr>
      <w:r>
        <w:t>Zákon č. 94/1963 Sb., o rodině</w:t>
      </w:r>
    </w:p>
    <w:p w:rsidR="00AD4A43" w:rsidRDefault="00AD4A43" w:rsidP="002D77F0">
      <w:pPr>
        <w:spacing w:line="360" w:lineRule="auto"/>
      </w:pPr>
      <w:r>
        <w:t>Zákon č. 40/1964  Sb., občanský zákoník</w:t>
      </w:r>
      <w:r w:rsidR="003D10B9">
        <w:t>.</w:t>
      </w:r>
    </w:p>
    <w:p w:rsidR="00AD4A43" w:rsidRDefault="00AD4A43" w:rsidP="002D77F0">
      <w:pPr>
        <w:spacing w:line="360" w:lineRule="auto"/>
      </w:pPr>
      <w:r>
        <w:t>Zákon č. 358/1992 Sb., o notářích a jejich činnosti (notářský řád)</w:t>
      </w:r>
      <w:r w:rsidR="003D10B9">
        <w:t>.</w:t>
      </w:r>
    </w:p>
    <w:p w:rsidR="003D10B9" w:rsidRDefault="003D10B9" w:rsidP="002D77F0">
      <w:pPr>
        <w:spacing w:line="360" w:lineRule="auto"/>
      </w:pPr>
      <w:r>
        <w:t>Zákon č. 115/2006 Sb., o registrovaném partnerství.</w:t>
      </w:r>
    </w:p>
    <w:p w:rsidR="00AD4A43" w:rsidRDefault="00AD4A43" w:rsidP="002D77F0">
      <w:pPr>
        <w:spacing w:line="360" w:lineRule="auto"/>
      </w:pPr>
      <w:r>
        <w:t>Zákon č. 89/2012 Sb., občanský zákoník</w:t>
      </w:r>
      <w:r w:rsidR="003D10B9">
        <w:t>.</w:t>
      </w:r>
    </w:p>
    <w:p w:rsidR="004A1598" w:rsidRDefault="004A1598" w:rsidP="002D77F0">
      <w:pPr>
        <w:spacing w:line="360" w:lineRule="auto"/>
      </w:pPr>
      <w:r>
        <w:t>Zákon č. 292/2013 Sb. o zvláštních řízeních soudních</w:t>
      </w:r>
      <w:r w:rsidR="003D10B9">
        <w:t>.</w:t>
      </w:r>
    </w:p>
    <w:p w:rsidR="000C586F" w:rsidRPr="005B1689" w:rsidRDefault="002A6CBB" w:rsidP="005B1689">
      <w:pPr>
        <w:pStyle w:val="Nadpis2"/>
      </w:pPr>
      <w:bookmarkStart w:id="39" w:name="_Toc415452793"/>
      <w:r>
        <w:t>Judikatura</w:t>
      </w:r>
      <w:bookmarkEnd w:id="39"/>
    </w:p>
    <w:p w:rsidR="00D0201F" w:rsidRPr="00D0201F" w:rsidRDefault="00D0201F" w:rsidP="00A13AF3">
      <w:pPr>
        <w:pStyle w:val="Textpoznpodarou"/>
        <w:spacing w:after="240" w:line="360" w:lineRule="auto"/>
        <w:jc w:val="both"/>
        <w:rPr>
          <w:sz w:val="24"/>
          <w:szCs w:val="24"/>
        </w:rPr>
      </w:pPr>
      <w:r w:rsidRPr="00D0201F">
        <w:rPr>
          <w:sz w:val="24"/>
          <w:szCs w:val="24"/>
        </w:rPr>
        <w:t>Nález Ústavního soudu ze dne 7. 11. 2012, sp. zn.: I. ÚS 295/10.</w:t>
      </w:r>
    </w:p>
    <w:p w:rsidR="009678A3" w:rsidRDefault="009678A3" w:rsidP="00A13AF3">
      <w:pPr>
        <w:pStyle w:val="Textpoznpodarou"/>
        <w:spacing w:after="240" w:line="360" w:lineRule="auto"/>
        <w:jc w:val="both"/>
        <w:rPr>
          <w:sz w:val="24"/>
          <w:szCs w:val="24"/>
        </w:rPr>
      </w:pPr>
      <w:r w:rsidRPr="000C586F">
        <w:rPr>
          <w:sz w:val="24"/>
          <w:szCs w:val="24"/>
        </w:rPr>
        <w:t>Rozhodnutí Nejvyššího soudu ze dne 14. 12. 2011, sp. zn.: 21 Cdo 3332/2009.</w:t>
      </w:r>
    </w:p>
    <w:p w:rsidR="004E424E" w:rsidRPr="004E424E" w:rsidRDefault="004E424E" w:rsidP="00A13AF3">
      <w:pPr>
        <w:pStyle w:val="Textpoznpodarou"/>
        <w:spacing w:after="240" w:line="360" w:lineRule="auto"/>
        <w:jc w:val="both"/>
        <w:rPr>
          <w:sz w:val="24"/>
          <w:szCs w:val="24"/>
        </w:rPr>
      </w:pPr>
      <w:r w:rsidRPr="004E424E">
        <w:rPr>
          <w:sz w:val="24"/>
          <w:szCs w:val="24"/>
        </w:rPr>
        <w:t>Rozhodnutí Nejvyššího soudu ze dne 24. 11. 2011, sp. zn.: 21 Cdo 190/2010.</w:t>
      </w:r>
    </w:p>
    <w:p w:rsidR="00055A40" w:rsidRDefault="00055A40" w:rsidP="00A13AF3">
      <w:pPr>
        <w:spacing w:after="240" w:line="360" w:lineRule="auto"/>
        <w:jc w:val="both"/>
        <w:rPr>
          <w:szCs w:val="24"/>
        </w:rPr>
      </w:pPr>
      <w:r w:rsidRPr="000C586F">
        <w:rPr>
          <w:szCs w:val="24"/>
        </w:rPr>
        <w:lastRenderedPageBreak/>
        <w:t>Rozhodnutí Nejvyššího so</w:t>
      </w:r>
      <w:r w:rsidR="00A13AF3">
        <w:rPr>
          <w:szCs w:val="24"/>
        </w:rPr>
        <w:t>udu ze dne 31. 3. 2009, sp. zn.</w:t>
      </w:r>
      <w:r w:rsidRPr="000C586F">
        <w:rPr>
          <w:szCs w:val="24"/>
        </w:rPr>
        <w:t>: 21 Cdo 51/2008.</w:t>
      </w:r>
    </w:p>
    <w:p w:rsidR="00055A40" w:rsidRPr="000C586F" w:rsidRDefault="00055A40" w:rsidP="00A13AF3">
      <w:pPr>
        <w:spacing w:after="240" w:line="360" w:lineRule="auto"/>
        <w:jc w:val="both"/>
        <w:rPr>
          <w:szCs w:val="24"/>
        </w:rPr>
      </w:pPr>
      <w:r w:rsidRPr="000C586F">
        <w:rPr>
          <w:szCs w:val="24"/>
        </w:rPr>
        <w:t>Rozhodnutí Nejvyššího soudu ze dne 3. 4. 2008 sp. zn.: 21 Cdo 1744/2007</w:t>
      </w:r>
      <w:r w:rsidR="009678A3" w:rsidRPr="000C586F">
        <w:rPr>
          <w:szCs w:val="24"/>
        </w:rPr>
        <w:t>.</w:t>
      </w:r>
    </w:p>
    <w:p w:rsidR="00BF4C57" w:rsidRPr="000C586F" w:rsidRDefault="00BF4C57" w:rsidP="00A13AF3">
      <w:pPr>
        <w:spacing w:after="240" w:line="360" w:lineRule="auto"/>
        <w:jc w:val="both"/>
        <w:rPr>
          <w:szCs w:val="24"/>
        </w:rPr>
      </w:pPr>
      <w:r w:rsidRPr="000C586F">
        <w:rPr>
          <w:szCs w:val="24"/>
        </w:rPr>
        <w:t>Rozhodnutí Nejvyššího soudu ze dne 20. 3. 2008, sp. zn. 21 Cdo 2968/2006</w:t>
      </w:r>
      <w:r w:rsidR="009678A3" w:rsidRPr="000C586F">
        <w:rPr>
          <w:szCs w:val="24"/>
        </w:rPr>
        <w:t>.</w:t>
      </w:r>
    </w:p>
    <w:p w:rsidR="009678A3" w:rsidRPr="000C586F" w:rsidRDefault="009678A3" w:rsidP="00A13AF3">
      <w:pPr>
        <w:spacing w:after="240" w:line="360" w:lineRule="auto"/>
        <w:jc w:val="both"/>
        <w:rPr>
          <w:szCs w:val="24"/>
        </w:rPr>
      </w:pPr>
      <w:r w:rsidRPr="000C586F">
        <w:rPr>
          <w:szCs w:val="24"/>
        </w:rPr>
        <w:t>Rozhodnutí Nejvyššího soudu ze dne 25. 10. 2005 sp. zn.: 30 Cdo 1454/2005.</w:t>
      </w:r>
    </w:p>
    <w:p w:rsidR="009678A3" w:rsidRDefault="009678A3" w:rsidP="00A13AF3">
      <w:pPr>
        <w:spacing w:after="240" w:line="360" w:lineRule="auto"/>
        <w:jc w:val="both"/>
        <w:rPr>
          <w:szCs w:val="24"/>
        </w:rPr>
      </w:pPr>
      <w:r w:rsidRPr="000C586F">
        <w:rPr>
          <w:szCs w:val="24"/>
        </w:rPr>
        <w:t>Rozhodnutí Nejvyššího soudu ze dne 22. 9. 2004, sp. zn.: 30 Cdo 1765/2004.</w:t>
      </w:r>
    </w:p>
    <w:p w:rsidR="00A45E7E" w:rsidRDefault="00A45E7E" w:rsidP="00A13AF3">
      <w:pPr>
        <w:spacing w:after="240" w:line="360" w:lineRule="auto"/>
        <w:jc w:val="both"/>
      </w:pPr>
      <w:r>
        <w:t>Rozhodnutí Nejvyššího soudu ze dne 4. 5. 2004, sp. zn.: 30 Cdo 164/2004.</w:t>
      </w:r>
    </w:p>
    <w:p w:rsidR="00BA26DB" w:rsidRDefault="00BA26DB" w:rsidP="00A13AF3">
      <w:pPr>
        <w:spacing w:after="240" w:line="360" w:lineRule="auto"/>
        <w:jc w:val="both"/>
      </w:pPr>
      <w:r>
        <w:t>Rozhodnutí Nejvyššího soudu ze dne 20. 1. 2004, sp. zn.: 30 Cdo 2214/2002.</w:t>
      </w:r>
    </w:p>
    <w:p w:rsidR="004C4E02" w:rsidRPr="000C586F" w:rsidRDefault="004C4E02" w:rsidP="00A13AF3">
      <w:pPr>
        <w:spacing w:after="240" w:line="360" w:lineRule="auto"/>
        <w:jc w:val="both"/>
        <w:rPr>
          <w:szCs w:val="24"/>
        </w:rPr>
      </w:pPr>
      <w:r>
        <w:t>Rozhodnutí krajského soudu v Brně ze dne 26. 7. 1999, sp. zn.: 18 Co 385/98.</w:t>
      </w:r>
    </w:p>
    <w:p w:rsidR="009678A3" w:rsidRDefault="009678A3" w:rsidP="00A13AF3">
      <w:pPr>
        <w:spacing w:after="240" w:line="360" w:lineRule="auto"/>
        <w:jc w:val="both"/>
        <w:rPr>
          <w:szCs w:val="24"/>
        </w:rPr>
      </w:pPr>
      <w:r w:rsidRPr="000C586F">
        <w:rPr>
          <w:szCs w:val="24"/>
        </w:rPr>
        <w:t>Rozhodnutí Nejvyššího soudu ze dne 17. 11. 1998, sp. zn.: 21 Cdo 586/98.</w:t>
      </w:r>
    </w:p>
    <w:p w:rsidR="00685204" w:rsidRDefault="00685204" w:rsidP="00A13AF3">
      <w:pPr>
        <w:spacing w:after="240" w:line="360" w:lineRule="auto"/>
        <w:jc w:val="both"/>
        <w:rPr>
          <w:szCs w:val="24"/>
        </w:rPr>
      </w:pPr>
      <w:r>
        <w:t>Rozhodnutí krajského soudu v Brně ze dne 14. 2. 1994, sp. zn.: 18 Co 218/93.</w:t>
      </w:r>
    </w:p>
    <w:p w:rsidR="009C7DD6" w:rsidRPr="000C586F" w:rsidRDefault="009C7DD6" w:rsidP="00A13AF3">
      <w:pPr>
        <w:spacing w:after="240" w:line="360" w:lineRule="auto"/>
        <w:jc w:val="both"/>
        <w:rPr>
          <w:szCs w:val="24"/>
        </w:rPr>
      </w:pPr>
      <w:r>
        <w:t>Rozhodnutí Nejvyššího soudu ze dne 28. 11. 1986, sp. zn.: 4 Cz 61/86.</w:t>
      </w:r>
    </w:p>
    <w:p w:rsidR="00055A40" w:rsidRDefault="00055A40" w:rsidP="00A13AF3">
      <w:pPr>
        <w:spacing w:after="240" w:line="360" w:lineRule="auto"/>
        <w:jc w:val="both"/>
        <w:rPr>
          <w:szCs w:val="24"/>
        </w:rPr>
      </w:pPr>
      <w:r w:rsidRPr="000C586F">
        <w:rPr>
          <w:szCs w:val="24"/>
        </w:rPr>
        <w:t>Rozhodnutí Nejvyššího soudu ze dne 27. 1. 1983, sp. zn.: 4 Cz 82/82.</w:t>
      </w:r>
    </w:p>
    <w:p w:rsidR="00FC5F6C" w:rsidRPr="000C586F" w:rsidRDefault="00FC5F6C" w:rsidP="00A13AF3">
      <w:pPr>
        <w:spacing w:after="240" w:line="360" w:lineRule="auto"/>
        <w:jc w:val="both"/>
        <w:rPr>
          <w:szCs w:val="24"/>
        </w:rPr>
      </w:pPr>
      <w:r>
        <w:t>Rozhodnutí městského soudu v Praze ze dne 30. 5. 1980, sp. zn.: 11 Co 127/80.</w:t>
      </w:r>
    </w:p>
    <w:p w:rsidR="009678A3" w:rsidRPr="000C586F" w:rsidRDefault="009678A3" w:rsidP="00A13AF3">
      <w:pPr>
        <w:spacing w:after="240" w:line="360" w:lineRule="auto"/>
        <w:jc w:val="both"/>
        <w:rPr>
          <w:szCs w:val="24"/>
        </w:rPr>
      </w:pPr>
      <w:r w:rsidRPr="000C586F">
        <w:rPr>
          <w:szCs w:val="24"/>
        </w:rPr>
        <w:t>Rozhodnutí Nejvyššího soude ze dne 30. 4. 1976, sp. zn.: 4 Cz 34/76.</w:t>
      </w:r>
    </w:p>
    <w:p w:rsidR="00055A40" w:rsidRPr="000C586F" w:rsidRDefault="00055A40" w:rsidP="00A13AF3">
      <w:pPr>
        <w:spacing w:after="240" w:line="360" w:lineRule="auto"/>
        <w:jc w:val="both"/>
        <w:rPr>
          <w:szCs w:val="24"/>
        </w:rPr>
      </w:pPr>
      <w:r w:rsidRPr="000C586F">
        <w:rPr>
          <w:szCs w:val="24"/>
        </w:rPr>
        <w:t>Rozhodnutí Nejvyššího soudu SR ze dne. 7. 4. 1948, sp. zn.: Rv 120/48</w:t>
      </w:r>
      <w:r w:rsidR="009678A3" w:rsidRPr="000C586F">
        <w:rPr>
          <w:szCs w:val="24"/>
        </w:rPr>
        <w:t>.</w:t>
      </w:r>
    </w:p>
    <w:p w:rsidR="00055A40" w:rsidRDefault="00055A40" w:rsidP="00A13AF3">
      <w:pPr>
        <w:spacing w:after="240" w:line="360" w:lineRule="auto"/>
        <w:jc w:val="both"/>
        <w:rPr>
          <w:szCs w:val="24"/>
        </w:rPr>
      </w:pPr>
      <w:r w:rsidRPr="000C586F">
        <w:rPr>
          <w:szCs w:val="24"/>
        </w:rPr>
        <w:t>Rozhodnutí Nejvyššího soudu ze dne 6. 4. 1944, sp. zn. Rv II 377/43.</w:t>
      </w:r>
    </w:p>
    <w:p w:rsidR="00BA57BC" w:rsidRDefault="00BA57BC" w:rsidP="00A13AF3">
      <w:pPr>
        <w:spacing w:after="240" w:line="360" w:lineRule="auto"/>
        <w:jc w:val="both"/>
        <w:rPr>
          <w:szCs w:val="24"/>
        </w:rPr>
      </w:pPr>
      <w:r>
        <w:t>Rozhodnutí Nejvyššího soudu ze dne 26. 5. 1937, sp. zn.: Rv I 1353/35.</w:t>
      </w:r>
    </w:p>
    <w:p w:rsidR="002E41F7" w:rsidRDefault="002E41F7" w:rsidP="00A13AF3">
      <w:pPr>
        <w:spacing w:after="240" w:line="360" w:lineRule="auto"/>
        <w:jc w:val="both"/>
      </w:pPr>
      <w:r>
        <w:t>Rozhodnutí Nejvyššího soudu ze dne 19. 6. 1935, sp. zn.: Rv I 119/34.</w:t>
      </w:r>
    </w:p>
    <w:p w:rsidR="002230DF" w:rsidRDefault="002230DF" w:rsidP="00A13AF3">
      <w:pPr>
        <w:spacing w:after="240" w:line="360" w:lineRule="auto"/>
        <w:jc w:val="both"/>
        <w:rPr>
          <w:szCs w:val="24"/>
        </w:rPr>
      </w:pPr>
      <w:r>
        <w:t>Rozhodnutí Nejvyššího soudu ze dne 18.11. 1932, sp. zn.: Rv I 1461/31.</w:t>
      </w:r>
    </w:p>
    <w:p w:rsidR="005B6D3E" w:rsidRDefault="005B6D3E" w:rsidP="00A13AF3">
      <w:pPr>
        <w:spacing w:after="240" w:line="360" w:lineRule="auto"/>
        <w:jc w:val="both"/>
        <w:rPr>
          <w:szCs w:val="24"/>
        </w:rPr>
      </w:pPr>
      <w:r>
        <w:t>Rozhodnutí Nejvyššího soudu ze dne 29. 9. 1932, sp. zn.: R I 738/32.</w:t>
      </w:r>
    </w:p>
    <w:p w:rsidR="00055A40" w:rsidRPr="000C586F" w:rsidRDefault="00055A40" w:rsidP="00A13AF3">
      <w:pPr>
        <w:spacing w:after="240" w:line="360" w:lineRule="auto"/>
        <w:jc w:val="both"/>
        <w:rPr>
          <w:szCs w:val="24"/>
        </w:rPr>
      </w:pPr>
      <w:r w:rsidRPr="000C586F">
        <w:rPr>
          <w:szCs w:val="24"/>
        </w:rPr>
        <w:t>Rozhodnutí Nejvyššího soudu ze dne 1. 6. 1929, sp. zn.: Rv II 572/28</w:t>
      </w:r>
      <w:r w:rsidR="009678A3" w:rsidRPr="000C586F">
        <w:rPr>
          <w:szCs w:val="24"/>
        </w:rPr>
        <w:t>.</w:t>
      </w:r>
    </w:p>
    <w:p w:rsidR="002D77F0" w:rsidRPr="000C586F" w:rsidRDefault="001D7E96" w:rsidP="00A13AF3">
      <w:pPr>
        <w:spacing w:after="240" w:line="360" w:lineRule="auto"/>
        <w:jc w:val="both"/>
        <w:rPr>
          <w:szCs w:val="24"/>
        </w:rPr>
      </w:pPr>
      <w:r w:rsidRPr="000C586F">
        <w:rPr>
          <w:szCs w:val="24"/>
        </w:rPr>
        <w:lastRenderedPageBreak/>
        <w:t>Rozhodnutí Nejvyššího soudu ze dne 5. listopadu 1921, sp. zn. Rv II 210/21.</w:t>
      </w:r>
    </w:p>
    <w:p w:rsidR="009678A3" w:rsidRDefault="009678A3" w:rsidP="00A13AF3">
      <w:pPr>
        <w:pStyle w:val="Textpoznpodarou"/>
        <w:spacing w:after="240" w:line="360" w:lineRule="auto"/>
        <w:jc w:val="both"/>
        <w:rPr>
          <w:sz w:val="24"/>
          <w:szCs w:val="24"/>
        </w:rPr>
      </w:pPr>
      <w:r w:rsidRPr="000C586F">
        <w:rPr>
          <w:sz w:val="24"/>
          <w:szCs w:val="24"/>
        </w:rPr>
        <w:t>Rozhodnutí Nejvyššího soudu ze dne 28. 12. 1920, sp. zn.: Rv I 636/20.</w:t>
      </w:r>
    </w:p>
    <w:p w:rsidR="006303EA" w:rsidRPr="006303EA" w:rsidRDefault="006303EA" w:rsidP="00A13AF3">
      <w:pPr>
        <w:pStyle w:val="Textpoznpodarou"/>
        <w:spacing w:after="240" w:line="360" w:lineRule="auto"/>
        <w:jc w:val="both"/>
        <w:rPr>
          <w:sz w:val="24"/>
          <w:szCs w:val="24"/>
        </w:rPr>
      </w:pPr>
      <w:r w:rsidRPr="006303EA">
        <w:rPr>
          <w:sz w:val="24"/>
          <w:szCs w:val="24"/>
        </w:rPr>
        <w:t>Rozhodnutí Nejvyššího soudu ze dne 6. 5. 1919, sp. zn.: Rv I 221/19.</w:t>
      </w:r>
    </w:p>
    <w:p w:rsidR="009678A3" w:rsidRDefault="009678A3" w:rsidP="00A13AF3">
      <w:pPr>
        <w:spacing w:after="240" w:line="360" w:lineRule="auto"/>
        <w:jc w:val="both"/>
        <w:rPr>
          <w:szCs w:val="24"/>
        </w:rPr>
      </w:pPr>
      <w:r w:rsidRPr="000C586F">
        <w:rPr>
          <w:szCs w:val="24"/>
        </w:rPr>
        <w:t>Rozhodnutí Nejvyššího soudu ze dne 13. 1. 1920, sp. zn.: Rv II 281/19.</w:t>
      </w:r>
    </w:p>
    <w:p w:rsidR="005B6D3E" w:rsidRPr="000C586F" w:rsidRDefault="005B6D3E" w:rsidP="00A13AF3">
      <w:pPr>
        <w:spacing w:after="240" w:line="360" w:lineRule="auto"/>
        <w:jc w:val="both"/>
        <w:rPr>
          <w:szCs w:val="24"/>
        </w:rPr>
      </w:pPr>
      <w:r>
        <w:t>Gl. U. N. F. 4475.</w:t>
      </w:r>
    </w:p>
    <w:p w:rsidR="009678A3" w:rsidRPr="000C586F" w:rsidRDefault="009678A3" w:rsidP="00A13AF3">
      <w:pPr>
        <w:spacing w:after="240" w:line="360" w:lineRule="auto"/>
        <w:jc w:val="both"/>
        <w:rPr>
          <w:szCs w:val="24"/>
        </w:rPr>
      </w:pPr>
      <w:r w:rsidRPr="000C586F">
        <w:rPr>
          <w:szCs w:val="24"/>
        </w:rPr>
        <w:t>Gl. U. N. F. 3657.</w:t>
      </w:r>
    </w:p>
    <w:p w:rsidR="009678A3" w:rsidRPr="000C586F" w:rsidRDefault="009678A3" w:rsidP="00A13AF3">
      <w:pPr>
        <w:spacing w:after="240" w:line="360" w:lineRule="auto"/>
        <w:jc w:val="both"/>
        <w:rPr>
          <w:szCs w:val="24"/>
        </w:rPr>
      </w:pPr>
      <w:r w:rsidRPr="000C586F">
        <w:rPr>
          <w:szCs w:val="24"/>
        </w:rPr>
        <w:t>Gl. U. 9718.</w:t>
      </w:r>
    </w:p>
    <w:p w:rsidR="009678A3" w:rsidRPr="000C586F" w:rsidRDefault="009678A3" w:rsidP="00A13AF3">
      <w:pPr>
        <w:spacing w:after="240" w:line="360" w:lineRule="auto"/>
        <w:jc w:val="both"/>
        <w:rPr>
          <w:szCs w:val="24"/>
        </w:rPr>
      </w:pPr>
      <w:r w:rsidRPr="000C586F">
        <w:rPr>
          <w:szCs w:val="24"/>
        </w:rPr>
        <w:t>Gl.U. 6337.</w:t>
      </w:r>
    </w:p>
    <w:p w:rsidR="009678A3" w:rsidRPr="000C586F" w:rsidRDefault="00055A40" w:rsidP="00A13AF3">
      <w:pPr>
        <w:spacing w:after="240" w:line="360" w:lineRule="auto"/>
        <w:jc w:val="both"/>
        <w:rPr>
          <w:szCs w:val="24"/>
        </w:rPr>
      </w:pPr>
      <w:r w:rsidRPr="000C586F">
        <w:rPr>
          <w:szCs w:val="24"/>
        </w:rPr>
        <w:t>Gl. U. 4162</w:t>
      </w:r>
      <w:r w:rsidR="009678A3" w:rsidRPr="000C586F">
        <w:rPr>
          <w:szCs w:val="24"/>
        </w:rPr>
        <w:t>.</w:t>
      </w:r>
    </w:p>
    <w:p w:rsidR="00055A40" w:rsidRDefault="00055A40" w:rsidP="00A13AF3">
      <w:pPr>
        <w:spacing w:after="240" w:line="360" w:lineRule="auto"/>
        <w:jc w:val="both"/>
        <w:rPr>
          <w:szCs w:val="24"/>
        </w:rPr>
      </w:pPr>
      <w:r w:rsidRPr="000C586F">
        <w:rPr>
          <w:szCs w:val="24"/>
        </w:rPr>
        <w:t>Gl. U. 274.</w:t>
      </w:r>
    </w:p>
    <w:p w:rsidR="00D338B8" w:rsidRPr="000C586F" w:rsidRDefault="00D338B8" w:rsidP="00A13AF3">
      <w:pPr>
        <w:spacing w:after="240" w:line="360" w:lineRule="auto"/>
        <w:jc w:val="both"/>
        <w:rPr>
          <w:szCs w:val="24"/>
        </w:rPr>
      </w:pPr>
      <w:r>
        <w:t>Rozhodnutí Bavorského vrchního zemského soudu ze dne 1. 12. 2004, sp. zn.: 1 Z BR 93/04.</w:t>
      </w:r>
    </w:p>
    <w:p w:rsidR="009678A3" w:rsidRDefault="009678A3" w:rsidP="00A13AF3">
      <w:pPr>
        <w:spacing w:after="240" w:line="360" w:lineRule="auto"/>
        <w:jc w:val="both"/>
        <w:rPr>
          <w:szCs w:val="24"/>
        </w:rPr>
      </w:pPr>
      <w:r w:rsidRPr="000C586F">
        <w:rPr>
          <w:szCs w:val="24"/>
        </w:rPr>
        <w:t>Rozsudek BGH ze dne 15. 11. 1951, sp. zn.: IV ZR 66/51.</w:t>
      </w:r>
    </w:p>
    <w:p w:rsidR="00D1337A" w:rsidRPr="00D1337A" w:rsidRDefault="00AA6E15" w:rsidP="005B1689">
      <w:pPr>
        <w:pStyle w:val="Nadpis1"/>
      </w:pPr>
      <w:bookmarkStart w:id="40" w:name="_Toc415452794"/>
      <w:r>
        <w:lastRenderedPageBreak/>
        <w:t>Shrnutí</w:t>
      </w:r>
      <w:bookmarkEnd w:id="40"/>
    </w:p>
    <w:p w:rsidR="00AA6E15" w:rsidRDefault="00AA6E15" w:rsidP="00122BB5">
      <w:pPr>
        <w:spacing w:line="360" w:lineRule="auto"/>
        <w:ind w:firstLine="708"/>
        <w:jc w:val="both"/>
      </w:pPr>
      <w:r>
        <w:t>Obsah předkládané diplomové práce, která je přehledně členěna do šesti hlavních kapitol, odpovídá zvolenému tématu a stanovenému rozsahu. První kapitola se věnuje samotnému pojmu závěti a obsahuje základní charakteristiku tohoto právního jednání. Druhá kapitola pojednává o výkladu zůstavitelovy vůle, kde došlo ze strany NOZ k zaujetí zcela jiného postoje, než jaký uplatňoval OZ, resp. jeho výklad. Ve třetí kapitole je rozebrána pořizovací způsobilost zůstavitele s ohledem na jeho věk a duševní stav. Nechybí v ní ani průřez, jak se k této problematice stavěly předchozí občanskoprávní kodifikace. Čtvrtá kapitola pojednává o obsahové stránce závěti, kde je přiblíženo samotné ustanovení dědice, dědická nezpůsobilost, nepominutelný dědic a jeho možné vydědění a nově upravené vedlejší doložky závěti, náhradnictví a svěřenské nástupnictví. Stěžejní částí celé této diplomové práce je pak pátá kapitola rozebírající formy závěti. V ní jsou podrobně rozpracovány závěti soukromého i veřejného typu a do samostatné podkapitoly jsou zařazeny úlevy při pořizování závěti. Poslední šestá kapitola se zabývá problematikou zrušení závěti. Následuje závěr, seznam použitých zdrojů</w:t>
      </w:r>
      <w:r w:rsidR="008D2404">
        <w:t>, shrnutí</w:t>
      </w:r>
      <w:r>
        <w:t xml:space="preserve"> a seznam klíčových slov.</w:t>
      </w:r>
    </w:p>
    <w:p w:rsidR="00AA6E15" w:rsidRDefault="00AA6E15" w:rsidP="00AA6E15">
      <w:pPr>
        <w:ind w:firstLine="708"/>
      </w:pPr>
    </w:p>
    <w:p w:rsidR="00D1337A" w:rsidRPr="00122BB5" w:rsidRDefault="00AA6E15" w:rsidP="00122BB5">
      <w:pPr>
        <w:rPr>
          <w:b/>
          <w:sz w:val="32"/>
          <w:szCs w:val="32"/>
        </w:rPr>
      </w:pPr>
      <w:r>
        <w:rPr>
          <w:b/>
          <w:sz w:val="32"/>
          <w:szCs w:val="32"/>
        </w:rPr>
        <w:t>Summary</w:t>
      </w:r>
    </w:p>
    <w:p w:rsidR="00AA6E15" w:rsidRDefault="00AA6E15" w:rsidP="00AA6E15">
      <w:pPr>
        <w:spacing w:line="360" w:lineRule="auto"/>
        <w:jc w:val="both"/>
        <w:rPr>
          <w:szCs w:val="24"/>
        </w:rPr>
      </w:pPr>
      <w:r>
        <w:rPr>
          <w:szCs w:val="24"/>
        </w:rPr>
        <w:tab/>
        <w:t xml:space="preserve">The </w:t>
      </w:r>
      <w:r w:rsidR="008D2404">
        <w:rPr>
          <w:szCs w:val="24"/>
        </w:rPr>
        <w:t>c</w:t>
      </w:r>
      <w:r>
        <w:rPr>
          <w:szCs w:val="24"/>
        </w:rPr>
        <w:t xml:space="preserve">ontent of presented diploma thesis, which is clearly </w:t>
      </w:r>
      <w:r w:rsidR="008D2404">
        <w:rPr>
          <w:szCs w:val="24"/>
        </w:rPr>
        <w:t>divided into six main chapters, is</w:t>
      </w:r>
      <w:r>
        <w:rPr>
          <w:szCs w:val="24"/>
        </w:rPr>
        <w:t xml:space="preserve"> in accordance with the topic chosen and the range given. The first </w:t>
      </w:r>
      <w:r w:rsidR="008D2404">
        <w:rPr>
          <w:szCs w:val="24"/>
        </w:rPr>
        <w:t>chapter</w:t>
      </w:r>
      <w:r>
        <w:rPr>
          <w:szCs w:val="24"/>
        </w:rPr>
        <w:t xml:space="preserve"> </w:t>
      </w:r>
      <w:r w:rsidR="008D2404">
        <w:rPr>
          <w:szCs w:val="24"/>
        </w:rPr>
        <w:t>i</w:t>
      </w:r>
      <w:r>
        <w:rPr>
          <w:szCs w:val="24"/>
        </w:rPr>
        <w:t xml:space="preserve">s devoted to the </w:t>
      </w:r>
      <w:r w:rsidR="008D2404">
        <w:rPr>
          <w:szCs w:val="24"/>
        </w:rPr>
        <w:t>concept of</w:t>
      </w:r>
      <w:r>
        <w:rPr>
          <w:szCs w:val="24"/>
        </w:rPr>
        <w:t xml:space="preserve"> the testament itself an contains the basic characteristic of this legal action. The secon</w:t>
      </w:r>
      <w:r w:rsidR="008D2404">
        <w:rPr>
          <w:szCs w:val="24"/>
        </w:rPr>
        <w:t>d</w:t>
      </w:r>
      <w:r>
        <w:rPr>
          <w:szCs w:val="24"/>
        </w:rPr>
        <w:t xml:space="preserve"> </w:t>
      </w:r>
      <w:r w:rsidR="008D2404">
        <w:rPr>
          <w:szCs w:val="24"/>
        </w:rPr>
        <w:t>chapter</w:t>
      </w:r>
      <w:r>
        <w:rPr>
          <w:szCs w:val="24"/>
        </w:rPr>
        <w:t xml:space="preserve"> deals with the interpretation of testators will, where it came to the </w:t>
      </w:r>
      <w:r w:rsidR="008D2404">
        <w:rPr>
          <w:szCs w:val="24"/>
        </w:rPr>
        <w:t>bias of</w:t>
      </w:r>
      <w:r>
        <w:rPr>
          <w:szCs w:val="24"/>
        </w:rPr>
        <w:t xml:space="preserve"> </w:t>
      </w:r>
      <w:r w:rsidR="008D2404">
        <w:rPr>
          <w:szCs w:val="24"/>
        </w:rPr>
        <w:t>totally</w:t>
      </w:r>
      <w:r>
        <w:rPr>
          <w:szCs w:val="24"/>
        </w:rPr>
        <w:t xml:space="preserve"> different attitude from the side of new Civil Code from 2012 than the Civil Code from 1964 or, more precisely, it´s explication asserted. The third charter</w:t>
      </w:r>
      <w:r w:rsidR="008D2404">
        <w:rPr>
          <w:szCs w:val="24"/>
        </w:rPr>
        <w:t xml:space="preserve"> anal</w:t>
      </w:r>
      <w:r>
        <w:rPr>
          <w:szCs w:val="24"/>
        </w:rPr>
        <w:t>y</w:t>
      </w:r>
      <w:r w:rsidR="008D2404">
        <w:rPr>
          <w:szCs w:val="24"/>
        </w:rPr>
        <w:t>s</w:t>
      </w:r>
      <w:r>
        <w:rPr>
          <w:szCs w:val="24"/>
        </w:rPr>
        <w:t xml:space="preserve">es testamentary capacity of testator, regard to his age and mental condition. The overview of the attitudes of foregoing civil </w:t>
      </w:r>
      <w:r w:rsidR="008D2404">
        <w:rPr>
          <w:szCs w:val="24"/>
        </w:rPr>
        <w:t>codification to this problems</w:t>
      </w:r>
      <w:r>
        <w:rPr>
          <w:szCs w:val="24"/>
        </w:rPr>
        <w:t xml:space="preserve"> are included as well. The fourth chapter deals with the content of the testament, where the actual heirs enactment, incapacity of inheritance, forced heir and his possible disinheritance, the newly modified secondary clauses in testament, substitution and trust succession are expounded. The mainstay of this thesis is the fifth chapter, analysing the forms of the testament. In this chapter are in detail elaborated testaments of private and public type and the reliefs for wills are included in the separete subchapter. The last six chapter deals with</w:t>
      </w:r>
      <w:r w:rsidR="008D2404">
        <w:rPr>
          <w:szCs w:val="24"/>
        </w:rPr>
        <w:t xml:space="preserve"> the problematic of revocation of the testament. Then follow the conclusion, list of sources used, summary and the list of keywords.</w:t>
      </w:r>
    </w:p>
    <w:p w:rsidR="00D1337A" w:rsidRDefault="00D1337A" w:rsidP="005B1689">
      <w:pPr>
        <w:pStyle w:val="Nadpis1"/>
        <w:spacing w:before="0" w:line="360" w:lineRule="auto"/>
      </w:pPr>
      <w:bookmarkStart w:id="41" w:name="_Toc415452795"/>
      <w:r>
        <w:lastRenderedPageBreak/>
        <w:t>Klíčová slova</w:t>
      </w:r>
      <w:bookmarkEnd w:id="41"/>
    </w:p>
    <w:p w:rsidR="00D1337A" w:rsidRDefault="00D1337A" w:rsidP="005B1689">
      <w:pPr>
        <w:spacing w:after="0" w:line="360" w:lineRule="auto"/>
        <w:jc w:val="both"/>
      </w:pPr>
      <w:r>
        <w:t>závěť, zůstavitel, dědic,</w:t>
      </w:r>
      <w:r w:rsidR="00AD32E7">
        <w:t xml:space="preserve"> nepominutelný dědic,</w:t>
      </w:r>
      <w:r>
        <w:t xml:space="preserve"> dědictví, formy závěti, úlevy při pořizování závěti, pořizovací způsobilost, dědická nezpůsobilost, vydědění, vedlejší doložky</w:t>
      </w:r>
      <w:r w:rsidR="00AD32E7">
        <w:t xml:space="preserve"> v závěti</w:t>
      </w:r>
      <w:r>
        <w:t>, náhradnictví, svěřenské nástupnictví, zrušení závěti</w:t>
      </w:r>
    </w:p>
    <w:p w:rsidR="00D1337A" w:rsidRDefault="00D1337A" w:rsidP="005B1689">
      <w:pPr>
        <w:spacing w:after="0" w:line="360" w:lineRule="auto"/>
        <w:jc w:val="both"/>
      </w:pPr>
    </w:p>
    <w:p w:rsidR="005B1689" w:rsidRDefault="00D1337A" w:rsidP="005B1689">
      <w:pPr>
        <w:spacing w:after="0" w:line="360" w:lineRule="auto"/>
        <w:jc w:val="both"/>
        <w:rPr>
          <w:b/>
          <w:szCs w:val="24"/>
        </w:rPr>
      </w:pPr>
      <w:r>
        <w:rPr>
          <w:b/>
          <w:sz w:val="32"/>
          <w:szCs w:val="32"/>
        </w:rPr>
        <w:t>Key words</w:t>
      </w:r>
    </w:p>
    <w:p w:rsidR="00D1337A" w:rsidRPr="005B1689" w:rsidRDefault="00D1337A" w:rsidP="005B1689">
      <w:pPr>
        <w:spacing w:after="0" w:line="360" w:lineRule="auto"/>
        <w:jc w:val="both"/>
        <w:rPr>
          <w:b/>
          <w:szCs w:val="24"/>
        </w:rPr>
      </w:pPr>
      <w:r>
        <w:rPr>
          <w:szCs w:val="24"/>
        </w:rPr>
        <w:t xml:space="preserve">testament, </w:t>
      </w:r>
      <w:r w:rsidR="00AD32E7">
        <w:rPr>
          <w:szCs w:val="24"/>
        </w:rPr>
        <w:t>testator</w:t>
      </w:r>
      <w:r>
        <w:rPr>
          <w:szCs w:val="24"/>
        </w:rPr>
        <w:t>, heir,</w:t>
      </w:r>
      <w:r w:rsidR="00AD32E7">
        <w:rPr>
          <w:szCs w:val="24"/>
        </w:rPr>
        <w:t xml:space="preserve"> forced heir,</w:t>
      </w:r>
      <w:r>
        <w:rPr>
          <w:szCs w:val="24"/>
        </w:rPr>
        <w:t xml:space="preserve"> inheritance, forms of will, reliefs for wills, </w:t>
      </w:r>
      <w:r w:rsidR="00AD32E7">
        <w:rPr>
          <w:szCs w:val="24"/>
        </w:rPr>
        <w:t>testamentary capacity, incapacity of inheritance, disinheritance, secondary clauses in testament</w:t>
      </w:r>
      <w:r w:rsidR="00AD32E7">
        <w:t>, substitution, trust succession, revocation of a testament</w:t>
      </w:r>
    </w:p>
    <w:sectPr w:rsidR="00D1337A" w:rsidRPr="005B1689" w:rsidSect="00A13AF3">
      <w:footerReference w:type="default" r:id="rId7"/>
      <w:pgSz w:w="11906" w:h="16838"/>
      <w:pgMar w:top="1418" w:right="1134"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4368" w:rsidRDefault="006E4368" w:rsidP="00E6781A">
      <w:pPr>
        <w:spacing w:after="0" w:line="240" w:lineRule="auto"/>
      </w:pPr>
      <w:r>
        <w:separator/>
      </w:r>
    </w:p>
  </w:endnote>
  <w:endnote w:type="continuationSeparator" w:id="1">
    <w:p w:rsidR="006E4368" w:rsidRDefault="006E4368" w:rsidP="00E678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2365267"/>
      <w:docPartObj>
        <w:docPartGallery w:val="Page Numbers (Bottom of Page)"/>
        <w:docPartUnique/>
      </w:docPartObj>
    </w:sdtPr>
    <w:sdtContent>
      <w:p w:rsidR="00906350" w:rsidRDefault="00916921">
        <w:pPr>
          <w:pStyle w:val="Zpat"/>
          <w:jc w:val="center"/>
        </w:pPr>
        <w:fldSimple w:instr=" PAGE   \* MERGEFORMAT ">
          <w:r w:rsidR="00BF5BE8">
            <w:rPr>
              <w:noProof/>
            </w:rPr>
            <w:t>56</w:t>
          </w:r>
        </w:fldSimple>
      </w:p>
    </w:sdtContent>
  </w:sdt>
  <w:p w:rsidR="00906350" w:rsidRDefault="00906350">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4368" w:rsidRDefault="006E4368" w:rsidP="00E6781A">
      <w:pPr>
        <w:spacing w:after="0" w:line="240" w:lineRule="auto"/>
      </w:pPr>
      <w:r>
        <w:separator/>
      </w:r>
    </w:p>
  </w:footnote>
  <w:footnote w:type="continuationSeparator" w:id="1">
    <w:p w:rsidR="006E4368" w:rsidRDefault="006E4368" w:rsidP="00E6781A">
      <w:pPr>
        <w:spacing w:after="0" w:line="240" w:lineRule="auto"/>
      </w:pPr>
      <w:r>
        <w:continuationSeparator/>
      </w:r>
    </w:p>
  </w:footnote>
  <w:footnote w:id="2">
    <w:p w:rsidR="00906350" w:rsidRPr="00BA17AF" w:rsidRDefault="00906350" w:rsidP="00862853">
      <w:pPr>
        <w:pStyle w:val="Textpoznpodarou"/>
        <w:jc w:val="both"/>
      </w:pPr>
      <w:r>
        <w:rPr>
          <w:rStyle w:val="Znakapoznpodarou"/>
        </w:rPr>
        <w:footnoteRef/>
      </w:r>
      <w:r>
        <w:t xml:space="preserve"> KOVÁŘ, Ondřej. In FIALA, Josef a kol. </w:t>
      </w:r>
      <w:r>
        <w:rPr>
          <w:i/>
        </w:rPr>
        <w:t>Občanský zákoník. Komentář. I. díl.</w:t>
      </w:r>
      <w:r>
        <w:t xml:space="preserve"> 1. vydání. Praha: Wolters Kluwer, 2009, s. 826 (§ 476).</w:t>
      </w:r>
    </w:p>
  </w:footnote>
  <w:footnote w:id="3">
    <w:p w:rsidR="00906350" w:rsidRDefault="00906350" w:rsidP="00862853">
      <w:pPr>
        <w:pStyle w:val="Textpoznpodarou"/>
        <w:jc w:val="both"/>
      </w:pPr>
      <w:r>
        <w:rPr>
          <w:rStyle w:val="Znakapoznpodarou"/>
        </w:rPr>
        <w:footnoteRef/>
      </w:r>
      <w:r>
        <w:t xml:space="preserve"> KINCL, Jaromír a kol. </w:t>
      </w:r>
      <w:r>
        <w:rPr>
          <w:i/>
        </w:rPr>
        <w:t xml:space="preserve">Římské právo. </w:t>
      </w:r>
      <w:r>
        <w:t>2. vydání. Praha: C. H. Beck, 1997, s. 275-280.</w:t>
      </w:r>
    </w:p>
  </w:footnote>
  <w:footnote w:id="4">
    <w:p w:rsidR="00906350" w:rsidRDefault="00906350" w:rsidP="00862853">
      <w:pPr>
        <w:pStyle w:val="Textpoznpodarou"/>
        <w:jc w:val="both"/>
      </w:pPr>
      <w:r>
        <w:rPr>
          <w:rStyle w:val="Znakapoznpodarou"/>
        </w:rPr>
        <w:footnoteRef/>
      </w:r>
      <w:r>
        <w:t xml:space="preserve"> Za účinnosti OZO.</w:t>
      </w:r>
    </w:p>
  </w:footnote>
  <w:footnote w:id="5">
    <w:p w:rsidR="00906350" w:rsidRDefault="00906350" w:rsidP="00862853">
      <w:pPr>
        <w:pStyle w:val="Textpoznpodarou"/>
        <w:jc w:val="both"/>
      </w:pPr>
      <w:r>
        <w:rPr>
          <w:rStyle w:val="Znakapoznpodarou"/>
        </w:rPr>
        <w:footnoteRef/>
      </w:r>
      <w:r>
        <w:t xml:space="preserve"> KRČMÁŘ, Jan</w:t>
      </w:r>
      <w:r w:rsidRPr="003D7E11">
        <w:rPr>
          <w:i/>
        </w:rPr>
        <w:t xml:space="preserve">. </w:t>
      </w:r>
      <w:r>
        <w:rPr>
          <w:i/>
        </w:rPr>
        <w:t xml:space="preserve">Právo občanské V. </w:t>
      </w:r>
      <w:r w:rsidRPr="003D7E11">
        <w:rPr>
          <w:i/>
        </w:rPr>
        <w:t>Právo dědické</w:t>
      </w:r>
      <w:r>
        <w:t>. Praha: Všehrd, 1919, s. 15.</w:t>
      </w:r>
    </w:p>
  </w:footnote>
  <w:footnote w:id="6">
    <w:p w:rsidR="00906350" w:rsidRDefault="00906350" w:rsidP="00862853">
      <w:pPr>
        <w:pStyle w:val="Textpoznpodarou"/>
        <w:jc w:val="both"/>
      </w:pPr>
      <w:r>
        <w:rPr>
          <w:rStyle w:val="Znakapoznpodarou"/>
        </w:rPr>
        <w:footnoteRef/>
      </w:r>
      <w:r>
        <w:t xml:space="preserve"> Dědickou smlouvou povolává zůstavitel druhou smluvní stranu nebo třetí osobu za dědice nebo odkazovníka a druhá strana to přijímá.</w:t>
      </w:r>
    </w:p>
  </w:footnote>
  <w:footnote w:id="7">
    <w:p w:rsidR="00906350" w:rsidRDefault="00906350" w:rsidP="00862853">
      <w:pPr>
        <w:pStyle w:val="Textpoznpodarou"/>
        <w:jc w:val="both"/>
      </w:pPr>
      <w:r>
        <w:rPr>
          <w:rStyle w:val="Znakapoznpodarou"/>
        </w:rPr>
        <w:footnoteRef/>
      </w:r>
      <w:r>
        <w:t xml:space="preserve"> Např. rozhodnutí Nejvyššího soudu ze dne 20. 3. 2008, sp. zn.: 21 Cdo 2968/2006.</w:t>
      </w:r>
    </w:p>
  </w:footnote>
  <w:footnote w:id="8">
    <w:p w:rsidR="00906350" w:rsidRDefault="00906350" w:rsidP="00862853">
      <w:pPr>
        <w:pStyle w:val="Textpoznpodarou"/>
        <w:jc w:val="both"/>
      </w:pPr>
      <w:r>
        <w:rPr>
          <w:rStyle w:val="Znakapoznpodarou"/>
        </w:rPr>
        <w:footnoteRef/>
      </w:r>
      <w:r>
        <w:t xml:space="preserve"> Společně mohli pořídit i snoubenci, ale platným se pořízení stalo až po uzavření manželství.</w:t>
      </w:r>
    </w:p>
  </w:footnote>
  <w:footnote w:id="9">
    <w:p w:rsidR="00906350" w:rsidRDefault="00906350" w:rsidP="00862853">
      <w:pPr>
        <w:pStyle w:val="Textpoznpodarou"/>
        <w:jc w:val="both"/>
      </w:pPr>
      <w:r>
        <w:rPr>
          <w:rStyle w:val="Znakapoznpodarou"/>
        </w:rPr>
        <w:footnoteRef/>
      </w:r>
      <w:r>
        <w:t xml:space="preserve"> Gl. U. N. F. 4475. In ROUČEK, František, SEDLÁČEK, Jaromír. </w:t>
      </w:r>
      <w:r>
        <w:rPr>
          <w:i/>
        </w:rPr>
        <w:t>Komentář k československému obecnému zákoníku občanskému a občanské právo platné na Slovensku a v Podkarpatské Rusi. III. díl.</w:t>
      </w:r>
      <w:r>
        <w:t xml:space="preserve"> 1. vydání. Praha: V. Linhart, 1936, s. 93 (§ 565).</w:t>
      </w:r>
    </w:p>
  </w:footnote>
  <w:footnote w:id="10">
    <w:p w:rsidR="00906350" w:rsidRDefault="00906350" w:rsidP="00862853">
      <w:pPr>
        <w:pStyle w:val="Textpoznpodarou"/>
        <w:jc w:val="both"/>
      </w:pPr>
      <w:r>
        <w:rPr>
          <w:rStyle w:val="Znakapoznpodarou"/>
        </w:rPr>
        <w:footnoteRef/>
      </w:r>
      <w:r>
        <w:t xml:space="preserve"> Dovětkem může zůstavitel nařídit odkaz, stanovit odkazovníku nebo dědici podmínku, nebo doložit čas anebo uložit odkazovníku či dědici příkaz. Co je stanoveno o závěti platí obdobně i o dovětku.</w:t>
      </w:r>
    </w:p>
  </w:footnote>
  <w:footnote w:id="11">
    <w:p w:rsidR="00906350" w:rsidRDefault="00906350" w:rsidP="00862853">
      <w:pPr>
        <w:pStyle w:val="Textpoznpodarou"/>
        <w:jc w:val="both"/>
      </w:pPr>
      <w:r>
        <w:rPr>
          <w:rStyle w:val="Znakapoznpodarou"/>
        </w:rPr>
        <w:footnoteRef/>
      </w:r>
      <w:r>
        <w:t xml:space="preserve"> ŠEŠINA, Martin, WAWERKA, Karel. In ŠVESTKA, Jiří a kol. </w:t>
      </w:r>
      <w:r>
        <w:rPr>
          <w:i/>
        </w:rPr>
        <w:t>Občanský zákoník: Komentář Svazek IV.</w:t>
      </w:r>
      <w:r>
        <w:t xml:space="preserve"> Praha: Wolters Kluwer,a.s., 2014, s. 75 (§ 1494).</w:t>
      </w:r>
    </w:p>
  </w:footnote>
  <w:footnote w:id="12">
    <w:p w:rsidR="00906350" w:rsidRDefault="00906350" w:rsidP="00862853">
      <w:pPr>
        <w:pStyle w:val="Textpoznpodarou"/>
        <w:jc w:val="both"/>
      </w:pPr>
      <w:r>
        <w:rPr>
          <w:rStyle w:val="Znakapoznpodarou"/>
        </w:rPr>
        <w:footnoteRef/>
      </w:r>
      <w:r>
        <w:t xml:space="preserve"> Rozhodnutí Nejvyššího soudu ze dne 29. 9. 1932, sp. zn.: R I 738/32.</w:t>
      </w:r>
    </w:p>
  </w:footnote>
  <w:footnote w:id="13">
    <w:p w:rsidR="00906350" w:rsidRDefault="00906350" w:rsidP="00862853">
      <w:pPr>
        <w:pStyle w:val="Textpoznpodarou"/>
        <w:jc w:val="both"/>
      </w:pPr>
      <w:r>
        <w:rPr>
          <w:rStyle w:val="Znakapoznpodarou"/>
        </w:rPr>
        <w:footnoteRef/>
      </w:r>
      <w:r>
        <w:t xml:space="preserve"> ŠEŠINA, Martin, WAWERKA, Karel. In ŠVESTKA, Jiří a kol. </w:t>
      </w:r>
      <w:r>
        <w:rPr>
          <w:i/>
        </w:rPr>
        <w:t>Občanský zákoník: Komentář Svazek IV.</w:t>
      </w:r>
      <w:r>
        <w:t xml:space="preserve"> Praha: Wolters Kluwer,a.s., 2014, s. 77 (§ 1495).</w:t>
      </w:r>
    </w:p>
  </w:footnote>
  <w:footnote w:id="14">
    <w:p w:rsidR="00906350" w:rsidRDefault="00906350" w:rsidP="00862853">
      <w:pPr>
        <w:pStyle w:val="Textpoznpodarou"/>
        <w:jc w:val="both"/>
      </w:pPr>
      <w:r>
        <w:rPr>
          <w:rStyle w:val="Znakapoznpodarou"/>
        </w:rPr>
        <w:footnoteRef/>
      </w:r>
      <w:r>
        <w:t xml:space="preserve"> Rozhodnutí Bavorského vrchního zemského soudu ze dne 1. 12. 2004, sp. zn.: 1 Z BR 93/04.</w:t>
      </w:r>
    </w:p>
  </w:footnote>
  <w:footnote w:id="15">
    <w:p w:rsidR="00906350" w:rsidRPr="00B70BCD" w:rsidRDefault="00906350" w:rsidP="00862853">
      <w:pPr>
        <w:pStyle w:val="Textpoznpodarou"/>
        <w:jc w:val="both"/>
      </w:pPr>
      <w:r>
        <w:rPr>
          <w:rStyle w:val="Znakapoznpodarou"/>
        </w:rPr>
        <w:footnoteRef/>
      </w:r>
      <w:r>
        <w:t xml:space="preserve"> SVOBODA, Emil. </w:t>
      </w:r>
      <w:r>
        <w:rPr>
          <w:i/>
        </w:rPr>
        <w:t>Dědické právo.</w:t>
      </w:r>
      <w:r>
        <w:t xml:space="preserve"> Praha: Vesmír, 1921, s. 29.</w:t>
      </w:r>
    </w:p>
  </w:footnote>
  <w:footnote w:id="16">
    <w:p w:rsidR="00906350" w:rsidRDefault="00906350" w:rsidP="00862853">
      <w:pPr>
        <w:pStyle w:val="Textpoznpodarou"/>
        <w:jc w:val="both"/>
      </w:pPr>
      <w:r>
        <w:rPr>
          <w:rStyle w:val="Znakapoznpodarou"/>
        </w:rPr>
        <w:footnoteRef/>
      </w:r>
      <w:r>
        <w:t xml:space="preserve"> ŠEŠINA, Martin. In ŠVESTKA, Jiří a kol. </w:t>
      </w:r>
      <w:r>
        <w:rPr>
          <w:i/>
        </w:rPr>
        <w:t>Občanský zákoník: Komentář Svazek IV.</w:t>
      </w:r>
      <w:r>
        <w:t xml:space="preserve"> Praha: Wolters Kluwer,a.s., 2014, XXI-XXII.</w:t>
      </w:r>
    </w:p>
  </w:footnote>
  <w:footnote w:id="17">
    <w:p w:rsidR="00906350" w:rsidRDefault="00906350" w:rsidP="00862853">
      <w:pPr>
        <w:pStyle w:val="Textpoznpodarou"/>
        <w:jc w:val="both"/>
      </w:pPr>
      <w:r>
        <w:rPr>
          <w:rStyle w:val="Znakapoznpodarou"/>
        </w:rPr>
        <w:footnoteRef/>
      </w:r>
      <w:r>
        <w:t xml:space="preserve"> BEDNÁŘ, Václav. </w:t>
      </w:r>
      <w:r>
        <w:rPr>
          <w:i/>
        </w:rPr>
        <w:t>Testamentární dědická posloupnost.</w:t>
      </w:r>
      <w:r>
        <w:t xml:space="preserve"> Plzeň: Aleš Čeněk, 2011, s. 135.</w:t>
      </w:r>
    </w:p>
  </w:footnote>
  <w:footnote w:id="18">
    <w:p w:rsidR="00906350" w:rsidRPr="00447E84" w:rsidRDefault="00906350" w:rsidP="00862853">
      <w:pPr>
        <w:pStyle w:val="Textpoznpodarou"/>
        <w:jc w:val="both"/>
      </w:pPr>
      <w:r>
        <w:rPr>
          <w:rStyle w:val="Znakapoznpodarou"/>
        </w:rPr>
        <w:footnoteRef/>
      </w:r>
      <w:r>
        <w:t xml:space="preserve"> KOLÁŘOVÁ, Marie. Nedostatečná ochrana projevu vůle zůstavitele v důsledku nejednotného výkladu příslušných ustanovení občanského zákoníku. </w:t>
      </w:r>
      <w:r>
        <w:rPr>
          <w:i/>
        </w:rPr>
        <w:t>Právní rozhledy</w:t>
      </w:r>
      <w:r>
        <w:t>, 2011, č. 12, s. 440.</w:t>
      </w:r>
    </w:p>
  </w:footnote>
  <w:footnote w:id="19">
    <w:p w:rsidR="00906350" w:rsidRDefault="00906350" w:rsidP="00862853">
      <w:pPr>
        <w:pStyle w:val="Textpoznpodarou"/>
        <w:jc w:val="both"/>
      </w:pPr>
      <w:r>
        <w:rPr>
          <w:rStyle w:val="Znakapoznpodarou"/>
        </w:rPr>
        <w:footnoteRef/>
      </w:r>
      <w:r>
        <w:t xml:space="preserve"> HANDLAR, Jiří. In LAVICKÝ, Petr a kol. </w:t>
      </w:r>
      <w:r>
        <w:rPr>
          <w:i/>
        </w:rPr>
        <w:t>Občanský zákoník I. Obecná část (§ 1-654). Komentář.</w:t>
      </w:r>
      <w:r>
        <w:t xml:space="preserve"> 1. vydání, Praha: C. H. Beck, 2014, s. 1492 (§ 556).</w:t>
      </w:r>
    </w:p>
  </w:footnote>
  <w:footnote w:id="20">
    <w:p w:rsidR="00906350" w:rsidRPr="00CA2864" w:rsidRDefault="00906350" w:rsidP="00862853">
      <w:pPr>
        <w:pStyle w:val="Textpoznpodarou"/>
        <w:jc w:val="both"/>
      </w:pPr>
      <w:r>
        <w:rPr>
          <w:rStyle w:val="Znakapoznpodarou"/>
        </w:rPr>
        <w:footnoteRef/>
      </w:r>
      <w:r>
        <w:t xml:space="preserve"> PETR, Pavel. Jirušova (mortis) causa aneb stručná právní analýza závěti. </w:t>
      </w:r>
      <w:r>
        <w:rPr>
          <w:i/>
        </w:rPr>
        <w:t>Sborník národního muzea v Praze</w:t>
      </w:r>
      <w:r>
        <w:t>, 2013, č. 3-4, s. 13-16.</w:t>
      </w:r>
    </w:p>
  </w:footnote>
  <w:footnote w:id="21">
    <w:p w:rsidR="00906350" w:rsidRDefault="00906350" w:rsidP="00862853">
      <w:pPr>
        <w:pStyle w:val="Textpoznpodarou"/>
        <w:jc w:val="both"/>
      </w:pPr>
      <w:r>
        <w:rPr>
          <w:rStyle w:val="Znakapoznpodarou"/>
        </w:rPr>
        <w:footnoteRef/>
      </w:r>
      <w:r>
        <w:t xml:space="preserve"> Rozhodnutí Nejvyššího soudu ze dne 19. 6. 1935, sp. zn.: Rv I 119/34 nebo rozhodnutí Nejvyššího soudu ze dne 28. 11. 1986, sp. zn.: 4 Cz 61/86, kde NS dodává, že výkladem zůstavitelovy vůle se zřetelem k okolnostem případu nedochází k napravování neurčitosti projevu vůle.</w:t>
      </w:r>
    </w:p>
  </w:footnote>
  <w:footnote w:id="22">
    <w:p w:rsidR="00906350" w:rsidRDefault="00906350" w:rsidP="00862853">
      <w:pPr>
        <w:pStyle w:val="Textpoznpodarou"/>
        <w:jc w:val="both"/>
      </w:pPr>
      <w:r>
        <w:rPr>
          <w:rStyle w:val="Znakapoznpodarou"/>
        </w:rPr>
        <w:footnoteRef/>
      </w:r>
      <w:r>
        <w:t xml:space="preserve"> Rozhodnutí Nejvyššího soudu ze dne 6. 5. 1919, sp. zn.: Rv I 221/19.</w:t>
      </w:r>
    </w:p>
  </w:footnote>
  <w:footnote w:id="23">
    <w:p w:rsidR="00906350" w:rsidRPr="005A41B0" w:rsidRDefault="00906350" w:rsidP="00862853">
      <w:pPr>
        <w:pStyle w:val="Textpoznpodarou"/>
        <w:jc w:val="both"/>
      </w:pPr>
      <w:r>
        <w:rPr>
          <w:rStyle w:val="Znakapoznpodarou"/>
        </w:rPr>
        <w:footnoteRef/>
      </w:r>
      <w:r>
        <w:t xml:space="preserve"> TILSCH, Emanuel. </w:t>
      </w:r>
      <w:r>
        <w:rPr>
          <w:i/>
        </w:rPr>
        <w:t>Občanské právo. Část všeobecná.</w:t>
      </w:r>
      <w:r>
        <w:t xml:space="preserve"> Praha: Wolters Kluwer, 2012, s. 169.</w:t>
      </w:r>
    </w:p>
  </w:footnote>
  <w:footnote w:id="24">
    <w:p w:rsidR="00906350" w:rsidRDefault="00906350" w:rsidP="00862853">
      <w:pPr>
        <w:pStyle w:val="Textpoznpodarou"/>
        <w:jc w:val="both"/>
      </w:pPr>
      <w:r>
        <w:rPr>
          <w:rStyle w:val="Znakapoznpodarou"/>
        </w:rPr>
        <w:footnoteRef/>
      </w:r>
      <w:r>
        <w:t xml:space="preserve"> ŠEŠINA, Martin. In ŠVESTKA, Jiří a kol. </w:t>
      </w:r>
      <w:r>
        <w:rPr>
          <w:i/>
        </w:rPr>
        <w:t>Občanský zákoník: Komentář Svazek IV.</w:t>
      </w:r>
      <w:r>
        <w:t xml:space="preserve"> Praha: Wolters Kluwer,a.s., 2014, s. 543 (§ 1694).</w:t>
      </w:r>
    </w:p>
  </w:footnote>
  <w:footnote w:id="25">
    <w:p w:rsidR="00906350" w:rsidRDefault="00906350" w:rsidP="00862853">
      <w:pPr>
        <w:pStyle w:val="Textpoznpodarou"/>
        <w:jc w:val="both"/>
      </w:pPr>
      <w:r>
        <w:rPr>
          <w:rStyle w:val="Znakapoznpodarou"/>
        </w:rPr>
        <w:footnoteRef/>
      </w:r>
      <w:r>
        <w:t xml:space="preserve"> Tamtéž s. 544.</w:t>
      </w:r>
    </w:p>
  </w:footnote>
  <w:footnote w:id="26">
    <w:p w:rsidR="00906350" w:rsidRPr="00AF3DDB" w:rsidRDefault="00906350" w:rsidP="00862853">
      <w:pPr>
        <w:pStyle w:val="Textpoznpodarou"/>
        <w:jc w:val="both"/>
      </w:pPr>
      <w:r>
        <w:rPr>
          <w:rStyle w:val="Znakapoznpodarou"/>
        </w:rPr>
        <w:footnoteRef/>
      </w:r>
      <w:r>
        <w:t xml:space="preserve"> KLEIN, Šimon. Odkaz a dědění konkrétně určených věcí v NOZ. </w:t>
      </w:r>
      <w:r>
        <w:rPr>
          <w:i/>
        </w:rPr>
        <w:t>Ad Notam</w:t>
      </w:r>
      <w:r>
        <w:t>, 2013, č. 2, s. 5.</w:t>
      </w:r>
    </w:p>
  </w:footnote>
  <w:footnote w:id="27">
    <w:p w:rsidR="00906350" w:rsidRDefault="00906350" w:rsidP="00862853">
      <w:pPr>
        <w:pStyle w:val="Textpoznpodarou"/>
        <w:jc w:val="both"/>
      </w:pPr>
      <w:r>
        <w:rPr>
          <w:rStyle w:val="Znakapoznpodarou"/>
        </w:rPr>
        <w:footnoteRef/>
      </w:r>
      <w:r>
        <w:t xml:space="preserve"> § 3069 a násl. NOZ.</w:t>
      </w:r>
    </w:p>
  </w:footnote>
  <w:footnote w:id="28">
    <w:p w:rsidR="00906350" w:rsidRDefault="00906350" w:rsidP="003F4DE9">
      <w:pPr>
        <w:pStyle w:val="Textpoznpodarou"/>
        <w:jc w:val="both"/>
      </w:pPr>
      <w:r>
        <w:rPr>
          <w:rStyle w:val="Znakapoznpodarou"/>
        </w:rPr>
        <w:footnoteRef/>
      </w:r>
      <w:r>
        <w:t xml:space="preserve"> ŠÍNOVÁ, Renáta. In MELZER, Filip, TÉGL, Petr. </w:t>
      </w:r>
      <w:r>
        <w:rPr>
          <w:i/>
        </w:rPr>
        <w:t>Občanský zákoník – velký komentář. Svazek I. § 1-117.</w:t>
      </w:r>
      <w:r>
        <w:t xml:space="preserve"> Praha: Leges, 2013, s. 359 (§ 31).</w:t>
      </w:r>
    </w:p>
  </w:footnote>
  <w:footnote w:id="29">
    <w:p w:rsidR="00906350" w:rsidRPr="00062AF8" w:rsidRDefault="00906350" w:rsidP="003F4DE9">
      <w:pPr>
        <w:pStyle w:val="Textpoznpodarou"/>
        <w:jc w:val="both"/>
      </w:pPr>
      <w:r>
        <w:rPr>
          <w:rStyle w:val="Znakapoznpodarou"/>
        </w:rPr>
        <w:footnoteRef/>
      </w:r>
      <w:r>
        <w:t xml:space="preserve"> ELIÁŠ, Karel. </w:t>
      </w:r>
      <w:r>
        <w:rPr>
          <w:i/>
        </w:rPr>
        <w:t>Nový občanský zákoník s aktualizovanou důvodovou zprávou a rejstříkem.</w:t>
      </w:r>
      <w:r>
        <w:t xml:space="preserve"> Ostrava: Sagit, 2012, s. 627.</w:t>
      </w:r>
    </w:p>
  </w:footnote>
  <w:footnote w:id="30">
    <w:p w:rsidR="00906350" w:rsidRPr="004E4B47" w:rsidRDefault="00906350" w:rsidP="003F4DE9">
      <w:pPr>
        <w:pStyle w:val="Textpoznpodarou"/>
        <w:jc w:val="both"/>
      </w:pPr>
      <w:r>
        <w:rPr>
          <w:rStyle w:val="Znakapoznpodarou"/>
        </w:rPr>
        <w:footnoteRef/>
      </w:r>
      <w:r>
        <w:t xml:space="preserve"> ŠEŠINA, Martin, WAWERKA, Karel. In ŠVESTKA, Jiří a kol. </w:t>
      </w:r>
      <w:r>
        <w:rPr>
          <w:i/>
        </w:rPr>
        <w:t>Občanský zákoník: Komentář Svazek IV.</w:t>
      </w:r>
      <w:r>
        <w:t xml:space="preserve"> Praha: Wolters Kluwer,a.s., 2014, s. 118 (§ 1526).</w:t>
      </w:r>
    </w:p>
  </w:footnote>
  <w:footnote w:id="31">
    <w:p w:rsidR="00906350" w:rsidRDefault="00906350" w:rsidP="003F4DE9">
      <w:pPr>
        <w:pStyle w:val="Textpoznpodarou"/>
        <w:jc w:val="both"/>
      </w:pPr>
      <w:r>
        <w:rPr>
          <w:rStyle w:val="Znakapoznpodarou"/>
        </w:rPr>
        <w:footnoteRef/>
      </w:r>
      <w:r>
        <w:t xml:space="preserve"> Zletilosti se nabývalo dosažením 24. roku věku, resp. od roku 1919 dosažením 21. roku věku.</w:t>
      </w:r>
    </w:p>
  </w:footnote>
  <w:footnote w:id="32">
    <w:p w:rsidR="00906350" w:rsidRPr="00BB4F20" w:rsidRDefault="00906350" w:rsidP="003F4DE9">
      <w:pPr>
        <w:pStyle w:val="Textpoznpodarou"/>
        <w:jc w:val="both"/>
      </w:pPr>
      <w:r>
        <w:rPr>
          <w:rStyle w:val="Znakapoznpodarou"/>
        </w:rPr>
        <w:footnoteRef/>
      </w:r>
      <w:r>
        <w:t xml:space="preserve"> ROUČEK, František, SEDLÁČEK, Jaromír. </w:t>
      </w:r>
      <w:r>
        <w:rPr>
          <w:i/>
        </w:rPr>
        <w:t>Komentář k československému obecnému zákoníku občanskému a občanské právo platné na Slovensku a v Podkarpatské Rusi. III. díl.</w:t>
      </w:r>
      <w:r>
        <w:t xml:space="preserve"> 1. vydání. Praha: V. Linhart, 1936, s. 100 (§ 569).</w:t>
      </w:r>
    </w:p>
  </w:footnote>
  <w:footnote w:id="33">
    <w:p w:rsidR="00906350" w:rsidRDefault="00906350" w:rsidP="003F4DE9">
      <w:pPr>
        <w:pStyle w:val="Textpoznpodarou"/>
        <w:jc w:val="both"/>
      </w:pPr>
      <w:r>
        <w:rPr>
          <w:rStyle w:val="Znakapoznpodarou"/>
        </w:rPr>
        <w:footnoteRef/>
      </w:r>
      <w:r>
        <w:t xml:space="preserve"> Tato ustanovení v OZO se netýkala dědické smlouvy.</w:t>
      </w:r>
    </w:p>
  </w:footnote>
  <w:footnote w:id="34">
    <w:p w:rsidR="00906350" w:rsidRDefault="00906350" w:rsidP="003F4DE9">
      <w:pPr>
        <w:pStyle w:val="Textpoznpodarou"/>
        <w:jc w:val="both"/>
      </w:pPr>
      <w:r>
        <w:rPr>
          <w:rStyle w:val="Znakapoznpodarou"/>
        </w:rPr>
        <w:footnoteRef/>
      </w:r>
      <w:r>
        <w:t xml:space="preserve"> KRČMÁŘ, Jan</w:t>
      </w:r>
      <w:r w:rsidRPr="003D7E11">
        <w:rPr>
          <w:i/>
        </w:rPr>
        <w:t xml:space="preserve">. </w:t>
      </w:r>
      <w:r>
        <w:rPr>
          <w:i/>
        </w:rPr>
        <w:t xml:space="preserve">Právo občanské V. </w:t>
      </w:r>
      <w:r w:rsidRPr="003D7E11">
        <w:rPr>
          <w:i/>
        </w:rPr>
        <w:t>Právo dědické</w:t>
      </w:r>
      <w:r>
        <w:t>. Praha: Všehrd, 1919, s. 16.</w:t>
      </w:r>
    </w:p>
  </w:footnote>
  <w:footnote w:id="35">
    <w:p w:rsidR="00906350" w:rsidRPr="00BB4F20" w:rsidRDefault="00906350" w:rsidP="003F4DE9">
      <w:pPr>
        <w:pStyle w:val="Textpoznpodarou"/>
        <w:jc w:val="both"/>
      </w:pPr>
      <w:r>
        <w:rPr>
          <w:rStyle w:val="Znakapoznpodarou"/>
        </w:rPr>
        <w:footnoteRef/>
      </w:r>
      <w:r>
        <w:t xml:space="preserve"> BEDNÁŘ, Václav. </w:t>
      </w:r>
      <w:r>
        <w:rPr>
          <w:i/>
        </w:rPr>
        <w:t>Testamentární dědická posloupnost.</w:t>
      </w:r>
      <w:r>
        <w:t xml:space="preserve"> Plzeň: Aleš Čeněk, 2011, s. 44.</w:t>
      </w:r>
    </w:p>
  </w:footnote>
  <w:footnote w:id="36">
    <w:p w:rsidR="00906350" w:rsidRDefault="00906350" w:rsidP="003F4DE9">
      <w:pPr>
        <w:pStyle w:val="Textpoznpodarou"/>
        <w:jc w:val="both"/>
      </w:pPr>
      <w:r>
        <w:rPr>
          <w:rStyle w:val="Znakapoznpodarou"/>
        </w:rPr>
        <w:footnoteRef/>
      </w:r>
      <w:r>
        <w:t xml:space="preserve"> MUZIKÁŘ Ladislav. In ELIÁŠ, Karel a kol. </w:t>
      </w:r>
      <w:r>
        <w:rPr>
          <w:i/>
        </w:rPr>
        <w:t xml:space="preserve">Občanský zákoník: Velký akademický komentář, 1. svazek. </w:t>
      </w:r>
      <w:r>
        <w:t>Praha: Linde, 2008, s. 1257-1263 (§ 476d).</w:t>
      </w:r>
    </w:p>
  </w:footnote>
  <w:footnote w:id="37">
    <w:p w:rsidR="001E563F" w:rsidRDefault="001E563F">
      <w:pPr>
        <w:pStyle w:val="Textpoznpodarou"/>
      </w:pPr>
      <w:r>
        <w:rPr>
          <w:rStyle w:val="Znakapoznpodarou"/>
        </w:rPr>
        <w:footnoteRef/>
      </w:r>
      <w:r>
        <w:t xml:space="preserve"> BEDNÁŘ, Václav. </w:t>
      </w:r>
      <w:r>
        <w:rPr>
          <w:i/>
        </w:rPr>
        <w:t>Testamentární dědická posloupnost.</w:t>
      </w:r>
      <w:r>
        <w:t xml:space="preserve"> Plzeň: Aleš Čeněk, 2011, s. 114 - 115.</w:t>
      </w:r>
    </w:p>
  </w:footnote>
  <w:footnote w:id="38">
    <w:p w:rsidR="00906350" w:rsidRDefault="00906350" w:rsidP="006204C8">
      <w:pPr>
        <w:pStyle w:val="Textpoznpodarou"/>
        <w:jc w:val="both"/>
      </w:pPr>
      <w:r>
        <w:rPr>
          <w:rStyle w:val="Znakapoznpodarou"/>
        </w:rPr>
        <w:footnoteRef/>
      </w:r>
      <w:r>
        <w:t xml:space="preserve"> ELIÁŠ, Karel. </w:t>
      </w:r>
      <w:r>
        <w:rPr>
          <w:i/>
        </w:rPr>
        <w:t>Nový občanský zákoník s aktualizovanou důvodovou zprávou a rejstříkem.</w:t>
      </w:r>
      <w:r>
        <w:t xml:space="preserve"> Ostrava: Sagit, 2012, s. 628.</w:t>
      </w:r>
    </w:p>
  </w:footnote>
  <w:footnote w:id="39">
    <w:p w:rsidR="00906350" w:rsidRDefault="00906350" w:rsidP="006204C8">
      <w:pPr>
        <w:pStyle w:val="Textpoznpodarou"/>
        <w:jc w:val="both"/>
      </w:pPr>
      <w:r>
        <w:rPr>
          <w:rStyle w:val="Znakapoznpodarou"/>
        </w:rPr>
        <w:footnoteRef/>
      </w:r>
      <w:r>
        <w:t xml:space="preserve"> Tamtéž.</w:t>
      </w:r>
    </w:p>
  </w:footnote>
  <w:footnote w:id="40">
    <w:p w:rsidR="00906350" w:rsidRDefault="00906350" w:rsidP="006204C8">
      <w:pPr>
        <w:pStyle w:val="Textpoznpodarou"/>
        <w:jc w:val="both"/>
      </w:pPr>
      <w:r>
        <w:rPr>
          <w:rStyle w:val="Znakapoznpodarou"/>
        </w:rPr>
        <w:footnoteRef/>
      </w:r>
      <w:r>
        <w:t xml:space="preserve"> ŠEŠINA, Martin, WAWERKA, Karel. In ŠVESTKA, Jiří a kol. </w:t>
      </w:r>
      <w:r>
        <w:rPr>
          <w:i/>
        </w:rPr>
        <w:t>Občanský zákoník: Komentář Svazek IV.</w:t>
      </w:r>
      <w:r>
        <w:t xml:space="preserve"> Praha: Wolters Kluwer,a.s., 2014, s. 120 (§ 1528).</w:t>
      </w:r>
    </w:p>
  </w:footnote>
  <w:footnote w:id="41">
    <w:p w:rsidR="00906350" w:rsidRDefault="00906350" w:rsidP="006204C8">
      <w:pPr>
        <w:pStyle w:val="Textpoznpodarou"/>
        <w:jc w:val="both"/>
      </w:pPr>
      <w:r>
        <w:rPr>
          <w:rStyle w:val="Znakapoznpodarou"/>
        </w:rPr>
        <w:footnoteRef/>
      </w:r>
      <w:r>
        <w:t xml:space="preserve"> Tamtéž, s. 121.</w:t>
      </w:r>
    </w:p>
  </w:footnote>
  <w:footnote w:id="42">
    <w:p w:rsidR="00906350" w:rsidRDefault="00906350" w:rsidP="006204C8">
      <w:pPr>
        <w:pStyle w:val="Textpoznpodarou"/>
        <w:jc w:val="both"/>
      </w:pPr>
      <w:r>
        <w:rPr>
          <w:rStyle w:val="Znakapoznpodarou"/>
        </w:rPr>
        <w:footnoteRef/>
      </w:r>
      <w:r>
        <w:t xml:space="preserve"> ELIÁŠ, Karel. </w:t>
      </w:r>
      <w:r>
        <w:rPr>
          <w:i/>
        </w:rPr>
        <w:t>Nový občanský zákoník s aktualizovanou důvodovou zprávou a rejstříkem.</w:t>
      </w:r>
      <w:r>
        <w:t xml:space="preserve"> Ostrava: Sagit, 2012, s. 629.</w:t>
      </w:r>
    </w:p>
  </w:footnote>
  <w:footnote w:id="43">
    <w:p w:rsidR="00906350" w:rsidRDefault="00906350" w:rsidP="006204C8">
      <w:pPr>
        <w:pStyle w:val="Textpoznpodarou"/>
        <w:jc w:val="both"/>
      </w:pPr>
      <w:r>
        <w:rPr>
          <w:rStyle w:val="Znakapoznpodarou"/>
        </w:rPr>
        <w:footnoteRef/>
      </w:r>
      <w:r>
        <w:t xml:space="preserve"> Rozhodnutí Nejvyššího soudu ze dne 5. listopadu 1921, sp. zn. Rv II 210/21.</w:t>
      </w:r>
    </w:p>
  </w:footnote>
  <w:footnote w:id="44">
    <w:p w:rsidR="00906350" w:rsidRDefault="00906350" w:rsidP="006204C8">
      <w:pPr>
        <w:pStyle w:val="Textpoznpodarou"/>
        <w:jc w:val="both"/>
      </w:pPr>
      <w:r>
        <w:rPr>
          <w:rStyle w:val="Znakapoznpodarou"/>
        </w:rPr>
        <w:footnoteRef/>
      </w:r>
      <w:r>
        <w:t xml:space="preserve"> KRČMÁŘ, Jan</w:t>
      </w:r>
      <w:r w:rsidRPr="003D7E11">
        <w:rPr>
          <w:i/>
        </w:rPr>
        <w:t xml:space="preserve">. </w:t>
      </w:r>
      <w:r>
        <w:rPr>
          <w:i/>
        </w:rPr>
        <w:t xml:space="preserve">Právo občanské V. </w:t>
      </w:r>
      <w:r w:rsidRPr="003D7E11">
        <w:rPr>
          <w:i/>
        </w:rPr>
        <w:t>Právo dědické</w:t>
      </w:r>
      <w:r>
        <w:t>. Praha: Všehrd, 1919, s. 16-18.</w:t>
      </w:r>
    </w:p>
  </w:footnote>
  <w:footnote w:id="45">
    <w:p w:rsidR="00906350" w:rsidRPr="001A73CC" w:rsidRDefault="00906350" w:rsidP="006204C8">
      <w:pPr>
        <w:pStyle w:val="Textpoznpodarou"/>
        <w:jc w:val="both"/>
      </w:pPr>
      <w:r>
        <w:rPr>
          <w:rStyle w:val="Znakapoznpodarou"/>
        </w:rPr>
        <w:footnoteRef/>
      </w:r>
      <w:r>
        <w:t xml:space="preserve"> PLANK, Karol. </w:t>
      </w:r>
      <w:r>
        <w:rPr>
          <w:i/>
        </w:rPr>
        <w:t>Dědičské právo.</w:t>
      </w:r>
      <w:r>
        <w:t xml:space="preserve"> Bratislava: Slovenské vydavatelství politické literatury, 1954, s. 121-124.</w:t>
      </w:r>
    </w:p>
  </w:footnote>
  <w:footnote w:id="46">
    <w:p w:rsidR="00906350" w:rsidRPr="0064406F" w:rsidRDefault="00906350" w:rsidP="006204C8">
      <w:pPr>
        <w:pStyle w:val="Textpoznpodarou"/>
        <w:jc w:val="both"/>
      </w:pPr>
      <w:r>
        <w:rPr>
          <w:rStyle w:val="Znakapoznpodarou"/>
        </w:rPr>
        <w:footnoteRef/>
      </w:r>
      <w:r>
        <w:t xml:space="preserve"> KNAPP, Viktor, PLANK, Karol. </w:t>
      </w:r>
      <w:r>
        <w:rPr>
          <w:i/>
        </w:rPr>
        <w:t>Učebnica československého občianského práva-</w:t>
      </w:r>
      <w:r w:rsidRPr="0064406F">
        <w:rPr>
          <w:i/>
        </w:rPr>
        <w:t>II. časť</w:t>
      </w:r>
      <w:r>
        <w:rPr>
          <w:i/>
        </w:rPr>
        <w:t>.</w:t>
      </w:r>
      <w:r>
        <w:t xml:space="preserve"> Bratislava: Obzor, 1965, s. 556-558.</w:t>
      </w:r>
    </w:p>
  </w:footnote>
  <w:footnote w:id="47">
    <w:p w:rsidR="00906350" w:rsidRDefault="00906350" w:rsidP="006204C8">
      <w:pPr>
        <w:pStyle w:val="Textpoznpodarou"/>
        <w:jc w:val="both"/>
      </w:pPr>
      <w:r>
        <w:rPr>
          <w:rStyle w:val="Znakapoznpodarou"/>
        </w:rPr>
        <w:footnoteRef/>
      </w:r>
      <w:r>
        <w:t xml:space="preserve">BEDNÁŘ, Václav. </w:t>
      </w:r>
      <w:r>
        <w:rPr>
          <w:i/>
        </w:rPr>
        <w:t>Testamentární dědická posloupnost.</w:t>
      </w:r>
      <w:r>
        <w:t xml:space="preserve"> Plzeň: Aleš Čeněk, 2011, s. 72. nebo KNAPP, Viktor, PLANK, Karol. </w:t>
      </w:r>
      <w:r>
        <w:rPr>
          <w:i/>
        </w:rPr>
        <w:t>Učebnica československého občianského práva-</w:t>
      </w:r>
      <w:r w:rsidRPr="0064406F">
        <w:rPr>
          <w:i/>
        </w:rPr>
        <w:t>II. časť</w:t>
      </w:r>
      <w:r>
        <w:rPr>
          <w:i/>
        </w:rPr>
        <w:t>.</w:t>
      </w:r>
      <w:r>
        <w:t xml:space="preserve"> Bratislava: Obzor, 1965, s. 556-557.</w:t>
      </w:r>
    </w:p>
  </w:footnote>
  <w:footnote w:id="48">
    <w:p w:rsidR="00906350" w:rsidRPr="00E032DE" w:rsidRDefault="00906350" w:rsidP="006204C8">
      <w:pPr>
        <w:pStyle w:val="Textpoznpodarou"/>
        <w:jc w:val="both"/>
      </w:pPr>
      <w:r>
        <w:rPr>
          <w:rStyle w:val="Znakapoznpodarou"/>
        </w:rPr>
        <w:footnoteRef/>
      </w:r>
      <w:r>
        <w:t xml:space="preserve"> MIKEŠ, Jiří, MUZIKÁŘ, Ladislav. </w:t>
      </w:r>
      <w:r>
        <w:rPr>
          <w:i/>
        </w:rPr>
        <w:t>Dědické právo.</w:t>
      </w:r>
      <w:r>
        <w:t xml:space="preserve"> 3. vydání. Praha: Linde, 2007, s. 57.</w:t>
      </w:r>
    </w:p>
  </w:footnote>
  <w:footnote w:id="49">
    <w:p w:rsidR="00906350" w:rsidRDefault="00906350">
      <w:pPr>
        <w:pStyle w:val="Textpoznpodarou"/>
      </w:pPr>
      <w:r>
        <w:rPr>
          <w:rStyle w:val="Znakapoznpodarou"/>
        </w:rPr>
        <w:footnoteRef/>
      </w:r>
      <w:r>
        <w:t xml:space="preserve"> Rozhodnutí Nejvyššího soudu ze dne 20. 3. 2008, sp. zn. 21 Cdo 2968/2006.</w:t>
      </w:r>
    </w:p>
  </w:footnote>
  <w:footnote w:id="50">
    <w:p w:rsidR="00906350" w:rsidRDefault="00906350" w:rsidP="006204C8">
      <w:pPr>
        <w:pStyle w:val="Textpoznpodarou"/>
        <w:jc w:val="both"/>
      </w:pPr>
      <w:r>
        <w:rPr>
          <w:rStyle w:val="Znakapoznpodarou"/>
        </w:rPr>
        <w:footnoteRef/>
      </w:r>
      <w:r>
        <w:t xml:space="preserve"> Podíl a uvolněný podíl upravují ustanovení § 1499-1506 NOZ.</w:t>
      </w:r>
    </w:p>
  </w:footnote>
  <w:footnote w:id="51">
    <w:p w:rsidR="00906350" w:rsidRDefault="00906350" w:rsidP="006204C8">
      <w:pPr>
        <w:pStyle w:val="Textpoznpodarou"/>
        <w:jc w:val="both"/>
      </w:pPr>
      <w:r>
        <w:rPr>
          <w:rStyle w:val="Znakapoznpodarou"/>
        </w:rPr>
        <w:footnoteRef/>
      </w:r>
      <w:r>
        <w:t xml:space="preserve"> ROUČEK, František, SEDLÁČEK, Jaromír. </w:t>
      </w:r>
      <w:r>
        <w:rPr>
          <w:i/>
        </w:rPr>
        <w:t>Komentář k československému obecnému zákoníku občanskému a občanské právo platné na Slovensku a v Podkarpatské Rusi. III. díl.</w:t>
      </w:r>
      <w:r>
        <w:t xml:space="preserve"> 1. vydání. Praha: V. Linhart, 1936, s. 76 (§ 553).</w:t>
      </w:r>
    </w:p>
  </w:footnote>
  <w:footnote w:id="52">
    <w:p w:rsidR="00906350" w:rsidRDefault="00906350" w:rsidP="006204C8">
      <w:pPr>
        <w:pStyle w:val="Textpoznpodarou"/>
        <w:jc w:val="both"/>
      </w:pPr>
      <w:r>
        <w:rPr>
          <w:rStyle w:val="Znakapoznpodarou"/>
        </w:rPr>
        <w:footnoteRef/>
      </w:r>
      <w:r>
        <w:t xml:space="preserve"> Rozhodnutí krajského soudu v Brně ze dne 14. 2. 1994, sp. zn.: 18 Co 218/93.</w:t>
      </w:r>
    </w:p>
  </w:footnote>
  <w:footnote w:id="53">
    <w:p w:rsidR="00906350" w:rsidRDefault="00906350" w:rsidP="006204C8">
      <w:pPr>
        <w:pStyle w:val="Textpoznpodarou"/>
        <w:jc w:val="both"/>
      </w:pPr>
      <w:r>
        <w:rPr>
          <w:rStyle w:val="Znakapoznpodarou"/>
        </w:rPr>
        <w:footnoteRef/>
      </w:r>
      <w:r>
        <w:t xml:space="preserve"> Nebo dovětkem.</w:t>
      </w:r>
    </w:p>
  </w:footnote>
  <w:footnote w:id="54">
    <w:p w:rsidR="00906350" w:rsidRDefault="00906350" w:rsidP="006204C8">
      <w:pPr>
        <w:pStyle w:val="Textpoznpodarou"/>
        <w:jc w:val="both"/>
      </w:pPr>
      <w:r>
        <w:rPr>
          <w:rStyle w:val="Znakapoznpodarou"/>
        </w:rPr>
        <w:footnoteRef/>
      </w:r>
      <w:r w:rsidR="00D637C9">
        <w:t xml:space="preserve"> Stejně</w:t>
      </w:r>
      <w:r>
        <w:t xml:space="preserve"> tak se týká partnera dle zákona č. 115/2006 Sb., o registrovaném partnerství.</w:t>
      </w:r>
    </w:p>
  </w:footnote>
  <w:footnote w:id="55">
    <w:p w:rsidR="00906350" w:rsidRDefault="00906350" w:rsidP="006204C8">
      <w:pPr>
        <w:pStyle w:val="Textpoznpodarou"/>
        <w:jc w:val="both"/>
      </w:pPr>
      <w:r>
        <w:rPr>
          <w:rStyle w:val="Znakapoznpodarou"/>
        </w:rPr>
        <w:footnoteRef/>
      </w:r>
      <w:r>
        <w:t xml:space="preserve"> ŠEŠINA, Martin, WAWERKA, Karel. In ŠVESTKA, Jiří a kol. </w:t>
      </w:r>
      <w:r>
        <w:rPr>
          <w:i/>
        </w:rPr>
        <w:t>Občanský zákoník: Komentář Svazek IV.</w:t>
      </w:r>
      <w:r>
        <w:t xml:space="preserve"> Praha: Wolters Kluwer,a.s., 2014, s. 26 (§ 1481).</w:t>
      </w:r>
    </w:p>
  </w:footnote>
  <w:footnote w:id="56">
    <w:p w:rsidR="00906350" w:rsidRDefault="00906350" w:rsidP="006204C8">
      <w:pPr>
        <w:pStyle w:val="Textpoznpodarou"/>
        <w:jc w:val="both"/>
      </w:pPr>
      <w:r>
        <w:rPr>
          <w:rStyle w:val="Znakapoznpodarou"/>
        </w:rPr>
        <w:footnoteRef/>
      </w:r>
      <w:r>
        <w:t xml:space="preserve"> ELIÁŠ, Karel. </w:t>
      </w:r>
      <w:r>
        <w:rPr>
          <w:i/>
        </w:rPr>
        <w:t>Nový občanský zákoník s aktualizovanou důvodovou zprávou a rejstříkem.</w:t>
      </w:r>
      <w:r>
        <w:t xml:space="preserve"> Ostrava: Sagit, 2012, s. 605.</w:t>
      </w:r>
    </w:p>
  </w:footnote>
  <w:footnote w:id="57">
    <w:p w:rsidR="00906350" w:rsidRDefault="00906350" w:rsidP="006204C8">
      <w:pPr>
        <w:pStyle w:val="Textpoznpodarou"/>
        <w:jc w:val="both"/>
      </w:pPr>
      <w:r>
        <w:rPr>
          <w:rStyle w:val="Znakapoznpodarou"/>
        </w:rPr>
        <w:footnoteRef/>
      </w:r>
      <w:r>
        <w:t xml:space="preserve"> ŠEŠINA, Martin, WAWERKA, Karel. In ŠVESTKA, Jiří a kol. </w:t>
      </w:r>
      <w:r>
        <w:rPr>
          <w:i/>
        </w:rPr>
        <w:t>Občanský zákoník: Komentář Svazek IV.</w:t>
      </w:r>
      <w:r>
        <w:t xml:space="preserve"> Praha: Wolters Kluwer,a.s., 2014, s. 26 (§ 1481).</w:t>
      </w:r>
    </w:p>
  </w:footnote>
  <w:footnote w:id="58">
    <w:p w:rsidR="00906350" w:rsidRDefault="00906350" w:rsidP="006204C8">
      <w:pPr>
        <w:pStyle w:val="Textpoznpodarou"/>
        <w:jc w:val="both"/>
      </w:pPr>
      <w:r>
        <w:rPr>
          <w:rStyle w:val="Znakapoznpodarou"/>
        </w:rPr>
        <w:footnoteRef/>
      </w:r>
      <w:r>
        <w:t xml:space="preserve"> Tamtéž s. 29.</w:t>
      </w:r>
    </w:p>
  </w:footnote>
  <w:footnote w:id="59">
    <w:p w:rsidR="00906350" w:rsidRDefault="00906350" w:rsidP="006204C8">
      <w:pPr>
        <w:pStyle w:val="Textpoznpodarou"/>
        <w:jc w:val="both"/>
      </w:pPr>
      <w:r>
        <w:rPr>
          <w:rStyle w:val="Znakapoznpodarou"/>
        </w:rPr>
        <w:footnoteRef/>
      </w:r>
      <w:r>
        <w:t xml:space="preserve"> Ustanovení 479 OZ samotný termín neopomenutelný dědic neobsahoval, nicméně odborná literatura včetně té komentářové toto označení používala téměř výhradně.</w:t>
      </w:r>
    </w:p>
  </w:footnote>
  <w:footnote w:id="60">
    <w:p w:rsidR="00906350" w:rsidRDefault="00906350" w:rsidP="006204C8">
      <w:pPr>
        <w:pStyle w:val="Textpoznpodarou"/>
        <w:jc w:val="both"/>
      </w:pPr>
      <w:r>
        <w:rPr>
          <w:rStyle w:val="Znakapoznpodarou"/>
        </w:rPr>
        <w:footnoteRef/>
      </w:r>
      <w:r>
        <w:t xml:space="preserve"> MIKEŠ, Jiří, MUZIKÁŘ, Ladislav. </w:t>
      </w:r>
      <w:r>
        <w:rPr>
          <w:i/>
        </w:rPr>
        <w:t>Dědické právo.</w:t>
      </w:r>
      <w:r>
        <w:t xml:space="preserve"> 3. vydání. Praha: Linde, 2007, s. 82-86.</w:t>
      </w:r>
    </w:p>
  </w:footnote>
  <w:footnote w:id="61">
    <w:p w:rsidR="00906350" w:rsidRDefault="00906350" w:rsidP="006204C8">
      <w:pPr>
        <w:pStyle w:val="Textpoznpodarou"/>
        <w:jc w:val="both"/>
      </w:pPr>
      <w:r>
        <w:rPr>
          <w:rStyle w:val="Znakapoznpodarou"/>
        </w:rPr>
        <w:footnoteRef/>
      </w:r>
      <w:r>
        <w:t xml:space="preserve"> Nepominutelný dědic je upraven v § 1642-1645.</w:t>
      </w:r>
    </w:p>
  </w:footnote>
  <w:footnote w:id="62">
    <w:p w:rsidR="00906350" w:rsidRPr="005078C6" w:rsidRDefault="00906350" w:rsidP="006204C8">
      <w:pPr>
        <w:pStyle w:val="Textpoznpodarou"/>
        <w:jc w:val="both"/>
      </w:pPr>
      <w:r>
        <w:rPr>
          <w:rStyle w:val="Znakapoznpodarou"/>
        </w:rPr>
        <w:footnoteRef/>
      </w:r>
      <w:r>
        <w:t xml:space="preserve"> HORÁK, Ondřej. Tzv. nepominutelný dědic v novém občanském zákoníku. </w:t>
      </w:r>
      <w:r>
        <w:rPr>
          <w:i/>
        </w:rPr>
        <w:t>Právní rozhledy</w:t>
      </w:r>
      <w:r>
        <w:t>, 2014, č. 11, s. 381.</w:t>
      </w:r>
    </w:p>
  </w:footnote>
  <w:footnote w:id="63">
    <w:p w:rsidR="00D04B7E" w:rsidRDefault="00D04B7E">
      <w:pPr>
        <w:pStyle w:val="Textpoznpodarou"/>
      </w:pPr>
      <w:r>
        <w:rPr>
          <w:rStyle w:val="Znakapoznpodarou"/>
        </w:rPr>
        <w:footnoteRef/>
      </w:r>
      <w:r>
        <w:t xml:space="preserve"> V německé úpravě jsou mezi nepominutelné dědice řazeni potomci, rodiče, manžel nebo zapsaný životní partner.</w:t>
      </w:r>
    </w:p>
  </w:footnote>
  <w:footnote w:id="64">
    <w:p w:rsidR="00906350" w:rsidRDefault="00906350" w:rsidP="008F60DC">
      <w:pPr>
        <w:pStyle w:val="Textpoznpodarou"/>
        <w:jc w:val="both"/>
      </w:pPr>
      <w:r>
        <w:rPr>
          <w:rStyle w:val="Znakapoznpodarou"/>
        </w:rPr>
        <w:footnoteRef/>
      </w:r>
      <w:r>
        <w:t xml:space="preserve"> ELIÁŠ, Karel. </w:t>
      </w:r>
      <w:r>
        <w:rPr>
          <w:i/>
        </w:rPr>
        <w:t>Nový občanský zákoník s aktualizovanou důvodovou zprávou a rejstříkem.</w:t>
      </w:r>
      <w:r>
        <w:t xml:space="preserve"> Ostrava: Sagit, 2012, s. 669.</w:t>
      </w:r>
    </w:p>
  </w:footnote>
  <w:footnote w:id="65">
    <w:p w:rsidR="00906350" w:rsidRDefault="00906350" w:rsidP="008F60DC">
      <w:pPr>
        <w:pStyle w:val="Textpoznpodarou"/>
        <w:jc w:val="both"/>
      </w:pPr>
      <w:r>
        <w:rPr>
          <w:rStyle w:val="Znakapoznpodarou"/>
        </w:rPr>
        <w:footnoteRef/>
      </w:r>
      <w:r>
        <w:t xml:space="preserve"> ŠEŠINA, Martin, WAWERKA, Karel. In ŠVESTKA, Jiří a kol. </w:t>
      </w:r>
      <w:r>
        <w:rPr>
          <w:i/>
        </w:rPr>
        <w:t>Občanský zákoník: Komentář Svazek IV.</w:t>
      </w:r>
      <w:r>
        <w:t xml:space="preserve"> Praha: Wolters Kluwer,a.s., 2014, s. 351-352 (§ 1642-1643).</w:t>
      </w:r>
    </w:p>
  </w:footnote>
  <w:footnote w:id="66">
    <w:p w:rsidR="00906350" w:rsidRDefault="00906350" w:rsidP="008F60DC">
      <w:pPr>
        <w:pStyle w:val="Textpoznpodarou"/>
        <w:jc w:val="both"/>
      </w:pPr>
      <w:r>
        <w:rPr>
          <w:rStyle w:val="Znakapoznpodarou"/>
        </w:rPr>
        <w:footnoteRef/>
      </w:r>
      <w:r>
        <w:t xml:space="preserve"> Zůstavitel může přikázat, aby se započtení provedlo za delší dobu.</w:t>
      </w:r>
    </w:p>
  </w:footnote>
  <w:footnote w:id="67">
    <w:p w:rsidR="00906350" w:rsidRDefault="00906350" w:rsidP="008F60DC">
      <w:pPr>
        <w:pStyle w:val="Textpoznpodarou"/>
        <w:jc w:val="both"/>
      </w:pPr>
      <w:r>
        <w:rPr>
          <w:rStyle w:val="Znakapoznpodarou"/>
        </w:rPr>
        <w:footnoteRef/>
      </w:r>
      <w:r>
        <w:t xml:space="preserve"> § 469a OZ.</w:t>
      </w:r>
    </w:p>
  </w:footnote>
  <w:footnote w:id="68">
    <w:p w:rsidR="00906350" w:rsidRDefault="00906350" w:rsidP="008F60DC">
      <w:pPr>
        <w:pStyle w:val="Textpoznpodarou"/>
        <w:jc w:val="both"/>
      </w:pPr>
      <w:r>
        <w:rPr>
          <w:rStyle w:val="Znakapoznpodarou"/>
        </w:rPr>
        <w:footnoteRef/>
      </w:r>
      <w:r>
        <w:t xml:space="preserve"> Prohlášení o vydědění lze učinit, změnit či zrušit stejným způsobem jakým se pořizuje nebo ruší závěť.</w:t>
      </w:r>
    </w:p>
  </w:footnote>
  <w:footnote w:id="69">
    <w:p w:rsidR="00906350" w:rsidRDefault="00906350" w:rsidP="008F60DC">
      <w:pPr>
        <w:pStyle w:val="Textpoznpodarou"/>
        <w:jc w:val="both"/>
      </w:pPr>
      <w:r>
        <w:rPr>
          <w:rStyle w:val="Znakapoznpodarou"/>
        </w:rPr>
        <w:footnoteRef/>
      </w:r>
      <w:r>
        <w:t xml:space="preserve"> ELIÁŠ, Karel. </w:t>
      </w:r>
      <w:r>
        <w:rPr>
          <w:i/>
        </w:rPr>
        <w:t>Nový občanský zákoník s aktualizovanou důvodovou zprávou a rejstříkem.</w:t>
      </w:r>
      <w:r>
        <w:t xml:space="preserve"> Ostrava: Sagit, 2012, s. 672.</w:t>
      </w:r>
    </w:p>
  </w:footnote>
  <w:footnote w:id="70">
    <w:p w:rsidR="00906350" w:rsidRDefault="00906350" w:rsidP="008F60DC">
      <w:pPr>
        <w:pStyle w:val="Textpoznpodarou"/>
        <w:jc w:val="both"/>
      </w:pPr>
      <w:r>
        <w:rPr>
          <w:rStyle w:val="Znakapoznpodarou"/>
        </w:rPr>
        <w:footnoteRef/>
      </w:r>
      <w:r>
        <w:t xml:space="preserve"> Rozhodnutí Nejvyššího soudu ze dne 20. 1. 2004, sp. zn.: 30 Cdo 2214/2002.</w:t>
      </w:r>
    </w:p>
  </w:footnote>
  <w:footnote w:id="71">
    <w:p w:rsidR="00906350" w:rsidRDefault="00906350" w:rsidP="008F60DC">
      <w:pPr>
        <w:pStyle w:val="Textpoznpodarou"/>
        <w:jc w:val="both"/>
      </w:pPr>
      <w:r>
        <w:rPr>
          <w:rStyle w:val="Znakapoznpodarou"/>
        </w:rPr>
        <w:footnoteRef/>
      </w:r>
      <w:r>
        <w:t xml:space="preserve"> Nález Ústavního soudu ze dne 7. 11. 2012, sp. zn.: I. ÚS 295/10.</w:t>
      </w:r>
    </w:p>
  </w:footnote>
  <w:footnote w:id="72">
    <w:p w:rsidR="00906350" w:rsidRDefault="00906350" w:rsidP="008F60DC">
      <w:pPr>
        <w:pStyle w:val="Textpoznpodarou"/>
        <w:jc w:val="both"/>
      </w:pPr>
      <w:r>
        <w:rPr>
          <w:rStyle w:val="Znakapoznpodarou"/>
        </w:rPr>
        <w:footnoteRef/>
      </w:r>
      <w:r>
        <w:t xml:space="preserve"> Rozhodnutí Nejvyššího soudu ze dne 24. 11. 2011, sp. zn.: 21 Cdo 190/2010.</w:t>
      </w:r>
    </w:p>
  </w:footnote>
  <w:footnote w:id="73">
    <w:p w:rsidR="00906350" w:rsidRDefault="00906350" w:rsidP="008F60DC">
      <w:pPr>
        <w:pStyle w:val="Textpoznpodarou"/>
        <w:jc w:val="both"/>
      </w:pPr>
      <w:r>
        <w:rPr>
          <w:rStyle w:val="Znakapoznpodarou"/>
        </w:rPr>
        <w:footnoteRef/>
      </w:r>
      <w:r>
        <w:t xml:space="preserve"> ROUČEK, František, SEDLÁČEK, Jaromír. </w:t>
      </w:r>
      <w:r>
        <w:rPr>
          <w:i/>
        </w:rPr>
        <w:t>Komentář k československému obecnému zákoníku občanskému a</w:t>
      </w:r>
      <w:r w:rsidR="00C239D0">
        <w:rPr>
          <w:i/>
        </w:rPr>
        <w:t> </w:t>
      </w:r>
      <w:r>
        <w:rPr>
          <w:i/>
        </w:rPr>
        <w:t>občanské právo platné na Slovensku a v Podkarpatské Rusi. III. díl.</w:t>
      </w:r>
      <w:r>
        <w:t xml:space="preserve"> 1. vydání. Praha: V. Linhart, 1936, s. 440 (§ 772).</w:t>
      </w:r>
    </w:p>
  </w:footnote>
  <w:footnote w:id="74">
    <w:p w:rsidR="00906350" w:rsidRDefault="00906350" w:rsidP="008F60DC">
      <w:pPr>
        <w:pStyle w:val="Textpoznpodarou"/>
        <w:jc w:val="both"/>
      </w:pPr>
      <w:r>
        <w:rPr>
          <w:rStyle w:val="Znakapoznpodarou"/>
        </w:rPr>
        <w:footnoteRef/>
      </w:r>
      <w:r>
        <w:t xml:space="preserve"> Popřípadě jejich potomkům.</w:t>
      </w:r>
    </w:p>
  </w:footnote>
  <w:footnote w:id="75">
    <w:p w:rsidR="00906350" w:rsidRDefault="00906350" w:rsidP="008F60DC">
      <w:pPr>
        <w:pStyle w:val="Textpoznpodarou"/>
        <w:jc w:val="both"/>
      </w:pPr>
      <w:r>
        <w:rPr>
          <w:rStyle w:val="Znakapoznpodarou"/>
        </w:rPr>
        <w:footnoteRef/>
      </w:r>
      <w:r>
        <w:t xml:space="preserve"> ŠEŠINA, Martin, WAWERKA, Karel. In ŠVESTKA, Jiří a kol. </w:t>
      </w:r>
      <w:r>
        <w:rPr>
          <w:i/>
        </w:rPr>
        <w:t>Občanský zákoník: Komentář Svazek IV.</w:t>
      </w:r>
      <w:r>
        <w:t xml:space="preserve"> Praha: Wolters Kluwer,a.s., 2014, s. 366-368 (§ 1647).</w:t>
      </w:r>
    </w:p>
  </w:footnote>
  <w:footnote w:id="76">
    <w:p w:rsidR="00906350" w:rsidRDefault="00906350" w:rsidP="00C96965">
      <w:pPr>
        <w:pStyle w:val="Textpoznpodarou"/>
        <w:jc w:val="both"/>
      </w:pPr>
      <w:r>
        <w:rPr>
          <w:rStyle w:val="Znakapoznpodarou"/>
        </w:rPr>
        <w:footnoteRef/>
      </w:r>
      <w:r>
        <w:t xml:space="preserve"> ELIÁŠ, Karel. </w:t>
      </w:r>
      <w:r>
        <w:rPr>
          <w:i/>
        </w:rPr>
        <w:t>Nový občanský zákoník s aktualizovanou důvodovou zprávou a rejstříkem.</w:t>
      </w:r>
      <w:r>
        <w:t xml:space="preserve"> Ostrava: Sagit, 2012, s. 673.</w:t>
      </w:r>
    </w:p>
  </w:footnote>
  <w:footnote w:id="77">
    <w:p w:rsidR="00906350" w:rsidRDefault="00906350" w:rsidP="00C96965">
      <w:pPr>
        <w:pStyle w:val="Textpoznpodarou"/>
        <w:jc w:val="both"/>
      </w:pPr>
      <w:r>
        <w:rPr>
          <w:rStyle w:val="Znakapoznpodarou"/>
        </w:rPr>
        <w:footnoteRef/>
      </w:r>
      <w:r>
        <w:t xml:space="preserve"> ŠEŠINA, Martin, WAWERKA, Karel. In ŠVESTKA, Jiří a kol. </w:t>
      </w:r>
      <w:r>
        <w:rPr>
          <w:i/>
        </w:rPr>
        <w:t>Občanský zákoník: Komentář Svazek IV.</w:t>
      </w:r>
      <w:r>
        <w:t xml:space="preserve"> Praha: Wolters Kluwer,a.s., 2014, s. 363 (§ 1646).</w:t>
      </w:r>
    </w:p>
  </w:footnote>
  <w:footnote w:id="78">
    <w:p w:rsidR="00906350" w:rsidRPr="00267BB8" w:rsidRDefault="00906350" w:rsidP="00C96965">
      <w:pPr>
        <w:pStyle w:val="Textpoznpodarou"/>
        <w:jc w:val="both"/>
      </w:pPr>
      <w:r>
        <w:rPr>
          <w:rStyle w:val="Znakapoznpodarou"/>
        </w:rPr>
        <w:footnoteRef/>
      </w:r>
      <w:r>
        <w:t xml:space="preserve"> Např. BEDNÁŘ, Václav. </w:t>
      </w:r>
      <w:r>
        <w:rPr>
          <w:i/>
        </w:rPr>
        <w:t>Testamentární dědická posloupnost.</w:t>
      </w:r>
      <w:r>
        <w:t xml:space="preserve"> Plzeň: Aleš Čeněk, 2011, s 98-99.</w:t>
      </w:r>
    </w:p>
  </w:footnote>
  <w:footnote w:id="79">
    <w:p w:rsidR="00906350" w:rsidRDefault="00906350" w:rsidP="00C96965">
      <w:pPr>
        <w:pStyle w:val="Textpoznpodarou"/>
        <w:jc w:val="both"/>
      </w:pPr>
      <w:r>
        <w:rPr>
          <w:rStyle w:val="Znakapoznpodarou"/>
        </w:rPr>
        <w:footnoteRef/>
      </w:r>
      <w:r>
        <w:t xml:space="preserve"> Ustanovení § 478 OZ bylo vykládáno ve smyslu neúčinnosti nikoli pouze podmínek, ale vedlejších doložek (příkaz či doložení času) obecně.</w:t>
      </w:r>
    </w:p>
  </w:footnote>
  <w:footnote w:id="80">
    <w:p w:rsidR="00906350" w:rsidRDefault="00906350" w:rsidP="00C96965">
      <w:pPr>
        <w:pStyle w:val="Textpoznpodarou"/>
        <w:jc w:val="both"/>
      </w:pPr>
      <w:r>
        <w:rPr>
          <w:rStyle w:val="Znakapoznpodarou"/>
        </w:rPr>
        <w:footnoteRef/>
      </w:r>
      <w:r>
        <w:t xml:space="preserve"> Kromě kolace také např. zatížení nemovitosti věcným břemenem, příkaz k vyplacení finanční částky dědici či stanovení náhradního dědice.</w:t>
      </w:r>
    </w:p>
  </w:footnote>
  <w:footnote w:id="81">
    <w:p w:rsidR="00906350" w:rsidRDefault="00906350" w:rsidP="00C96965">
      <w:pPr>
        <w:pStyle w:val="Textpoznpodarou"/>
        <w:jc w:val="both"/>
      </w:pPr>
      <w:r>
        <w:rPr>
          <w:rStyle w:val="Znakapoznpodarou"/>
        </w:rPr>
        <w:footnoteRef/>
      </w:r>
      <w:r>
        <w:t xml:space="preserve"> Platí i pro registrované partnerství.</w:t>
      </w:r>
    </w:p>
  </w:footnote>
  <w:footnote w:id="82">
    <w:p w:rsidR="00906350" w:rsidRDefault="00906350" w:rsidP="00C96965">
      <w:pPr>
        <w:pStyle w:val="Textpoznpodarou"/>
        <w:jc w:val="both"/>
      </w:pPr>
      <w:r>
        <w:rPr>
          <w:rStyle w:val="Znakapoznpodarou"/>
        </w:rPr>
        <w:footnoteRef/>
      </w:r>
      <w:r>
        <w:t xml:space="preserve"> ELIÁŠ, Karel. </w:t>
      </w:r>
      <w:r>
        <w:rPr>
          <w:i/>
        </w:rPr>
        <w:t>Nový občanský zákoník s aktualizovanou důvodovou zprávou a rejstříkem.</w:t>
      </w:r>
      <w:r>
        <w:t xml:space="preserve"> Ostrava: Sagit, 2012, s. 640.</w:t>
      </w:r>
    </w:p>
  </w:footnote>
  <w:footnote w:id="83">
    <w:p w:rsidR="00906350" w:rsidRDefault="00906350" w:rsidP="00C96965">
      <w:pPr>
        <w:pStyle w:val="Textpoznpodarou"/>
        <w:jc w:val="both"/>
      </w:pPr>
      <w:r>
        <w:rPr>
          <w:rStyle w:val="Znakapoznpodarou"/>
        </w:rPr>
        <w:footnoteRef/>
      </w:r>
      <w:r>
        <w:t xml:space="preserve"> ŠEŠINA, Martin, WAWERKA, Karel. In ŠVESTKA, Jiří a kol. </w:t>
      </w:r>
      <w:r>
        <w:rPr>
          <w:i/>
        </w:rPr>
        <w:t>Občanský zákoník: Komentář Svazek IV.</w:t>
      </w:r>
      <w:r>
        <w:t xml:space="preserve"> Praha: Wolters Kluwer,a.s., 2014, s. 173 (§ 1561).</w:t>
      </w:r>
    </w:p>
  </w:footnote>
  <w:footnote w:id="84">
    <w:p w:rsidR="00906350" w:rsidRDefault="00906350" w:rsidP="00C96965">
      <w:pPr>
        <w:pStyle w:val="Textpoznpodarou"/>
        <w:jc w:val="both"/>
      </w:pPr>
      <w:r>
        <w:rPr>
          <w:rStyle w:val="Znakapoznpodarou"/>
        </w:rPr>
        <w:footnoteRef/>
      </w:r>
      <w:r>
        <w:t xml:space="preserve"> § 900 OZO stanovil, že právo doložené odkládací výminkou přechází jakožto čekatelství na dědice.</w:t>
      </w:r>
    </w:p>
  </w:footnote>
  <w:footnote w:id="85">
    <w:p w:rsidR="00906350" w:rsidRDefault="00906350" w:rsidP="00C96965">
      <w:pPr>
        <w:pStyle w:val="Textpoznpodarou"/>
        <w:jc w:val="both"/>
      </w:pPr>
      <w:r>
        <w:rPr>
          <w:rStyle w:val="Znakapoznpodarou"/>
        </w:rPr>
        <w:footnoteRef/>
      </w:r>
      <w:r>
        <w:t xml:space="preserve"> ŠEŠINA, Martin, WAWERKA, Karel. In ŠVESTKA, Jiří a kol. </w:t>
      </w:r>
      <w:r>
        <w:rPr>
          <w:i/>
        </w:rPr>
        <w:t>Občanský zákoník: Komentář Svazek IV.</w:t>
      </w:r>
      <w:r>
        <w:t xml:space="preserve"> Praha: Wolters Kluwer,a.s., 2014, s. 175 (§ 1562).</w:t>
      </w:r>
    </w:p>
  </w:footnote>
  <w:footnote w:id="86">
    <w:p w:rsidR="00906350" w:rsidRDefault="00906350" w:rsidP="00C96965">
      <w:pPr>
        <w:pStyle w:val="Textpoznpodarou"/>
        <w:jc w:val="both"/>
      </w:pPr>
      <w:r>
        <w:rPr>
          <w:rStyle w:val="Znakapoznpodarou"/>
        </w:rPr>
        <w:footnoteRef/>
      </w:r>
      <w:r>
        <w:t xml:space="preserve"> ELIÁŠ, Karel. </w:t>
      </w:r>
      <w:r>
        <w:rPr>
          <w:i/>
        </w:rPr>
        <w:t>Nový občanský zákoník s aktualizovanou důvodovou zprávou a rejstříkem.</w:t>
      </w:r>
      <w:r>
        <w:t xml:space="preserve"> Ostrava: Sagit, 2012, s. 643.</w:t>
      </w:r>
    </w:p>
  </w:footnote>
  <w:footnote w:id="87">
    <w:p w:rsidR="00906350" w:rsidRDefault="00906350" w:rsidP="00C96965">
      <w:pPr>
        <w:pStyle w:val="Textpoznpodarou"/>
        <w:jc w:val="both"/>
      </w:pPr>
      <w:r>
        <w:rPr>
          <w:rStyle w:val="Znakapoznpodarou"/>
        </w:rPr>
        <w:footnoteRef/>
      </w:r>
      <w:r>
        <w:t xml:space="preserve"> ROUČEK, František, SEDLÁČEK, Jaromír. </w:t>
      </w:r>
      <w:r>
        <w:rPr>
          <w:i/>
        </w:rPr>
        <w:t>Komentář k československému obecnému zákoníku občanskému a občanské právo platné na Slovensku a v Podkarpatské Rusi. III. díl.</w:t>
      </w:r>
      <w:r>
        <w:t xml:space="preserve"> 1. vydání. Praha: V. Linhart, 1936, s. 285 (§ 698).</w:t>
      </w:r>
    </w:p>
  </w:footnote>
  <w:footnote w:id="88">
    <w:p w:rsidR="00906350" w:rsidRDefault="00906350" w:rsidP="00C96965">
      <w:pPr>
        <w:pStyle w:val="Textpoznpodarou"/>
        <w:jc w:val="both"/>
      </w:pPr>
      <w:r>
        <w:rPr>
          <w:rStyle w:val="Znakapoznpodarou"/>
        </w:rPr>
        <w:footnoteRef/>
      </w:r>
      <w:r>
        <w:t xml:space="preserve"> Rozhodnutí Nejvyššího soudu ze dne 26. 5. 1937, sp. zn.: Rv I 1353/35.</w:t>
      </w:r>
    </w:p>
  </w:footnote>
  <w:footnote w:id="89">
    <w:p w:rsidR="00906350" w:rsidRDefault="00906350" w:rsidP="00C96965">
      <w:pPr>
        <w:pStyle w:val="Textpoznpodarou"/>
        <w:jc w:val="both"/>
      </w:pPr>
      <w:r>
        <w:rPr>
          <w:rStyle w:val="Znakapoznpodarou"/>
        </w:rPr>
        <w:footnoteRef/>
      </w:r>
      <w:r>
        <w:t xml:space="preserve"> ELIÁŠ, Karel. </w:t>
      </w:r>
      <w:r>
        <w:rPr>
          <w:i/>
        </w:rPr>
        <w:t>Nový občanský zákoník s aktualizovanou důvodovou zprávou a rejstříkem.</w:t>
      </w:r>
      <w:r>
        <w:t xml:space="preserve"> Ostrava: Sagit, 2012, s. 643.</w:t>
      </w:r>
    </w:p>
  </w:footnote>
  <w:footnote w:id="90">
    <w:p w:rsidR="00906350" w:rsidRPr="00704C79" w:rsidRDefault="00906350" w:rsidP="00C96965">
      <w:pPr>
        <w:pStyle w:val="Textpoznpodarou"/>
        <w:jc w:val="both"/>
      </w:pPr>
      <w:r>
        <w:rPr>
          <w:rStyle w:val="Znakapoznpodarou"/>
        </w:rPr>
        <w:footnoteRef/>
      </w:r>
      <w:r>
        <w:t xml:space="preserve"> DOBROVOLNÁ, Eva. In LAVICKÝ, Petr a kol. </w:t>
      </w:r>
      <w:r>
        <w:rPr>
          <w:i/>
        </w:rPr>
        <w:t>Občanský zákoník I. Obecná část (§ 1–654). Komentář.</w:t>
      </w:r>
      <w:r>
        <w:t xml:space="preserve"> 1. vydání, Praha: C. H. Beck, 2014, s. 1965.</w:t>
      </w:r>
    </w:p>
  </w:footnote>
  <w:footnote w:id="91">
    <w:p w:rsidR="00906350" w:rsidRDefault="00906350" w:rsidP="00C96965">
      <w:pPr>
        <w:pStyle w:val="Textpoznpodarou"/>
        <w:jc w:val="both"/>
      </w:pPr>
      <w:r>
        <w:rPr>
          <w:rStyle w:val="Znakapoznpodarou"/>
        </w:rPr>
        <w:footnoteRef/>
      </w:r>
      <w:r>
        <w:t xml:space="preserve"> ŠEŠINA, Martin, WAWERKA, Karel. In ŠVESTKA, Jiří a kol. </w:t>
      </w:r>
      <w:r>
        <w:rPr>
          <w:i/>
        </w:rPr>
        <w:t>Občanský zákoník: Komentář Svazek IV.</w:t>
      </w:r>
      <w:r>
        <w:t xml:space="preserve"> Praha: Wolters Kluwer,a.s., 2014, s. 180 (§ 1565).</w:t>
      </w:r>
    </w:p>
  </w:footnote>
  <w:footnote w:id="92">
    <w:p w:rsidR="00906350" w:rsidRDefault="00906350" w:rsidP="00C96965">
      <w:pPr>
        <w:pStyle w:val="Textpoznpodarou"/>
        <w:jc w:val="both"/>
      </w:pPr>
      <w:r>
        <w:rPr>
          <w:rStyle w:val="Znakapoznpodarou"/>
        </w:rPr>
        <w:footnoteRef/>
      </w:r>
      <w:r>
        <w:t xml:space="preserve"> O d</w:t>
      </w:r>
      <w:r w:rsidR="00EE1148">
        <w:t xml:space="preserve">ědici </w:t>
      </w:r>
      <w:r>
        <w:t>následném</w:t>
      </w:r>
      <w:r w:rsidR="00EE1148">
        <w:t xml:space="preserve"> a předním</w:t>
      </w:r>
      <w:r>
        <w:t xml:space="preserve"> pojednává kapitola svěřenské nástupnictví.</w:t>
      </w:r>
    </w:p>
  </w:footnote>
  <w:footnote w:id="93">
    <w:p w:rsidR="00906350" w:rsidRPr="008B2933" w:rsidRDefault="00906350" w:rsidP="00C96965">
      <w:pPr>
        <w:pStyle w:val="Textpoznpodarou"/>
        <w:jc w:val="both"/>
      </w:pPr>
      <w:r>
        <w:rPr>
          <w:rStyle w:val="Znakapoznpodarou"/>
        </w:rPr>
        <w:footnoteRef/>
      </w:r>
      <w:r>
        <w:t xml:space="preserve"> SVOBODA, Jiří, KLIČKA, Ondřej. </w:t>
      </w:r>
      <w:r>
        <w:rPr>
          <w:i/>
        </w:rPr>
        <w:t>Dědické právo v praxi.</w:t>
      </w:r>
      <w:r>
        <w:t xml:space="preserve"> 1. vydání. Praha: C. H. Beck, 2014, s. 78.</w:t>
      </w:r>
    </w:p>
  </w:footnote>
  <w:footnote w:id="94">
    <w:p w:rsidR="00906350" w:rsidRDefault="00906350" w:rsidP="00C96965">
      <w:pPr>
        <w:pStyle w:val="Textpoznpodarou"/>
        <w:jc w:val="both"/>
      </w:pPr>
      <w:r>
        <w:rPr>
          <w:rStyle w:val="Znakapoznpodarou"/>
        </w:rPr>
        <w:footnoteRef/>
      </w:r>
      <w:r>
        <w:t xml:space="preserve"> Tamtéž s. 79.</w:t>
      </w:r>
    </w:p>
  </w:footnote>
  <w:footnote w:id="95">
    <w:p w:rsidR="00906350" w:rsidRDefault="00906350" w:rsidP="00012597">
      <w:pPr>
        <w:pStyle w:val="Textpoznpodarou"/>
        <w:jc w:val="both"/>
      </w:pPr>
      <w:r>
        <w:rPr>
          <w:rStyle w:val="Znakapoznpodarou"/>
        </w:rPr>
        <w:footnoteRef/>
      </w:r>
      <w:r>
        <w:t xml:space="preserve"> ŠEŠINA, Martin, WAWERKA, Karel. In ŠVESTKA, Jiří a kol. </w:t>
      </w:r>
      <w:r>
        <w:rPr>
          <w:i/>
        </w:rPr>
        <w:t>Občanský zákoník: Komentář Svazek IV.</w:t>
      </w:r>
      <w:r>
        <w:t xml:space="preserve"> Praha: Wolters Kluwer,a.s., 2014, s. 188 (§ 1570).</w:t>
      </w:r>
    </w:p>
  </w:footnote>
  <w:footnote w:id="96">
    <w:p w:rsidR="00906350" w:rsidRDefault="00906350" w:rsidP="00012597">
      <w:pPr>
        <w:pStyle w:val="Textpoznpodarou"/>
        <w:jc w:val="both"/>
      </w:pPr>
      <w:r>
        <w:rPr>
          <w:rStyle w:val="Znakapoznpodarou"/>
        </w:rPr>
        <w:footnoteRef/>
      </w:r>
      <w:r>
        <w:t xml:space="preserve"> SVOBODA, Jiří, KLIČKA, Ondřej. </w:t>
      </w:r>
      <w:r>
        <w:rPr>
          <w:i/>
        </w:rPr>
        <w:t>Dědické právo v praxi.</w:t>
      </w:r>
      <w:r>
        <w:t xml:space="preserve"> 1. vydání. Praha: C. H. Beck, 2014, s. 80.</w:t>
      </w:r>
    </w:p>
  </w:footnote>
  <w:footnote w:id="97">
    <w:p w:rsidR="00906350" w:rsidRDefault="00906350" w:rsidP="00012597">
      <w:pPr>
        <w:pStyle w:val="Textpoznpodarou"/>
        <w:jc w:val="both"/>
      </w:pPr>
      <w:r>
        <w:rPr>
          <w:rStyle w:val="Znakapoznpodarou"/>
        </w:rPr>
        <w:footnoteRef/>
      </w:r>
      <w:r>
        <w:t xml:space="preserve"> ŠEŠINA, Martin, WAWERKA, Karel. In ŠVESTKA, Jiří a kol. </w:t>
      </w:r>
      <w:r>
        <w:rPr>
          <w:i/>
        </w:rPr>
        <w:t>Občanský zákoník: Komentář Svazek IV.</w:t>
      </w:r>
      <w:r>
        <w:t xml:space="preserve"> Praha: Wolters Kluwer,a.s., 2014, s. 186 (§ 1569).</w:t>
      </w:r>
    </w:p>
  </w:footnote>
  <w:footnote w:id="98">
    <w:p w:rsidR="00906350" w:rsidRPr="006474A0" w:rsidRDefault="00906350" w:rsidP="00012597">
      <w:pPr>
        <w:pStyle w:val="Textpoznpodarou"/>
        <w:jc w:val="both"/>
        <w:rPr>
          <w:i/>
        </w:rPr>
      </w:pPr>
      <w:r>
        <w:rPr>
          <w:rStyle w:val="Znakapoznpodarou"/>
        </w:rPr>
        <w:footnoteRef/>
      </w:r>
      <w:r>
        <w:t xml:space="preserve"> BEDNÁŘ, Václav. </w:t>
      </w:r>
      <w:r>
        <w:rPr>
          <w:i/>
        </w:rPr>
        <w:t>Testamentární dědická posloupnost.</w:t>
      </w:r>
      <w:r>
        <w:t xml:space="preserve"> Plzeň: Aleš Čeněk, 2011, s. 86-87.</w:t>
      </w:r>
    </w:p>
  </w:footnote>
  <w:footnote w:id="99">
    <w:p w:rsidR="00906350" w:rsidRDefault="00906350" w:rsidP="00012597">
      <w:pPr>
        <w:pStyle w:val="Textpoznpodarou"/>
        <w:jc w:val="both"/>
      </w:pPr>
      <w:r>
        <w:rPr>
          <w:rStyle w:val="Znakapoznpodarou"/>
        </w:rPr>
        <w:footnoteRef/>
      </w:r>
      <w:r>
        <w:t xml:space="preserve"> SVOBODA, Jiří, KLIČKA, Ondřej. </w:t>
      </w:r>
      <w:r>
        <w:rPr>
          <w:i/>
        </w:rPr>
        <w:t>Dědické právo v praxi.</w:t>
      </w:r>
      <w:r>
        <w:t xml:space="preserve"> 1. vydání. Praha: C. H. Beck, 2014, s. 161.</w:t>
      </w:r>
    </w:p>
  </w:footnote>
  <w:footnote w:id="100">
    <w:p w:rsidR="00906350" w:rsidRDefault="00906350" w:rsidP="00012597">
      <w:pPr>
        <w:pStyle w:val="Textpoznpodarou"/>
        <w:jc w:val="both"/>
      </w:pPr>
      <w:r>
        <w:rPr>
          <w:rStyle w:val="Znakapoznpodarou"/>
        </w:rPr>
        <w:footnoteRef/>
      </w:r>
      <w:r>
        <w:t xml:space="preserve"> Platí i pro jiné zůstavitelovy potomky pokud jim bylo zřízeno náhradnictví.</w:t>
      </w:r>
    </w:p>
  </w:footnote>
  <w:footnote w:id="101">
    <w:p w:rsidR="00906350" w:rsidRDefault="00906350" w:rsidP="00012597">
      <w:pPr>
        <w:pStyle w:val="Textpoznpodarou"/>
        <w:jc w:val="both"/>
      </w:pPr>
      <w:r>
        <w:rPr>
          <w:rStyle w:val="Znakapoznpodarou"/>
        </w:rPr>
        <w:footnoteRef/>
      </w:r>
      <w:r>
        <w:t xml:space="preserve"> ŠEŠINA, Martin, WAWERKA, Karel. In ŠVESTKA, Jiří a kol. </w:t>
      </w:r>
      <w:r>
        <w:rPr>
          <w:i/>
        </w:rPr>
        <w:t>Občanský zákoník: Komentář Svazek IV.</w:t>
      </w:r>
      <w:r>
        <w:t xml:space="preserve"> Praha: Wolters Kluwer,a.s., 2014, s. 98 (§ 1512).</w:t>
      </w:r>
    </w:p>
  </w:footnote>
  <w:footnote w:id="102">
    <w:p w:rsidR="00906350" w:rsidRPr="0041246E" w:rsidRDefault="00906350" w:rsidP="00012597">
      <w:pPr>
        <w:pStyle w:val="Textpoznpodarou"/>
        <w:jc w:val="both"/>
      </w:pPr>
      <w:r>
        <w:rPr>
          <w:rStyle w:val="Znakapoznpodarou"/>
        </w:rPr>
        <w:footnoteRef/>
      </w:r>
      <w:r>
        <w:t xml:space="preserve"> KNAPP, Viktor. Poznámky o fideikomisární substituci. </w:t>
      </w:r>
      <w:r>
        <w:rPr>
          <w:i/>
        </w:rPr>
        <w:t>Ad Notam</w:t>
      </w:r>
      <w:r>
        <w:t>, 1995, č. 5, s. 110.</w:t>
      </w:r>
    </w:p>
  </w:footnote>
  <w:footnote w:id="103">
    <w:p w:rsidR="00906350" w:rsidRDefault="00906350" w:rsidP="00012597">
      <w:pPr>
        <w:pStyle w:val="Textpoznpodarou"/>
        <w:jc w:val="both"/>
      </w:pPr>
      <w:r>
        <w:rPr>
          <w:rStyle w:val="Znakapoznpodarou"/>
        </w:rPr>
        <w:footnoteRef/>
      </w:r>
      <w:r>
        <w:t xml:space="preserve"> Rozhodnutí Nejvyššího soudu ze dne 18. 11. 1932, sp. zn.: Rv I 1461/31.</w:t>
      </w:r>
    </w:p>
  </w:footnote>
  <w:footnote w:id="104">
    <w:p w:rsidR="00906350" w:rsidRDefault="00906350" w:rsidP="00012597">
      <w:pPr>
        <w:pStyle w:val="Textpoznpodarou"/>
        <w:jc w:val="both"/>
      </w:pPr>
      <w:r>
        <w:rPr>
          <w:rStyle w:val="Znakapoznpodarou"/>
        </w:rPr>
        <w:footnoteRef/>
      </w:r>
      <w:r>
        <w:t xml:space="preserve"> SVOBODA, Jiří, KLIČKA, Ondřej. </w:t>
      </w:r>
      <w:r>
        <w:rPr>
          <w:i/>
        </w:rPr>
        <w:t>Dědické právo v praxi.</w:t>
      </w:r>
      <w:r>
        <w:t xml:space="preserve"> 1. vydání. Praha: C. H. Beck, 2014, s. 163.</w:t>
      </w:r>
    </w:p>
  </w:footnote>
  <w:footnote w:id="105">
    <w:p w:rsidR="00906350" w:rsidRDefault="00906350" w:rsidP="00012597">
      <w:pPr>
        <w:pStyle w:val="Textpoznpodarou"/>
        <w:jc w:val="both"/>
      </w:pPr>
      <w:r>
        <w:rPr>
          <w:rStyle w:val="Znakapoznpodarou"/>
        </w:rPr>
        <w:footnoteRef/>
      </w:r>
      <w:r>
        <w:t xml:space="preserve"> ŠEŠINA, Martin, WAWERKA, Karel. In ŠVESTKA, Jiří a kol. </w:t>
      </w:r>
      <w:r>
        <w:rPr>
          <w:i/>
        </w:rPr>
        <w:t>Občanský zákoník: Komentář Svazek IV.</w:t>
      </w:r>
      <w:r>
        <w:t xml:space="preserve"> Praha: Wolters Kluwer,a.s., 2014, s. 100 (§ 1512).</w:t>
      </w:r>
    </w:p>
  </w:footnote>
  <w:footnote w:id="106">
    <w:p w:rsidR="00906350" w:rsidRDefault="00906350" w:rsidP="00012597">
      <w:pPr>
        <w:pStyle w:val="Textpoznpodarou"/>
        <w:jc w:val="both"/>
      </w:pPr>
      <w:r>
        <w:rPr>
          <w:rStyle w:val="Znakapoznpodarou"/>
        </w:rPr>
        <w:footnoteRef/>
      </w:r>
      <w:r>
        <w:t xml:space="preserve"> ROUČEK, František, SEDLÁČEK, Jaromír. </w:t>
      </w:r>
      <w:r>
        <w:rPr>
          <w:i/>
        </w:rPr>
        <w:t>Komentář k československému obecnému zákoníku občanskému a občanské právo platné na Slovensku a v Podkarpatské Rusi. III. díl.</w:t>
      </w:r>
      <w:r>
        <w:t xml:space="preserve"> 1. vydání. Praha: V. Linhart, 1936, s. 192 (§ 614).</w:t>
      </w:r>
    </w:p>
  </w:footnote>
  <w:footnote w:id="107">
    <w:p w:rsidR="0050203B" w:rsidRDefault="0050203B">
      <w:pPr>
        <w:pStyle w:val="Textpoznpodarou"/>
      </w:pPr>
      <w:r>
        <w:rPr>
          <w:rStyle w:val="Znakapoznpodarou"/>
        </w:rPr>
        <w:footnoteRef/>
      </w:r>
      <w:r>
        <w:t xml:space="preserve"> Německá úprava umožňuje pořídit ústně i bez úlev, a to před notářem do protokolu.</w:t>
      </w:r>
    </w:p>
  </w:footnote>
  <w:footnote w:id="108">
    <w:p w:rsidR="00906350" w:rsidRDefault="00906350" w:rsidP="00012597">
      <w:pPr>
        <w:pStyle w:val="Textpoznpodarou"/>
        <w:jc w:val="both"/>
      </w:pPr>
      <w:r>
        <w:rPr>
          <w:rStyle w:val="Znakapoznpodarou"/>
        </w:rPr>
        <w:footnoteRef/>
      </w:r>
      <w:r>
        <w:t xml:space="preserve"> Za veřejnou listinu se považují i závěti pořízené s úlevami dle ustanovení §1543-1545. Za soukromou listinu se naopak považuje závěť pořízená dle § 1542, nebo pokud závěť pořízená s úlevami postrádá formalit, jak uvádí § 1547/2.</w:t>
      </w:r>
    </w:p>
  </w:footnote>
  <w:footnote w:id="109">
    <w:p w:rsidR="00906350" w:rsidRPr="00271626" w:rsidRDefault="00906350" w:rsidP="00012597">
      <w:pPr>
        <w:pStyle w:val="Textpoznpodarou"/>
        <w:jc w:val="both"/>
      </w:pPr>
      <w:r>
        <w:rPr>
          <w:rStyle w:val="Znakapoznpodarou"/>
        </w:rPr>
        <w:footnoteRef/>
      </w:r>
      <w:r>
        <w:t xml:space="preserve"> KINCL, Jaromír a kol. </w:t>
      </w:r>
      <w:r>
        <w:rPr>
          <w:i/>
        </w:rPr>
        <w:t xml:space="preserve">Římské právo. </w:t>
      </w:r>
      <w:r>
        <w:t>2. vydání. Praha: C. H. Beck, 1997, s. 278.</w:t>
      </w:r>
    </w:p>
  </w:footnote>
  <w:footnote w:id="110">
    <w:p w:rsidR="00906350" w:rsidRDefault="00906350" w:rsidP="009D31DF">
      <w:pPr>
        <w:pStyle w:val="Textpoznpodarou"/>
        <w:jc w:val="both"/>
      </w:pPr>
      <w:r>
        <w:rPr>
          <w:rStyle w:val="Znakapoznpodarou"/>
        </w:rPr>
        <w:footnoteRef/>
      </w:r>
      <w:r>
        <w:t xml:space="preserve"> ROUČEK, František, SEDLÁČEK, Jaromír. </w:t>
      </w:r>
      <w:r>
        <w:rPr>
          <w:i/>
        </w:rPr>
        <w:t>Komentář k československému obecnému zákoníku občanskému a občanské právo platné na Slovensku a v Podkarpatské Rusi. III. díl.</w:t>
      </w:r>
      <w:r>
        <w:t xml:space="preserve"> 1. vydání. Praha: V. Linhart, 1936, s. 113 (§ 578).</w:t>
      </w:r>
    </w:p>
  </w:footnote>
  <w:footnote w:id="111">
    <w:p w:rsidR="00906350" w:rsidRDefault="00906350" w:rsidP="009D31DF">
      <w:pPr>
        <w:pStyle w:val="Textpoznpodarou"/>
        <w:jc w:val="both"/>
      </w:pPr>
      <w:r>
        <w:rPr>
          <w:rStyle w:val="Znakapoznpodarou"/>
        </w:rPr>
        <w:footnoteRef/>
      </w:r>
      <w:r>
        <w:t xml:space="preserve"> MIKEŠ, Jiří, MUZIKÁŘ, Ladislav. </w:t>
      </w:r>
      <w:r>
        <w:rPr>
          <w:i/>
        </w:rPr>
        <w:t>Dědické právo v teorii a praxi.</w:t>
      </w:r>
      <w:r>
        <w:t xml:space="preserve"> 1. vydání. Praha: Leges, 2011, s. 102.</w:t>
      </w:r>
    </w:p>
  </w:footnote>
  <w:footnote w:id="112">
    <w:p w:rsidR="00906350" w:rsidRDefault="00906350" w:rsidP="009D31DF">
      <w:pPr>
        <w:pStyle w:val="Textpoznpodarou"/>
        <w:jc w:val="both"/>
      </w:pPr>
      <w:r>
        <w:rPr>
          <w:rStyle w:val="Znakapoznpodarou"/>
        </w:rPr>
        <w:footnoteRef/>
      </w:r>
      <w:r>
        <w:t xml:space="preserve"> Rozhodnutí Nejvyššího soudu ze dne 6. 4. 1944, sp. zn. Rv II 377/43.</w:t>
      </w:r>
    </w:p>
  </w:footnote>
  <w:footnote w:id="113">
    <w:p w:rsidR="00906350" w:rsidRDefault="00906350" w:rsidP="009D31DF">
      <w:pPr>
        <w:pStyle w:val="Textpoznpodarou"/>
        <w:jc w:val="both"/>
      </w:pPr>
      <w:r>
        <w:rPr>
          <w:rStyle w:val="Znakapoznpodarou"/>
        </w:rPr>
        <w:footnoteRef/>
      </w:r>
      <w:r>
        <w:t xml:space="preserve"> Gl. U. 274.</w:t>
      </w:r>
      <w:r w:rsidR="00B9070E">
        <w:t xml:space="preserve"> In ROUČEK, František, SEDLÁČEK, Jaromír. </w:t>
      </w:r>
      <w:r w:rsidR="00B9070E">
        <w:rPr>
          <w:i/>
        </w:rPr>
        <w:t>Komentář k československému obecnému zákoníku občanskému a občanské právo platné na Slovensku a v Podkarpatské Rusi. III. díl.</w:t>
      </w:r>
      <w:r w:rsidR="00B9070E">
        <w:t xml:space="preserve"> 1. vydání. Praha: V. Linhart, 1936, s. 113 (§ 578).</w:t>
      </w:r>
    </w:p>
  </w:footnote>
  <w:footnote w:id="114">
    <w:p w:rsidR="00906350" w:rsidRDefault="00906350" w:rsidP="009D31DF">
      <w:pPr>
        <w:pStyle w:val="Textpoznpodarou"/>
        <w:jc w:val="both"/>
      </w:pPr>
      <w:r>
        <w:rPr>
          <w:rStyle w:val="Znakapoznpodarou"/>
        </w:rPr>
        <w:footnoteRef/>
      </w:r>
      <w:r>
        <w:t xml:space="preserve"> ROUČEK, František, SEDLÁČEK, Jaromír. </w:t>
      </w:r>
      <w:r>
        <w:rPr>
          <w:i/>
        </w:rPr>
        <w:t>Komentář k československému obecnému zákoníku občanskému a občanské právo platné na Slovensku a v Podkarpatské Rusi. III. díl.</w:t>
      </w:r>
      <w:r>
        <w:t xml:space="preserve"> 1. vydání. Praha: V. Linhart, 1936, s. 113 (§ 578).</w:t>
      </w:r>
    </w:p>
  </w:footnote>
  <w:footnote w:id="115">
    <w:p w:rsidR="00906350" w:rsidRDefault="00906350" w:rsidP="009D31DF">
      <w:pPr>
        <w:pStyle w:val="Textpoznpodarou"/>
        <w:jc w:val="both"/>
      </w:pPr>
      <w:r>
        <w:rPr>
          <w:rStyle w:val="Znakapoznpodarou"/>
        </w:rPr>
        <w:footnoteRef/>
      </w:r>
      <w:r>
        <w:t xml:space="preserve"> VALEŠKA, Jiří. Problematika pomoci jiné osoby při psaní závěti. </w:t>
      </w:r>
      <w:r>
        <w:rPr>
          <w:i/>
        </w:rPr>
        <w:t>Bulletin advokacie.</w:t>
      </w:r>
      <w:r>
        <w:t xml:space="preserve"> roč. 1997, č. 4, </w:t>
      </w:r>
    </w:p>
    <w:p w:rsidR="00906350" w:rsidRPr="006F6E42" w:rsidRDefault="00906350" w:rsidP="009D31DF">
      <w:pPr>
        <w:pStyle w:val="Textpoznpodarou"/>
        <w:jc w:val="both"/>
      </w:pPr>
      <w:r>
        <w:t>s. 24-33.</w:t>
      </w:r>
    </w:p>
  </w:footnote>
  <w:footnote w:id="116">
    <w:p w:rsidR="00906350" w:rsidRDefault="00906350" w:rsidP="009D31DF">
      <w:pPr>
        <w:pStyle w:val="Textpoznpodarou"/>
        <w:jc w:val="both"/>
      </w:pPr>
      <w:r>
        <w:rPr>
          <w:rStyle w:val="Znakapoznpodarou"/>
        </w:rPr>
        <w:footnoteRef/>
      </w:r>
      <w:r>
        <w:t xml:space="preserve"> Rozhodnutí Nejvyššího soudu ze dne 3. 4. 2008 sp. zn.: 21 Cdo 1744/2007</w:t>
      </w:r>
    </w:p>
  </w:footnote>
  <w:footnote w:id="117">
    <w:p w:rsidR="00906350" w:rsidRDefault="00906350" w:rsidP="009D31DF">
      <w:pPr>
        <w:pStyle w:val="Textpoznpodarou"/>
        <w:jc w:val="both"/>
      </w:pPr>
      <w:r>
        <w:rPr>
          <w:rStyle w:val="Znakapoznpodarou"/>
        </w:rPr>
        <w:footnoteRef/>
      </w:r>
      <w:r>
        <w:t xml:space="preserve"> MUZIKÁŘ Ladislav. In ELIÁŠ, Karel a kol. </w:t>
      </w:r>
      <w:r>
        <w:rPr>
          <w:i/>
        </w:rPr>
        <w:t xml:space="preserve">Občanský zákoník: Velký akademický komentář, 1. svazek. </w:t>
      </w:r>
      <w:r>
        <w:t>Praha: Linde, 2008, s. 1245 (§ 476a).</w:t>
      </w:r>
    </w:p>
  </w:footnote>
  <w:footnote w:id="118">
    <w:p w:rsidR="00906350" w:rsidRDefault="00906350" w:rsidP="009D31DF">
      <w:pPr>
        <w:pStyle w:val="Textpoznpodarou"/>
        <w:jc w:val="both"/>
      </w:pPr>
      <w:r>
        <w:rPr>
          <w:rStyle w:val="Znakapoznpodarou"/>
        </w:rPr>
        <w:footnoteRef/>
      </w:r>
      <w:r>
        <w:t xml:space="preserve"> Rozhodnutí Nejvyššího soudu SR ze dne. 7. 4. 1948, sp. zn.: Rv 120/48 uveřejněné ve sbírce rozhodnutí a</w:t>
      </w:r>
      <w:r w:rsidR="00BF5BE8">
        <w:t> </w:t>
      </w:r>
      <w:r>
        <w:t xml:space="preserve">stanovisek NS č. 202,  ročník 1949 (R 202/49). Toto rozhodnutí potvrdilo, že i když svědek zůstavitelce poskytl při podpisu závěti pomoc držením ruky v lokti, jedná se o vlastnoruční podpis a nikoli pouze o znamení ruky, protože to byl výsledek vůle zůstavitelky a jejího vlastnoručního konání. </w:t>
      </w:r>
    </w:p>
  </w:footnote>
  <w:footnote w:id="119">
    <w:p w:rsidR="00906350" w:rsidRDefault="00906350" w:rsidP="007869B2">
      <w:pPr>
        <w:pStyle w:val="Textpoznpodarou"/>
        <w:jc w:val="both"/>
      </w:pPr>
      <w:r>
        <w:rPr>
          <w:rStyle w:val="Znakapoznpodarou"/>
        </w:rPr>
        <w:footnoteRef/>
      </w:r>
      <w:r>
        <w:t xml:space="preserve"> ROUČEK, František, SEDLÁČEK, Jaromír. </w:t>
      </w:r>
      <w:r>
        <w:rPr>
          <w:i/>
        </w:rPr>
        <w:t>Komentář k československému obecnému zákoníku občanskému a občanské právo platné na Slovensku a v Podkarpatské Rusi. III. díl.</w:t>
      </w:r>
      <w:r>
        <w:t xml:space="preserve"> 1. vydání. Praha: V. Linhart, 1936, s. 112 (§ 578).</w:t>
      </w:r>
    </w:p>
  </w:footnote>
  <w:footnote w:id="120">
    <w:p w:rsidR="00906350" w:rsidRDefault="00906350" w:rsidP="007869B2">
      <w:pPr>
        <w:pStyle w:val="Textpoznpodarou"/>
        <w:jc w:val="both"/>
      </w:pPr>
      <w:r>
        <w:rPr>
          <w:rStyle w:val="Znakapoznpodarou"/>
        </w:rPr>
        <w:footnoteRef/>
      </w:r>
      <w:r>
        <w:t xml:space="preserve"> Gl. U. 4162</w:t>
      </w:r>
      <w:r w:rsidR="00B9070E">
        <w:t xml:space="preserve">. In ROUČEK, František, SEDLÁČEK, Jaromír. </w:t>
      </w:r>
      <w:r w:rsidR="00B9070E">
        <w:rPr>
          <w:i/>
        </w:rPr>
        <w:t>Komentář k československému obecnému zákoníku občanskému a občanské právo platné na Slovensku a v Podkarpatské Rusi. III. díl.</w:t>
      </w:r>
      <w:r w:rsidR="00B9070E">
        <w:t xml:space="preserve"> 1. vydání. Praha: V. Linhart, 1936, s. 112, 113 (§ 578).</w:t>
      </w:r>
      <w:r>
        <w:t>, ročník 1871, svazek 9. Rozhodnutí se týká zůstavitelovy vůle a pomoci svědka zůstaviteli při podpisu allografní závěti.</w:t>
      </w:r>
    </w:p>
  </w:footnote>
  <w:footnote w:id="121">
    <w:p w:rsidR="00906350" w:rsidRPr="00D6269E" w:rsidRDefault="00906350" w:rsidP="007869B2">
      <w:pPr>
        <w:pStyle w:val="Textpoznpodarou"/>
        <w:jc w:val="both"/>
      </w:pPr>
      <w:r>
        <w:rPr>
          <w:rStyle w:val="Znakapoznpodarou"/>
        </w:rPr>
        <w:footnoteRef/>
      </w:r>
      <w:r>
        <w:t xml:space="preserve"> Prof. Jan Krčmář však tento názor nesdílel a nepovažoval za nutné, aby podpis uzavíral veškerý text, jak uvádí ve své knize </w:t>
      </w:r>
      <w:r>
        <w:rPr>
          <w:i/>
        </w:rPr>
        <w:t>Právo občanské V. Právo dědické</w:t>
      </w:r>
      <w:r>
        <w:t>, s. 23.</w:t>
      </w:r>
    </w:p>
  </w:footnote>
  <w:footnote w:id="122">
    <w:p w:rsidR="00906350" w:rsidRDefault="00906350" w:rsidP="007869B2">
      <w:pPr>
        <w:pStyle w:val="Textpoznpodarou"/>
        <w:jc w:val="both"/>
      </w:pPr>
      <w:r>
        <w:rPr>
          <w:rStyle w:val="Znakapoznpodarou"/>
        </w:rPr>
        <w:footnoteRef/>
      </w:r>
      <w:r>
        <w:t xml:space="preserve"> Přípustný je i případ, kdy jednotlivé listy nejsou spojeny, pokud na sebe logicky navazují a poslední z nich je opatřen podpisem.</w:t>
      </w:r>
    </w:p>
  </w:footnote>
  <w:footnote w:id="123">
    <w:p w:rsidR="00906350" w:rsidRDefault="00906350" w:rsidP="007869B2">
      <w:pPr>
        <w:pStyle w:val="Textpoznpodarou"/>
        <w:jc w:val="both"/>
      </w:pPr>
      <w:r>
        <w:rPr>
          <w:rStyle w:val="Znakapoznpodarou"/>
        </w:rPr>
        <w:footnoteRef/>
      </w:r>
      <w:r>
        <w:t xml:space="preserve"> MUZIKÁŘ Ladislav. In ELIÁŠ, Karel a kol. </w:t>
      </w:r>
      <w:r>
        <w:rPr>
          <w:i/>
        </w:rPr>
        <w:t xml:space="preserve">Občanský zákoník: Velký akademický komentář, 1. svazek. </w:t>
      </w:r>
      <w:r>
        <w:t>Praha: Linde, 2008, s. 1245 (§ 476a).</w:t>
      </w:r>
    </w:p>
  </w:footnote>
  <w:footnote w:id="124">
    <w:p w:rsidR="00906350" w:rsidRDefault="00906350" w:rsidP="007869B2">
      <w:pPr>
        <w:pStyle w:val="Textpoznpodarou"/>
        <w:jc w:val="both"/>
      </w:pPr>
      <w:r>
        <w:rPr>
          <w:rStyle w:val="Znakapoznpodarou"/>
        </w:rPr>
        <w:footnoteRef/>
      </w:r>
      <w:r>
        <w:t xml:space="preserve"> Rozhodnutí Nejvyššího soudu ze dne 1. 6. 1929, sp. zn.: Rv II 572/28 nebo rozhodnutí Nejvyššího soudu ze dne 27. 1. 1983, sp. zn.: 4 Cz 82/82.</w:t>
      </w:r>
    </w:p>
  </w:footnote>
  <w:footnote w:id="125">
    <w:p w:rsidR="00906350" w:rsidRDefault="00906350" w:rsidP="007869B2">
      <w:pPr>
        <w:pStyle w:val="Textpoznpodarou"/>
        <w:jc w:val="both"/>
      </w:pPr>
      <w:r>
        <w:rPr>
          <w:rStyle w:val="Znakapoznpodarou"/>
        </w:rPr>
        <w:footnoteRef/>
      </w:r>
      <w:r>
        <w:t xml:space="preserve"> Rozhodnutí Nejvyššího soudu ze dne 31. 3. 2009, sp. zn.: 21 Cdo 51/2008.</w:t>
      </w:r>
    </w:p>
  </w:footnote>
  <w:footnote w:id="126">
    <w:p w:rsidR="00906350" w:rsidRDefault="00906350" w:rsidP="007869B2">
      <w:pPr>
        <w:pStyle w:val="Textpoznpodarou"/>
        <w:jc w:val="both"/>
      </w:pPr>
      <w:r>
        <w:rPr>
          <w:rStyle w:val="Znakapoznpodarou"/>
        </w:rPr>
        <w:footnoteRef/>
      </w:r>
      <w:r>
        <w:t xml:space="preserve"> BEDNÁŘ, Václav. </w:t>
      </w:r>
      <w:r>
        <w:rPr>
          <w:i/>
        </w:rPr>
        <w:t>Testamentární dědická posloupnost.</w:t>
      </w:r>
      <w:r>
        <w:t xml:space="preserve"> Plzeň: Aleš Čeněk, 2011, s. 76-77.</w:t>
      </w:r>
    </w:p>
  </w:footnote>
  <w:footnote w:id="127">
    <w:p w:rsidR="00906350" w:rsidRPr="00C20061" w:rsidRDefault="00906350" w:rsidP="007869B2">
      <w:pPr>
        <w:pStyle w:val="Textpoznpodarou"/>
        <w:jc w:val="both"/>
      </w:pPr>
      <w:r>
        <w:rPr>
          <w:rStyle w:val="Znakapoznpodarou"/>
        </w:rPr>
        <w:footnoteRef/>
      </w:r>
      <w:r>
        <w:t xml:space="preserve"> KARHANOVÁ, Martina. Podpis, jeho forma a umístění, aneb podpis jako podstatná náležitost právních úkonů (zejména závěti) ve světle judikatury. </w:t>
      </w:r>
      <w:r>
        <w:rPr>
          <w:i/>
        </w:rPr>
        <w:t>Právní rozhledy</w:t>
      </w:r>
      <w:r>
        <w:t>, 2011, č. 20, s. 719.</w:t>
      </w:r>
    </w:p>
  </w:footnote>
  <w:footnote w:id="128">
    <w:p w:rsidR="00906350" w:rsidRPr="003E704E" w:rsidRDefault="00906350" w:rsidP="00E3179F">
      <w:pPr>
        <w:pStyle w:val="Textpoznpodarou"/>
        <w:jc w:val="both"/>
      </w:pPr>
      <w:r>
        <w:rPr>
          <w:rStyle w:val="Znakapoznpodarou"/>
        </w:rPr>
        <w:footnoteRef/>
      </w:r>
      <w:r>
        <w:t xml:space="preserve"> FEKETE, Imrich. Podpis na súkromných listinách. </w:t>
      </w:r>
      <w:r>
        <w:rPr>
          <w:i/>
        </w:rPr>
        <w:t>Justičná revue</w:t>
      </w:r>
      <w:r>
        <w:t>, 2008, č. 2, s. 201-215.</w:t>
      </w:r>
    </w:p>
  </w:footnote>
  <w:footnote w:id="129">
    <w:p w:rsidR="00906350" w:rsidRDefault="00906350" w:rsidP="00E3179F">
      <w:pPr>
        <w:pStyle w:val="Textpoznpodarou"/>
        <w:jc w:val="both"/>
      </w:pPr>
      <w:r>
        <w:rPr>
          <w:rStyle w:val="Znakapoznpodarou"/>
        </w:rPr>
        <w:footnoteRef/>
      </w:r>
      <w:r>
        <w:t xml:space="preserve"> Rozhodnutí Nejvyššího soudu ze dne 17. 11. 1998, sp. zn.: 21 Cdo 586/98.</w:t>
      </w:r>
    </w:p>
  </w:footnote>
  <w:footnote w:id="130">
    <w:p w:rsidR="00906350" w:rsidRDefault="00906350" w:rsidP="00E3179F">
      <w:pPr>
        <w:pStyle w:val="Textpoznpodarou"/>
        <w:jc w:val="both"/>
      </w:pPr>
      <w:r>
        <w:rPr>
          <w:rStyle w:val="Znakapoznpodarou"/>
        </w:rPr>
        <w:footnoteRef/>
      </w:r>
      <w:r>
        <w:t xml:space="preserve"> BEDNÁŘ, Václav. </w:t>
      </w:r>
      <w:r>
        <w:rPr>
          <w:i/>
        </w:rPr>
        <w:t>Testamentární dědická posloupnost.</w:t>
      </w:r>
      <w:r>
        <w:t xml:space="preserve"> Plzeň: Aleš Čeněk, 2011, s. 48, 77-78.</w:t>
      </w:r>
    </w:p>
  </w:footnote>
  <w:footnote w:id="131">
    <w:p w:rsidR="00906350" w:rsidRPr="00854DEA" w:rsidRDefault="00906350" w:rsidP="00E3179F">
      <w:pPr>
        <w:pStyle w:val="Textpoznpodarou"/>
        <w:jc w:val="both"/>
      </w:pPr>
      <w:r>
        <w:rPr>
          <w:rStyle w:val="Znakapoznpodarou"/>
        </w:rPr>
        <w:footnoteRef/>
      </w:r>
      <w:r>
        <w:t xml:space="preserve"> PĚCHA, František. Závěť bez data? To bych nedoporučoval! </w:t>
      </w:r>
      <w:r>
        <w:rPr>
          <w:i/>
        </w:rPr>
        <w:t>Ad Notam,</w:t>
      </w:r>
      <w:r>
        <w:t xml:space="preserve"> 2013, č. 1, s. 14.</w:t>
      </w:r>
    </w:p>
  </w:footnote>
  <w:footnote w:id="132">
    <w:p w:rsidR="00906350" w:rsidRDefault="00906350" w:rsidP="00E3179F">
      <w:pPr>
        <w:pStyle w:val="Textpoznpodarou"/>
        <w:jc w:val="both"/>
      </w:pPr>
      <w:r>
        <w:rPr>
          <w:rStyle w:val="Znakapoznpodarou"/>
        </w:rPr>
        <w:footnoteRef/>
      </w:r>
      <w:r>
        <w:t xml:space="preserve"> Rozhodnutí Nejvyššího soudu ze dne 25. 10. 2005 sp. zn.: 30 Cdo 1454/2005.</w:t>
      </w:r>
    </w:p>
  </w:footnote>
  <w:footnote w:id="133">
    <w:p w:rsidR="00906350" w:rsidRDefault="00906350" w:rsidP="00E3179F">
      <w:pPr>
        <w:pStyle w:val="Textpoznpodarou"/>
        <w:jc w:val="both"/>
      </w:pPr>
      <w:r>
        <w:rPr>
          <w:rStyle w:val="Znakapoznpodarou"/>
        </w:rPr>
        <w:footnoteRef/>
      </w:r>
      <w:r>
        <w:t xml:space="preserve"> § 579 OZO</w:t>
      </w:r>
    </w:p>
  </w:footnote>
  <w:footnote w:id="134">
    <w:p w:rsidR="00906350" w:rsidRDefault="00906350" w:rsidP="00E3179F">
      <w:pPr>
        <w:pStyle w:val="Textpoznpodarou"/>
        <w:jc w:val="both"/>
      </w:pPr>
      <w:r>
        <w:rPr>
          <w:rStyle w:val="Znakapoznpodarou"/>
        </w:rPr>
        <w:footnoteRef/>
      </w:r>
      <w:r>
        <w:t xml:space="preserve"> § 543 SOZ</w:t>
      </w:r>
    </w:p>
  </w:footnote>
  <w:footnote w:id="135">
    <w:p w:rsidR="00906350" w:rsidRDefault="00906350" w:rsidP="00E3179F">
      <w:pPr>
        <w:pStyle w:val="Textpoznpodarou"/>
        <w:jc w:val="both"/>
      </w:pPr>
      <w:r>
        <w:rPr>
          <w:rStyle w:val="Znakapoznpodarou"/>
        </w:rPr>
        <w:footnoteRef/>
      </w:r>
      <w:r>
        <w:t xml:space="preserve"> MUZIKÁŘ Ladislav. In ELIÁŠ, Karel a kol. </w:t>
      </w:r>
      <w:r>
        <w:rPr>
          <w:i/>
        </w:rPr>
        <w:t xml:space="preserve">Občanský zákoník: Velký akademický komentář, 1. svazek. </w:t>
      </w:r>
      <w:r>
        <w:t>Praha: Linde, 2008, s. 1248 (§ 476b).</w:t>
      </w:r>
    </w:p>
  </w:footnote>
  <w:footnote w:id="136">
    <w:p w:rsidR="00906350" w:rsidRDefault="00906350" w:rsidP="00E3179F">
      <w:pPr>
        <w:pStyle w:val="Textpoznpodarou"/>
        <w:jc w:val="both"/>
      </w:pPr>
      <w:r>
        <w:rPr>
          <w:rStyle w:val="Znakapoznpodarou"/>
        </w:rPr>
        <w:footnoteRef/>
      </w:r>
      <w:r>
        <w:t xml:space="preserve"> Výslovný projev vůle lze učinit ústně, písemně nebo posunkovou řečí a dále také použitím určitého kódu či znaků.</w:t>
      </w:r>
    </w:p>
  </w:footnote>
  <w:footnote w:id="137">
    <w:p w:rsidR="00906350" w:rsidRDefault="00906350" w:rsidP="00E3179F">
      <w:pPr>
        <w:pStyle w:val="Textpoznpodarou"/>
        <w:jc w:val="both"/>
      </w:pPr>
      <w:r>
        <w:rPr>
          <w:rStyle w:val="Znakapoznpodarou"/>
        </w:rPr>
        <w:footnoteRef/>
      </w:r>
      <w:r>
        <w:t xml:space="preserve"> Rozhodnutí Nejvyššího soudu ze dne 13. 1. 1920, sp. zn.: Rv II 281/19.</w:t>
      </w:r>
    </w:p>
  </w:footnote>
  <w:footnote w:id="138">
    <w:p w:rsidR="00906350" w:rsidRDefault="00906350" w:rsidP="00E3179F">
      <w:pPr>
        <w:pStyle w:val="Textpoznpodarou"/>
        <w:jc w:val="both"/>
      </w:pPr>
      <w:r>
        <w:rPr>
          <w:rStyle w:val="Znakapoznpodarou"/>
        </w:rPr>
        <w:footnoteRef/>
      </w:r>
      <w:r>
        <w:t xml:space="preserve"> Odlišný názor  na vyhovění zmíněnému konkludentnímu potvrzení uveden v KRČMÁŘ, Jan</w:t>
      </w:r>
      <w:r w:rsidRPr="003D7E11">
        <w:rPr>
          <w:i/>
        </w:rPr>
        <w:t xml:space="preserve">. </w:t>
      </w:r>
      <w:r>
        <w:rPr>
          <w:i/>
        </w:rPr>
        <w:t xml:space="preserve">Právo občanské V. </w:t>
      </w:r>
      <w:r w:rsidRPr="003D7E11">
        <w:rPr>
          <w:i/>
        </w:rPr>
        <w:t>Právo dědické</w:t>
      </w:r>
      <w:r>
        <w:t>. Praha: Všehrd, 1919, s. 24.</w:t>
      </w:r>
    </w:p>
  </w:footnote>
  <w:footnote w:id="139">
    <w:p w:rsidR="00906350" w:rsidRPr="0081372B" w:rsidRDefault="00906350" w:rsidP="00E3179F">
      <w:pPr>
        <w:pStyle w:val="Textpoznpodarou"/>
        <w:jc w:val="both"/>
      </w:pPr>
      <w:r>
        <w:rPr>
          <w:rStyle w:val="Znakapoznpodarou"/>
        </w:rPr>
        <w:footnoteRef/>
      </w:r>
      <w:r>
        <w:t xml:space="preserve"> HOLUB, Rudolf. </w:t>
      </w:r>
      <w:r>
        <w:rPr>
          <w:i/>
        </w:rPr>
        <w:t>Komentář k občanskému zákoníku. Právo dědické.</w:t>
      </w:r>
      <w:r>
        <w:t xml:space="preserve"> Praha: Orbis, 1957, s. 156.</w:t>
      </w:r>
    </w:p>
  </w:footnote>
  <w:footnote w:id="140">
    <w:p w:rsidR="00906350" w:rsidRDefault="00906350" w:rsidP="00E3179F">
      <w:pPr>
        <w:pStyle w:val="Textpoznpodarou"/>
        <w:jc w:val="both"/>
      </w:pPr>
      <w:r>
        <w:rPr>
          <w:rStyle w:val="Znakapoznpodarou"/>
        </w:rPr>
        <w:footnoteRef/>
      </w:r>
      <w:r>
        <w:t xml:space="preserve"> Rozhodnutí Nejvyššího soudu ze dne 14. 12. 2011, sp. zn.: 21 Cdo 3332/2009.</w:t>
      </w:r>
    </w:p>
  </w:footnote>
  <w:footnote w:id="141">
    <w:p w:rsidR="00906350" w:rsidRDefault="00906350" w:rsidP="00E3179F">
      <w:pPr>
        <w:pStyle w:val="Textpoznpodarou"/>
        <w:jc w:val="both"/>
      </w:pPr>
      <w:r>
        <w:rPr>
          <w:rStyle w:val="Znakapoznpodarou"/>
        </w:rPr>
        <w:footnoteRef/>
      </w:r>
      <w:r>
        <w:t xml:space="preserve"> Např. MUZIKÁŘ Ladislav. In ELIÁŠ, Karel a kol. </w:t>
      </w:r>
      <w:r>
        <w:rPr>
          <w:i/>
        </w:rPr>
        <w:t xml:space="preserve">Občanský zákoník: Velký akademický komentář, 1. svazek. </w:t>
      </w:r>
      <w:r>
        <w:t>Praha: Linde, 2008, s. 1248 (§ 476b).</w:t>
      </w:r>
    </w:p>
  </w:footnote>
  <w:footnote w:id="142">
    <w:p w:rsidR="00906350" w:rsidRDefault="00906350" w:rsidP="00E3179F">
      <w:pPr>
        <w:pStyle w:val="Textpoznpodarou"/>
        <w:jc w:val="both"/>
      </w:pPr>
      <w:r>
        <w:rPr>
          <w:rStyle w:val="Znakapoznpodarou"/>
        </w:rPr>
        <w:footnoteRef/>
      </w:r>
      <w:r>
        <w:t xml:space="preserve"> ELIÁŠ, Karel. </w:t>
      </w:r>
      <w:r>
        <w:rPr>
          <w:i/>
        </w:rPr>
        <w:t>Nový občanský zákoník s aktualizovanou důvodovou zprávou a rejstříkem.</w:t>
      </w:r>
      <w:r>
        <w:t xml:space="preserve"> Ostrava: Sagit, 2012, s. 627.</w:t>
      </w:r>
    </w:p>
  </w:footnote>
  <w:footnote w:id="143">
    <w:p w:rsidR="00906350" w:rsidRDefault="00906350" w:rsidP="00E3179F">
      <w:pPr>
        <w:pStyle w:val="Textpoznpodarou"/>
        <w:jc w:val="both"/>
      </w:pPr>
      <w:r>
        <w:rPr>
          <w:rStyle w:val="Znakapoznpodarou"/>
        </w:rPr>
        <w:footnoteRef/>
      </w:r>
      <w:r>
        <w:t xml:space="preserve"> Rozhodnutí Nejvyššího soudu ze dne 28. 12. 1920, sp. zn.: Rv I 636/20.</w:t>
      </w:r>
    </w:p>
  </w:footnote>
  <w:footnote w:id="144">
    <w:p w:rsidR="00906350" w:rsidRDefault="00906350" w:rsidP="00E3179F">
      <w:pPr>
        <w:pStyle w:val="Textpoznpodarou"/>
        <w:jc w:val="both"/>
      </w:pPr>
      <w:r>
        <w:rPr>
          <w:rStyle w:val="Znakapoznpodarou"/>
        </w:rPr>
        <w:footnoteRef/>
      </w:r>
      <w:r>
        <w:t xml:space="preserve"> ŠEŠINA, Martin, WAWERKA, Karel. In ŠVESTKA, Jiří a kol. </w:t>
      </w:r>
      <w:r>
        <w:rPr>
          <w:i/>
        </w:rPr>
        <w:t>Občanský zákoník: Komentář Svazek IV.</w:t>
      </w:r>
      <w:r>
        <w:t xml:space="preserve"> Praha: Wolters Kluwer,a.s., 2014, s. 130-131 (§ 1534).</w:t>
      </w:r>
    </w:p>
  </w:footnote>
  <w:footnote w:id="145">
    <w:p w:rsidR="00906350" w:rsidRDefault="00906350" w:rsidP="00E3179F">
      <w:pPr>
        <w:pStyle w:val="Textpoznpodarou"/>
        <w:jc w:val="both"/>
      </w:pPr>
      <w:r>
        <w:rPr>
          <w:rStyle w:val="Znakapoznpodarou"/>
        </w:rPr>
        <w:footnoteRef/>
      </w:r>
      <w:r>
        <w:t xml:space="preserve"> Rozhodnutí Nejvyššího soudu ze dne 22. 9. 2004, sp. zn.: 30 Cdo 1765/2004.</w:t>
      </w:r>
    </w:p>
  </w:footnote>
  <w:footnote w:id="146">
    <w:p w:rsidR="00906350" w:rsidRDefault="00906350" w:rsidP="00E3179F">
      <w:pPr>
        <w:pStyle w:val="Textpoznpodarou"/>
        <w:jc w:val="both"/>
      </w:pPr>
      <w:r>
        <w:rPr>
          <w:rStyle w:val="Znakapoznpodarou"/>
        </w:rPr>
        <w:footnoteRef/>
      </w:r>
      <w:r>
        <w:t xml:space="preserve"> BEDNÁŘ, Václav. </w:t>
      </w:r>
      <w:r>
        <w:rPr>
          <w:i/>
        </w:rPr>
        <w:t>Testamentární dědická posloupnost.</w:t>
      </w:r>
      <w:r>
        <w:t xml:space="preserve"> Plzeň: Aleš Čeněk, 2011, s. 131.</w:t>
      </w:r>
    </w:p>
  </w:footnote>
  <w:footnote w:id="147">
    <w:p w:rsidR="00906350" w:rsidRDefault="00906350" w:rsidP="00E3179F">
      <w:pPr>
        <w:pStyle w:val="Textpoznpodarou"/>
        <w:jc w:val="both"/>
      </w:pPr>
      <w:r>
        <w:rPr>
          <w:rStyle w:val="Znakapoznpodarou"/>
        </w:rPr>
        <w:footnoteRef/>
      </w:r>
      <w:r>
        <w:t xml:space="preserve"> MUZIKÁŘ Ladislav. In ELIÁŠ, Karel a kol. </w:t>
      </w:r>
      <w:r>
        <w:rPr>
          <w:i/>
        </w:rPr>
        <w:t xml:space="preserve">Občanský zákoník: Velký akademický komentář, 1. svazek. </w:t>
      </w:r>
      <w:r>
        <w:t>Praha: Linde, 2008, s. 1248 (§476b).</w:t>
      </w:r>
    </w:p>
  </w:footnote>
  <w:footnote w:id="148">
    <w:p w:rsidR="00906350" w:rsidRDefault="00906350" w:rsidP="00E3179F">
      <w:pPr>
        <w:pStyle w:val="Textpoznpodarou"/>
        <w:jc w:val="both"/>
      </w:pPr>
      <w:r>
        <w:rPr>
          <w:rStyle w:val="Znakapoznpodarou"/>
        </w:rPr>
        <w:footnoteRef/>
      </w:r>
      <w:r>
        <w:t xml:space="preserve"> BEDNÁŘ, Václav. </w:t>
      </w:r>
      <w:r>
        <w:rPr>
          <w:i/>
        </w:rPr>
        <w:t>Testamentární dědická posloupnost.</w:t>
      </w:r>
      <w:r>
        <w:t xml:space="preserve"> Plzeň: Aleš Čeněk, 2011, s. 79.</w:t>
      </w:r>
    </w:p>
  </w:footnote>
  <w:footnote w:id="149">
    <w:p w:rsidR="00906350" w:rsidRDefault="00906350" w:rsidP="00E3179F">
      <w:pPr>
        <w:pStyle w:val="Textpoznpodarou"/>
        <w:jc w:val="both"/>
      </w:pPr>
      <w:r>
        <w:rPr>
          <w:rStyle w:val="Znakapoznpodarou"/>
        </w:rPr>
        <w:footnoteRef/>
      </w:r>
      <w:r>
        <w:t xml:space="preserve"> ŠEŠINA, Martin, WAWERKA, Karel. In ŠVESTKA, Jiří a kol. </w:t>
      </w:r>
      <w:r>
        <w:rPr>
          <w:i/>
        </w:rPr>
        <w:t>Občanský zákoník: Komentář Svazek IV.</w:t>
      </w:r>
      <w:r>
        <w:t xml:space="preserve"> Praha: Wolters Kluwer,a.s., 2014, s. 132 (§ 1535).</w:t>
      </w:r>
    </w:p>
  </w:footnote>
  <w:footnote w:id="150">
    <w:p w:rsidR="00906350" w:rsidRDefault="00906350" w:rsidP="00E3179F">
      <w:pPr>
        <w:pStyle w:val="Textpoznpodarou"/>
        <w:jc w:val="both"/>
      </w:pPr>
      <w:r>
        <w:rPr>
          <w:rStyle w:val="Znakapoznpodarou"/>
        </w:rPr>
        <w:footnoteRef/>
      </w:r>
      <w:r>
        <w:t xml:space="preserve"> Rozhodnutí Nejvyššího soudu ze dne 4. 5. 2004, sp. zn.: 30 Cdo 164/2004.</w:t>
      </w:r>
    </w:p>
  </w:footnote>
  <w:footnote w:id="151">
    <w:p w:rsidR="00906350" w:rsidRDefault="00906350" w:rsidP="00E3179F">
      <w:pPr>
        <w:pStyle w:val="Textpoznpodarou"/>
        <w:jc w:val="both"/>
      </w:pPr>
      <w:r>
        <w:rPr>
          <w:rStyle w:val="Znakapoznpodarou"/>
        </w:rPr>
        <w:footnoteRef/>
      </w:r>
      <w:r>
        <w:t xml:space="preserve"> ELIÁŠ, Karel. </w:t>
      </w:r>
      <w:r>
        <w:rPr>
          <w:i/>
        </w:rPr>
        <w:t>Nový občanský zákoník s aktualizovanou důvodovou zprávou a rejstříkem.</w:t>
      </w:r>
      <w:r>
        <w:t xml:space="preserve"> Ostrava: Sagit, 2012, s. 631.</w:t>
      </w:r>
    </w:p>
  </w:footnote>
  <w:footnote w:id="152">
    <w:p w:rsidR="00906350" w:rsidRDefault="00906350" w:rsidP="00383943">
      <w:pPr>
        <w:pStyle w:val="Textpoznpodarou"/>
        <w:jc w:val="both"/>
      </w:pPr>
      <w:r>
        <w:rPr>
          <w:rStyle w:val="Znakapoznpodarou"/>
        </w:rPr>
        <w:footnoteRef/>
      </w:r>
      <w:r>
        <w:t xml:space="preserve"> ŠEŠINA, Martin, WAWERKA, Karel. In ŠVESTKA, Jiří a kol. </w:t>
      </w:r>
      <w:r>
        <w:rPr>
          <w:i/>
        </w:rPr>
        <w:t>Občanský zákoník: Komentář Svazek IV.</w:t>
      </w:r>
      <w:r>
        <w:t xml:space="preserve"> Praha: Wolters Kluwer,a.s., 2014, s. 132-133 (§ 1535).</w:t>
      </w:r>
    </w:p>
  </w:footnote>
  <w:footnote w:id="153">
    <w:p w:rsidR="00906350" w:rsidRDefault="00906350" w:rsidP="00383943">
      <w:pPr>
        <w:pStyle w:val="Textpoznpodarou"/>
        <w:jc w:val="both"/>
      </w:pPr>
      <w:r>
        <w:rPr>
          <w:rStyle w:val="Znakapoznpodarou"/>
        </w:rPr>
        <w:footnoteRef/>
      </w:r>
      <w:r>
        <w:t xml:space="preserve"> Gl.U. 6337.</w:t>
      </w:r>
      <w:r w:rsidR="0062312D">
        <w:t xml:space="preserve"> In ROUČEK, František, SEDLÁČEK, Jaromír. </w:t>
      </w:r>
      <w:r w:rsidR="0062312D">
        <w:rPr>
          <w:i/>
        </w:rPr>
        <w:t>Komentář k československému obecnému zákoníku občanskému a občanské právo platné na Slovensku a v Podkarpatské Rusi. III. díl.</w:t>
      </w:r>
      <w:r w:rsidR="0062312D">
        <w:t xml:space="preserve"> 1. vydání. Praha: V. Linhart, 1936, s. 149 (§ 590).</w:t>
      </w:r>
    </w:p>
  </w:footnote>
  <w:footnote w:id="154">
    <w:p w:rsidR="00906350" w:rsidRDefault="00906350" w:rsidP="00383943">
      <w:pPr>
        <w:pStyle w:val="Textpoznpodarou"/>
        <w:jc w:val="both"/>
      </w:pPr>
      <w:r>
        <w:rPr>
          <w:rStyle w:val="Znakapoznpodarou"/>
        </w:rPr>
        <w:footnoteRef/>
      </w:r>
      <w:r>
        <w:t xml:space="preserve"> Rozhodnutí Nejvyššího soude ze dne 30. 4. 1976, sp. zn.: 4 Cz 34/76.</w:t>
      </w:r>
    </w:p>
  </w:footnote>
  <w:footnote w:id="155">
    <w:p w:rsidR="00906350" w:rsidRDefault="00906350" w:rsidP="00383943">
      <w:pPr>
        <w:pStyle w:val="Textpoznpodarou"/>
        <w:jc w:val="both"/>
      </w:pPr>
      <w:r>
        <w:rPr>
          <w:rStyle w:val="Znakapoznpodarou"/>
        </w:rPr>
        <w:footnoteRef/>
      </w:r>
      <w:r>
        <w:t xml:space="preserve"> ŠEŠINA, Martin, WAWERKA, Karel. In ŠVESTKA, Jiří a kol. </w:t>
      </w:r>
      <w:r>
        <w:rPr>
          <w:i/>
        </w:rPr>
        <w:t>Občanský zákoník: Komentář Svazek IV.</w:t>
      </w:r>
      <w:r>
        <w:t xml:space="preserve"> Praha: Wolters Kluwer,a.s., 2014, s. 135-136 (§ 1537).</w:t>
      </w:r>
    </w:p>
  </w:footnote>
  <w:footnote w:id="156">
    <w:p w:rsidR="00906350" w:rsidRDefault="00906350" w:rsidP="00383943">
      <w:pPr>
        <w:pStyle w:val="Textpoznpodarou"/>
        <w:jc w:val="both"/>
      </w:pPr>
      <w:r>
        <w:rPr>
          <w:rStyle w:val="Znakapoznpodarou"/>
        </w:rPr>
        <w:footnoteRef/>
      </w:r>
      <w:r>
        <w:t xml:space="preserve"> To platí i pro jiné pořízení ve formě veřejné listiny (např. dle § 1543 a násl.).</w:t>
      </w:r>
    </w:p>
  </w:footnote>
  <w:footnote w:id="157">
    <w:p w:rsidR="00906350" w:rsidRDefault="00906350" w:rsidP="00AE01B8">
      <w:pPr>
        <w:pStyle w:val="Textpoznpodarou"/>
        <w:jc w:val="both"/>
      </w:pPr>
      <w:r>
        <w:rPr>
          <w:rStyle w:val="Znakapoznpodarou"/>
        </w:rPr>
        <w:footnoteRef/>
      </w:r>
      <w:r>
        <w:t xml:space="preserve"> Rozumíme tím plavbu námořní.</w:t>
      </w:r>
    </w:p>
  </w:footnote>
  <w:footnote w:id="158">
    <w:p w:rsidR="00906350" w:rsidRDefault="00906350" w:rsidP="00AE01B8">
      <w:pPr>
        <w:pStyle w:val="Textpoznpodarou"/>
        <w:jc w:val="both"/>
      </w:pPr>
      <w:r>
        <w:rPr>
          <w:rStyle w:val="Znakapoznpodarou"/>
        </w:rPr>
        <w:footnoteRef/>
      </w:r>
      <w:r>
        <w:t xml:space="preserve"> ROUČEK, František, SEDLÁČEK, Jaromír. </w:t>
      </w:r>
      <w:r>
        <w:rPr>
          <w:i/>
        </w:rPr>
        <w:t>Komentář k československému obecnému zákoníku občanskému a občanské právo platné na Slovensku a v Podkarpatské Rusi. III. díl.</w:t>
      </w:r>
      <w:r>
        <w:t xml:space="preserve"> 1. vydání. Praha: V. Linhart, 1936, </w:t>
      </w:r>
    </w:p>
    <w:p w:rsidR="00906350" w:rsidRDefault="00906350" w:rsidP="00AE01B8">
      <w:pPr>
        <w:pStyle w:val="Textpoznpodarou"/>
        <w:jc w:val="both"/>
      </w:pPr>
      <w:r>
        <w:t>s. 162-163 (§ 600).</w:t>
      </w:r>
    </w:p>
  </w:footnote>
  <w:footnote w:id="159">
    <w:p w:rsidR="00906350" w:rsidRPr="00616629" w:rsidRDefault="00906350" w:rsidP="00AE01B8">
      <w:pPr>
        <w:pStyle w:val="Textpoznpodarou"/>
        <w:jc w:val="both"/>
      </w:pPr>
      <w:r>
        <w:rPr>
          <w:rStyle w:val="Znakapoznpodarou"/>
        </w:rPr>
        <w:footnoteRef/>
      </w:r>
      <w:r>
        <w:t xml:space="preserve"> ELIÁŠ, Karel. Privilegované závěti a osnova českého občanského zákoníku.</w:t>
      </w:r>
      <w:r>
        <w:rPr>
          <w:i/>
        </w:rPr>
        <w:t xml:space="preserve"> Ad Notam,</w:t>
      </w:r>
      <w:r>
        <w:t xml:space="preserve"> 2009, č. 2, s. 41.</w:t>
      </w:r>
    </w:p>
  </w:footnote>
  <w:footnote w:id="160">
    <w:p w:rsidR="00906350" w:rsidRDefault="00906350" w:rsidP="00AE01B8">
      <w:pPr>
        <w:pStyle w:val="Textpoznpodarou"/>
        <w:jc w:val="both"/>
      </w:pPr>
      <w:r>
        <w:rPr>
          <w:rStyle w:val="Znakapoznpodarou"/>
        </w:rPr>
        <w:footnoteRef/>
      </w:r>
      <w:r>
        <w:t xml:space="preserve"> Gl. U. N. F. 3657.</w:t>
      </w:r>
      <w:r w:rsidR="0062312D">
        <w:t xml:space="preserve"> In ROUČEK, František, SEDLÁČEK, Jaromír. </w:t>
      </w:r>
      <w:r w:rsidR="0062312D">
        <w:rPr>
          <w:i/>
        </w:rPr>
        <w:t>Komentář k československému obecnému zákoníku občanskému a občanské právo platné na Slovensku a v Podkarpatské Rusi. III. díl.</w:t>
      </w:r>
      <w:r w:rsidR="0062312D">
        <w:t xml:space="preserve"> 1. vydání. Praha: V. Linhart, 1936, s. 163 (§ 600).</w:t>
      </w:r>
    </w:p>
  </w:footnote>
  <w:footnote w:id="161">
    <w:p w:rsidR="00906350" w:rsidRDefault="00906350" w:rsidP="00AE01B8">
      <w:pPr>
        <w:pStyle w:val="Textpoznpodarou"/>
        <w:jc w:val="both"/>
      </w:pPr>
      <w:r>
        <w:rPr>
          <w:rStyle w:val="Znakapoznpodarou"/>
        </w:rPr>
        <w:footnoteRef/>
      </w:r>
      <w:r>
        <w:t xml:space="preserve"> Gl. U. 9718.</w:t>
      </w:r>
      <w:r w:rsidR="0062312D">
        <w:t xml:space="preserve"> In ROUČEK, František, SEDLÁČEK, Jaromír. </w:t>
      </w:r>
      <w:r w:rsidR="0062312D">
        <w:rPr>
          <w:i/>
        </w:rPr>
        <w:t>Komentář k československému obecnému zákoníku občanskému a občanské právo platné na Slovensku a v Podkarpatské Rusi. III. díl.</w:t>
      </w:r>
      <w:r w:rsidR="0062312D">
        <w:t xml:space="preserve"> 1. vydání. Praha: V. Linhart, 1936, s. 163 (§ 600).</w:t>
      </w:r>
    </w:p>
  </w:footnote>
  <w:footnote w:id="162">
    <w:p w:rsidR="00906350" w:rsidRDefault="00906350" w:rsidP="00AE01B8">
      <w:pPr>
        <w:pStyle w:val="Textpoznpodarou"/>
        <w:jc w:val="both"/>
      </w:pPr>
      <w:r>
        <w:rPr>
          <w:rStyle w:val="Znakapoznpodarou"/>
        </w:rPr>
        <w:footnoteRef/>
      </w:r>
      <w:r>
        <w:t xml:space="preserve"> ŠEŠINA, Martin, WAWERKA, Karel. In ŠVESTKA, Jiří a kol. </w:t>
      </w:r>
      <w:r>
        <w:rPr>
          <w:i/>
        </w:rPr>
        <w:t>Občanský zákoník: Komentář Svazek IV.</w:t>
      </w:r>
      <w:r>
        <w:t xml:space="preserve"> Praha: Wolters Kluwer,a.s., 2014, s. 146 (§ 1542).</w:t>
      </w:r>
    </w:p>
  </w:footnote>
  <w:footnote w:id="163">
    <w:p w:rsidR="00906350" w:rsidRDefault="00906350" w:rsidP="00AE01B8">
      <w:pPr>
        <w:pStyle w:val="Textpoznpodarou"/>
        <w:jc w:val="both"/>
      </w:pPr>
      <w:r>
        <w:rPr>
          <w:rStyle w:val="Znakapoznpodarou"/>
        </w:rPr>
        <w:footnoteRef/>
      </w:r>
      <w:r>
        <w:t xml:space="preserve"> ELIÁŠ, Karel. </w:t>
      </w:r>
      <w:r>
        <w:rPr>
          <w:i/>
        </w:rPr>
        <w:t>Nový občanský zákoník s aktualizovanou důvodovou zprávou a rejstříkem.</w:t>
      </w:r>
      <w:r>
        <w:t xml:space="preserve"> Ostrava: Sagit, 2012, s. 636.</w:t>
      </w:r>
    </w:p>
  </w:footnote>
  <w:footnote w:id="164">
    <w:p w:rsidR="00906350" w:rsidRDefault="00906350" w:rsidP="00AE01B8">
      <w:pPr>
        <w:pStyle w:val="Textpoznpodarou"/>
        <w:jc w:val="both"/>
      </w:pPr>
      <w:r>
        <w:rPr>
          <w:rStyle w:val="Znakapoznpodarou"/>
        </w:rPr>
        <w:footnoteRef/>
      </w:r>
      <w:r>
        <w:t xml:space="preserve"> ŠEŠINA, Martin, WAWERKA, Karel. In ŠVESTKA, Jiří a kol. </w:t>
      </w:r>
      <w:r>
        <w:rPr>
          <w:i/>
        </w:rPr>
        <w:t>Občanský zákoník: Komentář Svazek IV.</w:t>
      </w:r>
      <w:r>
        <w:t xml:space="preserve"> Praha: Wolters Kluwer,a.s., 2014, s. 147 (§ 1542).</w:t>
      </w:r>
    </w:p>
  </w:footnote>
  <w:footnote w:id="165">
    <w:p w:rsidR="00906350" w:rsidRPr="003262AC" w:rsidRDefault="00906350" w:rsidP="00AE01B8">
      <w:pPr>
        <w:pStyle w:val="Textpoznpodarou"/>
        <w:jc w:val="both"/>
      </w:pPr>
      <w:r>
        <w:rPr>
          <w:rStyle w:val="Znakapoznpodarou"/>
        </w:rPr>
        <w:footnoteRef/>
      </w:r>
      <w:r>
        <w:t xml:space="preserve"> TLÁŠKOVÁ, Šárka. In SVOBODA, Karel a kol. </w:t>
      </w:r>
      <w:r>
        <w:rPr>
          <w:i/>
        </w:rPr>
        <w:t>Zákon o zvláštních řízeních soudních. Komentář.</w:t>
      </w:r>
      <w:r>
        <w:t xml:space="preserve"> 1. Vydání. Praha: C. H. Beck, 2015, s. 297 (§ 145).</w:t>
      </w:r>
    </w:p>
  </w:footnote>
  <w:footnote w:id="166">
    <w:p w:rsidR="00906350" w:rsidRDefault="00906350" w:rsidP="00AE01B8">
      <w:pPr>
        <w:pStyle w:val="Textpoznpodarou"/>
        <w:jc w:val="both"/>
      </w:pPr>
      <w:r>
        <w:rPr>
          <w:rStyle w:val="Znakapoznpodarou"/>
        </w:rPr>
        <w:footnoteRef/>
      </w:r>
      <w:r>
        <w:t xml:space="preserve"> ŠEŠINA, Martin, WAWERKA, Karel. In ŠVESTKA, Jiří a kol. </w:t>
      </w:r>
      <w:r>
        <w:rPr>
          <w:i/>
        </w:rPr>
        <w:t>Občanský zákoník: Komentář Svazek IV.</w:t>
      </w:r>
      <w:r>
        <w:t xml:space="preserve"> Praha: Wolters Kluwer,a.s., 2014, s. 155 (§ 1549).</w:t>
      </w:r>
    </w:p>
  </w:footnote>
  <w:footnote w:id="167">
    <w:p w:rsidR="00906350" w:rsidRPr="003B64CA" w:rsidRDefault="00906350" w:rsidP="00AE01B8">
      <w:pPr>
        <w:pStyle w:val="Textpoznpodarou"/>
        <w:jc w:val="both"/>
        <w:rPr>
          <w:color w:val="FF0000"/>
        </w:rPr>
      </w:pPr>
      <w:r>
        <w:rPr>
          <w:rStyle w:val="Znakapoznpodarou"/>
        </w:rPr>
        <w:footnoteRef/>
      </w:r>
      <w:r>
        <w:t xml:space="preserve"> STAUDINGERS, Julius von. </w:t>
      </w:r>
      <w:r>
        <w:rPr>
          <w:i/>
        </w:rPr>
        <w:t>Kommentar zum Bürgerlichen Gesetzbuch und dem Einführungsgesetze, Band 5, Erbrecht.</w:t>
      </w:r>
      <w:r>
        <w:t xml:space="preserve"> München: Schwitzer, 1914, s. 638 (§ 2249).</w:t>
      </w:r>
    </w:p>
  </w:footnote>
  <w:footnote w:id="168">
    <w:p w:rsidR="00906350" w:rsidRDefault="00906350" w:rsidP="00AE01B8">
      <w:pPr>
        <w:pStyle w:val="Textpoznpodarou"/>
        <w:jc w:val="both"/>
      </w:pPr>
      <w:r>
        <w:rPr>
          <w:rStyle w:val="Znakapoznpodarou"/>
        </w:rPr>
        <w:footnoteRef/>
      </w:r>
      <w:r>
        <w:t xml:space="preserve"> Rozsudek BGH ze dne 15. 11. 1951, sp. zn.: IV ZR 66/51.</w:t>
      </w:r>
    </w:p>
  </w:footnote>
  <w:footnote w:id="169">
    <w:p w:rsidR="00906350" w:rsidRDefault="00906350" w:rsidP="00AE01B8">
      <w:pPr>
        <w:pStyle w:val="Textpoznpodarou"/>
        <w:jc w:val="both"/>
      </w:pPr>
      <w:r>
        <w:rPr>
          <w:rStyle w:val="Znakapoznpodarou"/>
        </w:rPr>
        <w:footnoteRef/>
      </w:r>
      <w:r>
        <w:t xml:space="preserve"> § 104 zákona </w:t>
      </w:r>
      <w:r w:rsidR="006347DC">
        <w:t xml:space="preserve">č. 128/2000 Sb., </w:t>
      </w:r>
      <w:r>
        <w:t>o obcích.</w:t>
      </w:r>
    </w:p>
  </w:footnote>
  <w:footnote w:id="170">
    <w:p w:rsidR="00906350" w:rsidRDefault="00906350" w:rsidP="00AE01B8">
      <w:pPr>
        <w:pStyle w:val="Textpoznpodarou"/>
        <w:jc w:val="both"/>
      </w:pPr>
      <w:r>
        <w:rPr>
          <w:rStyle w:val="Znakapoznpodarou"/>
        </w:rPr>
        <w:footnoteRef/>
      </w:r>
      <w:r>
        <w:t xml:space="preserve"> ŠEŠINA, Martin, WAWERKA, Karel. In ŠVESTKA, Jiří a kol. </w:t>
      </w:r>
      <w:r>
        <w:rPr>
          <w:i/>
        </w:rPr>
        <w:t>Občanský zákoník: Komentář Svazek IV.</w:t>
      </w:r>
      <w:r>
        <w:t xml:space="preserve"> Praha: Wolters Kluwer,a.s., 2014, s. 137 (§ 1538).</w:t>
      </w:r>
    </w:p>
  </w:footnote>
  <w:footnote w:id="171">
    <w:p w:rsidR="00906350" w:rsidRPr="00694020" w:rsidRDefault="00906350" w:rsidP="00DC12AE">
      <w:pPr>
        <w:pStyle w:val="Textpoznpodarou"/>
        <w:jc w:val="both"/>
      </w:pPr>
      <w:r>
        <w:rPr>
          <w:rStyle w:val="Znakapoznpodarou"/>
        </w:rPr>
        <w:footnoteRef/>
      </w:r>
      <w:r>
        <w:t xml:space="preserve"> Např. KŘIVSKÁ, Miloslava. Privilegované závěti. </w:t>
      </w:r>
      <w:r>
        <w:rPr>
          <w:i/>
        </w:rPr>
        <w:t>Ad Notam,</w:t>
      </w:r>
      <w:r>
        <w:t xml:space="preserve"> 2013, č. 5, s. 9 nebo ŠEŠINA, Martin. Zamyšlení nad úlevami při pořizování závěti v novém občanském zákoníku. </w:t>
      </w:r>
      <w:r>
        <w:rPr>
          <w:i/>
        </w:rPr>
        <w:t>Ad Notam,</w:t>
      </w:r>
      <w:r>
        <w:t xml:space="preserve"> 2009, č. 2, s 56.</w:t>
      </w:r>
    </w:p>
  </w:footnote>
  <w:footnote w:id="172">
    <w:p w:rsidR="00906350" w:rsidRDefault="00906350" w:rsidP="00DC12AE">
      <w:pPr>
        <w:pStyle w:val="Textpoznpodarou"/>
        <w:jc w:val="both"/>
      </w:pPr>
      <w:r>
        <w:rPr>
          <w:rStyle w:val="Znakapoznpodarou"/>
        </w:rPr>
        <w:footnoteRef/>
      </w:r>
      <w:r>
        <w:t xml:space="preserve"> ELIÁŠ, Karel. </w:t>
      </w:r>
      <w:r>
        <w:rPr>
          <w:i/>
        </w:rPr>
        <w:t>Nový občanský zákoník s aktualizovanou důvodovou zprávou a rejstříkem.</w:t>
      </w:r>
      <w:r>
        <w:t xml:space="preserve"> Ostrava: Sagit, 2012, s. 637.</w:t>
      </w:r>
    </w:p>
  </w:footnote>
  <w:footnote w:id="173">
    <w:p w:rsidR="00906350" w:rsidRDefault="00906350" w:rsidP="00DC12AE">
      <w:pPr>
        <w:pStyle w:val="Textpoznpodarou"/>
        <w:jc w:val="both"/>
      </w:pPr>
      <w:r>
        <w:rPr>
          <w:rStyle w:val="Znakapoznpodarou"/>
        </w:rPr>
        <w:footnoteRef/>
      </w:r>
      <w:r>
        <w:t xml:space="preserve"> KRČMÁŘ, Jan</w:t>
      </w:r>
      <w:r w:rsidRPr="003D7E11">
        <w:rPr>
          <w:i/>
        </w:rPr>
        <w:t xml:space="preserve">. </w:t>
      </w:r>
      <w:r>
        <w:rPr>
          <w:i/>
        </w:rPr>
        <w:t xml:space="preserve">Právo občanské V. </w:t>
      </w:r>
      <w:r w:rsidRPr="003D7E11">
        <w:rPr>
          <w:i/>
        </w:rPr>
        <w:t>Právo dědické</w:t>
      </w:r>
      <w:r>
        <w:t>. Praha: Všehrd, 1919, s. 32.</w:t>
      </w:r>
    </w:p>
  </w:footnote>
  <w:footnote w:id="174">
    <w:p w:rsidR="00906350" w:rsidRDefault="00906350" w:rsidP="00DC12AE">
      <w:pPr>
        <w:pStyle w:val="Textpoznpodarou"/>
        <w:jc w:val="both"/>
      </w:pPr>
      <w:r>
        <w:rPr>
          <w:rStyle w:val="Znakapoznpodarou"/>
        </w:rPr>
        <w:footnoteRef/>
      </w:r>
      <w:r>
        <w:t xml:space="preserve"> ŠEŠINA, Martin, WAWERKA, Karel. In ŠVESTKA, Jiří a kol. </w:t>
      </w:r>
      <w:r>
        <w:rPr>
          <w:i/>
        </w:rPr>
        <w:t>Občanský zákoník: Komentář Svazek IV.</w:t>
      </w:r>
      <w:r>
        <w:t xml:space="preserve"> Praha: Wolters Kluwer,a.s., 2014, s. 150 (§ 1545).</w:t>
      </w:r>
    </w:p>
  </w:footnote>
  <w:footnote w:id="175">
    <w:p w:rsidR="00906350" w:rsidRPr="0008031C" w:rsidRDefault="00906350" w:rsidP="009062C0">
      <w:pPr>
        <w:pStyle w:val="Textpoznpodarou"/>
        <w:jc w:val="both"/>
      </w:pPr>
      <w:r>
        <w:rPr>
          <w:rStyle w:val="Znakapoznpodarou"/>
        </w:rPr>
        <w:footnoteRef/>
      </w:r>
      <w:r>
        <w:t xml:space="preserve"> O tom více MELZER, Filip. </w:t>
      </w:r>
      <w:r>
        <w:rPr>
          <w:i/>
        </w:rPr>
        <w:t>Metodologie nalézání práva: úvod do právní argumentace.</w:t>
      </w:r>
      <w:r>
        <w:t xml:space="preserve"> 2. vydáni. Praha: C. H. Beck, 2011, s. 86-87.</w:t>
      </w:r>
    </w:p>
  </w:footnote>
  <w:footnote w:id="176">
    <w:p w:rsidR="00906350" w:rsidRDefault="00906350" w:rsidP="009062C0">
      <w:pPr>
        <w:pStyle w:val="Textpoznpodarou"/>
        <w:jc w:val="both"/>
      </w:pPr>
      <w:r>
        <w:rPr>
          <w:rStyle w:val="Znakapoznpodarou"/>
        </w:rPr>
        <w:footnoteRef/>
      </w:r>
      <w:r>
        <w:t xml:space="preserve"> ELIÁŠ, Karel. </w:t>
      </w:r>
      <w:r>
        <w:rPr>
          <w:i/>
        </w:rPr>
        <w:t>Nový občanský zákoník s aktualizovanou důvodovou zprávou a rejstříkem.</w:t>
      </w:r>
      <w:r>
        <w:t xml:space="preserve"> Ostrava: Sagit, 2012, s. 637.</w:t>
      </w:r>
    </w:p>
  </w:footnote>
  <w:footnote w:id="177">
    <w:p w:rsidR="00906350" w:rsidRDefault="00906350" w:rsidP="009062C0">
      <w:pPr>
        <w:pStyle w:val="Textpoznpodarou"/>
        <w:jc w:val="both"/>
      </w:pPr>
      <w:r>
        <w:rPr>
          <w:rStyle w:val="Znakapoznpodarou"/>
        </w:rPr>
        <w:footnoteRef/>
      </w:r>
      <w:r>
        <w:t xml:space="preserve"> U tohoto druhu privilegované závěti (§ 1542) je třeba tří současně přítomných svědků.</w:t>
      </w:r>
    </w:p>
  </w:footnote>
  <w:footnote w:id="178">
    <w:p w:rsidR="00906350" w:rsidRDefault="00906350" w:rsidP="009062C0">
      <w:pPr>
        <w:pStyle w:val="Textpoznpodarou"/>
        <w:jc w:val="both"/>
      </w:pPr>
      <w:r>
        <w:rPr>
          <w:rStyle w:val="Znakapoznpodarou"/>
        </w:rPr>
        <w:footnoteRef/>
      </w:r>
      <w:r>
        <w:t xml:space="preserve"> ELIÁŠ, Karel. </w:t>
      </w:r>
      <w:r>
        <w:rPr>
          <w:i/>
        </w:rPr>
        <w:t>Nový občanský zákoník s aktualizovanou důvodovou zprávou a rejstříkem.</w:t>
      </w:r>
      <w:r>
        <w:t xml:space="preserve"> Ostrava: Sagit, 2012, s. 647-648.</w:t>
      </w:r>
    </w:p>
  </w:footnote>
  <w:footnote w:id="179">
    <w:p w:rsidR="00906350" w:rsidRDefault="00906350" w:rsidP="009062C0">
      <w:pPr>
        <w:pStyle w:val="Textpoznpodarou"/>
        <w:jc w:val="both"/>
      </w:pPr>
      <w:r>
        <w:rPr>
          <w:rStyle w:val="Znakapoznpodarou"/>
        </w:rPr>
        <w:footnoteRef/>
      </w:r>
      <w:r>
        <w:t xml:space="preserve"> § 1542-1545 NOZ.</w:t>
      </w:r>
    </w:p>
  </w:footnote>
  <w:footnote w:id="180">
    <w:p w:rsidR="00906350" w:rsidRDefault="00906350" w:rsidP="009062C0">
      <w:pPr>
        <w:pStyle w:val="Textpoznpodarou"/>
        <w:jc w:val="both"/>
      </w:pPr>
      <w:r>
        <w:rPr>
          <w:rStyle w:val="Znakapoznpodarou"/>
        </w:rPr>
        <w:footnoteRef/>
      </w:r>
      <w:r>
        <w:t xml:space="preserve"> ŠEŠINA, Martin, WAWERKA, Karel. In ŠVESTKA, Jiří a kol. </w:t>
      </w:r>
      <w:r>
        <w:rPr>
          <w:i/>
        </w:rPr>
        <w:t>Občanský zákoník: Komentář Svazek IV.</w:t>
      </w:r>
      <w:r>
        <w:t xml:space="preserve"> Praha: Wolters Kluwer,a.s., 2014, s. 195 (§ 1575).</w:t>
      </w:r>
    </w:p>
  </w:footnote>
  <w:footnote w:id="181">
    <w:p w:rsidR="00906350" w:rsidRDefault="00906350" w:rsidP="009062C0">
      <w:pPr>
        <w:pStyle w:val="Textpoznpodarou"/>
        <w:jc w:val="both"/>
      </w:pPr>
      <w:r>
        <w:rPr>
          <w:rStyle w:val="Znakapoznpodarou"/>
        </w:rPr>
        <w:footnoteRef/>
      </w:r>
      <w:r>
        <w:t xml:space="preserve"> SVOBODA, Jiří, KLIČKA, Ondřej. </w:t>
      </w:r>
      <w:r>
        <w:rPr>
          <w:i/>
        </w:rPr>
        <w:t>Dědické právo v praxi.</w:t>
      </w:r>
      <w:r>
        <w:t xml:space="preserve"> 1. vydání. Praha: C. H. Beck, 2014, s. 84.</w:t>
      </w:r>
    </w:p>
  </w:footnote>
  <w:footnote w:id="182">
    <w:p w:rsidR="00906350" w:rsidRDefault="00906350" w:rsidP="009062C0">
      <w:pPr>
        <w:pStyle w:val="Textpoznpodarou"/>
        <w:jc w:val="both"/>
      </w:pPr>
      <w:r>
        <w:rPr>
          <w:rStyle w:val="Znakapoznpodarou"/>
        </w:rPr>
        <w:footnoteRef/>
      </w:r>
      <w:r>
        <w:t xml:space="preserve"> ŠEŠINA, Martin, WAWERKA, Karel. In ŠVESTKA, Jiří a kol. </w:t>
      </w:r>
      <w:r>
        <w:rPr>
          <w:i/>
        </w:rPr>
        <w:t>Občanský zákoník: Komentář Svazek IV.</w:t>
      </w:r>
      <w:r>
        <w:t xml:space="preserve"> Praha: Wolters Kluwer,a.s., 2014, s. 200 (§ 1579).</w:t>
      </w:r>
    </w:p>
  </w:footnote>
  <w:footnote w:id="183">
    <w:p w:rsidR="00906350" w:rsidRDefault="00906350" w:rsidP="009062C0">
      <w:pPr>
        <w:pStyle w:val="Textpoznpodarou"/>
        <w:jc w:val="both"/>
      </w:pPr>
      <w:r>
        <w:rPr>
          <w:rStyle w:val="Znakapoznpodarou"/>
        </w:rPr>
        <w:footnoteRef/>
      </w:r>
      <w:r>
        <w:t xml:space="preserve"> Tamtéž s. 198 (§ 1578).</w:t>
      </w:r>
    </w:p>
  </w:footnote>
  <w:footnote w:id="184">
    <w:p w:rsidR="00906350" w:rsidRDefault="00906350" w:rsidP="009062C0">
      <w:pPr>
        <w:pStyle w:val="Textpoznpodarou"/>
        <w:jc w:val="both"/>
      </w:pPr>
      <w:r>
        <w:rPr>
          <w:rStyle w:val="Znakapoznpodarou"/>
        </w:rPr>
        <w:footnoteRef/>
      </w:r>
      <w:r>
        <w:t xml:space="preserve"> § 713 OZO.</w:t>
      </w:r>
    </w:p>
  </w:footnote>
  <w:footnote w:id="185">
    <w:p w:rsidR="00906350" w:rsidRDefault="00906350" w:rsidP="008620A6">
      <w:pPr>
        <w:pStyle w:val="Textpoznpodarou"/>
        <w:jc w:val="both"/>
      </w:pPr>
      <w:r>
        <w:rPr>
          <w:rStyle w:val="Znakapoznpodarou"/>
        </w:rPr>
        <w:footnoteRef/>
      </w:r>
      <w:r>
        <w:t xml:space="preserve"> Rozhodnutí krajského soudu v Brně ze dne 26. 7. 1999, sp. zn.: 18 Co 385/98.</w:t>
      </w:r>
    </w:p>
  </w:footnote>
  <w:footnote w:id="186">
    <w:p w:rsidR="00906350" w:rsidRDefault="00906350" w:rsidP="008620A6">
      <w:pPr>
        <w:pStyle w:val="Textpoznpodarou"/>
        <w:jc w:val="both"/>
      </w:pPr>
      <w:r>
        <w:rPr>
          <w:rStyle w:val="Znakapoznpodarou"/>
        </w:rPr>
        <w:footnoteRef/>
      </w:r>
      <w:r>
        <w:t xml:space="preserve"> Rozhodnutí městského soudu v Praze ze dne 30. 5. 1980, sp. zn.: 11 Co 127/80.</w:t>
      </w:r>
    </w:p>
  </w:footnote>
  <w:footnote w:id="187">
    <w:p w:rsidR="00906350" w:rsidRDefault="00906350" w:rsidP="008620A6">
      <w:pPr>
        <w:pStyle w:val="Textpoznpodarou"/>
        <w:jc w:val="both"/>
      </w:pPr>
      <w:r>
        <w:rPr>
          <w:rStyle w:val="Znakapoznpodarou"/>
        </w:rPr>
        <w:footnoteRef/>
      </w:r>
      <w:r>
        <w:t xml:space="preserve"> MUZIKÁŘ Ladislav. In ELIÁŠ, Karel a kol. </w:t>
      </w:r>
      <w:r>
        <w:rPr>
          <w:i/>
        </w:rPr>
        <w:t xml:space="preserve">Občanský zákoník: Velký akademický komentář, 1. svazek. </w:t>
      </w:r>
      <w:r>
        <w:t>Praha: Linde, 2008, s. 1297 (§ 480).</w:t>
      </w:r>
    </w:p>
  </w:footnote>
  <w:footnote w:id="188">
    <w:p w:rsidR="00906350" w:rsidRDefault="00906350" w:rsidP="008620A6">
      <w:pPr>
        <w:pStyle w:val="Textpoznpodarou"/>
        <w:jc w:val="both"/>
      </w:pPr>
      <w:r>
        <w:rPr>
          <w:rStyle w:val="Znakapoznpodarou"/>
        </w:rPr>
        <w:footnoteRef/>
      </w:r>
      <w:r>
        <w:t xml:space="preserve"> Např. BEDNÁŘ, Václav. </w:t>
      </w:r>
      <w:r>
        <w:rPr>
          <w:i/>
        </w:rPr>
        <w:t>Testamentární dědická posloupnost.</w:t>
      </w:r>
      <w:r>
        <w:t xml:space="preserve"> Plzeň: Aleš Čeněk, 2011, s. 91-95.</w:t>
      </w:r>
    </w:p>
  </w:footnote>
  <w:footnote w:id="189">
    <w:p w:rsidR="00906350" w:rsidRDefault="00906350" w:rsidP="008620A6">
      <w:pPr>
        <w:pStyle w:val="Textpoznpodarou"/>
        <w:jc w:val="both"/>
      </w:pPr>
      <w:r>
        <w:rPr>
          <w:rStyle w:val="Znakapoznpodarou"/>
        </w:rPr>
        <w:footnoteRef/>
      </w:r>
      <w:r>
        <w:t xml:space="preserve"> ŠEŠINA, Martin, WAWERKA, Karel. In ŠVESTKA, Jiří a kol. </w:t>
      </w:r>
      <w:r>
        <w:rPr>
          <w:i/>
        </w:rPr>
        <w:t>Občanský zákoník: Komentář Svazek IV.</w:t>
      </w:r>
      <w:r>
        <w:t xml:space="preserve"> Praha: Wolters Kluwer,a.s., 2014, s. 201 (§ 1580).</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footnotePr>
    <w:footnote w:id="0"/>
    <w:footnote w:id="1"/>
  </w:footnotePr>
  <w:endnotePr>
    <w:endnote w:id="0"/>
    <w:endnote w:id="1"/>
  </w:endnotePr>
  <w:compat/>
  <w:rsids>
    <w:rsidRoot w:val="005620B6"/>
    <w:rsid w:val="00001044"/>
    <w:rsid w:val="00001F0A"/>
    <w:rsid w:val="00006DDB"/>
    <w:rsid w:val="00006F1B"/>
    <w:rsid w:val="0000750F"/>
    <w:rsid w:val="00012597"/>
    <w:rsid w:val="00021373"/>
    <w:rsid w:val="00024C0A"/>
    <w:rsid w:val="0002609D"/>
    <w:rsid w:val="00026EE7"/>
    <w:rsid w:val="00027209"/>
    <w:rsid w:val="00032759"/>
    <w:rsid w:val="000412B3"/>
    <w:rsid w:val="00044386"/>
    <w:rsid w:val="00044762"/>
    <w:rsid w:val="00045644"/>
    <w:rsid w:val="00046698"/>
    <w:rsid w:val="00052A6D"/>
    <w:rsid w:val="000534DB"/>
    <w:rsid w:val="00054310"/>
    <w:rsid w:val="00055538"/>
    <w:rsid w:val="00055A40"/>
    <w:rsid w:val="00057476"/>
    <w:rsid w:val="00057688"/>
    <w:rsid w:val="0005785D"/>
    <w:rsid w:val="00061448"/>
    <w:rsid w:val="000616D1"/>
    <w:rsid w:val="00061A97"/>
    <w:rsid w:val="00062AF8"/>
    <w:rsid w:val="0006301D"/>
    <w:rsid w:val="000645E1"/>
    <w:rsid w:val="000648BB"/>
    <w:rsid w:val="00070B16"/>
    <w:rsid w:val="000737DF"/>
    <w:rsid w:val="00073D04"/>
    <w:rsid w:val="000750D6"/>
    <w:rsid w:val="00075477"/>
    <w:rsid w:val="000759B9"/>
    <w:rsid w:val="0008031C"/>
    <w:rsid w:val="00082045"/>
    <w:rsid w:val="00082598"/>
    <w:rsid w:val="00083E26"/>
    <w:rsid w:val="000847A3"/>
    <w:rsid w:val="0009439C"/>
    <w:rsid w:val="00095579"/>
    <w:rsid w:val="0009612C"/>
    <w:rsid w:val="000965ED"/>
    <w:rsid w:val="00097408"/>
    <w:rsid w:val="0009756C"/>
    <w:rsid w:val="000A1378"/>
    <w:rsid w:val="000A2014"/>
    <w:rsid w:val="000A4BEF"/>
    <w:rsid w:val="000A5729"/>
    <w:rsid w:val="000A5E1A"/>
    <w:rsid w:val="000B0DAB"/>
    <w:rsid w:val="000B2503"/>
    <w:rsid w:val="000B2BD8"/>
    <w:rsid w:val="000B2FA8"/>
    <w:rsid w:val="000B34C7"/>
    <w:rsid w:val="000B5616"/>
    <w:rsid w:val="000B57B6"/>
    <w:rsid w:val="000B60DB"/>
    <w:rsid w:val="000C043F"/>
    <w:rsid w:val="000C212E"/>
    <w:rsid w:val="000C3FA2"/>
    <w:rsid w:val="000C586F"/>
    <w:rsid w:val="000C5C5A"/>
    <w:rsid w:val="000C675C"/>
    <w:rsid w:val="000C6A7A"/>
    <w:rsid w:val="000C6ECF"/>
    <w:rsid w:val="000C75A5"/>
    <w:rsid w:val="000D134C"/>
    <w:rsid w:val="000D198D"/>
    <w:rsid w:val="000D1D96"/>
    <w:rsid w:val="000D2573"/>
    <w:rsid w:val="000D5A13"/>
    <w:rsid w:val="000D5CB3"/>
    <w:rsid w:val="000D5D54"/>
    <w:rsid w:val="000D7715"/>
    <w:rsid w:val="000D78E8"/>
    <w:rsid w:val="000E02C9"/>
    <w:rsid w:val="000E1477"/>
    <w:rsid w:val="000E1791"/>
    <w:rsid w:val="000E2BF6"/>
    <w:rsid w:val="000E69C4"/>
    <w:rsid w:val="000F093D"/>
    <w:rsid w:val="000F32E7"/>
    <w:rsid w:val="000F63E2"/>
    <w:rsid w:val="00100E17"/>
    <w:rsid w:val="0010141B"/>
    <w:rsid w:val="001021D8"/>
    <w:rsid w:val="001027E2"/>
    <w:rsid w:val="00104FEB"/>
    <w:rsid w:val="001115FA"/>
    <w:rsid w:val="001143BF"/>
    <w:rsid w:val="001203E8"/>
    <w:rsid w:val="00122BB5"/>
    <w:rsid w:val="00123973"/>
    <w:rsid w:val="00124009"/>
    <w:rsid w:val="0012477A"/>
    <w:rsid w:val="00125CF1"/>
    <w:rsid w:val="001274E7"/>
    <w:rsid w:val="001339A9"/>
    <w:rsid w:val="00133AB2"/>
    <w:rsid w:val="00135D3B"/>
    <w:rsid w:val="001375CC"/>
    <w:rsid w:val="0014064A"/>
    <w:rsid w:val="001408B1"/>
    <w:rsid w:val="0014097C"/>
    <w:rsid w:val="001439EA"/>
    <w:rsid w:val="00145B3F"/>
    <w:rsid w:val="001479EB"/>
    <w:rsid w:val="001504B4"/>
    <w:rsid w:val="00151584"/>
    <w:rsid w:val="0015495D"/>
    <w:rsid w:val="00160AEB"/>
    <w:rsid w:val="001622A4"/>
    <w:rsid w:val="00162B6D"/>
    <w:rsid w:val="00164229"/>
    <w:rsid w:val="001647E0"/>
    <w:rsid w:val="00165B4C"/>
    <w:rsid w:val="00170271"/>
    <w:rsid w:val="00170CF2"/>
    <w:rsid w:val="00170D53"/>
    <w:rsid w:val="00173292"/>
    <w:rsid w:val="00174521"/>
    <w:rsid w:val="001767AD"/>
    <w:rsid w:val="001774B3"/>
    <w:rsid w:val="00181EF7"/>
    <w:rsid w:val="001830F1"/>
    <w:rsid w:val="00183520"/>
    <w:rsid w:val="001901A5"/>
    <w:rsid w:val="00193006"/>
    <w:rsid w:val="00194729"/>
    <w:rsid w:val="00196E65"/>
    <w:rsid w:val="001974B0"/>
    <w:rsid w:val="001A0915"/>
    <w:rsid w:val="001A1C2C"/>
    <w:rsid w:val="001A1D45"/>
    <w:rsid w:val="001A1E9B"/>
    <w:rsid w:val="001A39AB"/>
    <w:rsid w:val="001A4099"/>
    <w:rsid w:val="001A529F"/>
    <w:rsid w:val="001A73CC"/>
    <w:rsid w:val="001B10C6"/>
    <w:rsid w:val="001B1B82"/>
    <w:rsid w:val="001B1CFD"/>
    <w:rsid w:val="001B25D4"/>
    <w:rsid w:val="001B3C00"/>
    <w:rsid w:val="001B46C0"/>
    <w:rsid w:val="001B4DC5"/>
    <w:rsid w:val="001B5927"/>
    <w:rsid w:val="001B7085"/>
    <w:rsid w:val="001B7B2C"/>
    <w:rsid w:val="001C1DB3"/>
    <w:rsid w:val="001C471F"/>
    <w:rsid w:val="001C4F43"/>
    <w:rsid w:val="001C5B8F"/>
    <w:rsid w:val="001C5F37"/>
    <w:rsid w:val="001C6874"/>
    <w:rsid w:val="001C6F41"/>
    <w:rsid w:val="001D0990"/>
    <w:rsid w:val="001D1120"/>
    <w:rsid w:val="001D41BA"/>
    <w:rsid w:val="001D445C"/>
    <w:rsid w:val="001D5EE1"/>
    <w:rsid w:val="001D61B2"/>
    <w:rsid w:val="001D76FE"/>
    <w:rsid w:val="001D77CA"/>
    <w:rsid w:val="001D7E96"/>
    <w:rsid w:val="001E2C5C"/>
    <w:rsid w:val="001E3D42"/>
    <w:rsid w:val="001E563F"/>
    <w:rsid w:val="001E5784"/>
    <w:rsid w:val="001E6F29"/>
    <w:rsid w:val="001F14F8"/>
    <w:rsid w:val="001F15FA"/>
    <w:rsid w:val="001F21E4"/>
    <w:rsid w:val="001F5036"/>
    <w:rsid w:val="00200739"/>
    <w:rsid w:val="00200964"/>
    <w:rsid w:val="00202DD9"/>
    <w:rsid w:val="0020551F"/>
    <w:rsid w:val="00207C11"/>
    <w:rsid w:val="0021178C"/>
    <w:rsid w:val="00213892"/>
    <w:rsid w:val="00214184"/>
    <w:rsid w:val="0021421A"/>
    <w:rsid w:val="002210C5"/>
    <w:rsid w:val="00221695"/>
    <w:rsid w:val="00222A31"/>
    <w:rsid w:val="00222DBA"/>
    <w:rsid w:val="002230DF"/>
    <w:rsid w:val="002320B4"/>
    <w:rsid w:val="00237E73"/>
    <w:rsid w:val="00242D9A"/>
    <w:rsid w:val="00243EAF"/>
    <w:rsid w:val="00244DB1"/>
    <w:rsid w:val="00247E32"/>
    <w:rsid w:val="00253ACC"/>
    <w:rsid w:val="00254A12"/>
    <w:rsid w:val="002557E6"/>
    <w:rsid w:val="00262171"/>
    <w:rsid w:val="0026287F"/>
    <w:rsid w:val="00262BDA"/>
    <w:rsid w:val="00266BDC"/>
    <w:rsid w:val="00267122"/>
    <w:rsid w:val="002675A0"/>
    <w:rsid w:val="00267BB8"/>
    <w:rsid w:val="00267F6D"/>
    <w:rsid w:val="002700FA"/>
    <w:rsid w:val="00271626"/>
    <w:rsid w:val="00272A37"/>
    <w:rsid w:val="00272B69"/>
    <w:rsid w:val="002735F2"/>
    <w:rsid w:val="00273975"/>
    <w:rsid w:val="00273B76"/>
    <w:rsid w:val="0027435B"/>
    <w:rsid w:val="00277873"/>
    <w:rsid w:val="00277A9F"/>
    <w:rsid w:val="002837A4"/>
    <w:rsid w:val="002840CC"/>
    <w:rsid w:val="00287C99"/>
    <w:rsid w:val="002924EF"/>
    <w:rsid w:val="0029317C"/>
    <w:rsid w:val="00294E49"/>
    <w:rsid w:val="002A03B7"/>
    <w:rsid w:val="002A4766"/>
    <w:rsid w:val="002A5FFC"/>
    <w:rsid w:val="002A6CBB"/>
    <w:rsid w:val="002A7CD8"/>
    <w:rsid w:val="002B03CD"/>
    <w:rsid w:val="002B1EF7"/>
    <w:rsid w:val="002B1EFD"/>
    <w:rsid w:val="002B2412"/>
    <w:rsid w:val="002B3DF9"/>
    <w:rsid w:val="002B5B68"/>
    <w:rsid w:val="002C1C94"/>
    <w:rsid w:val="002C2911"/>
    <w:rsid w:val="002C30DB"/>
    <w:rsid w:val="002C3299"/>
    <w:rsid w:val="002C7403"/>
    <w:rsid w:val="002C7698"/>
    <w:rsid w:val="002C7E99"/>
    <w:rsid w:val="002D07E8"/>
    <w:rsid w:val="002D0F6E"/>
    <w:rsid w:val="002D6371"/>
    <w:rsid w:val="002D77F0"/>
    <w:rsid w:val="002E186B"/>
    <w:rsid w:val="002E2603"/>
    <w:rsid w:val="002E41F7"/>
    <w:rsid w:val="002E460D"/>
    <w:rsid w:val="002E568F"/>
    <w:rsid w:val="002E6E60"/>
    <w:rsid w:val="002F1024"/>
    <w:rsid w:val="002F13D7"/>
    <w:rsid w:val="002F2219"/>
    <w:rsid w:val="002F303C"/>
    <w:rsid w:val="002F5C65"/>
    <w:rsid w:val="00300DDC"/>
    <w:rsid w:val="0030352C"/>
    <w:rsid w:val="003044ED"/>
    <w:rsid w:val="00305C84"/>
    <w:rsid w:val="00307513"/>
    <w:rsid w:val="00311875"/>
    <w:rsid w:val="00313AE9"/>
    <w:rsid w:val="003147BB"/>
    <w:rsid w:val="0031622E"/>
    <w:rsid w:val="00317073"/>
    <w:rsid w:val="00317166"/>
    <w:rsid w:val="00320E5B"/>
    <w:rsid w:val="00322B25"/>
    <w:rsid w:val="00322E53"/>
    <w:rsid w:val="00323679"/>
    <w:rsid w:val="003262AC"/>
    <w:rsid w:val="00326A57"/>
    <w:rsid w:val="00330DC3"/>
    <w:rsid w:val="00331E27"/>
    <w:rsid w:val="00334852"/>
    <w:rsid w:val="00334948"/>
    <w:rsid w:val="00342530"/>
    <w:rsid w:val="003425F1"/>
    <w:rsid w:val="0034473F"/>
    <w:rsid w:val="00350A4C"/>
    <w:rsid w:val="0035506D"/>
    <w:rsid w:val="00356F3C"/>
    <w:rsid w:val="00364460"/>
    <w:rsid w:val="00364AE3"/>
    <w:rsid w:val="00367A45"/>
    <w:rsid w:val="00370AC0"/>
    <w:rsid w:val="0037442D"/>
    <w:rsid w:val="00375F65"/>
    <w:rsid w:val="00377DB7"/>
    <w:rsid w:val="00380E94"/>
    <w:rsid w:val="003811ED"/>
    <w:rsid w:val="00383943"/>
    <w:rsid w:val="00384BD5"/>
    <w:rsid w:val="00385560"/>
    <w:rsid w:val="003856F7"/>
    <w:rsid w:val="003869FF"/>
    <w:rsid w:val="00395714"/>
    <w:rsid w:val="00395FFB"/>
    <w:rsid w:val="003A10C8"/>
    <w:rsid w:val="003A2294"/>
    <w:rsid w:val="003A24AE"/>
    <w:rsid w:val="003A4C96"/>
    <w:rsid w:val="003A4E5D"/>
    <w:rsid w:val="003A5AA2"/>
    <w:rsid w:val="003B552E"/>
    <w:rsid w:val="003B5E04"/>
    <w:rsid w:val="003B64CA"/>
    <w:rsid w:val="003B6ABA"/>
    <w:rsid w:val="003C00A4"/>
    <w:rsid w:val="003C33E4"/>
    <w:rsid w:val="003C3FDC"/>
    <w:rsid w:val="003D0C9C"/>
    <w:rsid w:val="003D10B9"/>
    <w:rsid w:val="003D38DC"/>
    <w:rsid w:val="003D4338"/>
    <w:rsid w:val="003D4430"/>
    <w:rsid w:val="003D5733"/>
    <w:rsid w:val="003D6546"/>
    <w:rsid w:val="003D6C84"/>
    <w:rsid w:val="003D7E11"/>
    <w:rsid w:val="003D7E3A"/>
    <w:rsid w:val="003E0128"/>
    <w:rsid w:val="003E13B1"/>
    <w:rsid w:val="003E28AB"/>
    <w:rsid w:val="003E4041"/>
    <w:rsid w:val="003E674E"/>
    <w:rsid w:val="003E704E"/>
    <w:rsid w:val="003E70C7"/>
    <w:rsid w:val="003F05EF"/>
    <w:rsid w:val="003F1A69"/>
    <w:rsid w:val="003F2F40"/>
    <w:rsid w:val="003F3B12"/>
    <w:rsid w:val="003F4D0A"/>
    <w:rsid w:val="003F4DE9"/>
    <w:rsid w:val="003F622F"/>
    <w:rsid w:val="00401701"/>
    <w:rsid w:val="004019A2"/>
    <w:rsid w:val="00402613"/>
    <w:rsid w:val="00404129"/>
    <w:rsid w:val="0040428B"/>
    <w:rsid w:val="00404D81"/>
    <w:rsid w:val="004121B6"/>
    <w:rsid w:val="0041246E"/>
    <w:rsid w:val="00412A32"/>
    <w:rsid w:val="00412D73"/>
    <w:rsid w:val="00420B85"/>
    <w:rsid w:val="00420BA7"/>
    <w:rsid w:val="004230C1"/>
    <w:rsid w:val="00425B98"/>
    <w:rsid w:val="00426535"/>
    <w:rsid w:val="00426784"/>
    <w:rsid w:val="004267D1"/>
    <w:rsid w:val="004321F5"/>
    <w:rsid w:val="00440ABB"/>
    <w:rsid w:val="00444365"/>
    <w:rsid w:val="00444C72"/>
    <w:rsid w:val="00446B1C"/>
    <w:rsid w:val="00447E84"/>
    <w:rsid w:val="004501E3"/>
    <w:rsid w:val="004546B1"/>
    <w:rsid w:val="00454827"/>
    <w:rsid w:val="00457A22"/>
    <w:rsid w:val="00463712"/>
    <w:rsid w:val="0046496A"/>
    <w:rsid w:val="00465EAB"/>
    <w:rsid w:val="004661F6"/>
    <w:rsid w:val="004666F5"/>
    <w:rsid w:val="00470D0D"/>
    <w:rsid w:val="00471466"/>
    <w:rsid w:val="00472037"/>
    <w:rsid w:val="0047363E"/>
    <w:rsid w:val="00475F9E"/>
    <w:rsid w:val="00476666"/>
    <w:rsid w:val="00481A7A"/>
    <w:rsid w:val="00484675"/>
    <w:rsid w:val="004847B0"/>
    <w:rsid w:val="0049155C"/>
    <w:rsid w:val="00491F8F"/>
    <w:rsid w:val="00492AE2"/>
    <w:rsid w:val="00494EAD"/>
    <w:rsid w:val="004A11B4"/>
    <w:rsid w:val="004A1598"/>
    <w:rsid w:val="004A1CB4"/>
    <w:rsid w:val="004A1EDC"/>
    <w:rsid w:val="004A7113"/>
    <w:rsid w:val="004A73C8"/>
    <w:rsid w:val="004B10AB"/>
    <w:rsid w:val="004B1610"/>
    <w:rsid w:val="004B2074"/>
    <w:rsid w:val="004B4458"/>
    <w:rsid w:val="004B7455"/>
    <w:rsid w:val="004B7D24"/>
    <w:rsid w:val="004B7D62"/>
    <w:rsid w:val="004C2756"/>
    <w:rsid w:val="004C4E02"/>
    <w:rsid w:val="004C7130"/>
    <w:rsid w:val="004C7423"/>
    <w:rsid w:val="004D2FEE"/>
    <w:rsid w:val="004D3FEB"/>
    <w:rsid w:val="004D4342"/>
    <w:rsid w:val="004D4E38"/>
    <w:rsid w:val="004D651E"/>
    <w:rsid w:val="004D7998"/>
    <w:rsid w:val="004E2971"/>
    <w:rsid w:val="004E424E"/>
    <w:rsid w:val="004E4B47"/>
    <w:rsid w:val="004E65E6"/>
    <w:rsid w:val="004E6B87"/>
    <w:rsid w:val="004F09D1"/>
    <w:rsid w:val="004F0A7C"/>
    <w:rsid w:val="004F11DE"/>
    <w:rsid w:val="004F1DD7"/>
    <w:rsid w:val="004F225C"/>
    <w:rsid w:val="0050011B"/>
    <w:rsid w:val="0050203B"/>
    <w:rsid w:val="005039E2"/>
    <w:rsid w:val="0050405B"/>
    <w:rsid w:val="005044B1"/>
    <w:rsid w:val="00504D19"/>
    <w:rsid w:val="00505780"/>
    <w:rsid w:val="005078C6"/>
    <w:rsid w:val="00507B88"/>
    <w:rsid w:val="005114BC"/>
    <w:rsid w:val="00512079"/>
    <w:rsid w:val="0051410A"/>
    <w:rsid w:val="00514882"/>
    <w:rsid w:val="00514BEA"/>
    <w:rsid w:val="00514ED6"/>
    <w:rsid w:val="0051527F"/>
    <w:rsid w:val="00515750"/>
    <w:rsid w:val="005164D1"/>
    <w:rsid w:val="00521AFA"/>
    <w:rsid w:val="005224C3"/>
    <w:rsid w:val="00523268"/>
    <w:rsid w:val="00523DFA"/>
    <w:rsid w:val="00524FEE"/>
    <w:rsid w:val="00525519"/>
    <w:rsid w:val="00531495"/>
    <w:rsid w:val="005314E6"/>
    <w:rsid w:val="00531F75"/>
    <w:rsid w:val="005320CF"/>
    <w:rsid w:val="00532B3C"/>
    <w:rsid w:val="00534A63"/>
    <w:rsid w:val="0053695F"/>
    <w:rsid w:val="00543B68"/>
    <w:rsid w:val="00544AD4"/>
    <w:rsid w:val="00544D5E"/>
    <w:rsid w:val="00546A16"/>
    <w:rsid w:val="0054762D"/>
    <w:rsid w:val="0055270D"/>
    <w:rsid w:val="00553298"/>
    <w:rsid w:val="00556A38"/>
    <w:rsid w:val="005617B1"/>
    <w:rsid w:val="005620B6"/>
    <w:rsid w:val="005624F4"/>
    <w:rsid w:val="0056588A"/>
    <w:rsid w:val="00567BD5"/>
    <w:rsid w:val="00570A0A"/>
    <w:rsid w:val="00570AD2"/>
    <w:rsid w:val="00571630"/>
    <w:rsid w:val="005720D2"/>
    <w:rsid w:val="00572CB9"/>
    <w:rsid w:val="00572DF3"/>
    <w:rsid w:val="00573DC6"/>
    <w:rsid w:val="00575EF4"/>
    <w:rsid w:val="00576A17"/>
    <w:rsid w:val="00582106"/>
    <w:rsid w:val="00584BC4"/>
    <w:rsid w:val="0058575F"/>
    <w:rsid w:val="00585C36"/>
    <w:rsid w:val="00587A44"/>
    <w:rsid w:val="00587BB3"/>
    <w:rsid w:val="00591CB3"/>
    <w:rsid w:val="00592F03"/>
    <w:rsid w:val="0059386F"/>
    <w:rsid w:val="00593D05"/>
    <w:rsid w:val="00595501"/>
    <w:rsid w:val="00595BD9"/>
    <w:rsid w:val="005A199E"/>
    <w:rsid w:val="005A2B87"/>
    <w:rsid w:val="005A41B0"/>
    <w:rsid w:val="005B1689"/>
    <w:rsid w:val="005B4FDA"/>
    <w:rsid w:val="005B6D3E"/>
    <w:rsid w:val="005B77C7"/>
    <w:rsid w:val="005C191A"/>
    <w:rsid w:val="005C3628"/>
    <w:rsid w:val="005C40B2"/>
    <w:rsid w:val="005C4BB4"/>
    <w:rsid w:val="005C5336"/>
    <w:rsid w:val="005C6E7D"/>
    <w:rsid w:val="005D065F"/>
    <w:rsid w:val="005D190D"/>
    <w:rsid w:val="005D3598"/>
    <w:rsid w:val="005D5518"/>
    <w:rsid w:val="005D6CED"/>
    <w:rsid w:val="005E162D"/>
    <w:rsid w:val="005E5202"/>
    <w:rsid w:val="005E5510"/>
    <w:rsid w:val="005F1FC0"/>
    <w:rsid w:val="005F28AB"/>
    <w:rsid w:val="005F3456"/>
    <w:rsid w:val="005F769A"/>
    <w:rsid w:val="00601AA9"/>
    <w:rsid w:val="0060296E"/>
    <w:rsid w:val="00602E29"/>
    <w:rsid w:val="0060618E"/>
    <w:rsid w:val="00610846"/>
    <w:rsid w:val="00613BB6"/>
    <w:rsid w:val="00613EF6"/>
    <w:rsid w:val="00613F8C"/>
    <w:rsid w:val="00615C1F"/>
    <w:rsid w:val="00616629"/>
    <w:rsid w:val="00617844"/>
    <w:rsid w:val="006204C8"/>
    <w:rsid w:val="006204DB"/>
    <w:rsid w:val="006212A1"/>
    <w:rsid w:val="0062312D"/>
    <w:rsid w:val="00624A38"/>
    <w:rsid w:val="00624DD0"/>
    <w:rsid w:val="006303EA"/>
    <w:rsid w:val="00630669"/>
    <w:rsid w:val="00630EEB"/>
    <w:rsid w:val="0063134B"/>
    <w:rsid w:val="006325A8"/>
    <w:rsid w:val="006328F8"/>
    <w:rsid w:val="006329E5"/>
    <w:rsid w:val="00632A48"/>
    <w:rsid w:val="00632C00"/>
    <w:rsid w:val="006347DC"/>
    <w:rsid w:val="00636239"/>
    <w:rsid w:val="00642410"/>
    <w:rsid w:val="006428EB"/>
    <w:rsid w:val="00643B95"/>
    <w:rsid w:val="00643EDA"/>
    <w:rsid w:val="0064406F"/>
    <w:rsid w:val="0064603A"/>
    <w:rsid w:val="0064658A"/>
    <w:rsid w:val="00646D28"/>
    <w:rsid w:val="00646F94"/>
    <w:rsid w:val="00647493"/>
    <w:rsid w:val="006474A0"/>
    <w:rsid w:val="00650C24"/>
    <w:rsid w:val="00653832"/>
    <w:rsid w:val="006610A7"/>
    <w:rsid w:val="006610F3"/>
    <w:rsid w:val="00661DFD"/>
    <w:rsid w:val="0066379F"/>
    <w:rsid w:val="00664822"/>
    <w:rsid w:val="00671089"/>
    <w:rsid w:val="006727F6"/>
    <w:rsid w:val="00677A00"/>
    <w:rsid w:val="00680E09"/>
    <w:rsid w:val="00681BB5"/>
    <w:rsid w:val="00682706"/>
    <w:rsid w:val="006841A8"/>
    <w:rsid w:val="00684A13"/>
    <w:rsid w:val="00685204"/>
    <w:rsid w:val="00685272"/>
    <w:rsid w:val="00685701"/>
    <w:rsid w:val="0069167C"/>
    <w:rsid w:val="00694020"/>
    <w:rsid w:val="00695C63"/>
    <w:rsid w:val="0069652C"/>
    <w:rsid w:val="006975DE"/>
    <w:rsid w:val="00697D72"/>
    <w:rsid w:val="006A16D0"/>
    <w:rsid w:val="006A177C"/>
    <w:rsid w:val="006A1DD3"/>
    <w:rsid w:val="006A5009"/>
    <w:rsid w:val="006A6123"/>
    <w:rsid w:val="006A6366"/>
    <w:rsid w:val="006B72AB"/>
    <w:rsid w:val="006C0850"/>
    <w:rsid w:val="006C11D7"/>
    <w:rsid w:val="006C3355"/>
    <w:rsid w:val="006C373E"/>
    <w:rsid w:val="006C53F2"/>
    <w:rsid w:val="006C6B2E"/>
    <w:rsid w:val="006D00E4"/>
    <w:rsid w:val="006D09FF"/>
    <w:rsid w:val="006D4F82"/>
    <w:rsid w:val="006E0544"/>
    <w:rsid w:val="006E1FD7"/>
    <w:rsid w:val="006E4368"/>
    <w:rsid w:val="006E47C7"/>
    <w:rsid w:val="006E4C36"/>
    <w:rsid w:val="006E5289"/>
    <w:rsid w:val="006E67DB"/>
    <w:rsid w:val="006F25D8"/>
    <w:rsid w:val="006F41EA"/>
    <w:rsid w:val="006F529E"/>
    <w:rsid w:val="006F535F"/>
    <w:rsid w:val="006F65FE"/>
    <w:rsid w:val="006F6E42"/>
    <w:rsid w:val="007006F2"/>
    <w:rsid w:val="007023B8"/>
    <w:rsid w:val="00704C79"/>
    <w:rsid w:val="00704CE6"/>
    <w:rsid w:val="00705108"/>
    <w:rsid w:val="007061D7"/>
    <w:rsid w:val="00710CF4"/>
    <w:rsid w:val="00713821"/>
    <w:rsid w:val="00713F6C"/>
    <w:rsid w:val="00715B01"/>
    <w:rsid w:val="00715BF8"/>
    <w:rsid w:val="00716697"/>
    <w:rsid w:val="0072043A"/>
    <w:rsid w:val="007215FC"/>
    <w:rsid w:val="007329B9"/>
    <w:rsid w:val="007331A6"/>
    <w:rsid w:val="00733CC6"/>
    <w:rsid w:val="00734E70"/>
    <w:rsid w:val="0073522E"/>
    <w:rsid w:val="00735B38"/>
    <w:rsid w:val="00736BEF"/>
    <w:rsid w:val="00736E25"/>
    <w:rsid w:val="00737277"/>
    <w:rsid w:val="00741A8D"/>
    <w:rsid w:val="00742B1C"/>
    <w:rsid w:val="00743771"/>
    <w:rsid w:val="00743C9C"/>
    <w:rsid w:val="007445E6"/>
    <w:rsid w:val="00745D4D"/>
    <w:rsid w:val="00745D82"/>
    <w:rsid w:val="00746933"/>
    <w:rsid w:val="00746FA0"/>
    <w:rsid w:val="00752ED5"/>
    <w:rsid w:val="00756EE0"/>
    <w:rsid w:val="0076059F"/>
    <w:rsid w:val="007615DF"/>
    <w:rsid w:val="00762CE4"/>
    <w:rsid w:val="00762CFE"/>
    <w:rsid w:val="007637B1"/>
    <w:rsid w:val="00763BA3"/>
    <w:rsid w:val="00764E18"/>
    <w:rsid w:val="00765AA3"/>
    <w:rsid w:val="007709DA"/>
    <w:rsid w:val="00770B5E"/>
    <w:rsid w:val="00774316"/>
    <w:rsid w:val="007766C7"/>
    <w:rsid w:val="00776E37"/>
    <w:rsid w:val="00776F94"/>
    <w:rsid w:val="0077736B"/>
    <w:rsid w:val="00780095"/>
    <w:rsid w:val="007801FD"/>
    <w:rsid w:val="007805DF"/>
    <w:rsid w:val="00781155"/>
    <w:rsid w:val="0078365A"/>
    <w:rsid w:val="00784969"/>
    <w:rsid w:val="00786380"/>
    <w:rsid w:val="007869B2"/>
    <w:rsid w:val="00786D85"/>
    <w:rsid w:val="007931A6"/>
    <w:rsid w:val="00796109"/>
    <w:rsid w:val="00797E2E"/>
    <w:rsid w:val="007A4579"/>
    <w:rsid w:val="007B331A"/>
    <w:rsid w:val="007B486E"/>
    <w:rsid w:val="007B6846"/>
    <w:rsid w:val="007B6DDD"/>
    <w:rsid w:val="007B70F2"/>
    <w:rsid w:val="007C20B3"/>
    <w:rsid w:val="007C2E19"/>
    <w:rsid w:val="007C3345"/>
    <w:rsid w:val="007C3678"/>
    <w:rsid w:val="007C7B42"/>
    <w:rsid w:val="007D38EE"/>
    <w:rsid w:val="007D407F"/>
    <w:rsid w:val="007D4A04"/>
    <w:rsid w:val="007D6AE0"/>
    <w:rsid w:val="007D75CD"/>
    <w:rsid w:val="007E567D"/>
    <w:rsid w:val="007E6EC5"/>
    <w:rsid w:val="007E7608"/>
    <w:rsid w:val="007E79E6"/>
    <w:rsid w:val="007F2CF7"/>
    <w:rsid w:val="007F32B0"/>
    <w:rsid w:val="007F3AF1"/>
    <w:rsid w:val="007F4DC9"/>
    <w:rsid w:val="007F7854"/>
    <w:rsid w:val="00800B19"/>
    <w:rsid w:val="00802A53"/>
    <w:rsid w:val="00803A74"/>
    <w:rsid w:val="00803C73"/>
    <w:rsid w:val="00807D7B"/>
    <w:rsid w:val="00810729"/>
    <w:rsid w:val="0081372B"/>
    <w:rsid w:val="00815CE9"/>
    <w:rsid w:val="00815F20"/>
    <w:rsid w:val="008160CB"/>
    <w:rsid w:val="00824AD9"/>
    <w:rsid w:val="00830D6A"/>
    <w:rsid w:val="008324F9"/>
    <w:rsid w:val="008350E2"/>
    <w:rsid w:val="0083521E"/>
    <w:rsid w:val="00836803"/>
    <w:rsid w:val="00836A6B"/>
    <w:rsid w:val="00836E5F"/>
    <w:rsid w:val="00837179"/>
    <w:rsid w:val="0084175F"/>
    <w:rsid w:val="008436C0"/>
    <w:rsid w:val="0084683B"/>
    <w:rsid w:val="00846F67"/>
    <w:rsid w:val="00847621"/>
    <w:rsid w:val="00850B69"/>
    <w:rsid w:val="00854DCE"/>
    <w:rsid w:val="00854DEA"/>
    <w:rsid w:val="0085541B"/>
    <w:rsid w:val="00855EAB"/>
    <w:rsid w:val="0086126C"/>
    <w:rsid w:val="008620A6"/>
    <w:rsid w:val="00862853"/>
    <w:rsid w:val="008634D5"/>
    <w:rsid w:val="00864CC8"/>
    <w:rsid w:val="008654AF"/>
    <w:rsid w:val="00865BE1"/>
    <w:rsid w:val="00865C97"/>
    <w:rsid w:val="00872799"/>
    <w:rsid w:val="008741F0"/>
    <w:rsid w:val="008741FC"/>
    <w:rsid w:val="00874678"/>
    <w:rsid w:val="00877253"/>
    <w:rsid w:val="00881F14"/>
    <w:rsid w:val="00884471"/>
    <w:rsid w:val="00885CF3"/>
    <w:rsid w:val="0089004A"/>
    <w:rsid w:val="00892EC4"/>
    <w:rsid w:val="00892F9D"/>
    <w:rsid w:val="008954B2"/>
    <w:rsid w:val="00895EAF"/>
    <w:rsid w:val="00897FA9"/>
    <w:rsid w:val="008A13E6"/>
    <w:rsid w:val="008A3CE3"/>
    <w:rsid w:val="008A4FE7"/>
    <w:rsid w:val="008A535F"/>
    <w:rsid w:val="008A5629"/>
    <w:rsid w:val="008A710B"/>
    <w:rsid w:val="008B0E3E"/>
    <w:rsid w:val="008B10F2"/>
    <w:rsid w:val="008B2933"/>
    <w:rsid w:val="008B3CD9"/>
    <w:rsid w:val="008B44B3"/>
    <w:rsid w:val="008B7669"/>
    <w:rsid w:val="008C0601"/>
    <w:rsid w:val="008C29A0"/>
    <w:rsid w:val="008C426E"/>
    <w:rsid w:val="008C4A5A"/>
    <w:rsid w:val="008C4B6D"/>
    <w:rsid w:val="008C58FE"/>
    <w:rsid w:val="008C7180"/>
    <w:rsid w:val="008D2404"/>
    <w:rsid w:val="008D4006"/>
    <w:rsid w:val="008D59C1"/>
    <w:rsid w:val="008D62B0"/>
    <w:rsid w:val="008D76DA"/>
    <w:rsid w:val="008D7D45"/>
    <w:rsid w:val="008E235A"/>
    <w:rsid w:val="008E3A34"/>
    <w:rsid w:val="008E3CBF"/>
    <w:rsid w:val="008E4F95"/>
    <w:rsid w:val="008E52C0"/>
    <w:rsid w:val="008E5B1E"/>
    <w:rsid w:val="008F047B"/>
    <w:rsid w:val="008F10C3"/>
    <w:rsid w:val="008F1DA8"/>
    <w:rsid w:val="008F2112"/>
    <w:rsid w:val="008F350C"/>
    <w:rsid w:val="008F41F6"/>
    <w:rsid w:val="008F4916"/>
    <w:rsid w:val="008F60DC"/>
    <w:rsid w:val="008F6468"/>
    <w:rsid w:val="008F66C7"/>
    <w:rsid w:val="008F6D70"/>
    <w:rsid w:val="00900AB4"/>
    <w:rsid w:val="00903B2E"/>
    <w:rsid w:val="009054F2"/>
    <w:rsid w:val="009062C0"/>
    <w:rsid w:val="00906350"/>
    <w:rsid w:val="0090782B"/>
    <w:rsid w:val="0091071D"/>
    <w:rsid w:val="009134DE"/>
    <w:rsid w:val="00913624"/>
    <w:rsid w:val="00914C56"/>
    <w:rsid w:val="0091567B"/>
    <w:rsid w:val="00916921"/>
    <w:rsid w:val="00916AA0"/>
    <w:rsid w:val="00916B55"/>
    <w:rsid w:val="009179B8"/>
    <w:rsid w:val="00917AC4"/>
    <w:rsid w:val="00922016"/>
    <w:rsid w:val="00925999"/>
    <w:rsid w:val="0092799F"/>
    <w:rsid w:val="00931F2D"/>
    <w:rsid w:val="00932A5A"/>
    <w:rsid w:val="00934E99"/>
    <w:rsid w:val="00935850"/>
    <w:rsid w:val="00937832"/>
    <w:rsid w:val="00941233"/>
    <w:rsid w:val="00941D89"/>
    <w:rsid w:val="00942D6B"/>
    <w:rsid w:val="0094708C"/>
    <w:rsid w:val="009505D8"/>
    <w:rsid w:val="00950E6F"/>
    <w:rsid w:val="00953EDF"/>
    <w:rsid w:val="0095463A"/>
    <w:rsid w:val="00956E86"/>
    <w:rsid w:val="009615A6"/>
    <w:rsid w:val="009641E0"/>
    <w:rsid w:val="009654AD"/>
    <w:rsid w:val="00966AC7"/>
    <w:rsid w:val="00966C42"/>
    <w:rsid w:val="009678A3"/>
    <w:rsid w:val="00967E7B"/>
    <w:rsid w:val="009702BF"/>
    <w:rsid w:val="009710EA"/>
    <w:rsid w:val="009718D1"/>
    <w:rsid w:val="00973363"/>
    <w:rsid w:val="009749E4"/>
    <w:rsid w:val="00975AA2"/>
    <w:rsid w:val="00977A2E"/>
    <w:rsid w:val="00977DBF"/>
    <w:rsid w:val="00986CDB"/>
    <w:rsid w:val="00990927"/>
    <w:rsid w:val="00990C7C"/>
    <w:rsid w:val="00992562"/>
    <w:rsid w:val="00992C76"/>
    <w:rsid w:val="00993989"/>
    <w:rsid w:val="00993A4F"/>
    <w:rsid w:val="00994B6A"/>
    <w:rsid w:val="009952E3"/>
    <w:rsid w:val="00995C08"/>
    <w:rsid w:val="00997EC4"/>
    <w:rsid w:val="009A0C61"/>
    <w:rsid w:val="009A19EE"/>
    <w:rsid w:val="009A5FFA"/>
    <w:rsid w:val="009A7051"/>
    <w:rsid w:val="009A75E3"/>
    <w:rsid w:val="009B0C6E"/>
    <w:rsid w:val="009B15EC"/>
    <w:rsid w:val="009B3194"/>
    <w:rsid w:val="009B3C32"/>
    <w:rsid w:val="009B7699"/>
    <w:rsid w:val="009B7C96"/>
    <w:rsid w:val="009C0C50"/>
    <w:rsid w:val="009C2740"/>
    <w:rsid w:val="009C52CC"/>
    <w:rsid w:val="009C56C6"/>
    <w:rsid w:val="009C56F5"/>
    <w:rsid w:val="009C64E6"/>
    <w:rsid w:val="009C7DD6"/>
    <w:rsid w:val="009D00EE"/>
    <w:rsid w:val="009D01B1"/>
    <w:rsid w:val="009D2551"/>
    <w:rsid w:val="009D279A"/>
    <w:rsid w:val="009D2DB3"/>
    <w:rsid w:val="009D30D3"/>
    <w:rsid w:val="009D31DF"/>
    <w:rsid w:val="009D5C92"/>
    <w:rsid w:val="009D7DCE"/>
    <w:rsid w:val="009E0607"/>
    <w:rsid w:val="009E5378"/>
    <w:rsid w:val="009E5C2F"/>
    <w:rsid w:val="009F2D17"/>
    <w:rsid w:val="009F367D"/>
    <w:rsid w:val="009F3EF5"/>
    <w:rsid w:val="009F4506"/>
    <w:rsid w:val="009F7C94"/>
    <w:rsid w:val="00A00455"/>
    <w:rsid w:val="00A01054"/>
    <w:rsid w:val="00A022DB"/>
    <w:rsid w:val="00A02500"/>
    <w:rsid w:val="00A03671"/>
    <w:rsid w:val="00A0687F"/>
    <w:rsid w:val="00A075BA"/>
    <w:rsid w:val="00A07FAE"/>
    <w:rsid w:val="00A1277B"/>
    <w:rsid w:val="00A1292A"/>
    <w:rsid w:val="00A13AF3"/>
    <w:rsid w:val="00A14D8C"/>
    <w:rsid w:val="00A160AA"/>
    <w:rsid w:val="00A16206"/>
    <w:rsid w:val="00A176AD"/>
    <w:rsid w:val="00A216D3"/>
    <w:rsid w:val="00A2341B"/>
    <w:rsid w:val="00A243C3"/>
    <w:rsid w:val="00A261E0"/>
    <w:rsid w:val="00A26623"/>
    <w:rsid w:val="00A35EBF"/>
    <w:rsid w:val="00A401AF"/>
    <w:rsid w:val="00A43429"/>
    <w:rsid w:val="00A45E7E"/>
    <w:rsid w:val="00A5269D"/>
    <w:rsid w:val="00A5656B"/>
    <w:rsid w:val="00A56884"/>
    <w:rsid w:val="00A61BFC"/>
    <w:rsid w:val="00A6244D"/>
    <w:rsid w:val="00A6587C"/>
    <w:rsid w:val="00A70287"/>
    <w:rsid w:val="00A70B5C"/>
    <w:rsid w:val="00A71BC2"/>
    <w:rsid w:val="00A74316"/>
    <w:rsid w:val="00A75981"/>
    <w:rsid w:val="00A76FB5"/>
    <w:rsid w:val="00A804DE"/>
    <w:rsid w:val="00A81B71"/>
    <w:rsid w:val="00A8272B"/>
    <w:rsid w:val="00A82C59"/>
    <w:rsid w:val="00A83620"/>
    <w:rsid w:val="00A85805"/>
    <w:rsid w:val="00A86FFC"/>
    <w:rsid w:val="00A87D99"/>
    <w:rsid w:val="00A90158"/>
    <w:rsid w:val="00A94937"/>
    <w:rsid w:val="00A9511C"/>
    <w:rsid w:val="00A954CA"/>
    <w:rsid w:val="00A95A03"/>
    <w:rsid w:val="00AA18BF"/>
    <w:rsid w:val="00AA20BD"/>
    <w:rsid w:val="00AA20DB"/>
    <w:rsid w:val="00AA394F"/>
    <w:rsid w:val="00AA4C5F"/>
    <w:rsid w:val="00AA607C"/>
    <w:rsid w:val="00AA638D"/>
    <w:rsid w:val="00AA6E15"/>
    <w:rsid w:val="00AB198A"/>
    <w:rsid w:val="00AB2426"/>
    <w:rsid w:val="00AB2606"/>
    <w:rsid w:val="00AB4012"/>
    <w:rsid w:val="00AB4E0B"/>
    <w:rsid w:val="00AB57F0"/>
    <w:rsid w:val="00AB6E95"/>
    <w:rsid w:val="00AC15B2"/>
    <w:rsid w:val="00AC43D1"/>
    <w:rsid w:val="00AC4661"/>
    <w:rsid w:val="00AC7BD7"/>
    <w:rsid w:val="00AD32E7"/>
    <w:rsid w:val="00AD4A43"/>
    <w:rsid w:val="00AD6102"/>
    <w:rsid w:val="00AD6AE6"/>
    <w:rsid w:val="00AE01B8"/>
    <w:rsid w:val="00AE01C3"/>
    <w:rsid w:val="00AE162C"/>
    <w:rsid w:val="00AE2921"/>
    <w:rsid w:val="00AE31B3"/>
    <w:rsid w:val="00AE5652"/>
    <w:rsid w:val="00AE7CED"/>
    <w:rsid w:val="00AF2A73"/>
    <w:rsid w:val="00AF2AC8"/>
    <w:rsid w:val="00AF346B"/>
    <w:rsid w:val="00AF3DDB"/>
    <w:rsid w:val="00AF4212"/>
    <w:rsid w:val="00B0221A"/>
    <w:rsid w:val="00B02817"/>
    <w:rsid w:val="00B043E3"/>
    <w:rsid w:val="00B05B75"/>
    <w:rsid w:val="00B123F2"/>
    <w:rsid w:val="00B144A1"/>
    <w:rsid w:val="00B1603A"/>
    <w:rsid w:val="00B16AA6"/>
    <w:rsid w:val="00B17AF2"/>
    <w:rsid w:val="00B224DD"/>
    <w:rsid w:val="00B2294E"/>
    <w:rsid w:val="00B23F5C"/>
    <w:rsid w:val="00B23FE4"/>
    <w:rsid w:val="00B24EF8"/>
    <w:rsid w:val="00B25FF4"/>
    <w:rsid w:val="00B2790E"/>
    <w:rsid w:val="00B31730"/>
    <w:rsid w:val="00B336CA"/>
    <w:rsid w:val="00B34B93"/>
    <w:rsid w:val="00B37295"/>
    <w:rsid w:val="00B40041"/>
    <w:rsid w:val="00B40416"/>
    <w:rsid w:val="00B40446"/>
    <w:rsid w:val="00B4050E"/>
    <w:rsid w:val="00B41B18"/>
    <w:rsid w:val="00B42881"/>
    <w:rsid w:val="00B42D21"/>
    <w:rsid w:val="00B43C89"/>
    <w:rsid w:val="00B44507"/>
    <w:rsid w:val="00B46494"/>
    <w:rsid w:val="00B46514"/>
    <w:rsid w:val="00B50B9F"/>
    <w:rsid w:val="00B53295"/>
    <w:rsid w:val="00B53535"/>
    <w:rsid w:val="00B54A51"/>
    <w:rsid w:val="00B559EE"/>
    <w:rsid w:val="00B561F1"/>
    <w:rsid w:val="00B56B3C"/>
    <w:rsid w:val="00B621C4"/>
    <w:rsid w:val="00B62F49"/>
    <w:rsid w:val="00B637EA"/>
    <w:rsid w:val="00B63E71"/>
    <w:rsid w:val="00B63EFD"/>
    <w:rsid w:val="00B65CA3"/>
    <w:rsid w:val="00B66180"/>
    <w:rsid w:val="00B70BCD"/>
    <w:rsid w:val="00B70EA4"/>
    <w:rsid w:val="00B72CE7"/>
    <w:rsid w:val="00B72DC7"/>
    <w:rsid w:val="00B7303D"/>
    <w:rsid w:val="00B7365A"/>
    <w:rsid w:val="00B73C6C"/>
    <w:rsid w:val="00B753F9"/>
    <w:rsid w:val="00B75F6C"/>
    <w:rsid w:val="00B80B58"/>
    <w:rsid w:val="00B8130D"/>
    <w:rsid w:val="00B82091"/>
    <w:rsid w:val="00B82A8D"/>
    <w:rsid w:val="00B9070E"/>
    <w:rsid w:val="00B907AD"/>
    <w:rsid w:val="00B91D21"/>
    <w:rsid w:val="00B92056"/>
    <w:rsid w:val="00B948E4"/>
    <w:rsid w:val="00B968DD"/>
    <w:rsid w:val="00BA0256"/>
    <w:rsid w:val="00BA17AF"/>
    <w:rsid w:val="00BA251A"/>
    <w:rsid w:val="00BA26DB"/>
    <w:rsid w:val="00BA3BC6"/>
    <w:rsid w:val="00BA3F01"/>
    <w:rsid w:val="00BA57BC"/>
    <w:rsid w:val="00BA68C4"/>
    <w:rsid w:val="00BA7815"/>
    <w:rsid w:val="00BA7B2D"/>
    <w:rsid w:val="00BB4F20"/>
    <w:rsid w:val="00BC0BCE"/>
    <w:rsid w:val="00BC257F"/>
    <w:rsid w:val="00BC31FC"/>
    <w:rsid w:val="00BD1071"/>
    <w:rsid w:val="00BD2B55"/>
    <w:rsid w:val="00BD7A1C"/>
    <w:rsid w:val="00BE11F0"/>
    <w:rsid w:val="00BE1218"/>
    <w:rsid w:val="00BE226A"/>
    <w:rsid w:val="00BE2304"/>
    <w:rsid w:val="00BE2761"/>
    <w:rsid w:val="00BE394E"/>
    <w:rsid w:val="00BE49B2"/>
    <w:rsid w:val="00BF00C5"/>
    <w:rsid w:val="00BF0CC3"/>
    <w:rsid w:val="00BF4C57"/>
    <w:rsid w:val="00BF5468"/>
    <w:rsid w:val="00BF5BE8"/>
    <w:rsid w:val="00BF773E"/>
    <w:rsid w:val="00BF7A25"/>
    <w:rsid w:val="00C01243"/>
    <w:rsid w:val="00C01B90"/>
    <w:rsid w:val="00C0517C"/>
    <w:rsid w:val="00C0597E"/>
    <w:rsid w:val="00C06023"/>
    <w:rsid w:val="00C06D59"/>
    <w:rsid w:val="00C10176"/>
    <w:rsid w:val="00C132F2"/>
    <w:rsid w:val="00C13822"/>
    <w:rsid w:val="00C13C72"/>
    <w:rsid w:val="00C15F0B"/>
    <w:rsid w:val="00C16A22"/>
    <w:rsid w:val="00C20061"/>
    <w:rsid w:val="00C2309A"/>
    <w:rsid w:val="00C239D0"/>
    <w:rsid w:val="00C24E81"/>
    <w:rsid w:val="00C3060E"/>
    <w:rsid w:val="00C314E1"/>
    <w:rsid w:val="00C32ED1"/>
    <w:rsid w:val="00C34E01"/>
    <w:rsid w:val="00C4330A"/>
    <w:rsid w:val="00C44E1B"/>
    <w:rsid w:val="00C45BD1"/>
    <w:rsid w:val="00C45EA2"/>
    <w:rsid w:val="00C509C9"/>
    <w:rsid w:val="00C51650"/>
    <w:rsid w:val="00C527BB"/>
    <w:rsid w:val="00C54E53"/>
    <w:rsid w:val="00C55845"/>
    <w:rsid w:val="00C57900"/>
    <w:rsid w:val="00C60C76"/>
    <w:rsid w:val="00C634F3"/>
    <w:rsid w:val="00C65260"/>
    <w:rsid w:val="00C65578"/>
    <w:rsid w:val="00C659DD"/>
    <w:rsid w:val="00C672A2"/>
    <w:rsid w:val="00C673BB"/>
    <w:rsid w:val="00C67BFD"/>
    <w:rsid w:val="00C72AA2"/>
    <w:rsid w:val="00C73542"/>
    <w:rsid w:val="00C745C3"/>
    <w:rsid w:val="00C74715"/>
    <w:rsid w:val="00C74DE8"/>
    <w:rsid w:val="00C75C4D"/>
    <w:rsid w:val="00C75EA8"/>
    <w:rsid w:val="00C76C12"/>
    <w:rsid w:val="00C77431"/>
    <w:rsid w:val="00C81737"/>
    <w:rsid w:val="00C822AB"/>
    <w:rsid w:val="00C82628"/>
    <w:rsid w:val="00C840C2"/>
    <w:rsid w:val="00C85656"/>
    <w:rsid w:val="00C86E4B"/>
    <w:rsid w:val="00C87763"/>
    <w:rsid w:val="00C9434E"/>
    <w:rsid w:val="00C94433"/>
    <w:rsid w:val="00C945F7"/>
    <w:rsid w:val="00C94B03"/>
    <w:rsid w:val="00C96965"/>
    <w:rsid w:val="00CA0602"/>
    <w:rsid w:val="00CA1D3D"/>
    <w:rsid w:val="00CA2864"/>
    <w:rsid w:val="00CA2E92"/>
    <w:rsid w:val="00CA3910"/>
    <w:rsid w:val="00CA5DF0"/>
    <w:rsid w:val="00CB10E8"/>
    <w:rsid w:val="00CB1915"/>
    <w:rsid w:val="00CB6F79"/>
    <w:rsid w:val="00CC2E3E"/>
    <w:rsid w:val="00CC37C7"/>
    <w:rsid w:val="00CC3D4E"/>
    <w:rsid w:val="00CC46BC"/>
    <w:rsid w:val="00CC56A4"/>
    <w:rsid w:val="00CC59CA"/>
    <w:rsid w:val="00CC5AB1"/>
    <w:rsid w:val="00CC61EA"/>
    <w:rsid w:val="00CC6FA0"/>
    <w:rsid w:val="00CC7967"/>
    <w:rsid w:val="00CD1456"/>
    <w:rsid w:val="00CD2A3E"/>
    <w:rsid w:val="00CD5BB4"/>
    <w:rsid w:val="00CD5F96"/>
    <w:rsid w:val="00CD6CC4"/>
    <w:rsid w:val="00CE066B"/>
    <w:rsid w:val="00CE0D77"/>
    <w:rsid w:val="00CE1208"/>
    <w:rsid w:val="00CE1C5F"/>
    <w:rsid w:val="00CE2401"/>
    <w:rsid w:val="00CE241A"/>
    <w:rsid w:val="00CE2435"/>
    <w:rsid w:val="00CE32C2"/>
    <w:rsid w:val="00CE5DAF"/>
    <w:rsid w:val="00CE79D4"/>
    <w:rsid w:val="00CF12DB"/>
    <w:rsid w:val="00CF4801"/>
    <w:rsid w:val="00CF5490"/>
    <w:rsid w:val="00CF5DD2"/>
    <w:rsid w:val="00CF6352"/>
    <w:rsid w:val="00CF6A04"/>
    <w:rsid w:val="00CF6BE9"/>
    <w:rsid w:val="00D00977"/>
    <w:rsid w:val="00D01D06"/>
    <w:rsid w:val="00D0201F"/>
    <w:rsid w:val="00D04073"/>
    <w:rsid w:val="00D04737"/>
    <w:rsid w:val="00D0474B"/>
    <w:rsid w:val="00D04B7E"/>
    <w:rsid w:val="00D059E7"/>
    <w:rsid w:val="00D11D28"/>
    <w:rsid w:val="00D129E5"/>
    <w:rsid w:val="00D1337A"/>
    <w:rsid w:val="00D13AF4"/>
    <w:rsid w:val="00D16E19"/>
    <w:rsid w:val="00D17EFE"/>
    <w:rsid w:val="00D218CB"/>
    <w:rsid w:val="00D22520"/>
    <w:rsid w:val="00D232F8"/>
    <w:rsid w:val="00D24C9E"/>
    <w:rsid w:val="00D2615F"/>
    <w:rsid w:val="00D31FA4"/>
    <w:rsid w:val="00D338B8"/>
    <w:rsid w:val="00D41627"/>
    <w:rsid w:val="00D43E03"/>
    <w:rsid w:val="00D45C1A"/>
    <w:rsid w:val="00D46711"/>
    <w:rsid w:val="00D47442"/>
    <w:rsid w:val="00D47D58"/>
    <w:rsid w:val="00D53332"/>
    <w:rsid w:val="00D55232"/>
    <w:rsid w:val="00D55771"/>
    <w:rsid w:val="00D56845"/>
    <w:rsid w:val="00D56988"/>
    <w:rsid w:val="00D57938"/>
    <w:rsid w:val="00D6269E"/>
    <w:rsid w:val="00D6375C"/>
    <w:rsid w:val="00D637C9"/>
    <w:rsid w:val="00D648F1"/>
    <w:rsid w:val="00D6722D"/>
    <w:rsid w:val="00D707DE"/>
    <w:rsid w:val="00D72733"/>
    <w:rsid w:val="00D749C1"/>
    <w:rsid w:val="00D7573D"/>
    <w:rsid w:val="00D75FCD"/>
    <w:rsid w:val="00D80899"/>
    <w:rsid w:val="00D81D08"/>
    <w:rsid w:val="00D8315F"/>
    <w:rsid w:val="00D84048"/>
    <w:rsid w:val="00D843D2"/>
    <w:rsid w:val="00D85047"/>
    <w:rsid w:val="00D87C01"/>
    <w:rsid w:val="00D9107C"/>
    <w:rsid w:val="00D93BF6"/>
    <w:rsid w:val="00D93C4F"/>
    <w:rsid w:val="00D944CD"/>
    <w:rsid w:val="00D96C55"/>
    <w:rsid w:val="00D9758B"/>
    <w:rsid w:val="00DA1D04"/>
    <w:rsid w:val="00DA1F4F"/>
    <w:rsid w:val="00DA2F3A"/>
    <w:rsid w:val="00DA36CD"/>
    <w:rsid w:val="00DA452D"/>
    <w:rsid w:val="00DA61AD"/>
    <w:rsid w:val="00DB03F8"/>
    <w:rsid w:val="00DB0ED8"/>
    <w:rsid w:val="00DB127B"/>
    <w:rsid w:val="00DB5131"/>
    <w:rsid w:val="00DC128F"/>
    <w:rsid w:val="00DC12AE"/>
    <w:rsid w:val="00DC23B8"/>
    <w:rsid w:val="00DC3896"/>
    <w:rsid w:val="00DC3F89"/>
    <w:rsid w:val="00DC560C"/>
    <w:rsid w:val="00DC6531"/>
    <w:rsid w:val="00DC6CDC"/>
    <w:rsid w:val="00DC722B"/>
    <w:rsid w:val="00DD05A9"/>
    <w:rsid w:val="00DD111B"/>
    <w:rsid w:val="00DD2CBB"/>
    <w:rsid w:val="00DD4E0D"/>
    <w:rsid w:val="00DD5080"/>
    <w:rsid w:val="00DD5A3B"/>
    <w:rsid w:val="00DE03F4"/>
    <w:rsid w:val="00DE0CCE"/>
    <w:rsid w:val="00DE2A26"/>
    <w:rsid w:val="00DE4101"/>
    <w:rsid w:val="00DE4453"/>
    <w:rsid w:val="00DF0556"/>
    <w:rsid w:val="00DF0FDA"/>
    <w:rsid w:val="00DF2F73"/>
    <w:rsid w:val="00DF6126"/>
    <w:rsid w:val="00DF62F2"/>
    <w:rsid w:val="00DF6DD4"/>
    <w:rsid w:val="00E001C9"/>
    <w:rsid w:val="00E032DE"/>
    <w:rsid w:val="00E03900"/>
    <w:rsid w:val="00E05536"/>
    <w:rsid w:val="00E0569D"/>
    <w:rsid w:val="00E10E75"/>
    <w:rsid w:val="00E122B8"/>
    <w:rsid w:val="00E1296F"/>
    <w:rsid w:val="00E138BD"/>
    <w:rsid w:val="00E16843"/>
    <w:rsid w:val="00E203AB"/>
    <w:rsid w:val="00E206F8"/>
    <w:rsid w:val="00E21271"/>
    <w:rsid w:val="00E214CB"/>
    <w:rsid w:val="00E23A91"/>
    <w:rsid w:val="00E23EAB"/>
    <w:rsid w:val="00E24395"/>
    <w:rsid w:val="00E25409"/>
    <w:rsid w:val="00E2730E"/>
    <w:rsid w:val="00E2736B"/>
    <w:rsid w:val="00E30E3E"/>
    <w:rsid w:val="00E31247"/>
    <w:rsid w:val="00E3179F"/>
    <w:rsid w:val="00E31989"/>
    <w:rsid w:val="00E31E06"/>
    <w:rsid w:val="00E36774"/>
    <w:rsid w:val="00E4036D"/>
    <w:rsid w:val="00E40D7A"/>
    <w:rsid w:val="00E423F5"/>
    <w:rsid w:val="00E427D9"/>
    <w:rsid w:val="00E43221"/>
    <w:rsid w:val="00E444FE"/>
    <w:rsid w:val="00E46E69"/>
    <w:rsid w:val="00E510EB"/>
    <w:rsid w:val="00E55996"/>
    <w:rsid w:val="00E55BEC"/>
    <w:rsid w:val="00E57A13"/>
    <w:rsid w:val="00E6212B"/>
    <w:rsid w:val="00E64C69"/>
    <w:rsid w:val="00E650C1"/>
    <w:rsid w:val="00E672A4"/>
    <w:rsid w:val="00E6781A"/>
    <w:rsid w:val="00E714C6"/>
    <w:rsid w:val="00E7169A"/>
    <w:rsid w:val="00E7251B"/>
    <w:rsid w:val="00E73B44"/>
    <w:rsid w:val="00E75FE6"/>
    <w:rsid w:val="00E8106C"/>
    <w:rsid w:val="00E8689B"/>
    <w:rsid w:val="00E87EFE"/>
    <w:rsid w:val="00E90F00"/>
    <w:rsid w:val="00E91FC8"/>
    <w:rsid w:val="00E96065"/>
    <w:rsid w:val="00E9716A"/>
    <w:rsid w:val="00EA4DB3"/>
    <w:rsid w:val="00EB02BB"/>
    <w:rsid w:val="00EB1C12"/>
    <w:rsid w:val="00EB5B2F"/>
    <w:rsid w:val="00EC0425"/>
    <w:rsid w:val="00EC1094"/>
    <w:rsid w:val="00EC27DB"/>
    <w:rsid w:val="00EC6398"/>
    <w:rsid w:val="00EC72AC"/>
    <w:rsid w:val="00ED035E"/>
    <w:rsid w:val="00ED04C9"/>
    <w:rsid w:val="00ED22C0"/>
    <w:rsid w:val="00ED32A2"/>
    <w:rsid w:val="00ED3DFD"/>
    <w:rsid w:val="00ED457C"/>
    <w:rsid w:val="00ED733B"/>
    <w:rsid w:val="00EE0CB8"/>
    <w:rsid w:val="00EE1148"/>
    <w:rsid w:val="00EE2320"/>
    <w:rsid w:val="00EE415F"/>
    <w:rsid w:val="00EE5A4B"/>
    <w:rsid w:val="00EE74C6"/>
    <w:rsid w:val="00EF2E82"/>
    <w:rsid w:val="00EF504B"/>
    <w:rsid w:val="00EF6C3A"/>
    <w:rsid w:val="00EF6EE3"/>
    <w:rsid w:val="00EF7295"/>
    <w:rsid w:val="00EF7E09"/>
    <w:rsid w:val="00F00EC5"/>
    <w:rsid w:val="00F03AD3"/>
    <w:rsid w:val="00F050FC"/>
    <w:rsid w:val="00F12A37"/>
    <w:rsid w:val="00F130DD"/>
    <w:rsid w:val="00F1343A"/>
    <w:rsid w:val="00F1458A"/>
    <w:rsid w:val="00F15BDF"/>
    <w:rsid w:val="00F16992"/>
    <w:rsid w:val="00F17838"/>
    <w:rsid w:val="00F17F41"/>
    <w:rsid w:val="00F20490"/>
    <w:rsid w:val="00F215CF"/>
    <w:rsid w:val="00F21B2C"/>
    <w:rsid w:val="00F2410F"/>
    <w:rsid w:val="00F25344"/>
    <w:rsid w:val="00F270C7"/>
    <w:rsid w:val="00F273ED"/>
    <w:rsid w:val="00F27409"/>
    <w:rsid w:val="00F3001B"/>
    <w:rsid w:val="00F30BC4"/>
    <w:rsid w:val="00F315C6"/>
    <w:rsid w:val="00F32549"/>
    <w:rsid w:val="00F330C9"/>
    <w:rsid w:val="00F33148"/>
    <w:rsid w:val="00F372AF"/>
    <w:rsid w:val="00F41502"/>
    <w:rsid w:val="00F462B8"/>
    <w:rsid w:val="00F46991"/>
    <w:rsid w:val="00F46D0D"/>
    <w:rsid w:val="00F46D8F"/>
    <w:rsid w:val="00F46EC9"/>
    <w:rsid w:val="00F47BB6"/>
    <w:rsid w:val="00F565B8"/>
    <w:rsid w:val="00F567F1"/>
    <w:rsid w:val="00F572FD"/>
    <w:rsid w:val="00F61432"/>
    <w:rsid w:val="00F621B5"/>
    <w:rsid w:val="00F6292B"/>
    <w:rsid w:val="00F63177"/>
    <w:rsid w:val="00F645B9"/>
    <w:rsid w:val="00F6661D"/>
    <w:rsid w:val="00F67571"/>
    <w:rsid w:val="00F67B6E"/>
    <w:rsid w:val="00F714C2"/>
    <w:rsid w:val="00F8193B"/>
    <w:rsid w:val="00F8274F"/>
    <w:rsid w:val="00F8300C"/>
    <w:rsid w:val="00F83721"/>
    <w:rsid w:val="00F83C2D"/>
    <w:rsid w:val="00F86E95"/>
    <w:rsid w:val="00F913E6"/>
    <w:rsid w:val="00F92C61"/>
    <w:rsid w:val="00F93153"/>
    <w:rsid w:val="00F960F7"/>
    <w:rsid w:val="00F97100"/>
    <w:rsid w:val="00F97390"/>
    <w:rsid w:val="00FA0C76"/>
    <w:rsid w:val="00FA1F42"/>
    <w:rsid w:val="00FA4ED5"/>
    <w:rsid w:val="00FA4F53"/>
    <w:rsid w:val="00FA5802"/>
    <w:rsid w:val="00FA69BA"/>
    <w:rsid w:val="00FB2893"/>
    <w:rsid w:val="00FB59D7"/>
    <w:rsid w:val="00FB603F"/>
    <w:rsid w:val="00FB6C5B"/>
    <w:rsid w:val="00FC1129"/>
    <w:rsid w:val="00FC320B"/>
    <w:rsid w:val="00FC3B6A"/>
    <w:rsid w:val="00FC4B5B"/>
    <w:rsid w:val="00FC5F6C"/>
    <w:rsid w:val="00FC62D7"/>
    <w:rsid w:val="00FD2AD8"/>
    <w:rsid w:val="00FD488D"/>
    <w:rsid w:val="00FE3DD3"/>
    <w:rsid w:val="00FE59D2"/>
    <w:rsid w:val="00FE70A7"/>
    <w:rsid w:val="00FE783C"/>
    <w:rsid w:val="00FF355B"/>
    <w:rsid w:val="00FF37F7"/>
    <w:rsid w:val="00FF3E17"/>
    <w:rsid w:val="00FF5C0D"/>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65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14D8C"/>
    <w:rPr>
      <w:rFonts w:ascii="Times New Roman" w:hAnsi="Times New Roman"/>
      <w:sz w:val="24"/>
    </w:rPr>
  </w:style>
  <w:style w:type="paragraph" w:styleId="Nadpis1">
    <w:name w:val="heading 1"/>
    <w:basedOn w:val="Normln"/>
    <w:next w:val="Normln"/>
    <w:link w:val="Nadpis1Char"/>
    <w:autoRedefine/>
    <w:uiPriority w:val="9"/>
    <w:qFormat/>
    <w:rsid w:val="00A14D8C"/>
    <w:pPr>
      <w:keepNext/>
      <w:keepLines/>
      <w:pageBreakBefore/>
      <w:spacing w:before="480" w:after="0"/>
      <w:outlineLvl w:val="0"/>
    </w:pPr>
    <w:rPr>
      <w:rFonts w:eastAsiaTheme="majorEastAsia" w:cs="Times New Roman"/>
      <w:b/>
      <w:bCs/>
      <w:sz w:val="32"/>
      <w:szCs w:val="28"/>
    </w:rPr>
  </w:style>
  <w:style w:type="paragraph" w:styleId="Nadpis2">
    <w:name w:val="heading 2"/>
    <w:basedOn w:val="Normln"/>
    <w:next w:val="Normln"/>
    <w:link w:val="Nadpis2Char"/>
    <w:autoRedefine/>
    <w:uiPriority w:val="9"/>
    <w:unhideWhenUsed/>
    <w:qFormat/>
    <w:rsid w:val="00A14D8C"/>
    <w:pPr>
      <w:keepNext/>
      <w:keepLines/>
      <w:spacing w:before="200" w:after="0"/>
      <w:outlineLvl w:val="1"/>
    </w:pPr>
    <w:rPr>
      <w:rFonts w:eastAsiaTheme="majorEastAsia" w:cstheme="majorBidi"/>
      <w:b/>
      <w:bCs/>
      <w:sz w:val="28"/>
      <w:szCs w:val="26"/>
    </w:rPr>
  </w:style>
  <w:style w:type="paragraph" w:styleId="Nadpis3">
    <w:name w:val="heading 3"/>
    <w:basedOn w:val="Normln"/>
    <w:next w:val="Normln"/>
    <w:link w:val="Nadpis3Char"/>
    <w:uiPriority w:val="9"/>
    <w:unhideWhenUsed/>
    <w:qFormat/>
    <w:rsid w:val="00F63177"/>
    <w:pPr>
      <w:keepNext/>
      <w:keepLines/>
      <w:spacing w:before="200" w:after="0"/>
      <w:outlineLvl w:val="2"/>
    </w:pPr>
    <w:rPr>
      <w:rFonts w:eastAsiaTheme="majorEastAsia" w:cstheme="majorBidi"/>
      <w:b/>
      <w:b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14D8C"/>
    <w:rPr>
      <w:rFonts w:ascii="Times New Roman" w:eastAsiaTheme="majorEastAsia" w:hAnsi="Times New Roman" w:cs="Times New Roman"/>
      <w:b/>
      <w:bCs/>
      <w:sz w:val="32"/>
      <w:szCs w:val="28"/>
    </w:rPr>
  </w:style>
  <w:style w:type="paragraph" w:styleId="Nadpisobsahu">
    <w:name w:val="TOC Heading"/>
    <w:basedOn w:val="Nadpis1"/>
    <w:next w:val="Normln"/>
    <w:uiPriority w:val="39"/>
    <w:unhideWhenUsed/>
    <w:qFormat/>
    <w:rsid w:val="000C6ECF"/>
    <w:pPr>
      <w:outlineLvl w:val="9"/>
    </w:pPr>
  </w:style>
  <w:style w:type="paragraph" w:styleId="Textbubliny">
    <w:name w:val="Balloon Text"/>
    <w:basedOn w:val="Normln"/>
    <w:link w:val="TextbublinyChar"/>
    <w:uiPriority w:val="99"/>
    <w:semiHidden/>
    <w:unhideWhenUsed/>
    <w:rsid w:val="000C6EC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C6ECF"/>
    <w:rPr>
      <w:rFonts w:ascii="Tahoma" w:hAnsi="Tahoma" w:cs="Tahoma"/>
      <w:sz w:val="16"/>
      <w:szCs w:val="16"/>
    </w:rPr>
  </w:style>
  <w:style w:type="paragraph" w:styleId="Obsah1">
    <w:name w:val="toc 1"/>
    <w:basedOn w:val="Normln"/>
    <w:next w:val="Normln"/>
    <w:autoRedefine/>
    <w:uiPriority w:val="39"/>
    <w:unhideWhenUsed/>
    <w:rsid w:val="006E0544"/>
    <w:pPr>
      <w:tabs>
        <w:tab w:val="right" w:leader="dot" w:pos="9062"/>
      </w:tabs>
      <w:spacing w:after="100"/>
    </w:pPr>
  </w:style>
  <w:style w:type="character" w:styleId="Hypertextovodkaz">
    <w:name w:val="Hyperlink"/>
    <w:basedOn w:val="Standardnpsmoodstavce"/>
    <w:uiPriority w:val="99"/>
    <w:unhideWhenUsed/>
    <w:rsid w:val="00F645B9"/>
    <w:rPr>
      <w:color w:val="0000FF" w:themeColor="hyperlink"/>
      <w:u w:val="single"/>
    </w:rPr>
  </w:style>
  <w:style w:type="character" w:customStyle="1" w:styleId="Nadpis2Char">
    <w:name w:val="Nadpis 2 Char"/>
    <w:basedOn w:val="Standardnpsmoodstavce"/>
    <w:link w:val="Nadpis2"/>
    <w:uiPriority w:val="9"/>
    <w:rsid w:val="00A14D8C"/>
    <w:rPr>
      <w:rFonts w:ascii="Times New Roman" w:eastAsiaTheme="majorEastAsia" w:hAnsi="Times New Roman" w:cstheme="majorBidi"/>
      <w:b/>
      <w:bCs/>
      <w:sz w:val="28"/>
      <w:szCs w:val="26"/>
    </w:rPr>
  </w:style>
  <w:style w:type="paragraph" w:styleId="Obsah2">
    <w:name w:val="toc 2"/>
    <w:basedOn w:val="Normln"/>
    <w:next w:val="Normln"/>
    <w:autoRedefine/>
    <w:uiPriority w:val="39"/>
    <w:unhideWhenUsed/>
    <w:rsid w:val="00A14D8C"/>
    <w:pPr>
      <w:spacing w:after="100"/>
      <w:ind w:left="240"/>
    </w:pPr>
  </w:style>
  <w:style w:type="paragraph" w:styleId="Textpoznpodarou">
    <w:name w:val="footnote text"/>
    <w:basedOn w:val="Normln"/>
    <w:link w:val="TextpoznpodarouChar"/>
    <w:uiPriority w:val="99"/>
    <w:unhideWhenUsed/>
    <w:rsid w:val="00E6781A"/>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E6781A"/>
    <w:rPr>
      <w:rFonts w:ascii="Times New Roman" w:hAnsi="Times New Roman"/>
      <w:sz w:val="20"/>
      <w:szCs w:val="20"/>
    </w:rPr>
  </w:style>
  <w:style w:type="character" w:styleId="Znakapoznpodarou">
    <w:name w:val="footnote reference"/>
    <w:basedOn w:val="Standardnpsmoodstavce"/>
    <w:uiPriority w:val="99"/>
    <w:semiHidden/>
    <w:unhideWhenUsed/>
    <w:rsid w:val="00E6781A"/>
    <w:rPr>
      <w:vertAlign w:val="superscript"/>
    </w:rPr>
  </w:style>
  <w:style w:type="character" w:customStyle="1" w:styleId="Nadpis3Char">
    <w:name w:val="Nadpis 3 Char"/>
    <w:basedOn w:val="Standardnpsmoodstavce"/>
    <w:link w:val="Nadpis3"/>
    <w:uiPriority w:val="9"/>
    <w:rsid w:val="00F63177"/>
    <w:rPr>
      <w:rFonts w:ascii="Times New Roman" w:eastAsiaTheme="majorEastAsia" w:hAnsi="Times New Roman" w:cstheme="majorBidi"/>
      <w:b/>
      <w:bCs/>
      <w:sz w:val="24"/>
    </w:rPr>
  </w:style>
  <w:style w:type="paragraph" w:styleId="Obsah3">
    <w:name w:val="toc 3"/>
    <w:basedOn w:val="Normln"/>
    <w:next w:val="Normln"/>
    <w:autoRedefine/>
    <w:uiPriority w:val="39"/>
    <w:unhideWhenUsed/>
    <w:rsid w:val="001339A9"/>
    <w:pPr>
      <w:spacing w:after="100"/>
      <w:ind w:left="480"/>
    </w:pPr>
  </w:style>
  <w:style w:type="paragraph" w:styleId="Zhlav">
    <w:name w:val="header"/>
    <w:basedOn w:val="Normln"/>
    <w:link w:val="ZhlavChar"/>
    <w:uiPriority w:val="99"/>
    <w:semiHidden/>
    <w:unhideWhenUsed/>
    <w:rsid w:val="0056588A"/>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56588A"/>
    <w:rPr>
      <w:rFonts w:ascii="Times New Roman" w:hAnsi="Times New Roman"/>
      <w:sz w:val="24"/>
    </w:rPr>
  </w:style>
  <w:style w:type="paragraph" w:styleId="Zpat">
    <w:name w:val="footer"/>
    <w:basedOn w:val="Normln"/>
    <w:link w:val="ZpatChar"/>
    <w:uiPriority w:val="99"/>
    <w:unhideWhenUsed/>
    <w:rsid w:val="0056588A"/>
    <w:pPr>
      <w:tabs>
        <w:tab w:val="center" w:pos="4536"/>
        <w:tab w:val="right" w:pos="9072"/>
      </w:tabs>
      <w:spacing w:after="0" w:line="240" w:lineRule="auto"/>
    </w:pPr>
  </w:style>
  <w:style w:type="character" w:customStyle="1" w:styleId="ZpatChar">
    <w:name w:val="Zápatí Char"/>
    <w:basedOn w:val="Standardnpsmoodstavce"/>
    <w:link w:val="Zpat"/>
    <w:uiPriority w:val="99"/>
    <w:rsid w:val="0056588A"/>
    <w:rPr>
      <w:rFonts w:ascii="Times New Roman" w:hAnsi="Times New Roman"/>
      <w:sz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8ABF57-3F64-403E-83A1-8847AA391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60</Pages>
  <Words>15997</Words>
  <Characters>94389</Characters>
  <Application>Microsoft Office Word</Application>
  <DocSecurity>0</DocSecurity>
  <Lines>786</Lines>
  <Paragraphs>220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110166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3</cp:revision>
  <cp:lastPrinted>2015-03-25T07:50:00Z</cp:lastPrinted>
  <dcterms:created xsi:type="dcterms:W3CDTF">2015-03-30T02:21:00Z</dcterms:created>
  <dcterms:modified xsi:type="dcterms:W3CDTF">2015-03-30T06:40:00Z</dcterms:modified>
</cp:coreProperties>
</file>