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36D8" w:rsidRPr="00D845BD" w:rsidRDefault="00B425CE" w:rsidP="003629BC">
      <w:pPr>
        <w:spacing w:line="360" w:lineRule="auto"/>
        <w:jc w:val="center"/>
        <w:rPr>
          <w:sz w:val="30"/>
          <w:szCs w:val="30"/>
        </w:rPr>
      </w:pPr>
      <w:r w:rsidRPr="00D845BD">
        <w:rPr>
          <w:sz w:val="30"/>
          <w:szCs w:val="30"/>
        </w:rPr>
        <w:t xml:space="preserve">Univerzita Palackého v Olomouci </w:t>
      </w:r>
      <w:r w:rsidRPr="00D845BD">
        <w:rPr>
          <w:sz w:val="30"/>
          <w:szCs w:val="30"/>
        </w:rPr>
        <w:br/>
        <w:t xml:space="preserve">Právnická fakulta </w:t>
      </w:r>
      <w:r w:rsidRPr="00D845BD">
        <w:rPr>
          <w:sz w:val="30"/>
          <w:szCs w:val="30"/>
        </w:rPr>
        <w:br/>
      </w:r>
      <w:r w:rsidRPr="00D845BD">
        <w:rPr>
          <w:sz w:val="30"/>
          <w:szCs w:val="30"/>
        </w:rPr>
        <w:br/>
      </w:r>
      <w:r w:rsidRPr="00D845BD">
        <w:rPr>
          <w:sz w:val="30"/>
          <w:szCs w:val="30"/>
        </w:rPr>
        <w:br/>
      </w:r>
      <w:r w:rsidRPr="00D845BD">
        <w:rPr>
          <w:sz w:val="30"/>
          <w:szCs w:val="30"/>
        </w:rPr>
        <w:br/>
      </w:r>
      <w:r w:rsidRPr="00D845BD">
        <w:rPr>
          <w:sz w:val="30"/>
          <w:szCs w:val="30"/>
        </w:rPr>
        <w:br/>
      </w:r>
    </w:p>
    <w:p w:rsidR="00D536D8" w:rsidRPr="00D845BD" w:rsidRDefault="00D536D8" w:rsidP="003629BC">
      <w:pPr>
        <w:spacing w:line="360" w:lineRule="auto"/>
        <w:rPr>
          <w:sz w:val="30"/>
          <w:szCs w:val="30"/>
        </w:rPr>
      </w:pPr>
    </w:p>
    <w:p w:rsidR="00D536D8" w:rsidRPr="00D845BD" w:rsidRDefault="00D536D8" w:rsidP="003629BC">
      <w:pPr>
        <w:spacing w:line="360" w:lineRule="auto"/>
        <w:jc w:val="center"/>
        <w:rPr>
          <w:sz w:val="30"/>
          <w:szCs w:val="30"/>
        </w:rPr>
      </w:pPr>
    </w:p>
    <w:p w:rsidR="00D536D8" w:rsidRPr="00D845BD" w:rsidRDefault="00B425CE" w:rsidP="003629BC">
      <w:pPr>
        <w:spacing w:line="360" w:lineRule="auto"/>
        <w:jc w:val="center"/>
        <w:rPr>
          <w:sz w:val="30"/>
          <w:szCs w:val="30"/>
        </w:rPr>
      </w:pPr>
      <w:r w:rsidRPr="00D845BD">
        <w:rPr>
          <w:sz w:val="30"/>
          <w:szCs w:val="30"/>
        </w:rPr>
        <w:t>Tomáš Vybíral</w:t>
      </w:r>
    </w:p>
    <w:p w:rsidR="00D536D8" w:rsidRPr="00D845BD" w:rsidRDefault="00B425CE" w:rsidP="003629BC">
      <w:pPr>
        <w:spacing w:line="360" w:lineRule="auto"/>
        <w:jc w:val="center"/>
        <w:rPr>
          <w:sz w:val="30"/>
          <w:szCs w:val="30"/>
        </w:rPr>
      </w:pPr>
      <w:r w:rsidRPr="00D845BD">
        <w:rPr>
          <w:sz w:val="30"/>
          <w:szCs w:val="30"/>
        </w:rPr>
        <w:t>Adhezní řízení v řízení o přestupcích</w:t>
      </w:r>
    </w:p>
    <w:p w:rsidR="00D536D8" w:rsidRPr="00D845BD" w:rsidRDefault="00D536D8" w:rsidP="003629BC">
      <w:pPr>
        <w:spacing w:line="360" w:lineRule="auto"/>
        <w:jc w:val="center"/>
        <w:rPr>
          <w:sz w:val="30"/>
          <w:szCs w:val="30"/>
        </w:rPr>
      </w:pPr>
    </w:p>
    <w:p w:rsidR="00D536D8" w:rsidRPr="00D845BD" w:rsidRDefault="00D536D8" w:rsidP="003629BC">
      <w:pPr>
        <w:spacing w:line="360" w:lineRule="auto"/>
        <w:jc w:val="center"/>
        <w:rPr>
          <w:sz w:val="30"/>
          <w:szCs w:val="30"/>
        </w:rPr>
      </w:pPr>
    </w:p>
    <w:p w:rsidR="00D536D8" w:rsidRPr="00D845BD" w:rsidRDefault="00D536D8" w:rsidP="003629BC">
      <w:pPr>
        <w:spacing w:line="360" w:lineRule="auto"/>
        <w:jc w:val="center"/>
        <w:rPr>
          <w:sz w:val="30"/>
          <w:szCs w:val="30"/>
        </w:rPr>
      </w:pPr>
    </w:p>
    <w:p w:rsidR="00D536D8" w:rsidRPr="00D845BD" w:rsidRDefault="00D536D8" w:rsidP="003629BC">
      <w:pPr>
        <w:spacing w:line="360" w:lineRule="auto"/>
        <w:rPr>
          <w:sz w:val="30"/>
          <w:szCs w:val="30"/>
        </w:rPr>
      </w:pPr>
    </w:p>
    <w:p w:rsidR="00D536D8" w:rsidRPr="00D845BD" w:rsidRDefault="00D536D8" w:rsidP="003629BC">
      <w:pPr>
        <w:spacing w:line="360" w:lineRule="auto"/>
        <w:jc w:val="center"/>
        <w:rPr>
          <w:sz w:val="30"/>
          <w:szCs w:val="30"/>
        </w:rPr>
      </w:pPr>
    </w:p>
    <w:p w:rsidR="00D536D8" w:rsidRPr="00D845BD" w:rsidRDefault="00D536D8" w:rsidP="003629BC">
      <w:pPr>
        <w:spacing w:line="360" w:lineRule="auto"/>
        <w:jc w:val="center"/>
        <w:rPr>
          <w:sz w:val="30"/>
          <w:szCs w:val="30"/>
        </w:rPr>
      </w:pPr>
    </w:p>
    <w:p w:rsidR="00D536D8" w:rsidRPr="00D845BD" w:rsidRDefault="00D536D8" w:rsidP="003629BC">
      <w:pPr>
        <w:spacing w:line="360" w:lineRule="auto"/>
        <w:jc w:val="center"/>
        <w:rPr>
          <w:sz w:val="30"/>
          <w:szCs w:val="30"/>
        </w:rPr>
      </w:pPr>
    </w:p>
    <w:p w:rsidR="00D536D8" w:rsidRPr="00D845BD" w:rsidRDefault="00D536D8" w:rsidP="003629BC">
      <w:pPr>
        <w:spacing w:line="360" w:lineRule="auto"/>
        <w:jc w:val="center"/>
        <w:rPr>
          <w:sz w:val="30"/>
          <w:szCs w:val="30"/>
        </w:rPr>
      </w:pPr>
    </w:p>
    <w:p w:rsidR="00D536D8" w:rsidRPr="00D845BD" w:rsidRDefault="00D536D8" w:rsidP="003629BC">
      <w:pPr>
        <w:spacing w:line="360" w:lineRule="auto"/>
        <w:jc w:val="center"/>
        <w:rPr>
          <w:sz w:val="30"/>
          <w:szCs w:val="30"/>
        </w:rPr>
      </w:pPr>
    </w:p>
    <w:p w:rsidR="00D536D8" w:rsidRPr="00D845BD" w:rsidRDefault="00D536D8" w:rsidP="003629BC">
      <w:pPr>
        <w:spacing w:line="360" w:lineRule="auto"/>
        <w:jc w:val="center"/>
        <w:rPr>
          <w:sz w:val="30"/>
          <w:szCs w:val="30"/>
        </w:rPr>
      </w:pPr>
    </w:p>
    <w:p w:rsidR="00D536D8" w:rsidRPr="00D845BD" w:rsidRDefault="00D536D8" w:rsidP="003629BC">
      <w:pPr>
        <w:spacing w:line="360" w:lineRule="auto"/>
        <w:jc w:val="center"/>
        <w:rPr>
          <w:sz w:val="30"/>
          <w:szCs w:val="30"/>
        </w:rPr>
      </w:pPr>
    </w:p>
    <w:p w:rsidR="00D536D8" w:rsidRPr="00D845BD" w:rsidRDefault="00D536D8" w:rsidP="003629BC">
      <w:pPr>
        <w:spacing w:line="360" w:lineRule="auto"/>
        <w:jc w:val="center"/>
        <w:rPr>
          <w:sz w:val="30"/>
          <w:szCs w:val="30"/>
        </w:rPr>
      </w:pPr>
    </w:p>
    <w:p w:rsidR="00D536D8" w:rsidRPr="00D845BD" w:rsidRDefault="00D536D8" w:rsidP="003629BC">
      <w:pPr>
        <w:spacing w:line="360" w:lineRule="auto"/>
        <w:jc w:val="center"/>
        <w:rPr>
          <w:sz w:val="30"/>
          <w:szCs w:val="30"/>
        </w:rPr>
      </w:pPr>
    </w:p>
    <w:p w:rsidR="00D536D8" w:rsidRPr="00D845BD" w:rsidRDefault="00B425CE" w:rsidP="003629BC">
      <w:pPr>
        <w:spacing w:line="360" w:lineRule="auto"/>
        <w:jc w:val="center"/>
        <w:rPr>
          <w:sz w:val="30"/>
          <w:szCs w:val="30"/>
        </w:rPr>
      </w:pPr>
      <w:r w:rsidRPr="00D845BD">
        <w:rPr>
          <w:sz w:val="30"/>
          <w:szCs w:val="30"/>
        </w:rPr>
        <w:t>Diplomová práce</w:t>
      </w:r>
      <w:r w:rsidRPr="00D845BD">
        <w:rPr>
          <w:sz w:val="30"/>
          <w:szCs w:val="30"/>
        </w:rPr>
        <w:br/>
        <w:t>Olomouc 2025</w:t>
      </w:r>
    </w:p>
    <w:p w:rsidR="00D536D8" w:rsidRPr="00D845BD" w:rsidRDefault="00D536D8" w:rsidP="003F1055">
      <w:pPr>
        <w:ind w:right="2001"/>
        <w:jc w:val="center"/>
        <w:rPr>
          <w:sz w:val="30"/>
          <w:szCs w:val="30"/>
        </w:rPr>
      </w:pPr>
    </w:p>
    <w:p w:rsidR="00D536D8" w:rsidRPr="00D845BD" w:rsidRDefault="00D536D8" w:rsidP="004D7A26">
      <w:pPr>
        <w:ind w:right="2001"/>
        <w:rPr>
          <w:sz w:val="30"/>
          <w:szCs w:val="30"/>
        </w:rPr>
      </w:pPr>
    </w:p>
    <w:p w:rsidR="00D536D8" w:rsidRPr="00D845BD" w:rsidRDefault="00D536D8" w:rsidP="004D7A26">
      <w:pPr>
        <w:ind w:right="1134"/>
        <w:rPr>
          <w:sz w:val="30"/>
          <w:szCs w:val="30"/>
        </w:rPr>
      </w:pPr>
    </w:p>
    <w:p w:rsidR="00D536D8" w:rsidRPr="00D845BD" w:rsidRDefault="00D536D8" w:rsidP="004D7A26">
      <w:pPr>
        <w:ind w:right="2001"/>
        <w:rPr>
          <w:sz w:val="30"/>
          <w:szCs w:val="30"/>
        </w:rPr>
      </w:pPr>
    </w:p>
    <w:p w:rsidR="00D536D8" w:rsidRPr="00D845BD" w:rsidRDefault="00D536D8" w:rsidP="004D7A26">
      <w:pPr>
        <w:ind w:right="2001"/>
        <w:rPr>
          <w:sz w:val="30"/>
          <w:szCs w:val="30"/>
        </w:rPr>
      </w:pPr>
    </w:p>
    <w:p w:rsidR="00D536D8" w:rsidRPr="00D845BD" w:rsidRDefault="00D536D8" w:rsidP="004D7A26">
      <w:pPr>
        <w:ind w:right="2001"/>
        <w:rPr>
          <w:sz w:val="30"/>
          <w:szCs w:val="30"/>
        </w:rPr>
      </w:pPr>
    </w:p>
    <w:p w:rsidR="00D536D8" w:rsidRPr="00D845BD" w:rsidRDefault="00D536D8" w:rsidP="004D7A26">
      <w:pPr>
        <w:ind w:right="2001"/>
        <w:rPr>
          <w:sz w:val="30"/>
          <w:szCs w:val="30"/>
        </w:rPr>
      </w:pPr>
    </w:p>
    <w:p w:rsidR="00D536D8" w:rsidRPr="00D845BD" w:rsidRDefault="00D536D8" w:rsidP="004D7A26">
      <w:pPr>
        <w:ind w:right="2001"/>
        <w:rPr>
          <w:sz w:val="30"/>
          <w:szCs w:val="30"/>
        </w:rPr>
      </w:pPr>
    </w:p>
    <w:p w:rsidR="00D536D8" w:rsidRPr="00D845BD" w:rsidRDefault="00D536D8" w:rsidP="004D7A26">
      <w:pPr>
        <w:ind w:right="2001"/>
        <w:rPr>
          <w:sz w:val="30"/>
          <w:szCs w:val="30"/>
        </w:rPr>
      </w:pPr>
    </w:p>
    <w:p w:rsidR="00D536D8" w:rsidRPr="00D845BD" w:rsidRDefault="00D536D8" w:rsidP="004D7A26">
      <w:pPr>
        <w:ind w:right="2001"/>
        <w:rPr>
          <w:sz w:val="30"/>
          <w:szCs w:val="30"/>
        </w:rPr>
      </w:pPr>
    </w:p>
    <w:p w:rsidR="00D536D8" w:rsidRPr="00D845BD" w:rsidRDefault="00D536D8" w:rsidP="004D7A26">
      <w:pPr>
        <w:ind w:right="2001"/>
        <w:rPr>
          <w:sz w:val="30"/>
          <w:szCs w:val="30"/>
        </w:rPr>
      </w:pPr>
    </w:p>
    <w:p w:rsidR="00D536D8" w:rsidRPr="00D845BD" w:rsidRDefault="00D536D8" w:rsidP="004D7A26">
      <w:pPr>
        <w:ind w:right="2001"/>
        <w:rPr>
          <w:sz w:val="30"/>
          <w:szCs w:val="30"/>
        </w:rPr>
      </w:pPr>
    </w:p>
    <w:p w:rsidR="00D536D8" w:rsidRPr="00D845BD" w:rsidRDefault="00D536D8" w:rsidP="004D7A26">
      <w:pPr>
        <w:ind w:right="2001"/>
        <w:rPr>
          <w:sz w:val="30"/>
          <w:szCs w:val="30"/>
        </w:rPr>
      </w:pPr>
    </w:p>
    <w:p w:rsidR="00D536D8" w:rsidRPr="00D845BD" w:rsidRDefault="00D536D8" w:rsidP="004D7A26">
      <w:pPr>
        <w:ind w:right="2001"/>
        <w:rPr>
          <w:sz w:val="30"/>
          <w:szCs w:val="30"/>
        </w:rPr>
      </w:pPr>
    </w:p>
    <w:p w:rsidR="00D536D8" w:rsidRPr="00D845BD" w:rsidRDefault="00D536D8" w:rsidP="004D7A26">
      <w:pPr>
        <w:ind w:right="2001"/>
        <w:rPr>
          <w:sz w:val="30"/>
          <w:szCs w:val="30"/>
        </w:rPr>
      </w:pPr>
    </w:p>
    <w:p w:rsidR="00D536D8" w:rsidRPr="00D845BD" w:rsidRDefault="00D536D8" w:rsidP="004D7A26">
      <w:pPr>
        <w:ind w:right="2001"/>
        <w:rPr>
          <w:sz w:val="30"/>
          <w:szCs w:val="30"/>
        </w:rPr>
      </w:pPr>
    </w:p>
    <w:p w:rsidR="00D536D8" w:rsidRPr="00D845BD" w:rsidRDefault="00D536D8" w:rsidP="004D7A26">
      <w:pPr>
        <w:ind w:right="2001"/>
        <w:rPr>
          <w:sz w:val="30"/>
          <w:szCs w:val="30"/>
        </w:rPr>
      </w:pPr>
    </w:p>
    <w:p w:rsidR="00D536D8" w:rsidRPr="00D845BD" w:rsidRDefault="00D536D8" w:rsidP="004D7A26">
      <w:pPr>
        <w:ind w:right="2001"/>
        <w:rPr>
          <w:sz w:val="30"/>
          <w:szCs w:val="30"/>
        </w:rPr>
      </w:pPr>
    </w:p>
    <w:p w:rsidR="00D536D8" w:rsidRPr="00D845BD" w:rsidRDefault="00D536D8" w:rsidP="004D7A26">
      <w:pPr>
        <w:ind w:right="2001"/>
        <w:rPr>
          <w:sz w:val="30"/>
          <w:szCs w:val="30"/>
        </w:rPr>
      </w:pPr>
    </w:p>
    <w:p w:rsidR="00D536D8" w:rsidRPr="00D845BD" w:rsidRDefault="00D536D8" w:rsidP="004D7A26">
      <w:pPr>
        <w:ind w:right="2001"/>
        <w:rPr>
          <w:sz w:val="30"/>
          <w:szCs w:val="30"/>
        </w:rPr>
      </w:pPr>
    </w:p>
    <w:p w:rsidR="00D536D8" w:rsidRPr="00D845BD" w:rsidRDefault="00D536D8" w:rsidP="004D7A26">
      <w:pPr>
        <w:ind w:right="2001"/>
        <w:rPr>
          <w:sz w:val="30"/>
          <w:szCs w:val="30"/>
        </w:rPr>
      </w:pPr>
    </w:p>
    <w:p w:rsidR="00D536D8" w:rsidRPr="00D845BD" w:rsidRDefault="00D536D8" w:rsidP="004D7A26">
      <w:pPr>
        <w:ind w:right="2001"/>
        <w:rPr>
          <w:sz w:val="30"/>
          <w:szCs w:val="30"/>
        </w:rPr>
      </w:pPr>
    </w:p>
    <w:p w:rsidR="00D536D8" w:rsidRPr="00D845BD" w:rsidRDefault="00D536D8" w:rsidP="004D7A26">
      <w:pPr>
        <w:ind w:right="2001"/>
        <w:rPr>
          <w:sz w:val="30"/>
          <w:szCs w:val="30"/>
        </w:rPr>
      </w:pPr>
    </w:p>
    <w:p w:rsidR="00215304" w:rsidRDefault="00B425CE" w:rsidP="00215304">
      <w:pPr>
        <w:ind w:right="2001"/>
        <w:jc w:val="both"/>
        <w:rPr>
          <w:sz w:val="24"/>
          <w:szCs w:val="24"/>
        </w:rPr>
      </w:pPr>
      <w:r w:rsidRPr="00D845BD">
        <w:rPr>
          <w:sz w:val="24"/>
          <w:szCs w:val="24"/>
        </w:rPr>
        <w:t xml:space="preserve">„Prohlašuji, že jsem diplomovou práci na téma Adhezní řízení v řízení o přestupcích vypracoval samostatně a citoval jsem všechny použité zdroje. Dále prohlašuji, že vlastní text této práce včetně poznámek pod čarou má </w:t>
      </w:r>
      <w:r w:rsidR="00176632">
        <w:rPr>
          <w:sz w:val="24"/>
          <w:szCs w:val="24"/>
        </w:rPr>
        <w:t>166 580</w:t>
      </w:r>
      <w:r w:rsidRPr="00D845BD">
        <w:rPr>
          <w:sz w:val="24"/>
          <w:szCs w:val="24"/>
        </w:rPr>
        <w:t xml:space="preserve"> znaků včetně mezer.</w:t>
      </w:r>
      <w:r w:rsidR="00176632">
        <w:rPr>
          <w:sz w:val="24"/>
          <w:szCs w:val="24"/>
        </w:rPr>
        <w:t>”</w:t>
      </w:r>
      <w:r w:rsidRPr="00D845BD">
        <w:rPr>
          <w:sz w:val="24"/>
          <w:szCs w:val="24"/>
        </w:rPr>
        <w:t xml:space="preserve"> </w:t>
      </w:r>
    </w:p>
    <w:p w:rsidR="00215304" w:rsidRDefault="00B425CE" w:rsidP="00215304">
      <w:pPr>
        <w:ind w:right="2001"/>
        <w:jc w:val="both"/>
        <w:rPr>
          <w:sz w:val="24"/>
          <w:szCs w:val="24"/>
        </w:rPr>
      </w:pPr>
      <w:r w:rsidRPr="00D845BD">
        <w:rPr>
          <w:sz w:val="24"/>
          <w:szCs w:val="24"/>
        </w:rPr>
        <w:br/>
      </w:r>
      <w:r w:rsidRPr="00D845BD">
        <w:rPr>
          <w:sz w:val="24"/>
          <w:szCs w:val="24"/>
        </w:rPr>
        <w:br/>
        <w:t xml:space="preserve">V Olomouci dne </w:t>
      </w:r>
      <w:r w:rsidR="00176632">
        <w:rPr>
          <w:sz w:val="24"/>
          <w:szCs w:val="24"/>
        </w:rPr>
        <w:t>15. 2. 2025</w:t>
      </w:r>
      <w:r w:rsidRPr="00D845BD">
        <w:rPr>
          <w:sz w:val="24"/>
          <w:szCs w:val="24"/>
        </w:rPr>
        <w:t xml:space="preserve"> </w:t>
      </w:r>
    </w:p>
    <w:p w:rsidR="00D536D8" w:rsidRDefault="00B425CE" w:rsidP="00215304">
      <w:pPr>
        <w:ind w:right="2001"/>
        <w:jc w:val="both"/>
        <w:rPr>
          <w:sz w:val="24"/>
          <w:szCs w:val="24"/>
        </w:rPr>
      </w:pPr>
      <w:r w:rsidRPr="00D845BD">
        <w:rPr>
          <w:sz w:val="24"/>
          <w:szCs w:val="24"/>
        </w:rPr>
        <w:br/>
        <w:t xml:space="preserve">                                                                    </w:t>
      </w:r>
      <w:r w:rsidR="00176632">
        <w:rPr>
          <w:sz w:val="24"/>
          <w:szCs w:val="24"/>
        </w:rPr>
        <w:t xml:space="preserve">                     </w:t>
      </w:r>
      <w:r w:rsidRPr="00D845BD">
        <w:rPr>
          <w:sz w:val="24"/>
          <w:szCs w:val="24"/>
        </w:rPr>
        <w:t xml:space="preserve">  Tomáš Vybíral</w:t>
      </w:r>
    </w:p>
    <w:p w:rsidR="00215304" w:rsidRPr="00D845BD" w:rsidRDefault="00215304" w:rsidP="00215304">
      <w:pPr>
        <w:ind w:right="2001"/>
        <w:jc w:val="both"/>
        <w:rPr>
          <w:sz w:val="24"/>
          <w:szCs w:val="24"/>
        </w:rPr>
      </w:pPr>
    </w:p>
    <w:p w:rsidR="00D536D8" w:rsidRPr="00D845BD" w:rsidRDefault="00D536D8" w:rsidP="004D7A26">
      <w:pPr>
        <w:ind w:right="2001"/>
        <w:rPr>
          <w:sz w:val="30"/>
          <w:szCs w:val="30"/>
        </w:rPr>
      </w:pPr>
    </w:p>
    <w:p w:rsidR="00D536D8" w:rsidRPr="00D845BD" w:rsidRDefault="00D536D8">
      <w:pPr>
        <w:ind w:right="2001"/>
        <w:rPr>
          <w:sz w:val="30"/>
          <w:szCs w:val="30"/>
        </w:rPr>
      </w:pPr>
    </w:p>
    <w:p w:rsidR="00D536D8" w:rsidRPr="00D845BD" w:rsidRDefault="00D536D8">
      <w:pPr>
        <w:ind w:right="2001"/>
        <w:rPr>
          <w:sz w:val="30"/>
          <w:szCs w:val="30"/>
        </w:rPr>
      </w:pPr>
    </w:p>
    <w:p w:rsidR="00932305" w:rsidRDefault="008E4530" w:rsidP="00F67CAF">
      <w:pPr>
        <w:ind w:right="567"/>
        <w:jc w:val="both"/>
        <w:rPr>
          <w:b/>
          <w:sz w:val="32"/>
          <w:szCs w:val="32"/>
        </w:rPr>
      </w:pPr>
      <w:r>
        <w:rPr>
          <w:sz w:val="24"/>
          <w:szCs w:val="24"/>
        </w:rPr>
        <w:br/>
      </w:r>
    </w:p>
    <w:p w:rsidR="003629BC" w:rsidRDefault="003629BC" w:rsidP="00F67CAF">
      <w:pPr>
        <w:spacing w:line="360" w:lineRule="auto"/>
        <w:ind w:right="567"/>
        <w:jc w:val="both"/>
        <w:rPr>
          <w:sz w:val="24"/>
          <w:szCs w:val="24"/>
          <w:shd w:val="clear" w:color="auto" w:fill="FFFFFF"/>
        </w:rPr>
      </w:pPr>
    </w:p>
    <w:p w:rsidR="003629BC" w:rsidRDefault="003629BC" w:rsidP="00F67CAF">
      <w:pPr>
        <w:spacing w:line="360" w:lineRule="auto"/>
        <w:ind w:right="567"/>
        <w:jc w:val="both"/>
        <w:rPr>
          <w:sz w:val="24"/>
          <w:szCs w:val="24"/>
          <w:shd w:val="clear" w:color="auto" w:fill="FFFFFF"/>
        </w:rPr>
      </w:pPr>
    </w:p>
    <w:p w:rsidR="003629BC" w:rsidRDefault="003629BC" w:rsidP="00F67CAF">
      <w:pPr>
        <w:spacing w:line="360" w:lineRule="auto"/>
        <w:ind w:right="567"/>
        <w:jc w:val="both"/>
        <w:rPr>
          <w:sz w:val="24"/>
          <w:szCs w:val="24"/>
          <w:shd w:val="clear" w:color="auto" w:fill="FFFFFF"/>
        </w:rPr>
      </w:pPr>
    </w:p>
    <w:p w:rsidR="003629BC" w:rsidRDefault="003629BC" w:rsidP="00F67CAF">
      <w:pPr>
        <w:spacing w:line="360" w:lineRule="auto"/>
        <w:ind w:right="567"/>
        <w:jc w:val="both"/>
        <w:rPr>
          <w:sz w:val="24"/>
          <w:szCs w:val="24"/>
          <w:shd w:val="clear" w:color="auto" w:fill="FFFFFF"/>
        </w:rPr>
      </w:pPr>
    </w:p>
    <w:p w:rsidR="003629BC" w:rsidRDefault="003629BC" w:rsidP="00F67CAF">
      <w:pPr>
        <w:spacing w:line="360" w:lineRule="auto"/>
        <w:ind w:right="567"/>
        <w:jc w:val="both"/>
        <w:rPr>
          <w:sz w:val="24"/>
          <w:szCs w:val="24"/>
          <w:shd w:val="clear" w:color="auto" w:fill="FFFFFF"/>
        </w:rPr>
      </w:pPr>
    </w:p>
    <w:p w:rsidR="003629BC" w:rsidRDefault="003629BC" w:rsidP="00F67CAF">
      <w:pPr>
        <w:spacing w:line="360" w:lineRule="auto"/>
        <w:ind w:right="567"/>
        <w:jc w:val="both"/>
        <w:rPr>
          <w:sz w:val="24"/>
          <w:szCs w:val="24"/>
          <w:shd w:val="clear" w:color="auto" w:fill="FFFFFF"/>
        </w:rPr>
      </w:pPr>
    </w:p>
    <w:p w:rsidR="003629BC" w:rsidRDefault="003629BC" w:rsidP="00F67CAF">
      <w:pPr>
        <w:spacing w:line="360" w:lineRule="auto"/>
        <w:ind w:right="567"/>
        <w:jc w:val="both"/>
        <w:rPr>
          <w:sz w:val="24"/>
          <w:szCs w:val="24"/>
          <w:shd w:val="clear" w:color="auto" w:fill="FFFFFF"/>
        </w:rPr>
      </w:pPr>
    </w:p>
    <w:p w:rsidR="003629BC" w:rsidRDefault="003629BC" w:rsidP="00F67CAF">
      <w:pPr>
        <w:spacing w:line="360" w:lineRule="auto"/>
        <w:ind w:right="567"/>
        <w:jc w:val="both"/>
        <w:rPr>
          <w:sz w:val="24"/>
          <w:szCs w:val="24"/>
          <w:shd w:val="clear" w:color="auto" w:fill="FFFFFF"/>
        </w:rPr>
      </w:pPr>
    </w:p>
    <w:p w:rsidR="003629BC" w:rsidRDefault="003629BC" w:rsidP="00F67CAF">
      <w:pPr>
        <w:spacing w:line="360" w:lineRule="auto"/>
        <w:ind w:right="567"/>
        <w:jc w:val="both"/>
        <w:rPr>
          <w:sz w:val="24"/>
          <w:szCs w:val="24"/>
          <w:shd w:val="clear" w:color="auto" w:fill="FFFFFF"/>
        </w:rPr>
      </w:pPr>
    </w:p>
    <w:p w:rsidR="003629BC" w:rsidRDefault="003629BC" w:rsidP="00F67CAF">
      <w:pPr>
        <w:spacing w:line="360" w:lineRule="auto"/>
        <w:ind w:right="567"/>
        <w:jc w:val="both"/>
        <w:rPr>
          <w:sz w:val="24"/>
          <w:szCs w:val="24"/>
          <w:shd w:val="clear" w:color="auto" w:fill="FFFFFF"/>
        </w:rPr>
      </w:pPr>
    </w:p>
    <w:p w:rsidR="003629BC" w:rsidRDefault="003629BC" w:rsidP="00F67CAF">
      <w:pPr>
        <w:spacing w:line="360" w:lineRule="auto"/>
        <w:ind w:right="567"/>
        <w:jc w:val="both"/>
        <w:rPr>
          <w:sz w:val="24"/>
          <w:szCs w:val="24"/>
          <w:shd w:val="clear" w:color="auto" w:fill="FFFFFF"/>
        </w:rPr>
      </w:pPr>
    </w:p>
    <w:p w:rsidR="003629BC" w:rsidRDefault="003629BC" w:rsidP="00F67CAF">
      <w:pPr>
        <w:spacing w:line="360" w:lineRule="auto"/>
        <w:ind w:right="567"/>
        <w:jc w:val="both"/>
        <w:rPr>
          <w:sz w:val="24"/>
          <w:szCs w:val="24"/>
          <w:shd w:val="clear" w:color="auto" w:fill="FFFFFF"/>
        </w:rPr>
      </w:pPr>
    </w:p>
    <w:p w:rsidR="003629BC" w:rsidRDefault="003629BC" w:rsidP="00F67CAF">
      <w:pPr>
        <w:spacing w:line="360" w:lineRule="auto"/>
        <w:ind w:right="567"/>
        <w:jc w:val="both"/>
        <w:rPr>
          <w:sz w:val="24"/>
          <w:szCs w:val="24"/>
          <w:shd w:val="clear" w:color="auto" w:fill="FFFFFF"/>
        </w:rPr>
      </w:pPr>
    </w:p>
    <w:p w:rsidR="003629BC" w:rsidRDefault="003629BC" w:rsidP="00F67CAF">
      <w:pPr>
        <w:spacing w:line="360" w:lineRule="auto"/>
        <w:ind w:right="567"/>
        <w:jc w:val="both"/>
        <w:rPr>
          <w:sz w:val="24"/>
          <w:szCs w:val="24"/>
          <w:shd w:val="clear" w:color="auto" w:fill="FFFFFF"/>
        </w:rPr>
      </w:pPr>
    </w:p>
    <w:p w:rsidR="003629BC" w:rsidRDefault="003629BC" w:rsidP="00F67CAF">
      <w:pPr>
        <w:spacing w:line="360" w:lineRule="auto"/>
        <w:ind w:right="567"/>
        <w:jc w:val="both"/>
        <w:rPr>
          <w:sz w:val="24"/>
          <w:szCs w:val="24"/>
          <w:shd w:val="clear" w:color="auto" w:fill="FFFFFF"/>
        </w:rPr>
      </w:pPr>
    </w:p>
    <w:p w:rsidR="003629BC" w:rsidRDefault="003629BC" w:rsidP="00F67CAF">
      <w:pPr>
        <w:spacing w:line="360" w:lineRule="auto"/>
        <w:ind w:right="567"/>
        <w:jc w:val="both"/>
        <w:rPr>
          <w:sz w:val="24"/>
          <w:szCs w:val="24"/>
          <w:shd w:val="clear" w:color="auto" w:fill="FFFFFF"/>
        </w:rPr>
      </w:pPr>
    </w:p>
    <w:p w:rsidR="00B86473" w:rsidRDefault="00B86473" w:rsidP="00F67CAF">
      <w:pPr>
        <w:spacing w:line="360" w:lineRule="auto"/>
        <w:ind w:right="567"/>
        <w:jc w:val="both"/>
        <w:rPr>
          <w:i/>
          <w:sz w:val="24"/>
          <w:szCs w:val="24"/>
          <w:shd w:val="clear" w:color="auto" w:fill="FFFFFF"/>
        </w:rPr>
      </w:pPr>
    </w:p>
    <w:p w:rsidR="00B86473" w:rsidRDefault="00B86473" w:rsidP="00F67CAF">
      <w:pPr>
        <w:spacing w:line="360" w:lineRule="auto"/>
        <w:ind w:right="567"/>
        <w:jc w:val="both"/>
        <w:rPr>
          <w:i/>
          <w:sz w:val="24"/>
          <w:szCs w:val="24"/>
          <w:shd w:val="clear" w:color="auto" w:fill="FFFFFF"/>
        </w:rPr>
      </w:pPr>
    </w:p>
    <w:p w:rsidR="00B86473" w:rsidRDefault="00B86473" w:rsidP="00F67CAF">
      <w:pPr>
        <w:spacing w:line="360" w:lineRule="auto"/>
        <w:ind w:right="567"/>
        <w:jc w:val="both"/>
        <w:rPr>
          <w:i/>
          <w:sz w:val="24"/>
          <w:szCs w:val="24"/>
          <w:shd w:val="clear" w:color="auto" w:fill="FFFFFF"/>
        </w:rPr>
      </w:pPr>
    </w:p>
    <w:p w:rsidR="00B86473" w:rsidRDefault="00B86473" w:rsidP="00F67CAF">
      <w:pPr>
        <w:spacing w:line="360" w:lineRule="auto"/>
        <w:ind w:right="567"/>
        <w:jc w:val="both"/>
        <w:rPr>
          <w:i/>
          <w:sz w:val="24"/>
          <w:szCs w:val="24"/>
          <w:shd w:val="clear" w:color="auto" w:fill="FFFFFF"/>
        </w:rPr>
      </w:pPr>
    </w:p>
    <w:p w:rsidR="00B86473" w:rsidRDefault="00B86473" w:rsidP="00F67CAF">
      <w:pPr>
        <w:spacing w:line="360" w:lineRule="auto"/>
        <w:ind w:right="567"/>
        <w:jc w:val="both"/>
        <w:rPr>
          <w:i/>
          <w:sz w:val="24"/>
          <w:szCs w:val="24"/>
          <w:shd w:val="clear" w:color="auto" w:fill="FFFFFF"/>
        </w:rPr>
      </w:pPr>
    </w:p>
    <w:p w:rsidR="00B86473" w:rsidRDefault="00B86473" w:rsidP="00F67CAF">
      <w:pPr>
        <w:spacing w:line="360" w:lineRule="auto"/>
        <w:ind w:right="567"/>
        <w:jc w:val="both"/>
        <w:rPr>
          <w:i/>
          <w:sz w:val="24"/>
          <w:szCs w:val="24"/>
          <w:shd w:val="clear" w:color="auto" w:fill="FFFFFF"/>
        </w:rPr>
      </w:pPr>
    </w:p>
    <w:p w:rsidR="003F1055" w:rsidRPr="00FF419E" w:rsidRDefault="00F67CAF" w:rsidP="00F67CAF">
      <w:pPr>
        <w:spacing w:line="360" w:lineRule="auto"/>
        <w:ind w:right="567"/>
        <w:jc w:val="both"/>
        <w:rPr>
          <w:i/>
          <w:sz w:val="24"/>
          <w:szCs w:val="24"/>
          <w:lang w:val="cs-CZ"/>
        </w:rPr>
      </w:pPr>
      <w:r w:rsidRPr="00FF419E">
        <w:rPr>
          <w:i/>
          <w:sz w:val="24"/>
          <w:szCs w:val="24"/>
          <w:shd w:val="clear" w:color="auto" w:fill="FFFFFF"/>
        </w:rPr>
        <w:t>Velice děkuji</w:t>
      </w:r>
      <w:r w:rsidR="00F024FF">
        <w:rPr>
          <w:i/>
          <w:sz w:val="24"/>
          <w:szCs w:val="24"/>
          <w:shd w:val="clear" w:color="auto" w:fill="FFFFFF"/>
        </w:rPr>
        <w:t xml:space="preserve"> své</w:t>
      </w:r>
      <w:r w:rsidRPr="00FF419E">
        <w:rPr>
          <w:i/>
          <w:sz w:val="24"/>
          <w:szCs w:val="24"/>
          <w:shd w:val="clear" w:color="auto" w:fill="FFFFFF"/>
        </w:rPr>
        <w:t xml:space="preserve"> vedoucí diplomové práce</w:t>
      </w:r>
      <w:r w:rsidR="00B86473">
        <w:rPr>
          <w:i/>
          <w:sz w:val="24"/>
          <w:szCs w:val="24"/>
          <w:shd w:val="clear" w:color="auto" w:fill="FFFFFF"/>
        </w:rPr>
        <w:t>, paní</w:t>
      </w:r>
      <w:r w:rsidRPr="00FF419E">
        <w:rPr>
          <w:i/>
          <w:sz w:val="24"/>
          <w:szCs w:val="24"/>
          <w:shd w:val="clear" w:color="auto" w:fill="FFFFFF"/>
        </w:rPr>
        <w:t xml:space="preserve"> doc. JUDr. Kateřině Frumarové, Ph.D</w:t>
      </w:r>
      <w:r w:rsidR="00B86473">
        <w:rPr>
          <w:i/>
          <w:sz w:val="24"/>
          <w:szCs w:val="24"/>
          <w:shd w:val="clear" w:color="auto" w:fill="FFFFFF"/>
        </w:rPr>
        <w:t>,</w:t>
      </w:r>
      <w:r w:rsidR="00F024FF">
        <w:rPr>
          <w:i/>
          <w:sz w:val="24"/>
          <w:szCs w:val="24"/>
          <w:shd w:val="clear" w:color="auto" w:fill="FFFFFF"/>
        </w:rPr>
        <w:t>.</w:t>
      </w:r>
      <w:r w:rsidRPr="00FF419E">
        <w:rPr>
          <w:i/>
          <w:sz w:val="24"/>
          <w:szCs w:val="24"/>
          <w:shd w:val="clear" w:color="auto" w:fill="FFFFFF"/>
        </w:rPr>
        <w:t>za cenné připomínky k obsahové i formální stránce práce. Zejména děkuji za přátelský přístup, trpělivost a rychlé zodpově</w:t>
      </w:r>
      <w:r w:rsidR="00176632">
        <w:rPr>
          <w:i/>
          <w:sz w:val="24"/>
          <w:szCs w:val="24"/>
          <w:shd w:val="clear" w:color="auto" w:fill="FFFFFF"/>
        </w:rPr>
        <w:t>ze</w:t>
      </w:r>
      <w:r w:rsidRPr="00FF419E">
        <w:rPr>
          <w:i/>
          <w:sz w:val="24"/>
          <w:szCs w:val="24"/>
          <w:shd w:val="clear" w:color="auto" w:fill="FFFFFF"/>
        </w:rPr>
        <w:t>ní všech dotazů.</w:t>
      </w:r>
    </w:p>
    <w:p w:rsidR="003F1055" w:rsidRPr="00FF419E" w:rsidRDefault="003F1055" w:rsidP="00F67CAF">
      <w:pPr>
        <w:spacing w:line="360" w:lineRule="auto"/>
        <w:ind w:right="567"/>
        <w:jc w:val="both"/>
        <w:rPr>
          <w:i/>
          <w:sz w:val="24"/>
          <w:szCs w:val="24"/>
          <w:lang w:val="cs-CZ"/>
        </w:rPr>
      </w:pPr>
    </w:p>
    <w:p w:rsidR="003F1055" w:rsidRPr="00FF419E" w:rsidRDefault="00F67CAF" w:rsidP="00F67CAF">
      <w:pPr>
        <w:spacing w:line="360" w:lineRule="auto"/>
        <w:ind w:right="567"/>
        <w:jc w:val="both"/>
        <w:rPr>
          <w:i/>
          <w:sz w:val="24"/>
          <w:szCs w:val="24"/>
          <w:lang w:val="cs-CZ"/>
        </w:rPr>
      </w:pPr>
      <w:r w:rsidRPr="00FF419E">
        <w:rPr>
          <w:i/>
          <w:sz w:val="24"/>
          <w:szCs w:val="24"/>
          <w:lang w:val="cs-CZ"/>
        </w:rPr>
        <w:t xml:space="preserve">Také na tomto místě děkuji své rodině za podporu nejen při psaní této práce, ale i po dobu celého svého studia. </w:t>
      </w:r>
      <w:r w:rsidR="003629BC" w:rsidRPr="00FF419E">
        <w:rPr>
          <w:i/>
          <w:sz w:val="24"/>
          <w:szCs w:val="24"/>
          <w:lang w:val="cs-CZ"/>
        </w:rPr>
        <w:t>Velice si toho vážím.</w:t>
      </w:r>
    </w:p>
    <w:p w:rsidR="003F1055" w:rsidRPr="00F67CAF" w:rsidRDefault="003F1055" w:rsidP="00F67CAF">
      <w:pPr>
        <w:spacing w:line="360" w:lineRule="auto"/>
        <w:ind w:right="567"/>
        <w:rPr>
          <w:lang w:val="cs-CZ"/>
        </w:rPr>
      </w:pPr>
    </w:p>
    <w:p w:rsidR="003F1055" w:rsidRPr="00F67CAF" w:rsidRDefault="003F1055" w:rsidP="00F67CAF">
      <w:pPr>
        <w:spacing w:line="360" w:lineRule="auto"/>
        <w:ind w:right="567"/>
        <w:rPr>
          <w:lang w:val="cs-CZ"/>
        </w:rPr>
      </w:pPr>
    </w:p>
    <w:p w:rsidR="003F1055" w:rsidRDefault="003F1055" w:rsidP="003F1055">
      <w:pPr>
        <w:rPr>
          <w:lang w:val="cs-CZ"/>
        </w:rPr>
      </w:pPr>
    </w:p>
    <w:p w:rsidR="003F1055" w:rsidRDefault="003F1055" w:rsidP="003F1055">
      <w:pPr>
        <w:rPr>
          <w:lang w:val="cs-CZ"/>
        </w:rPr>
      </w:pPr>
    </w:p>
    <w:p w:rsidR="003F1055" w:rsidRDefault="003F1055" w:rsidP="003F1055">
      <w:pPr>
        <w:rPr>
          <w:lang w:val="cs-CZ"/>
        </w:rPr>
      </w:pPr>
    </w:p>
    <w:p w:rsidR="003F1055" w:rsidRDefault="003F1055" w:rsidP="003F1055">
      <w:pPr>
        <w:rPr>
          <w:lang w:val="cs-CZ"/>
        </w:rPr>
      </w:pPr>
    </w:p>
    <w:p w:rsidR="003629BC" w:rsidRDefault="003629BC" w:rsidP="003F1055">
      <w:pPr>
        <w:rPr>
          <w:lang w:val="cs-CZ"/>
        </w:rPr>
      </w:pPr>
    </w:p>
    <w:p w:rsidR="00FC5C43" w:rsidRPr="00FC5C43" w:rsidRDefault="00FC5C43" w:rsidP="00FC5C43">
      <w:bookmarkStart w:id="0" w:name="_Toc190468787"/>
      <w:bookmarkStart w:id="1" w:name="_Toc190464502"/>
      <w:bookmarkStart w:id="2" w:name="_Toc190466541"/>
    </w:p>
    <w:p w:rsidR="00FF419E" w:rsidRDefault="002D17EF" w:rsidP="00FF419E">
      <w:pPr>
        <w:pStyle w:val="Nadpis1"/>
        <w:jc w:val="both"/>
      </w:pPr>
      <w:bookmarkStart w:id="3" w:name="_Toc190476373"/>
      <w:r w:rsidRPr="002D17EF">
        <w:t>Seznam použitých zkratek</w:t>
      </w:r>
      <w:bookmarkEnd w:id="0"/>
      <w:bookmarkEnd w:id="3"/>
    </w:p>
    <w:p w:rsidR="002D17EF" w:rsidRPr="00FC5C43" w:rsidRDefault="002D17EF" w:rsidP="00FC5C43">
      <w:pPr>
        <w:pStyle w:val="Nadpis1"/>
        <w:spacing w:line="240" w:lineRule="auto"/>
        <w:ind w:right="567"/>
        <w:rPr>
          <w:sz w:val="22"/>
          <w:szCs w:val="22"/>
        </w:rPr>
      </w:pPr>
      <w:r>
        <w:br/>
      </w:r>
    </w:p>
    <w:p w:rsidR="002D17EF" w:rsidRDefault="002D17EF" w:rsidP="00FC5C43">
      <w:pPr>
        <w:spacing w:line="240" w:lineRule="auto"/>
        <w:ind w:right="567"/>
      </w:pPr>
      <w:r w:rsidRPr="00FC5C43">
        <w:rPr>
          <w:b/>
        </w:rPr>
        <w:t>ESLP</w:t>
      </w:r>
      <w:r w:rsidR="00FC5C43" w:rsidRPr="00FC5C43">
        <w:rPr>
          <w:b/>
        </w:rPr>
        <w:tab/>
      </w:r>
      <w:r w:rsidR="00FC5C43" w:rsidRPr="00FC5C43">
        <w:tab/>
      </w:r>
      <w:r w:rsidR="00FC5C43" w:rsidRPr="00FC5C43">
        <w:tab/>
      </w:r>
      <w:r w:rsidR="00FF419E" w:rsidRPr="00FC5C43">
        <w:t>Evropský soud pro lidská práva</w:t>
      </w:r>
    </w:p>
    <w:p w:rsidR="00FC5C43" w:rsidRDefault="00FC5C43" w:rsidP="00FC5C43">
      <w:pPr>
        <w:spacing w:line="240" w:lineRule="auto"/>
        <w:ind w:right="567"/>
      </w:pPr>
    </w:p>
    <w:p w:rsidR="00FC5C43" w:rsidRPr="00FC5C43" w:rsidRDefault="00FC5C43" w:rsidP="00FC5C43">
      <w:pPr>
        <w:spacing w:line="240" w:lineRule="auto"/>
        <w:ind w:right="567"/>
        <w:rPr>
          <w:b/>
        </w:rPr>
      </w:pPr>
    </w:p>
    <w:p w:rsidR="00FC5C43" w:rsidRPr="00FC5C43" w:rsidRDefault="00FC5C43" w:rsidP="00FC5C43">
      <w:pPr>
        <w:spacing w:line="240" w:lineRule="auto"/>
        <w:ind w:right="567"/>
      </w:pPr>
      <w:r w:rsidRPr="00FC5C43">
        <w:rPr>
          <w:b/>
        </w:rPr>
        <w:t>NS</w:t>
      </w:r>
      <w:r w:rsidRPr="00FC5C43">
        <w:t xml:space="preserve"> </w:t>
      </w:r>
      <w:r w:rsidRPr="00FC5C43">
        <w:tab/>
      </w:r>
      <w:r w:rsidRPr="00FC5C43">
        <w:tab/>
      </w:r>
      <w:r w:rsidRPr="00FC5C43">
        <w:tab/>
        <w:t>Nejvyšší soud ČR</w:t>
      </w:r>
    </w:p>
    <w:p w:rsidR="00FC5C43" w:rsidRPr="00FC5C43" w:rsidRDefault="00FC5C43" w:rsidP="00FC5C43">
      <w:pPr>
        <w:spacing w:line="240" w:lineRule="auto"/>
        <w:ind w:right="567"/>
      </w:pPr>
    </w:p>
    <w:p w:rsidR="00FC5C43" w:rsidRPr="00FC5C43" w:rsidRDefault="00FC5C43" w:rsidP="00FC5C43">
      <w:pPr>
        <w:spacing w:line="240" w:lineRule="auto"/>
        <w:ind w:right="567"/>
      </w:pPr>
    </w:p>
    <w:p w:rsidR="00FC5C43" w:rsidRPr="00FC5C43" w:rsidRDefault="00FC5C43" w:rsidP="00FC5C43">
      <w:pPr>
        <w:spacing w:line="240" w:lineRule="auto"/>
        <w:ind w:right="567"/>
      </w:pPr>
      <w:r w:rsidRPr="00FC5C43">
        <w:rPr>
          <w:b/>
        </w:rPr>
        <w:t xml:space="preserve">NSS </w:t>
      </w:r>
      <w:r w:rsidRPr="00FC5C43">
        <w:rPr>
          <w:b/>
        </w:rPr>
        <w:tab/>
      </w:r>
      <w:r w:rsidRPr="00FC5C43">
        <w:tab/>
      </w:r>
      <w:r w:rsidRPr="00FC5C43">
        <w:tab/>
        <w:t>Nejvyšší správní soud</w:t>
      </w:r>
    </w:p>
    <w:p w:rsidR="00FC5C43" w:rsidRPr="00FC5C43" w:rsidRDefault="00FC5C43" w:rsidP="00FC5C43">
      <w:pPr>
        <w:spacing w:line="240" w:lineRule="auto"/>
        <w:ind w:right="567"/>
      </w:pPr>
    </w:p>
    <w:p w:rsidR="002D17EF" w:rsidRPr="00FC5C43" w:rsidRDefault="002D17EF" w:rsidP="00FC5C43">
      <w:pPr>
        <w:spacing w:line="240" w:lineRule="auto"/>
        <w:ind w:right="567"/>
      </w:pPr>
    </w:p>
    <w:p w:rsidR="002D17EF" w:rsidRPr="00FC5C43" w:rsidRDefault="002D17EF" w:rsidP="00FC5C43">
      <w:pPr>
        <w:spacing w:line="240" w:lineRule="auto"/>
        <w:ind w:right="567"/>
      </w:pPr>
      <w:r w:rsidRPr="00FC5C43">
        <w:rPr>
          <w:b/>
        </w:rPr>
        <w:t>OZ</w:t>
      </w:r>
      <w:r w:rsidR="00FF419E" w:rsidRPr="00FC5C43">
        <w:rPr>
          <w:b/>
        </w:rPr>
        <w:t xml:space="preserve">     </w:t>
      </w:r>
      <w:r w:rsidR="00FF419E" w:rsidRPr="00FC5C43">
        <w:t xml:space="preserve">                     </w:t>
      </w:r>
      <w:r w:rsidR="00FC5C43" w:rsidRPr="00FC5C43">
        <w:tab/>
      </w:r>
      <w:r w:rsidR="00977BC4" w:rsidRPr="00FC5C43">
        <w:t>Zákon č. 89/2012 Sb., občanský zákoník, ve znění pozdějších předpisů</w:t>
      </w:r>
    </w:p>
    <w:p w:rsidR="00AB4258" w:rsidRPr="00FC5C43" w:rsidRDefault="00AB4258" w:rsidP="00FC5C43">
      <w:pPr>
        <w:spacing w:line="240" w:lineRule="auto"/>
        <w:ind w:right="567"/>
      </w:pPr>
    </w:p>
    <w:p w:rsidR="002D17EF" w:rsidRPr="00FC5C43" w:rsidRDefault="002D17EF" w:rsidP="00FC5C43">
      <w:pPr>
        <w:spacing w:line="240" w:lineRule="auto"/>
        <w:ind w:right="567"/>
      </w:pPr>
    </w:p>
    <w:p w:rsidR="002D17EF" w:rsidRPr="00FC5C43" w:rsidRDefault="002D17EF" w:rsidP="00FC5C43">
      <w:pPr>
        <w:spacing w:line="240" w:lineRule="auto"/>
        <w:ind w:right="567"/>
      </w:pPr>
      <w:r w:rsidRPr="00FC5C43">
        <w:rPr>
          <w:b/>
        </w:rPr>
        <w:t>OZ 1964</w:t>
      </w:r>
      <w:r w:rsidR="00AB4258" w:rsidRPr="00FC5C43">
        <w:t xml:space="preserve">                    </w:t>
      </w:r>
      <w:r w:rsidR="00FC5C43" w:rsidRPr="00FC5C43">
        <w:tab/>
      </w:r>
      <w:r w:rsidR="00AB4258" w:rsidRPr="00FC5C43">
        <w:t>Zákon č. 40/1964 Sb., občanský zákoník, ve znění zákona č. 428/2012 Sb.</w:t>
      </w:r>
    </w:p>
    <w:p w:rsidR="00AB4258" w:rsidRPr="00FC5C43" w:rsidRDefault="00AB4258" w:rsidP="00FC5C43">
      <w:pPr>
        <w:spacing w:line="240" w:lineRule="auto"/>
        <w:ind w:right="567"/>
      </w:pPr>
    </w:p>
    <w:p w:rsidR="002D17EF" w:rsidRPr="00FC5C43" w:rsidRDefault="002D17EF" w:rsidP="00FC5C43">
      <w:pPr>
        <w:spacing w:line="240" w:lineRule="auto"/>
        <w:ind w:right="567"/>
      </w:pPr>
    </w:p>
    <w:p w:rsidR="00FC5C43" w:rsidRPr="00FC5C43" w:rsidRDefault="002D17EF" w:rsidP="00FC5C43">
      <w:pPr>
        <w:spacing w:line="240" w:lineRule="auto"/>
        <w:ind w:right="567"/>
      </w:pPr>
      <w:r w:rsidRPr="00FC5C43">
        <w:rPr>
          <w:b/>
        </w:rPr>
        <w:t>OSŘ</w:t>
      </w:r>
      <w:r w:rsidR="00FC5C43" w:rsidRPr="00FC5C43">
        <w:rPr>
          <w:b/>
        </w:rPr>
        <w:t xml:space="preserve"> </w:t>
      </w:r>
      <w:r w:rsidR="00FC5C43" w:rsidRPr="00FC5C43">
        <w:t xml:space="preserve">                 </w:t>
      </w:r>
      <w:r w:rsidR="00FC5C43" w:rsidRPr="00FC5C43">
        <w:tab/>
      </w:r>
      <w:r w:rsidR="00AB4258" w:rsidRPr="00FC5C43">
        <w:t xml:space="preserve">Zákon č. č. 99/1963 Sb., občanský </w:t>
      </w:r>
      <w:r w:rsidR="00FC5C43">
        <w:t xml:space="preserve">soudní řád, </w:t>
      </w:r>
      <w:r w:rsidR="00FC5C43">
        <w:br/>
        <w:t xml:space="preserve">                                    ve znění pozdějšíc</w:t>
      </w:r>
      <w:r w:rsidR="00AB4258" w:rsidRPr="00FC5C43">
        <w:t>předpisů</w:t>
      </w:r>
      <w:r w:rsidR="00FC5C43">
        <w:br/>
      </w:r>
      <w:r w:rsidR="00FC5C43">
        <w:br/>
      </w:r>
    </w:p>
    <w:p w:rsidR="00FC5C43" w:rsidRPr="00FC5C43" w:rsidRDefault="00FC5C43" w:rsidP="00FC5C43">
      <w:pPr>
        <w:spacing w:line="240" w:lineRule="auto"/>
        <w:ind w:right="567"/>
      </w:pPr>
      <w:r w:rsidRPr="00FC5C43">
        <w:rPr>
          <w:b/>
        </w:rPr>
        <w:t>PřesZ</w:t>
      </w:r>
      <w:r w:rsidRPr="00FC5C43">
        <w:rPr>
          <w:b/>
        </w:rPr>
        <w:tab/>
      </w:r>
      <w:r w:rsidRPr="00FC5C43">
        <w:tab/>
      </w:r>
      <w:r w:rsidRPr="00FC5C43">
        <w:tab/>
        <w:t xml:space="preserve">Zákon č. 250/2016 Sb., o odpovědnosti za přestupky a řízení o nich, </w:t>
      </w:r>
      <w:r w:rsidRPr="00FC5C43">
        <w:br/>
        <w:t xml:space="preserve">                                   ve znění pozdějších předpisů</w:t>
      </w:r>
    </w:p>
    <w:p w:rsidR="00FC5C43" w:rsidRPr="00FC5C43" w:rsidRDefault="00FC5C43" w:rsidP="00FC5C43">
      <w:pPr>
        <w:spacing w:line="240" w:lineRule="auto"/>
        <w:ind w:right="567"/>
      </w:pPr>
    </w:p>
    <w:p w:rsidR="00FC5C43" w:rsidRPr="00FC5C43" w:rsidRDefault="00FC5C43" w:rsidP="00FC5C43">
      <w:pPr>
        <w:spacing w:line="240" w:lineRule="auto"/>
        <w:ind w:right="567"/>
      </w:pPr>
    </w:p>
    <w:p w:rsidR="00AB4258" w:rsidRPr="00FC5C43" w:rsidRDefault="00FC5C43" w:rsidP="00FC5C43">
      <w:pPr>
        <w:spacing w:line="240" w:lineRule="auto"/>
        <w:ind w:right="567"/>
      </w:pPr>
      <w:r w:rsidRPr="00FC5C43">
        <w:rPr>
          <w:b/>
        </w:rPr>
        <w:t>PřesZ 1990</w:t>
      </w:r>
      <w:r w:rsidRPr="00FC5C43">
        <w:rPr>
          <w:b/>
        </w:rPr>
        <w:tab/>
      </w:r>
      <w:r w:rsidRPr="00FC5C43">
        <w:tab/>
        <w:t xml:space="preserve">Zákon č. 200/1990 Sb,. zákon České národní rady o přestupcích, </w:t>
      </w:r>
      <w:r w:rsidRPr="00FC5C43">
        <w:br/>
        <w:t xml:space="preserve">                                   ve znění zákona č.směni 65/2017 Sb</w:t>
      </w:r>
    </w:p>
    <w:p w:rsidR="00436BE4" w:rsidRDefault="00436BE4" w:rsidP="00FC5C43">
      <w:pPr>
        <w:spacing w:line="240" w:lineRule="auto"/>
        <w:ind w:right="567"/>
      </w:pPr>
    </w:p>
    <w:p w:rsidR="00FC5C43" w:rsidRPr="00FC5C43" w:rsidRDefault="00FC5C43" w:rsidP="00FC5C43">
      <w:pPr>
        <w:spacing w:line="240" w:lineRule="auto"/>
        <w:ind w:right="567"/>
      </w:pPr>
      <w:r w:rsidRPr="00FC5C43">
        <w:rPr>
          <w:b/>
        </w:rPr>
        <w:t>Směrnice</w:t>
      </w:r>
      <w:r w:rsidRPr="00FC5C43">
        <w:tab/>
      </w:r>
      <w:r w:rsidRPr="00FC5C43">
        <w:tab/>
        <w:t>Směrnice Evropského parlamentu a Rady 2012/29/EU ze dne 25. 10. 2012</w:t>
      </w:r>
    </w:p>
    <w:p w:rsidR="00FC5C43" w:rsidRPr="00FC5C43" w:rsidRDefault="00FC5C43" w:rsidP="00FC5C43">
      <w:pPr>
        <w:spacing w:line="240" w:lineRule="auto"/>
        <w:ind w:right="567"/>
      </w:pPr>
      <w:r w:rsidRPr="00FC5C43">
        <w:t xml:space="preserve">                                   </w:t>
      </w:r>
      <w:r>
        <w:t xml:space="preserve">Kterou </w:t>
      </w:r>
      <w:r w:rsidRPr="00FC5C43">
        <w:t xml:space="preserve">se zavádí minimální pravidla pro práva, podporu a ochranu </w:t>
      </w:r>
      <w:r w:rsidRPr="00FC5C43">
        <w:br/>
        <w:t xml:space="preserve">                                   obětí trestného činu a kterou se nahrazuje podporu a ochranu obětí</w:t>
      </w:r>
    </w:p>
    <w:p w:rsidR="00FC5C43" w:rsidRPr="00FC5C43" w:rsidRDefault="00FC5C43" w:rsidP="00FC5C43">
      <w:pPr>
        <w:spacing w:line="240" w:lineRule="auto"/>
        <w:ind w:right="567"/>
      </w:pPr>
      <w:r w:rsidRPr="00FC5C43">
        <w:t xml:space="preserve">                                </w:t>
      </w:r>
      <w:r>
        <w:t xml:space="preserve">   </w:t>
      </w:r>
      <w:r w:rsidRPr="00FC5C43">
        <w:t>trestného činu a kterou se nahrazuje rámcové rozhodnutí Rady</w:t>
      </w:r>
    </w:p>
    <w:p w:rsidR="00436BE4" w:rsidRDefault="00FC5C43" w:rsidP="00436BE4">
      <w:pPr>
        <w:spacing w:line="240" w:lineRule="auto"/>
        <w:ind w:left="2160" w:right="567" w:hanging="2160"/>
      </w:pPr>
      <w:r w:rsidRPr="00FC5C43">
        <w:t xml:space="preserve">                                </w:t>
      </w:r>
      <w:r>
        <w:t xml:space="preserve">   </w:t>
      </w:r>
      <w:r w:rsidRPr="00FC5C43">
        <w:t xml:space="preserve">2001/220/SVV        </w:t>
      </w:r>
      <w:r w:rsidR="00436BE4">
        <w:br/>
      </w:r>
      <w:r w:rsidRPr="00FC5C43">
        <w:t xml:space="preserve">        </w:t>
      </w:r>
    </w:p>
    <w:p w:rsidR="00436BE4" w:rsidRPr="00FC5C43" w:rsidRDefault="00436BE4" w:rsidP="00436BE4">
      <w:pPr>
        <w:spacing w:line="240" w:lineRule="auto"/>
        <w:ind w:left="2160" w:right="567" w:hanging="2160"/>
      </w:pPr>
      <w:r w:rsidRPr="00436BE4">
        <w:rPr>
          <w:b/>
        </w:rPr>
        <w:t>TŘ</w:t>
      </w:r>
      <w:r>
        <w:tab/>
      </w:r>
      <w:r w:rsidRPr="00FC5C43">
        <w:t>Zákon č. 141/1961 Sb., zákon o trestním řízení soudním, ve znění pozdějších předpisů</w:t>
      </w:r>
    </w:p>
    <w:p w:rsidR="00FC5C43" w:rsidRPr="00FC5C43" w:rsidRDefault="00FC5C43" w:rsidP="00FC5C43">
      <w:pPr>
        <w:spacing w:line="240" w:lineRule="auto"/>
        <w:ind w:right="567"/>
      </w:pPr>
      <w:r w:rsidRPr="00FC5C43">
        <w:t xml:space="preserve">                                            </w:t>
      </w:r>
      <w:r w:rsidR="00AB4258" w:rsidRPr="00FC5C43">
        <w:br/>
        <w:t xml:space="preserve">                             </w:t>
      </w:r>
      <w:r w:rsidRPr="00FC5C43">
        <w:t xml:space="preserve">       </w:t>
      </w:r>
      <w:r w:rsidR="00AB4258" w:rsidRPr="00FC5C43">
        <w:t xml:space="preserve">                         </w:t>
      </w:r>
      <w:r w:rsidRPr="00FC5C43">
        <w:t xml:space="preserve">     </w:t>
      </w:r>
    </w:p>
    <w:p w:rsidR="002D17EF" w:rsidRPr="00FC5C43" w:rsidRDefault="00FF419E" w:rsidP="00FC5C43">
      <w:pPr>
        <w:spacing w:line="240" w:lineRule="auto"/>
        <w:ind w:right="567"/>
      </w:pPr>
      <w:r w:rsidRPr="00FC5C43">
        <w:rPr>
          <w:b/>
        </w:rPr>
        <w:t>SŘ</w:t>
      </w:r>
      <w:r w:rsidR="00FC5C43" w:rsidRPr="00FC5C43">
        <w:rPr>
          <w:b/>
        </w:rPr>
        <w:tab/>
      </w:r>
      <w:r w:rsidR="00FC5C43" w:rsidRPr="00FC5C43">
        <w:tab/>
      </w:r>
      <w:r w:rsidR="00FC5C43">
        <w:tab/>
      </w:r>
      <w:r w:rsidR="00AB4258" w:rsidRPr="00FC5C43">
        <w:t>Zákon č. 500/2004 Sb.. Správní řád, ve znění pozdějších předpisů</w:t>
      </w:r>
    </w:p>
    <w:p w:rsidR="00FF419E" w:rsidRPr="00FC5C43" w:rsidRDefault="00FF419E" w:rsidP="00FC5C43">
      <w:pPr>
        <w:spacing w:line="240" w:lineRule="auto"/>
        <w:ind w:right="567"/>
      </w:pPr>
    </w:p>
    <w:p w:rsidR="00AB4258" w:rsidRPr="00FC5C43" w:rsidRDefault="00FF419E" w:rsidP="00FC5C43">
      <w:pPr>
        <w:spacing w:line="240" w:lineRule="auto"/>
        <w:ind w:right="567"/>
      </w:pPr>
      <w:r w:rsidRPr="00FC5C43">
        <w:rPr>
          <w:b/>
        </w:rPr>
        <w:t>ZoSP</w:t>
      </w:r>
      <w:r w:rsidR="00FC5C43" w:rsidRPr="00FC5C43">
        <w:rPr>
          <w:b/>
        </w:rPr>
        <w:tab/>
      </w:r>
      <w:r w:rsidR="00FC5C43" w:rsidRPr="00FC5C43">
        <w:tab/>
      </w:r>
      <w:r w:rsidR="00FC5C43" w:rsidRPr="00FC5C43">
        <w:tab/>
      </w:r>
      <w:r w:rsidR="00AB4258" w:rsidRPr="00FC5C43">
        <w:t>Zákon č. 549/1991 Sb. zákon o soudních poplatcích,</w:t>
      </w:r>
    </w:p>
    <w:p w:rsidR="00FF419E" w:rsidRPr="00FC5C43" w:rsidRDefault="00AB4258" w:rsidP="00FC5C43">
      <w:pPr>
        <w:spacing w:line="240" w:lineRule="auto"/>
        <w:ind w:right="567"/>
      </w:pPr>
      <w:r w:rsidRPr="00FC5C43">
        <w:t xml:space="preserve"> </w:t>
      </w:r>
      <w:r w:rsidR="00FC5C43">
        <w:t xml:space="preserve">                                  </w:t>
      </w:r>
      <w:r w:rsidRPr="00FC5C43">
        <w:t xml:space="preserve">ve znění pozdějších předpisů    </w:t>
      </w:r>
    </w:p>
    <w:p w:rsidR="00FC5C43" w:rsidRDefault="00FC5C43" w:rsidP="00FC5C43">
      <w:pPr>
        <w:ind w:right="567"/>
      </w:pPr>
    </w:p>
    <w:p w:rsidR="00FC5C43" w:rsidRDefault="00FC5C43" w:rsidP="00FC5C43">
      <w:pPr>
        <w:ind w:right="567"/>
      </w:pPr>
    </w:p>
    <w:p w:rsidR="00FC5C43" w:rsidRDefault="00FC5C43" w:rsidP="00FC5C43">
      <w:pPr>
        <w:ind w:right="567"/>
      </w:pPr>
    </w:p>
    <w:bookmarkStart w:id="4" w:name="_Toc190468789" w:displacedByCustomXml="next"/>
    <w:sdt>
      <w:sdtPr>
        <w:rPr>
          <w:rFonts w:ascii="Arial" w:eastAsia="Arial" w:hAnsi="Arial" w:cs="Arial"/>
          <w:b w:val="0"/>
          <w:color w:val="auto"/>
          <w:sz w:val="22"/>
          <w:szCs w:val="22"/>
          <w:lang w:val="en"/>
        </w:rPr>
        <w:id w:val="1940710218"/>
        <w:docPartObj>
          <w:docPartGallery w:val="Table of Contents"/>
          <w:docPartUnique/>
        </w:docPartObj>
      </w:sdtPr>
      <w:sdtEndPr>
        <w:rPr>
          <w:bCs/>
        </w:rPr>
      </w:sdtEndPr>
      <w:sdtContent>
        <w:p w:rsidR="005833E8" w:rsidRPr="005833E8" w:rsidRDefault="005833E8">
          <w:pPr>
            <w:pStyle w:val="Nadpisobsahu"/>
            <w:rPr>
              <w:rFonts w:ascii="Arial" w:hAnsi="Arial" w:cs="Arial"/>
              <w:color w:val="auto"/>
            </w:rPr>
          </w:pPr>
          <w:r w:rsidRPr="005833E8">
            <w:rPr>
              <w:rFonts w:ascii="Arial" w:hAnsi="Arial" w:cs="Arial"/>
              <w:color w:val="auto"/>
            </w:rPr>
            <w:t>Obsah</w:t>
          </w:r>
          <w:bookmarkStart w:id="5" w:name="_GoBack"/>
          <w:bookmarkEnd w:id="5"/>
        </w:p>
        <w:p w:rsidR="005833E8" w:rsidRDefault="005833E8">
          <w:pPr>
            <w:pStyle w:val="Obsah1"/>
            <w:tabs>
              <w:tab w:val="right" w:leader="dot" w:pos="10070"/>
            </w:tabs>
            <w:rPr>
              <w:rFonts w:asciiTheme="minorHAnsi" w:eastAsiaTheme="minorEastAsia" w:hAnsiTheme="minorHAnsi" w:cstheme="minorBidi"/>
              <w:noProof/>
              <w:lang w:val="cs-CZ"/>
            </w:rPr>
          </w:pPr>
          <w:r>
            <w:rPr>
              <w:b/>
              <w:bCs/>
            </w:rPr>
            <w:fldChar w:fldCharType="begin"/>
          </w:r>
          <w:r>
            <w:rPr>
              <w:b/>
              <w:bCs/>
            </w:rPr>
            <w:instrText xml:space="preserve"> TOC \o "1-3" \h \z \u </w:instrText>
          </w:r>
          <w:r>
            <w:rPr>
              <w:b/>
              <w:bCs/>
            </w:rPr>
            <w:fldChar w:fldCharType="separate"/>
          </w:r>
          <w:hyperlink w:anchor="_Toc190476373" w:history="1">
            <w:r w:rsidRPr="001107D8">
              <w:rPr>
                <w:rStyle w:val="Hypertextovodkaz"/>
                <w:noProof/>
              </w:rPr>
              <w:t>Seznam použitých zkratek</w:t>
            </w:r>
            <w:r>
              <w:rPr>
                <w:noProof/>
                <w:webHidden/>
              </w:rPr>
              <w:tab/>
            </w:r>
            <w:r>
              <w:rPr>
                <w:noProof/>
                <w:webHidden/>
              </w:rPr>
              <w:fldChar w:fldCharType="begin"/>
            </w:r>
            <w:r>
              <w:rPr>
                <w:noProof/>
                <w:webHidden/>
              </w:rPr>
              <w:instrText xml:space="preserve"> PAGEREF _Toc190476373 \h </w:instrText>
            </w:r>
            <w:r>
              <w:rPr>
                <w:noProof/>
                <w:webHidden/>
              </w:rPr>
            </w:r>
            <w:r>
              <w:rPr>
                <w:noProof/>
                <w:webHidden/>
              </w:rPr>
              <w:fldChar w:fldCharType="separate"/>
            </w:r>
            <w:r w:rsidR="002E52CC">
              <w:rPr>
                <w:noProof/>
                <w:webHidden/>
              </w:rPr>
              <w:t>3</w:t>
            </w:r>
            <w:r>
              <w:rPr>
                <w:noProof/>
                <w:webHidden/>
              </w:rPr>
              <w:fldChar w:fldCharType="end"/>
            </w:r>
          </w:hyperlink>
        </w:p>
        <w:p w:rsidR="005833E8" w:rsidRDefault="009C58C7">
          <w:pPr>
            <w:pStyle w:val="Obsah1"/>
            <w:tabs>
              <w:tab w:val="right" w:leader="dot" w:pos="10070"/>
            </w:tabs>
            <w:rPr>
              <w:rFonts w:asciiTheme="minorHAnsi" w:eastAsiaTheme="minorEastAsia" w:hAnsiTheme="minorHAnsi" w:cstheme="minorBidi"/>
              <w:noProof/>
              <w:lang w:val="cs-CZ"/>
            </w:rPr>
          </w:pPr>
          <w:hyperlink w:anchor="_Toc190476374" w:history="1">
            <w:r w:rsidR="005833E8" w:rsidRPr="001107D8">
              <w:rPr>
                <w:rStyle w:val="Hypertextovodkaz"/>
                <w:noProof/>
              </w:rPr>
              <w:t>Úvod</w:t>
            </w:r>
            <w:r w:rsidR="005833E8">
              <w:rPr>
                <w:noProof/>
                <w:webHidden/>
              </w:rPr>
              <w:tab/>
            </w:r>
            <w:r w:rsidR="005833E8">
              <w:rPr>
                <w:noProof/>
                <w:webHidden/>
              </w:rPr>
              <w:fldChar w:fldCharType="begin"/>
            </w:r>
            <w:r w:rsidR="005833E8">
              <w:rPr>
                <w:noProof/>
                <w:webHidden/>
              </w:rPr>
              <w:instrText xml:space="preserve"> PAGEREF _Toc190476374 \h </w:instrText>
            </w:r>
            <w:r w:rsidR="005833E8">
              <w:rPr>
                <w:noProof/>
                <w:webHidden/>
              </w:rPr>
            </w:r>
            <w:r w:rsidR="005833E8">
              <w:rPr>
                <w:noProof/>
                <w:webHidden/>
              </w:rPr>
              <w:fldChar w:fldCharType="separate"/>
            </w:r>
            <w:r w:rsidR="002E52CC">
              <w:rPr>
                <w:noProof/>
                <w:webHidden/>
              </w:rPr>
              <w:t>5</w:t>
            </w:r>
            <w:r w:rsidR="005833E8">
              <w:rPr>
                <w:noProof/>
                <w:webHidden/>
              </w:rPr>
              <w:fldChar w:fldCharType="end"/>
            </w:r>
          </w:hyperlink>
        </w:p>
        <w:p w:rsidR="005833E8" w:rsidRDefault="009C58C7">
          <w:pPr>
            <w:pStyle w:val="Obsah1"/>
            <w:tabs>
              <w:tab w:val="right" w:leader="dot" w:pos="10070"/>
            </w:tabs>
            <w:rPr>
              <w:rFonts w:asciiTheme="minorHAnsi" w:eastAsiaTheme="minorEastAsia" w:hAnsiTheme="minorHAnsi" w:cstheme="minorBidi"/>
              <w:noProof/>
              <w:lang w:val="cs-CZ"/>
            </w:rPr>
          </w:pPr>
          <w:hyperlink w:anchor="_Toc190476375" w:history="1">
            <w:r w:rsidR="005833E8" w:rsidRPr="001107D8">
              <w:rPr>
                <w:rStyle w:val="Hypertextovodkaz"/>
                <w:noProof/>
              </w:rPr>
              <w:t>1. Pojem adhezní řízení, jeho smysl a význam, vztah k základním zásadám</w:t>
            </w:r>
            <w:r w:rsidR="005833E8">
              <w:rPr>
                <w:noProof/>
                <w:webHidden/>
              </w:rPr>
              <w:tab/>
            </w:r>
            <w:r w:rsidR="005833E8">
              <w:rPr>
                <w:noProof/>
                <w:webHidden/>
              </w:rPr>
              <w:fldChar w:fldCharType="begin"/>
            </w:r>
            <w:r w:rsidR="005833E8">
              <w:rPr>
                <w:noProof/>
                <w:webHidden/>
              </w:rPr>
              <w:instrText xml:space="preserve"> PAGEREF _Toc190476375 \h </w:instrText>
            </w:r>
            <w:r w:rsidR="005833E8">
              <w:rPr>
                <w:noProof/>
                <w:webHidden/>
              </w:rPr>
            </w:r>
            <w:r w:rsidR="005833E8">
              <w:rPr>
                <w:noProof/>
                <w:webHidden/>
              </w:rPr>
              <w:fldChar w:fldCharType="separate"/>
            </w:r>
            <w:r w:rsidR="002E52CC">
              <w:rPr>
                <w:noProof/>
                <w:webHidden/>
              </w:rPr>
              <w:t>8</w:t>
            </w:r>
            <w:r w:rsidR="005833E8">
              <w:rPr>
                <w:noProof/>
                <w:webHidden/>
              </w:rPr>
              <w:fldChar w:fldCharType="end"/>
            </w:r>
          </w:hyperlink>
        </w:p>
        <w:p w:rsidR="005833E8" w:rsidRDefault="009C58C7">
          <w:pPr>
            <w:pStyle w:val="Obsah2"/>
            <w:tabs>
              <w:tab w:val="right" w:leader="dot" w:pos="10070"/>
            </w:tabs>
            <w:rPr>
              <w:rFonts w:cstheme="minorBidi"/>
              <w:noProof/>
            </w:rPr>
          </w:pPr>
          <w:hyperlink w:anchor="_Toc190476376" w:history="1">
            <w:r w:rsidR="005833E8" w:rsidRPr="001107D8">
              <w:rPr>
                <w:rStyle w:val="Hypertextovodkaz"/>
                <w:noProof/>
              </w:rPr>
              <w:t>1.1. Pojem adhezní řízení</w:t>
            </w:r>
            <w:r w:rsidR="005833E8">
              <w:rPr>
                <w:noProof/>
                <w:webHidden/>
              </w:rPr>
              <w:tab/>
            </w:r>
            <w:r w:rsidR="005833E8">
              <w:rPr>
                <w:noProof/>
                <w:webHidden/>
              </w:rPr>
              <w:fldChar w:fldCharType="begin"/>
            </w:r>
            <w:r w:rsidR="005833E8">
              <w:rPr>
                <w:noProof/>
                <w:webHidden/>
              </w:rPr>
              <w:instrText xml:space="preserve"> PAGEREF _Toc190476376 \h </w:instrText>
            </w:r>
            <w:r w:rsidR="005833E8">
              <w:rPr>
                <w:noProof/>
                <w:webHidden/>
              </w:rPr>
            </w:r>
            <w:r w:rsidR="005833E8">
              <w:rPr>
                <w:noProof/>
                <w:webHidden/>
              </w:rPr>
              <w:fldChar w:fldCharType="separate"/>
            </w:r>
            <w:r w:rsidR="002E52CC">
              <w:rPr>
                <w:noProof/>
                <w:webHidden/>
              </w:rPr>
              <w:t>8</w:t>
            </w:r>
            <w:r w:rsidR="005833E8">
              <w:rPr>
                <w:noProof/>
                <w:webHidden/>
              </w:rPr>
              <w:fldChar w:fldCharType="end"/>
            </w:r>
          </w:hyperlink>
        </w:p>
        <w:p w:rsidR="005833E8" w:rsidRDefault="009C58C7">
          <w:pPr>
            <w:pStyle w:val="Obsah2"/>
            <w:tabs>
              <w:tab w:val="right" w:leader="dot" w:pos="10070"/>
            </w:tabs>
            <w:rPr>
              <w:rFonts w:cstheme="minorBidi"/>
              <w:noProof/>
            </w:rPr>
          </w:pPr>
          <w:hyperlink w:anchor="_Toc190476377" w:history="1">
            <w:r w:rsidR="005833E8" w:rsidRPr="001107D8">
              <w:rPr>
                <w:rStyle w:val="Hypertextovodkaz"/>
                <w:noProof/>
              </w:rPr>
              <w:t>1. 2. Smysl a význam adhezního řízení</w:t>
            </w:r>
            <w:r w:rsidR="005833E8">
              <w:rPr>
                <w:noProof/>
                <w:webHidden/>
              </w:rPr>
              <w:tab/>
            </w:r>
            <w:r w:rsidR="005833E8">
              <w:rPr>
                <w:noProof/>
                <w:webHidden/>
              </w:rPr>
              <w:fldChar w:fldCharType="begin"/>
            </w:r>
            <w:r w:rsidR="005833E8">
              <w:rPr>
                <w:noProof/>
                <w:webHidden/>
              </w:rPr>
              <w:instrText xml:space="preserve"> PAGEREF _Toc190476377 \h </w:instrText>
            </w:r>
            <w:r w:rsidR="005833E8">
              <w:rPr>
                <w:noProof/>
                <w:webHidden/>
              </w:rPr>
            </w:r>
            <w:r w:rsidR="005833E8">
              <w:rPr>
                <w:noProof/>
                <w:webHidden/>
              </w:rPr>
              <w:fldChar w:fldCharType="separate"/>
            </w:r>
            <w:r w:rsidR="002E52CC">
              <w:rPr>
                <w:noProof/>
                <w:webHidden/>
              </w:rPr>
              <w:t>9</w:t>
            </w:r>
            <w:r w:rsidR="005833E8">
              <w:rPr>
                <w:noProof/>
                <w:webHidden/>
              </w:rPr>
              <w:fldChar w:fldCharType="end"/>
            </w:r>
          </w:hyperlink>
        </w:p>
        <w:p w:rsidR="005833E8" w:rsidRDefault="009C58C7">
          <w:pPr>
            <w:pStyle w:val="Obsah2"/>
            <w:tabs>
              <w:tab w:val="right" w:leader="dot" w:pos="10070"/>
            </w:tabs>
            <w:rPr>
              <w:rFonts w:cstheme="minorBidi"/>
              <w:noProof/>
            </w:rPr>
          </w:pPr>
          <w:hyperlink w:anchor="_Toc190476378" w:history="1">
            <w:r w:rsidR="005833E8" w:rsidRPr="001107D8">
              <w:rPr>
                <w:rStyle w:val="Hypertextovodkaz"/>
                <w:noProof/>
              </w:rPr>
              <w:t>1.3. Vztah adhezního řízení k základním zásadám</w:t>
            </w:r>
            <w:r w:rsidR="005833E8">
              <w:rPr>
                <w:noProof/>
                <w:webHidden/>
              </w:rPr>
              <w:tab/>
            </w:r>
            <w:r w:rsidR="005833E8">
              <w:rPr>
                <w:noProof/>
                <w:webHidden/>
              </w:rPr>
              <w:fldChar w:fldCharType="begin"/>
            </w:r>
            <w:r w:rsidR="005833E8">
              <w:rPr>
                <w:noProof/>
                <w:webHidden/>
              </w:rPr>
              <w:instrText xml:space="preserve"> PAGEREF _Toc190476378 \h </w:instrText>
            </w:r>
            <w:r w:rsidR="005833E8">
              <w:rPr>
                <w:noProof/>
                <w:webHidden/>
              </w:rPr>
            </w:r>
            <w:r w:rsidR="005833E8">
              <w:rPr>
                <w:noProof/>
                <w:webHidden/>
              </w:rPr>
              <w:fldChar w:fldCharType="separate"/>
            </w:r>
            <w:r w:rsidR="002E52CC">
              <w:rPr>
                <w:noProof/>
                <w:webHidden/>
              </w:rPr>
              <w:t>15</w:t>
            </w:r>
            <w:r w:rsidR="005833E8">
              <w:rPr>
                <w:noProof/>
                <w:webHidden/>
              </w:rPr>
              <w:fldChar w:fldCharType="end"/>
            </w:r>
          </w:hyperlink>
        </w:p>
        <w:p w:rsidR="005833E8" w:rsidRDefault="009C58C7">
          <w:pPr>
            <w:pStyle w:val="Obsah1"/>
            <w:tabs>
              <w:tab w:val="right" w:leader="dot" w:pos="10070"/>
            </w:tabs>
            <w:rPr>
              <w:rFonts w:asciiTheme="minorHAnsi" w:eastAsiaTheme="minorEastAsia" w:hAnsiTheme="minorHAnsi" w:cstheme="minorBidi"/>
              <w:noProof/>
              <w:lang w:val="cs-CZ"/>
            </w:rPr>
          </w:pPr>
          <w:hyperlink w:anchor="_Toc190476379" w:history="1">
            <w:r w:rsidR="005833E8" w:rsidRPr="001107D8">
              <w:rPr>
                <w:rStyle w:val="Hypertextovodkaz"/>
                <w:noProof/>
              </w:rPr>
              <w:t>2. Vztah adhezního řízení k civilnímu procesu</w:t>
            </w:r>
            <w:r w:rsidR="005833E8">
              <w:rPr>
                <w:noProof/>
                <w:webHidden/>
              </w:rPr>
              <w:tab/>
            </w:r>
            <w:r w:rsidR="005833E8">
              <w:rPr>
                <w:noProof/>
                <w:webHidden/>
              </w:rPr>
              <w:fldChar w:fldCharType="begin"/>
            </w:r>
            <w:r w:rsidR="005833E8">
              <w:rPr>
                <w:noProof/>
                <w:webHidden/>
              </w:rPr>
              <w:instrText xml:space="preserve"> PAGEREF _Toc190476379 \h </w:instrText>
            </w:r>
            <w:r w:rsidR="005833E8">
              <w:rPr>
                <w:noProof/>
                <w:webHidden/>
              </w:rPr>
            </w:r>
            <w:r w:rsidR="005833E8">
              <w:rPr>
                <w:noProof/>
                <w:webHidden/>
              </w:rPr>
              <w:fldChar w:fldCharType="separate"/>
            </w:r>
            <w:r w:rsidR="002E52CC">
              <w:rPr>
                <w:noProof/>
                <w:webHidden/>
              </w:rPr>
              <w:t>18</w:t>
            </w:r>
            <w:r w:rsidR="005833E8">
              <w:rPr>
                <w:noProof/>
                <w:webHidden/>
              </w:rPr>
              <w:fldChar w:fldCharType="end"/>
            </w:r>
          </w:hyperlink>
        </w:p>
        <w:p w:rsidR="005833E8" w:rsidRDefault="009C58C7">
          <w:pPr>
            <w:pStyle w:val="Obsah2"/>
            <w:tabs>
              <w:tab w:val="right" w:leader="dot" w:pos="10070"/>
            </w:tabs>
            <w:rPr>
              <w:rFonts w:cstheme="minorBidi"/>
              <w:noProof/>
            </w:rPr>
          </w:pPr>
          <w:hyperlink w:anchor="_Toc190476380" w:history="1">
            <w:r w:rsidR="005833E8" w:rsidRPr="001107D8">
              <w:rPr>
                <w:rStyle w:val="Hypertextovodkaz"/>
                <w:noProof/>
              </w:rPr>
              <w:t>2. 1. Překážka věci rozhodnuté</w:t>
            </w:r>
            <w:r w:rsidR="005833E8">
              <w:rPr>
                <w:noProof/>
                <w:webHidden/>
              </w:rPr>
              <w:tab/>
            </w:r>
            <w:r w:rsidR="005833E8">
              <w:rPr>
                <w:noProof/>
                <w:webHidden/>
              </w:rPr>
              <w:fldChar w:fldCharType="begin"/>
            </w:r>
            <w:r w:rsidR="005833E8">
              <w:rPr>
                <w:noProof/>
                <w:webHidden/>
              </w:rPr>
              <w:instrText xml:space="preserve"> PAGEREF _Toc190476380 \h </w:instrText>
            </w:r>
            <w:r w:rsidR="005833E8">
              <w:rPr>
                <w:noProof/>
                <w:webHidden/>
              </w:rPr>
            </w:r>
            <w:r w:rsidR="005833E8">
              <w:rPr>
                <w:noProof/>
                <w:webHidden/>
              </w:rPr>
              <w:fldChar w:fldCharType="separate"/>
            </w:r>
            <w:r w:rsidR="002E52CC">
              <w:rPr>
                <w:noProof/>
                <w:webHidden/>
              </w:rPr>
              <w:t>19</w:t>
            </w:r>
            <w:r w:rsidR="005833E8">
              <w:rPr>
                <w:noProof/>
                <w:webHidden/>
              </w:rPr>
              <w:fldChar w:fldCharType="end"/>
            </w:r>
          </w:hyperlink>
        </w:p>
        <w:p w:rsidR="005833E8" w:rsidRDefault="009C58C7">
          <w:pPr>
            <w:pStyle w:val="Obsah2"/>
            <w:tabs>
              <w:tab w:val="right" w:leader="dot" w:pos="10070"/>
            </w:tabs>
            <w:rPr>
              <w:rFonts w:cstheme="minorBidi"/>
              <w:noProof/>
            </w:rPr>
          </w:pPr>
          <w:hyperlink w:anchor="_Toc190476381" w:history="1">
            <w:r w:rsidR="005833E8" w:rsidRPr="001107D8">
              <w:rPr>
                <w:rStyle w:val="Hypertextovodkaz"/>
                <w:noProof/>
              </w:rPr>
              <w:t>2.2. Překážka věci zahájené z pohledu trestního řádu</w:t>
            </w:r>
            <w:r w:rsidR="005833E8">
              <w:rPr>
                <w:noProof/>
                <w:webHidden/>
              </w:rPr>
              <w:tab/>
            </w:r>
            <w:r w:rsidR="005833E8">
              <w:rPr>
                <w:noProof/>
                <w:webHidden/>
              </w:rPr>
              <w:fldChar w:fldCharType="begin"/>
            </w:r>
            <w:r w:rsidR="005833E8">
              <w:rPr>
                <w:noProof/>
                <w:webHidden/>
              </w:rPr>
              <w:instrText xml:space="preserve"> PAGEREF _Toc190476381 \h </w:instrText>
            </w:r>
            <w:r w:rsidR="005833E8">
              <w:rPr>
                <w:noProof/>
                <w:webHidden/>
              </w:rPr>
            </w:r>
            <w:r w:rsidR="005833E8">
              <w:rPr>
                <w:noProof/>
                <w:webHidden/>
              </w:rPr>
              <w:fldChar w:fldCharType="separate"/>
            </w:r>
            <w:r w:rsidR="002E52CC">
              <w:rPr>
                <w:noProof/>
                <w:webHidden/>
              </w:rPr>
              <w:t>20</w:t>
            </w:r>
            <w:r w:rsidR="005833E8">
              <w:rPr>
                <w:noProof/>
                <w:webHidden/>
              </w:rPr>
              <w:fldChar w:fldCharType="end"/>
            </w:r>
          </w:hyperlink>
        </w:p>
        <w:p w:rsidR="005833E8" w:rsidRDefault="009C58C7">
          <w:pPr>
            <w:pStyle w:val="Obsah2"/>
            <w:tabs>
              <w:tab w:val="right" w:leader="dot" w:pos="10070"/>
            </w:tabs>
            <w:rPr>
              <w:rFonts w:cstheme="minorBidi"/>
              <w:noProof/>
            </w:rPr>
          </w:pPr>
          <w:hyperlink w:anchor="_Toc190476382" w:history="1">
            <w:r w:rsidR="005833E8" w:rsidRPr="001107D8">
              <w:rPr>
                <w:rStyle w:val="Hypertextovodkaz"/>
                <w:noProof/>
              </w:rPr>
              <w:t>2.3. Řešení podle občanského soudního řádu</w:t>
            </w:r>
            <w:r w:rsidR="005833E8">
              <w:rPr>
                <w:noProof/>
                <w:webHidden/>
              </w:rPr>
              <w:tab/>
            </w:r>
            <w:r w:rsidR="005833E8">
              <w:rPr>
                <w:noProof/>
                <w:webHidden/>
              </w:rPr>
              <w:fldChar w:fldCharType="begin"/>
            </w:r>
            <w:r w:rsidR="005833E8">
              <w:rPr>
                <w:noProof/>
                <w:webHidden/>
              </w:rPr>
              <w:instrText xml:space="preserve"> PAGEREF _Toc190476382 \h </w:instrText>
            </w:r>
            <w:r w:rsidR="005833E8">
              <w:rPr>
                <w:noProof/>
                <w:webHidden/>
              </w:rPr>
            </w:r>
            <w:r w:rsidR="005833E8">
              <w:rPr>
                <w:noProof/>
                <w:webHidden/>
              </w:rPr>
              <w:fldChar w:fldCharType="separate"/>
            </w:r>
            <w:r w:rsidR="002E52CC">
              <w:rPr>
                <w:noProof/>
                <w:webHidden/>
              </w:rPr>
              <w:t>22</w:t>
            </w:r>
            <w:r w:rsidR="005833E8">
              <w:rPr>
                <w:noProof/>
                <w:webHidden/>
              </w:rPr>
              <w:fldChar w:fldCharType="end"/>
            </w:r>
          </w:hyperlink>
        </w:p>
        <w:p w:rsidR="005833E8" w:rsidRDefault="009C58C7">
          <w:pPr>
            <w:pStyle w:val="Obsah1"/>
            <w:tabs>
              <w:tab w:val="right" w:leader="dot" w:pos="10070"/>
            </w:tabs>
            <w:rPr>
              <w:rFonts w:asciiTheme="minorHAnsi" w:eastAsiaTheme="minorEastAsia" w:hAnsiTheme="minorHAnsi" w:cstheme="minorBidi"/>
              <w:noProof/>
              <w:lang w:val="cs-CZ"/>
            </w:rPr>
          </w:pPr>
          <w:hyperlink w:anchor="_Toc190476383" w:history="1">
            <w:r w:rsidR="005833E8" w:rsidRPr="001107D8">
              <w:rPr>
                <w:rStyle w:val="Hypertextovodkaz"/>
                <w:rFonts w:eastAsia="Aptos"/>
                <w:noProof/>
              </w:rPr>
              <w:t xml:space="preserve">3. </w:t>
            </w:r>
            <w:r w:rsidR="005833E8" w:rsidRPr="001107D8">
              <w:rPr>
                <w:rStyle w:val="Hypertextovodkaz"/>
                <w:noProof/>
              </w:rPr>
              <w:t>Poškozený jako subjekt adhezního řízení</w:t>
            </w:r>
            <w:r w:rsidR="005833E8">
              <w:rPr>
                <w:noProof/>
                <w:webHidden/>
              </w:rPr>
              <w:tab/>
            </w:r>
            <w:r w:rsidR="005833E8">
              <w:rPr>
                <w:noProof/>
                <w:webHidden/>
              </w:rPr>
              <w:fldChar w:fldCharType="begin"/>
            </w:r>
            <w:r w:rsidR="005833E8">
              <w:rPr>
                <w:noProof/>
                <w:webHidden/>
              </w:rPr>
              <w:instrText xml:space="preserve"> PAGEREF _Toc190476383 \h </w:instrText>
            </w:r>
            <w:r w:rsidR="005833E8">
              <w:rPr>
                <w:noProof/>
                <w:webHidden/>
              </w:rPr>
            </w:r>
            <w:r w:rsidR="005833E8">
              <w:rPr>
                <w:noProof/>
                <w:webHidden/>
              </w:rPr>
              <w:fldChar w:fldCharType="separate"/>
            </w:r>
            <w:r w:rsidR="002E52CC">
              <w:rPr>
                <w:noProof/>
                <w:webHidden/>
              </w:rPr>
              <w:t>25</w:t>
            </w:r>
            <w:r w:rsidR="005833E8">
              <w:rPr>
                <w:noProof/>
                <w:webHidden/>
              </w:rPr>
              <w:fldChar w:fldCharType="end"/>
            </w:r>
          </w:hyperlink>
        </w:p>
        <w:p w:rsidR="005833E8" w:rsidRDefault="009C58C7">
          <w:pPr>
            <w:pStyle w:val="Obsah2"/>
            <w:tabs>
              <w:tab w:val="right" w:leader="dot" w:pos="10070"/>
            </w:tabs>
            <w:rPr>
              <w:rFonts w:cstheme="minorBidi"/>
              <w:noProof/>
            </w:rPr>
          </w:pPr>
          <w:hyperlink w:anchor="_Toc190476384" w:history="1">
            <w:r w:rsidR="005833E8" w:rsidRPr="001107D8">
              <w:rPr>
                <w:rStyle w:val="Hypertextovodkaz"/>
                <w:noProof/>
              </w:rPr>
              <w:t>3.1. Stručný exkurz do nadnárodní právní úpravy</w:t>
            </w:r>
            <w:r w:rsidR="005833E8">
              <w:rPr>
                <w:noProof/>
                <w:webHidden/>
              </w:rPr>
              <w:tab/>
            </w:r>
            <w:r w:rsidR="005833E8">
              <w:rPr>
                <w:noProof/>
                <w:webHidden/>
              </w:rPr>
              <w:fldChar w:fldCharType="begin"/>
            </w:r>
            <w:r w:rsidR="005833E8">
              <w:rPr>
                <w:noProof/>
                <w:webHidden/>
              </w:rPr>
              <w:instrText xml:space="preserve"> PAGEREF _Toc190476384 \h </w:instrText>
            </w:r>
            <w:r w:rsidR="005833E8">
              <w:rPr>
                <w:noProof/>
                <w:webHidden/>
              </w:rPr>
            </w:r>
            <w:r w:rsidR="005833E8">
              <w:rPr>
                <w:noProof/>
                <w:webHidden/>
              </w:rPr>
              <w:fldChar w:fldCharType="separate"/>
            </w:r>
            <w:r w:rsidR="002E52CC">
              <w:rPr>
                <w:noProof/>
                <w:webHidden/>
              </w:rPr>
              <w:t>25</w:t>
            </w:r>
            <w:r w:rsidR="005833E8">
              <w:rPr>
                <w:noProof/>
                <w:webHidden/>
              </w:rPr>
              <w:fldChar w:fldCharType="end"/>
            </w:r>
          </w:hyperlink>
        </w:p>
        <w:p w:rsidR="005833E8" w:rsidRDefault="009C58C7">
          <w:pPr>
            <w:pStyle w:val="Obsah2"/>
            <w:tabs>
              <w:tab w:val="right" w:leader="dot" w:pos="10070"/>
            </w:tabs>
            <w:rPr>
              <w:rFonts w:cstheme="minorBidi"/>
              <w:noProof/>
            </w:rPr>
          </w:pPr>
          <w:hyperlink w:anchor="_Toc190476385" w:history="1">
            <w:r w:rsidR="005833E8" w:rsidRPr="001107D8">
              <w:rPr>
                <w:rStyle w:val="Hypertextovodkaz"/>
                <w:noProof/>
              </w:rPr>
              <w:t>3.2. Pojem poškozený ve smyslu přestupkového zákona</w:t>
            </w:r>
            <w:r w:rsidR="005833E8">
              <w:rPr>
                <w:noProof/>
                <w:webHidden/>
              </w:rPr>
              <w:tab/>
            </w:r>
            <w:r w:rsidR="005833E8">
              <w:rPr>
                <w:noProof/>
                <w:webHidden/>
              </w:rPr>
              <w:fldChar w:fldCharType="begin"/>
            </w:r>
            <w:r w:rsidR="005833E8">
              <w:rPr>
                <w:noProof/>
                <w:webHidden/>
              </w:rPr>
              <w:instrText xml:space="preserve"> PAGEREF _Toc190476385 \h </w:instrText>
            </w:r>
            <w:r w:rsidR="005833E8">
              <w:rPr>
                <w:noProof/>
                <w:webHidden/>
              </w:rPr>
            </w:r>
            <w:r w:rsidR="005833E8">
              <w:rPr>
                <w:noProof/>
                <w:webHidden/>
              </w:rPr>
              <w:fldChar w:fldCharType="separate"/>
            </w:r>
            <w:r w:rsidR="002E52CC">
              <w:rPr>
                <w:noProof/>
                <w:webHidden/>
              </w:rPr>
              <w:t>27</w:t>
            </w:r>
            <w:r w:rsidR="005833E8">
              <w:rPr>
                <w:noProof/>
                <w:webHidden/>
              </w:rPr>
              <w:fldChar w:fldCharType="end"/>
            </w:r>
          </w:hyperlink>
        </w:p>
        <w:p w:rsidR="005833E8" w:rsidRDefault="009C58C7">
          <w:pPr>
            <w:pStyle w:val="Obsah2"/>
            <w:tabs>
              <w:tab w:val="right" w:leader="dot" w:pos="10070"/>
            </w:tabs>
            <w:rPr>
              <w:rFonts w:cstheme="minorBidi"/>
              <w:noProof/>
            </w:rPr>
          </w:pPr>
          <w:hyperlink w:anchor="_Toc190476386" w:history="1">
            <w:r w:rsidR="005833E8" w:rsidRPr="001107D8">
              <w:rPr>
                <w:rStyle w:val="Hypertextovodkaz"/>
                <w:noProof/>
              </w:rPr>
              <w:t>3. 3. Podmínky uplatnění nároku na náhradu újmy</w:t>
            </w:r>
            <w:r w:rsidR="005833E8">
              <w:rPr>
                <w:noProof/>
                <w:webHidden/>
              </w:rPr>
              <w:tab/>
            </w:r>
            <w:r w:rsidR="005833E8">
              <w:rPr>
                <w:noProof/>
                <w:webHidden/>
              </w:rPr>
              <w:fldChar w:fldCharType="begin"/>
            </w:r>
            <w:r w:rsidR="005833E8">
              <w:rPr>
                <w:noProof/>
                <w:webHidden/>
              </w:rPr>
              <w:instrText xml:space="preserve"> PAGEREF _Toc190476386 \h </w:instrText>
            </w:r>
            <w:r w:rsidR="005833E8">
              <w:rPr>
                <w:noProof/>
                <w:webHidden/>
              </w:rPr>
            </w:r>
            <w:r w:rsidR="005833E8">
              <w:rPr>
                <w:noProof/>
                <w:webHidden/>
              </w:rPr>
              <w:fldChar w:fldCharType="separate"/>
            </w:r>
            <w:r w:rsidR="002E52CC">
              <w:rPr>
                <w:noProof/>
                <w:webHidden/>
              </w:rPr>
              <w:t>28</w:t>
            </w:r>
            <w:r w:rsidR="005833E8">
              <w:rPr>
                <w:noProof/>
                <w:webHidden/>
              </w:rPr>
              <w:fldChar w:fldCharType="end"/>
            </w:r>
          </w:hyperlink>
        </w:p>
        <w:p w:rsidR="005833E8" w:rsidRDefault="009C58C7">
          <w:pPr>
            <w:pStyle w:val="Obsah1"/>
            <w:tabs>
              <w:tab w:val="right" w:leader="dot" w:pos="10070"/>
            </w:tabs>
            <w:rPr>
              <w:rFonts w:asciiTheme="minorHAnsi" w:eastAsiaTheme="minorEastAsia" w:hAnsiTheme="minorHAnsi" w:cstheme="minorBidi"/>
              <w:noProof/>
              <w:lang w:val="cs-CZ"/>
            </w:rPr>
          </w:pPr>
          <w:hyperlink w:anchor="_Toc190476387" w:history="1">
            <w:r w:rsidR="005833E8" w:rsidRPr="001107D8">
              <w:rPr>
                <w:rStyle w:val="Hypertextovodkaz"/>
                <w:noProof/>
              </w:rPr>
              <w:t>4.  Práva poškozeného</w:t>
            </w:r>
            <w:r w:rsidR="005833E8">
              <w:rPr>
                <w:noProof/>
                <w:webHidden/>
              </w:rPr>
              <w:tab/>
            </w:r>
            <w:r w:rsidR="005833E8">
              <w:rPr>
                <w:noProof/>
                <w:webHidden/>
              </w:rPr>
              <w:fldChar w:fldCharType="begin"/>
            </w:r>
            <w:r w:rsidR="005833E8">
              <w:rPr>
                <w:noProof/>
                <w:webHidden/>
              </w:rPr>
              <w:instrText xml:space="preserve"> PAGEREF _Toc190476387 \h </w:instrText>
            </w:r>
            <w:r w:rsidR="005833E8">
              <w:rPr>
                <w:noProof/>
                <w:webHidden/>
              </w:rPr>
            </w:r>
            <w:r w:rsidR="005833E8">
              <w:rPr>
                <w:noProof/>
                <w:webHidden/>
              </w:rPr>
              <w:fldChar w:fldCharType="separate"/>
            </w:r>
            <w:r w:rsidR="002E52CC">
              <w:rPr>
                <w:noProof/>
                <w:webHidden/>
              </w:rPr>
              <w:t>40</w:t>
            </w:r>
            <w:r w:rsidR="005833E8">
              <w:rPr>
                <w:noProof/>
                <w:webHidden/>
              </w:rPr>
              <w:fldChar w:fldCharType="end"/>
            </w:r>
          </w:hyperlink>
        </w:p>
        <w:p w:rsidR="005833E8" w:rsidRDefault="009C58C7">
          <w:pPr>
            <w:pStyle w:val="Obsah2"/>
            <w:tabs>
              <w:tab w:val="right" w:leader="dot" w:pos="10070"/>
            </w:tabs>
            <w:rPr>
              <w:rFonts w:cstheme="minorBidi"/>
              <w:noProof/>
            </w:rPr>
          </w:pPr>
          <w:hyperlink w:anchor="_Toc190476388" w:history="1">
            <w:r w:rsidR="005833E8" w:rsidRPr="001107D8">
              <w:rPr>
                <w:rStyle w:val="Hypertextovodkaz"/>
                <w:noProof/>
              </w:rPr>
              <w:t>4.1. Právo poškozeného být vyrozuměn o možnosti uplatnit nárok na náhradu újmy</w:t>
            </w:r>
            <w:r w:rsidR="005833E8">
              <w:rPr>
                <w:noProof/>
                <w:webHidden/>
              </w:rPr>
              <w:tab/>
            </w:r>
            <w:r w:rsidR="005833E8">
              <w:rPr>
                <w:noProof/>
                <w:webHidden/>
              </w:rPr>
              <w:fldChar w:fldCharType="begin"/>
            </w:r>
            <w:r w:rsidR="005833E8">
              <w:rPr>
                <w:noProof/>
                <w:webHidden/>
              </w:rPr>
              <w:instrText xml:space="preserve"> PAGEREF _Toc190476388 \h </w:instrText>
            </w:r>
            <w:r w:rsidR="005833E8">
              <w:rPr>
                <w:noProof/>
                <w:webHidden/>
              </w:rPr>
            </w:r>
            <w:r w:rsidR="005833E8">
              <w:rPr>
                <w:noProof/>
                <w:webHidden/>
              </w:rPr>
              <w:fldChar w:fldCharType="separate"/>
            </w:r>
            <w:r w:rsidR="002E52CC">
              <w:rPr>
                <w:noProof/>
                <w:webHidden/>
              </w:rPr>
              <w:t>40</w:t>
            </w:r>
            <w:r w:rsidR="005833E8">
              <w:rPr>
                <w:noProof/>
                <w:webHidden/>
              </w:rPr>
              <w:fldChar w:fldCharType="end"/>
            </w:r>
          </w:hyperlink>
        </w:p>
        <w:p w:rsidR="005833E8" w:rsidRDefault="009C58C7">
          <w:pPr>
            <w:pStyle w:val="Obsah2"/>
            <w:tabs>
              <w:tab w:val="right" w:leader="dot" w:pos="10070"/>
            </w:tabs>
            <w:rPr>
              <w:rFonts w:cstheme="minorBidi"/>
              <w:noProof/>
            </w:rPr>
          </w:pPr>
          <w:hyperlink w:anchor="_Toc190476389" w:history="1">
            <w:r w:rsidR="005833E8" w:rsidRPr="001107D8">
              <w:rPr>
                <w:rStyle w:val="Hypertextovodkaz"/>
                <w:noProof/>
              </w:rPr>
              <w:t>4.2. Další práva poškozeného</w:t>
            </w:r>
            <w:r w:rsidR="005833E8">
              <w:rPr>
                <w:noProof/>
                <w:webHidden/>
              </w:rPr>
              <w:tab/>
            </w:r>
            <w:r w:rsidR="005833E8">
              <w:rPr>
                <w:noProof/>
                <w:webHidden/>
              </w:rPr>
              <w:fldChar w:fldCharType="begin"/>
            </w:r>
            <w:r w:rsidR="005833E8">
              <w:rPr>
                <w:noProof/>
                <w:webHidden/>
              </w:rPr>
              <w:instrText xml:space="preserve"> PAGEREF _Toc190476389 \h </w:instrText>
            </w:r>
            <w:r w:rsidR="005833E8">
              <w:rPr>
                <w:noProof/>
                <w:webHidden/>
              </w:rPr>
            </w:r>
            <w:r w:rsidR="005833E8">
              <w:rPr>
                <w:noProof/>
                <w:webHidden/>
              </w:rPr>
              <w:fldChar w:fldCharType="separate"/>
            </w:r>
            <w:r w:rsidR="002E52CC">
              <w:rPr>
                <w:noProof/>
                <w:webHidden/>
              </w:rPr>
              <w:t>46</w:t>
            </w:r>
            <w:r w:rsidR="005833E8">
              <w:rPr>
                <w:noProof/>
                <w:webHidden/>
              </w:rPr>
              <w:fldChar w:fldCharType="end"/>
            </w:r>
          </w:hyperlink>
        </w:p>
        <w:p w:rsidR="005833E8" w:rsidRDefault="009C58C7">
          <w:pPr>
            <w:pStyle w:val="Obsah2"/>
            <w:tabs>
              <w:tab w:val="right" w:leader="dot" w:pos="10070"/>
            </w:tabs>
            <w:rPr>
              <w:rFonts w:cstheme="minorBidi"/>
              <w:noProof/>
            </w:rPr>
          </w:pPr>
          <w:hyperlink w:anchor="_Toc190476390" w:history="1">
            <w:r w:rsidR="005833E8" w:rsidRPr="001107D8">
              <w:rPr>
                <w:rStyle w:val="Hypertextovodkaz"/>
                <w:noProof/>
              </w:rPr>
              <w:t>4.3. Právo poškozeného vzít nárok zpět</w:t>
            </w:r>
            <w:r w:rsidR="005833E8">
              <w:rPr>
                <w:noProof/>
                <w:webHidden/>
              </w:rPr>
              <w:tab/>
            </w:r>
            <w:r w:rsidR="005833E8">
              <w:rPr>
                <w:noProof/>
                <w:webHidden/>
              </w:rPr>
              <w:fldChar w:fldCharType="begin"/>
            </w:r>
            <w:r w:rsidR="005833E8">
              <w:rPr>
                <w:noProof/>
                <w:webHidden/>
              </w:rPr>
              <w:instrText xml:space="preserve"> PAGEREF _Toc190476390 \h </w:instrText>
            </w:r>
            <w:r w:rsidR="005833E8">
              <w:rPr>
                <w:noProof/>
                <w:webHidden/>
              </w:rPr>
            </w:r>
            <w:r w:rsidR="005833E8">
              <w:rPr>
                <w:noProof/>
                <w:webHidden/>
              </w:rPr>
              <w:fldChar w:fldCharType="separate"/>
            </w:r>
            <w:r w:rsidR="002E52CC">
              <w:rPr>
                <w:noProof/>
                <w:webHidden/>
              </w:rPr>
              <w:t>49</w:t>
            </w:r>
            <w:r w:rsidR="005833E8">
              <w:rPr>
                <w:noProof/>
                <w:webHidden/>
              </w:rPr>
              <w:fldChar w:fldCharType="end"/>
            </w:r>
          </w:hyperlink>
        </w:p>
        <w:p w:rsidR="005833E8" w:rsidRDefault="009C58C7">
          <w:pPr>
            <w:pStyle w:val="Obsah1"/>
            <w:tabs>
              <w:tab w:val="right" w:leader="dot" w:pos="10070"/>
            </w:tabs>
            <w:rPr>
              <w:rFonts w:asciiTheme="minorHAnsi" w:eastAsiaTheme="minorEastAsia" w:hAnsiTheme="minorHAnsi" w:cstheme="minorBidi"/>
              <w:noProof/>
              <w:lang w:val="cs-CZ"/>
            </w:rPr>
          </w:pPr>
          <w:hyperlink w:anchor="_Toc190476391" w:history="1">
            <w:r w:rsidR="005833E8" w:rsidRPr="001107D8">
              <w:rPr>
                <w:rStyle w:val="Hypertextovodkaz"/>
                <w:noProof/>
              </w:rPr>
              <w:t>5. Postavení osoby nemajetkově poškozené spácháním přestupku</w:t>
            </w:r>
            <w:r w:rsidR="005833E8">
              <w:rPr>
                <w:noProof/>
                <w:webHidden/>
              </w:rPr>
              <w:tab/>
            </w:r>
            <w:r w:rsidR="005833E8">
              <w:rPr>
                <w:noProof/>
                <w:webHidden/>
              </w:rPr>
              <w:fldChar w:fldCharType="begin"/>
            </w:r>
            <w:r w:rsidR="005833E8">
              <w:rPr>
                <w:noProof/>
                <w:webHidden/>
              </w:rPr>
              <w:instrText xml:space="preserve"> PAGEREF _Toc190476391 \h </w:instrText>
            </w:r>
            <w:r w:rsidR="005833E8">
              <w:rPr>
                <w:noProof/>
                <w:webHidden/>
              </w:rPr>
            </w:r>
            <w:r w:rsidR="005833E8">
              <w:rPr>
                <w:noProof/>
                <w:webHidden/>
              </w:rPr>
              <w:fldChar w:fldCharType="separate"/>
            </w:r>
            <w:r w:rsidR="002E52CC">
              <w:rPr>
                <w:noProof/>
                <w:webHidden/>
              </w:rPr>
              <w:t>50</w:t>
            </w:r>
            <w:r w:rsidR="005833E8">
              <w:rPr>
                <w:noProof/>
                <w:webHidden/>
              </w:rPr>
              <w:fldChar w:fldCharType="end"/>
            </w:r>
          </w:hyperlink>
        </w:p>
        <w:p w:rsidR="005833E8" w:rsidRDefault="009C58C7">
          <w:pPr>
            <w:pStyle w:val="Obsah1"/>
            <w:tabs>
              <w:tab w:val="right" w:leader="dot" w:pos="10070"/>
            </w:tabs>
            <w:rPr>
              <w:rFonts w:asciiTheme="minorHAnsi" w:eastAsiaTheme="minorEastAsia" w:hAnsiTheme="minorHAnsi" w:cstheme="minorBidi"/>
              <w:noProof/>
              <w:lang w:val="cs-CZ"/>
            </w:rPr>
          </w:pPr>
          <w:hyperlink w:anchor="_Toc190476392" w:history="1">
            <w:r w:rsidR="005833E8" w:rsidRPr="001107D8">
              <w:rPr>
                <w:rStyle w:val="Hypertextovodkaz"/>
                <w:noProof/>
              </w:rPr>
              <w:t>5.1. Postavení osoby nemajetkově poškozené v předchozí právní úpravě</w:t>
            </w:r>
            <w:r w:rsidR="005833E8">
              <w:rPr>
                <w:noProof/>
                <w:webHidden/>
              </w:rPr>
              <w:tab/>
            </w:r>
            <w:r w:rsidR="005833E8">
              <w:rPr>
                <w:noProof/>
                <w:webHidden/>
              </w:rPr>
              <w:fldChar w:fldCharType="begin"/>
            </w:r>
            <w:r w:rsidR="005833E8">
              <w:rPr>
                <w:noProof/>
                <w:webHidden/>
              </w:rPr>
              <w:instrText xml:space="preserve"> PAGEREF _Toc190476392 \h </w:instrText>
            </w:r>
            <w:r w:rsidR="005833E8">
              <w:rPr>
                <w:noProof/>
                <w:webHidden/>
              </w:rPr>
            </w:r>
            <w:r w:rsidR="005833E8">
              <w:rPr>
                <w:noProof/>
                <w:webHidden/>
              </w:rPr>
              <w:fldChar w:fldCharType="separate"/>
            </w:r>
            <w:r w:rsidR="002E52CC">
              <w:rPr>
                <w:noProof/>
                <w:webHidden/>
              </w:rPr>
              <w:t>50</w:t>
            </w:r>
            <w:r w:rsidR="005833E8">
              <w:rPr>
                <w:noProof/>
                <w:webHidden/>
              </w:rPr>
              <w:fldChar w:fldCharType="end"/>
            </w:r>
          </w:hyperlink>
        </w:p>
        <w:p w:rsidR="005833E8" w:rsidRDefault="009C58C7">
          <w:pPr>
            <w:pStyle w:val="Obsah2"/>
            <w:tabs>
              <w:tab w:val="right" w:leader="dot" w:pos="10070"/>
            </w:tabs>
            <w:rPr>
              <w:rFonts w:cstheme="minorBidi"/>
              <w:noProof/>
            </w:rPr>
          </w:pPr>
          <w:hyperlink w:anchor="_Toc190476393" w:history="1">
            <w:r w:rsidR="005833E8" w:rsidRPr="001107D8">
              <w:rPr>
                <w:rStyle w:val="Hypertextovodkaz"/>
                <w:noProof/>
              </w:rPr>
              <w:t>5.2. Současnost a budoucnost</w:t>
            </w:r>
            <w:r w:rsidR="005833E8">
              <w:rPr>
                <w:noProof/>
                <w:webHidden/>
              </w:rPr>
              <w:tab/>
            </w:r>
            <w:r w:rsidR="005833E8">
              <w:rPr>
                <w:noProof/>
                <w:webHidden/>
              </w:rPr>
              <w:fldChar w:fldCharType="begin"/>
            </w:r>
            <w:r w:rsidR="005833E8">
              <w:rPr>
                <w:noProof/>
                <w:webHidden/>
              </w:rPr>
              <w:instrText xml:space="preserve"> PAGEREF _Toc190476393 \h </w:instrText>
            </w:r>
            <w:r w:rsidR="005833E8">
              <w:rPr>
                <w:noProof/>
                <w:webHidden/>
              </w:rPr>
            </w:r>
            <w:r w:rsidR="005833E8">
              <w:rPr>
                <w:noProof/>
                <w:webHidden/>
              </w:rPr>
              <w:fldChar w:fldCharType="separate"/>
            </w:r>
            <w:r w:rsidR="002E52CC">
              <w:rPr>
                <w:noProof/>
                <w:webHidden/>
              </w:rPr>
              <w:t>52</w:t>
            </w:r>
            <w:r w:rsidR="005833E8">
              <w:rPr>
                <w:noProof/>
                <w:webHidden/>
              </w:rPr>
              <w:fldChar w:fldCharType="end"/>
            </w:r>
          </w:hyperlink>
        </w:p>
        <w:p w:rsidR="005833E8" w:rsidRDefault="009C58C7">
          <w:pPr>
            <w:pStyle w:val="Obsah1"/>
            <w:tabs>
              <w:tab w:val="right" w:leader="dot" w:pos="10070"/>
            </w:tabs>
            <w:rPr>
              <w:rFonts w:asciiTheme="minorHAnsi" w:eastAsiaTheme="minorEastAsia" w:hAnsiTheme="minorHAnsi" w:cstheme="minorBidi"/>
              <w:noProof/>
              <w:lang w:val="cs-CZ"/>
            </w:rPr>
          </w:pPr>
          <w:hyperlink w:anchor="_Toc190476394" w:history="1">
            <w:r w:rsidR="005833E8" w:rsidRPr="001107D8">
              <w:rPr>
                <w:rStyle w:val="Hypertextovodkaz"/>
                <w:noProof/>
              </w:rPr>
              <w:t>6. Rozhodování o nároku poškozeného</w:t>
            </w:r>
            <w:r w:rsidR="005833E8">
              <w:rPr>
                <w:noProof/>
                <w:webHidden/>
              </w:rPr>
              <w:tab/>
            </w:r>
            <w:r w:rsidR="005833E8">
              <w:rPr>
                <w:noProof/>
                <w:webHidden/>
              </w:rPr>
              <w:fldChar w:fldCharType="begin"/>
            </w:r>
            <w:r w:rsidR="005833E8">
              <w:rPr>
                <w:noProof/>
                <w:webHidden/>
              </w:rPr>
              <w:instrText xml:space="preserve"> PAGEREF _Toc190476394 \h </w:instrText>
            </w:r>
            <w:r w:rsidR="005833E8">
              <w:rPr>
                <w:noProof/>
                <w:webHidden/>
              </w:rPr>
            </w:r>
            <w:r w:rsidR="005833E8">
              <w:rPr>
                <w:noProof/>
                <w:webHidden/>
              </w:rPr>
              <w:fldChar w:fldCharType="separate"/>
            </w:r>
            <w:r w:rsidR="002E52CC">
              <w:rPr>
                <w:noProof/>
                <w:webHidden/>
              </w:rPr>
              <w:t>56</w:t>
            </w:r>
            <w:r w:rsidR="005833E8">
              <w:rPr>
                <w:noProof/>
                <w:webHidden/>
              </w:rPr>
              <w:fldChar w:fldCharType="end"/>
            </w:r>
          </w:hyperlink>
        </w:p>
        <w:p w:rsidR="005833E8" w:rsidRDefault="009C58C7">
          <w:pPr>
            <w:pStyle w:val="Obsah2"/>
            <w:tabs>
              <w:tab w:val="right" w:leader="dot" w:pos="10070"/>
            </w:tabs>
            <w:rPr>
              <w:rFonts w:cstheme="minorBidi"/>
              <w:noProof/>
            </w:rPr>
          </w:pPr>
          <w:hyperlink w:anchor="_Toc190476395" w:history="1">
            <w:r w:rsidR="005833E8" w:rsidRPr="001107D8">
              <w:rPr>
                <w:rStyle w:val="Hypertextovodkaz"/>
                <w:noProof/>
              </w:rPr>
              <w:t>6.1. Nepřipuštění osoby do adhezního řízení</w:t>
            </w:r>
            <w:r w:rsidR="005833E8">
              <w:rPr>
                <w:noProof/>
                <w:webHidden/>
              </w:rPr>
              <w:tab/>
            </w:r>
            <w:r w:rsidR="005833E8">
              <w:rPr>
                <w:noProof/>
                <w:webHidden/>
              </w:rPr>
              <w:fldChar w:fldCharType="begin"/>
            </w:r>
            <w:r w:rsidR="005833E8">
              <w:rPr>
                <w:noProof/>
                <w:webHidden/>
              </w:rPr>
              <w:instrText xml:space="preserve"> PAGEREF _Toc190476395 \h </w:instrText>
            </w:r>
            <w:r w:rsidR="005833E8">
              <w:rPr>
                <w:noProof/>
                <w:webHidden/>
              </w:rPr>
            </w:r>
            <w:r w:rsidR="005833E8">
              <w:rPr>
                <w:noProof/>
                <w:webHidden/>
              </w:rPr>
              <w:fldChar w:fldCharType="separate"/>
            </w:r>
            <w:r w:rsidR="002E52CC">
              <w:rPr>
                <w:noProof/>
                <w:webHidden/>
              </w:rPr>
              <w:t>56</w:t>
            </w:r>
            <w:r w:rsidR="005833E8">
              <w:rPr>
                <w:noProof/>
                <w:webHidden/>
              </w:rPr>
              <w:fldChar w:fldCharType="end"/>
            </w:r>
          </w:hyperlink>
        </w:p>
        <w:p w:rsidR="005833E8" w:rsidRDefault="009C58C7">
          <w:pPr>
            <w:pStyle w:val="Obsah2"/>
            <w:tabs>
              <w:tab w:val="right" w:leader="dot" w:pos="10070"/>
            </w:tabs>
            <w:rPr>
              <w:rFonts w:cstheme="minorBidi"/>
              <w:noProof/>
            </w:rPr>
          </w:pPr>
          <w:hyperlink w:anchor="_Toc190476396" w:history="1">
            <w:r w:rsidR="005833E8" w:rsidRPr="001107D8">
              <w:rPr>
                <w:rStyle w:val="Hypertextovodkaz"/>
                <w:noProof/>
              </w:rPr>
              <w:t>6.2. Přiznání nároku na náhradu újmy poškozenému</w:t>
            </w:r>
            <w:r w:rsidR="005833E8">
              <w:rPr>
                <w:noProof/>
                <w:webHidden/>
              </w:rPr>
              <w:tab/>
            </w:r>
            <w:r w:rsidR="005833E8">
              <w:rPr>
                <w:noProof/>
                <w:webHidden/>
              </w:rPr>
              <w:fldChar w:fldCharType="begin"/>
            </w:r>
            <w:r w:rsidR="005833E8">
              <w:rPr>
                <w:noProof/>
                <w:webHidden/>
              </w:rPr>
              <w:instrText xml:space="preserve"> PAGEREF _Toc190476396 \h </w:instrText>
            </w:r>
            <w:r w:rsidR="005833E8">
              <w:rPr>
                <w:noProof/>
                <w:webHidden/>
              </w:rPr>
            </w:r>
            <w:r w:rsidR="005833E8">
              <w:rPr>
                <w:noProof/>
                <w:webHidden/>
              </w:rPr>
              <w:fldChar w:fldCharType="separate"/>
            </w:r>
            <w:r w:rsidR="002E52CC">
              <w:rPr>
                <w:noProof/>
                <w:webHidden/>
              </w:rPr>
              <w:t>57</w:t>
            </w:r>
            <w:r w:rsidR="005833E8">
              <w:rPr>
                <w:noProof/>
                <w:webHidden/>
              </w:rPr>
              <w:fldChar w:fldCharType="end"/>
            </w:r>
          </w:hyperlink>
        </w:p>
        <w:p w:rsidR="005833E8" w:rsidRDefault="009C58C7">
          <w:pPr>
            <w:pStyle w:val="Obsah2"/>
            <w:tabs>
              <w:tab w:val="right" w:leader="dot" w:pos="10070"/>
            </w:tabs>
            <w:rPr>
              <w:rFonts w:cstheme="minorBidi"/>
              <w:noProof/>
            </w:rPr>
          </w:pPr>
          <w:hyperlink w:anchor="_Toc190476397" w:history="1">
            <w:r w:rsidR="005833E8" w:rsidRPr="001107D8">
              <w:rPr>
                <w:rStyle w:val="Hypertextovodkaz"/>
                <w:noProof/>
              </w:rPr>
              <w:t>6.3. Odkázání poškozeného s nárokem na náhradu újmy do jiného řízení</w:t>
            </w:r>
            <w:r w:rsidR="005833E8">
              <w:rPr>
                <w:noProof/>
                <w:webHidden/>
              </w:rPr>
              <w:tab/>
            </w:r>
            <w:r w:rsidR="005833E8">
              <w:rPr>
                <w:noProof/>
                <w:webHidden/>
              </w:rPr>
              <w:fldChar w:fldCharType="begin"/>
            </w:r>
            <w:r w:rsidR="005833E8">
              <w:rPr>
                <w:noProof/>
                <w:webHidden/>
              </w:rPr>
              <w:instrText xml:space="preserve"> PAGEREF _Toc190476397 \h </w:instrText>
            </w:r>
            <w:r w:rsidR="005833E8">
              <w:rPr>
                <w:noProof/>
                <w:webHidden/>
              </w:rPr>
            </w:r>
            <w:r w:rsidR="005833E8">
              <w:rPr>
                <w:noProof/>
                <w:webHidden/>
              </w:rPr>
              <w:fldChar w:fldCharType="separate"/>
            </w:r>
            <w:r w:rsidR="002E52CC">
              <w:rPr>
                <w:noProof/>
                <w:webHidden/>
              </w:rPr>
              <w:t>60</w:t>
            </w:r>
            <w:r w:rsidR="005833E8">
              <w:rPr>
                <w:noProof/>
                <w:webHidden/>
              </w:rPr>
              <w:fldChar w:fldCharType="end"/>
            </w:r>
          </w:hyperlink>
        </w:p>
        <w:p w:rsidR="005833E8" w:rsidRDefault="009C58C7">
          <w:pPr>
            <w:pStyle w:val="Obsah2"/>
            <w:tabs>
              <w:tab w:val="right" w:leader="dot" w:pos="10070"/>
            </w:tabs>
            <w:rPr>
              <w:rFonts w:cstheme="minorBidi"/>
              <w:noProof/>
            </w:rPr>
          </w:pPr>
          <w:hyperlink w:anchor="_Toc190476399" w:history="1">
            <w:r w:rsidR="005833E8" w:rsidRPr="001107D8">
              <w:rPr>
                <w:rStyle w:val="Hypertextovodkaz"/>
                <w:noProof/>
              </w:rPr>
              <w:t>6.4. Problematika právního nástupnictví v adhezním řízení</w:t>
            </w:r>
            <w:r w:rsidR="005833E8">
              <w:rPr>
                <w:noProof/>
                <w:webHidden/>
              </w:rPr>
              <w:tab/>
            </w:r>
            <w:r w:rsidR="005833E8">
              <w:rPr>
                <w:noProof/>
                <w:webHidden/>
              </w:rPr>
              <w:fldChar w:fldCharType="begin"/>
            </w:r>
            <w:r w:rsidR="005833E8">
              <w:rPr>
                <w:noProof/>
                <w:webHidden/>
              </w:rPr>
              <w:instrText xml:space="preserve"> PAGEREF _Toc190476399 \h </w:instrText>
            </w:r>
            <w:r w:rsidR="005833E8">
              <w:rPr>
                <w:noProof/>
                <w:webHidden/>
              </w:rPr>
            </w:r>
            <w:r w:rsidR="005833E8">
              <w:rPr>
                <w:noProof/>
                <w:webHidden/>
              </w:rPr>
              <w:fldChar w:fldCharType="separate"/>
            </w:r>
            <w:r w:rsidR="002E52CC">
              <w:rPr>
                <w:noProof/>
                <w:webHidden/>
              </w:rPr>
              <w:t>62</w:t>
            </w:r>
            <w:r w:rsidR="005833E8">
              <w:rPr>
                <w:noProof/>
                <w:webHidden/>
              </w:rPr>
              <w:fldChar w:fldCharType="end"/>
            </w:r>
          </w:hyperlink>
        </w:p>
        <w:p w:rsidR="005833E8" w:rsidRDefault="009C58C7">
          <w:pPr>
            <w:pStyle w:val="Obsah1"/>
            <w:tabs>
              <w:tab w:val="left" w:pos="1100"/>
              <w:tab w:val="right" w:leader="dot" w:pos="10070"/>
            </w:tabs>
            <w:rPr>
              <w:rFonts w:asciiTheme="minorHAnsi" w:eastAsiaTheme="minorEastAsia" w:hAnsiTheme="minorHAnsi" w:cstheme="minorBidi"/>
              <w:noProof/>
              <w:lang w:val="cs-CZ"/>
            </w:rPr>
          </w:pPr>
          <w:hyperlink w:anchor="_Toc190476400" w:history="1">
            <w:r w:rsidR="005833E8" w:rsidRPr="001107D8">
              <w:rPr>
                <w:rStyle w:val="Hypertextovodkaz"/>
                <w:noProof/>
              </w:rPr>
              <w:t xml:space="preserve">Závěr   </w:t>
            </w:r>
            <w:r w:rsidR="005833E8">
              <w:rPr>
                <w:rFonts w:asciiTheme="minorHAnsi" w:eastAsiaTheme="minorEastAsia" w:hAnsiTheme="minorHAnsi" w:cstheme="minorBidi"/>
                <w:noProof/>
                <w:lang w:val="cs-CZ"/>
              </w:rPr>
              <w:tab/>
            </w:r>
            <w:r w:rsidR="005833E8">
              <w:rPr>
                <w:noProof/>
                <w:webHidden/>
              </w:rPr>
              <w:tab/>
            </w:r>
            <w:r w:rsidR="005833E8">
              <w:rPr>
                <w:noProof/>
                <w:webHidden/>
              </w:rPr>
              <w:fldChar w:fldCharType="begin"/>
            </w:r>
            <w:r w:rsidR="005833E8">
              <w:rPr>
                <w:noProof/>
                <w:webHidden/>
              </w:rPr>
              <w:instrText xml:space="preserve"> PAGEREF _Toc190476400 \h </w:instrText>
            </w:r>
            <w:r w:rsidR="005833E8">
              <w:rPr>
                <w:noProof/>
                <w:webHidden/>
              </w:rPr>
            </w:r>
            <w:r w:rsidR="005833E8">
              <w:rPr>
                <w:noProof/>
                <w:webHidden/>
              </w:rPr>
              <w:fldChar w:fldCharType="separate"/>
            </w:r>
            <w:r w:rsidR="002E52CC">
              <w:rPr>
                <w:noProof/>
                <w:webHidden/>
              </w:rPr>
              <w:t>64</w:t>
            </w:r>
            <w:r w:rsidR="005833E8">
              <w:rPr>
                <w:noProof/>
                <w:webHidden/>
              </w:rPr>
              <w:fldChar w:fldCharType="end"/>
            </w:r>
          </w:hyperlink>
        </w:p>
        <w:p w:rsidR="005833E8" w:rsidRDefault="009C58C7">
          <w:pPr>
            <w:pStyle w:val="Obsah1"/>
            <w:tabs>
              <w:tab w:val="right" w:leader="dot" w:pos="10070"/>
            </w:tabs>
            <w:rPr>
              <w:rFonts w:asciiTheme="minorHAnsi" w:eastAsiaTheme="minorEastAsia" w:hAnsiTheme="minorHAnsi" w:cstheme="minorBidi"/>
              <w:noProof/>
              <w:lang w:val="cs-CZ"/>
            </w:rPr>
          </w:pPr>
          <w:hyperlink w:anchor="_Toc190476401" w:history="1">
            <w:r w:rsidR="005833E8" w:rsidRPr="001107D8">
              <w:rPr>
                <w:rStyle w:val="Hypertextovodkaz"/>
                <w:noProof/>
              </w:rPr>
              <w:t>Seznam použitých zdrojů</w:t>
            </w:r>
            <w:r w:rsidR="005833E8">
              <w:rPr>
                <w:noProof/>
                <w:webHidden/>
              </w:rPr>
              <w:tab/>
            </w:r>
            <w:r w:rsidR="005833E8">
              <w:rPr>
                <w:noProof/>
                <w:webHidden/>
              </w:rPr>
              <w:fldChar w:fldCharType="begin"/>
            </w:r>
            <w:r w:rsidR="005833E8">
              <w:rPr>
                <w:noProof/>
                <w:webHidden/>
              </w:rPr>
              <w:instrText xml:space="preserve"> PAGEREF _Toc190476401 \h </w:instrText>
            </w:r>
            <w:r w:rsidR="005833E8">
              <w:rPr>
                <w:noProof/>
                <w:webHidden/>
              </w:rPr>
            </w:r>
            <w:r w:rsidR="005833E8">
              <w:rPr>
                <w:noProof/>
                <w:webHidden/>
              </w:rPr>
              <w:fldChar w:fldCharType="separate"/>
            </w:r>
            <w:r w:rsidR="002E52CC">
              <w:rPr>
                <w:noProof/>
                <w:webHidden/>
              </w:rPr>
              <w:t>67</w:t>
            </w:r>
            <w:r w:rsidR="005833E8">
              <w:rPr>
                <w:noProof/>
                <w:webHidden/>
              </w:rPr>
              <w:fldChar w:fldCharType="end"/>
            </w:r>
          </w:hyperlink>
        </w:p>
        <w:p w:rsidR="005833E8" w:rsidRDefault="009C58C7">
          <w:pPr>
            <w:pStyle w:val="Obsah1"/>
            <w:tabs>
              <w:tab w:val="right" w:leader="dot" w:pos="10070"/>
            </w:tabs>
            <w:rPr>
              <w:rFonts w:asciiTheme="minorHAnsi" w:eastAsiaTheme="minorEastAsia" w:hAnsiTheme="minorHAnsi" w:cstheme="minorBidi"/>
              <w:noProof/>
              <w:lang w:val="cs-CZ"/>
            </w:rPr>
          </w:pPr>
          <w:hyperlink w:anchor="_Toc190476409" w:history="1">
            <w:r w:rsidR="005833E8" w:rsidRPr="001107D8">
              <w:rPr>
                <w:rStyle w:val="Hypertextovodkaz"/>
                <w:noProof/>
              </w:rPr>
              <w:t>Shrnutí</w:t>
            </w:r>
            <w:r w:rsidR="005833E8">
              <w:rPr>
                <w:noProof/>
                <w:webHidden/>
              </w:rPr>
              <w:tab/>
            </w:r>
            <w:r w:rsidR="005833E8">
              <w:rPr>
                <w:noProof/>
                <w:webHidden/>
              </w:rPr>
              <w:fldChar w:fldCharType="begin"/>
            </w:r>
            <w:r w:rsidR="005833E8">
              <w:rPr>
                <w:noProof/>
                <w:webHidden/>
              </w:rPr>
              <w:instrText xml:space="preserve"> PAGEREF _Toc190476409 \h </w:instrText>
            </w:r>
            <w:r w:rsidR="005833E8">
              <w:rPr>
                <w:noProof/>
                <w:webHidden/>
              </w:rPr>
            </w:r>
            <w:r w:rsidR="005833E8">
              <w:rPr>
                <w:noProof/>
                <w:webHidden/>
              </w:rPr>
              <w:fldChar w:fldCharType="separate"/>
            </w:r>
            <w:r w:rsidR="002E52CC">
              <w:rPr>
                <w:noProof/>
                <w:webHidden/>
              </w:rPr>
              <w:t>75</w:t>
            </w:r>
            <w:r w:rsidR="005833E8">
              <w:rPr>
                <w:noProof/>
                <w:webHidden/>
              </w:rPr>
              <w:fldChar w:fldCharType="end"/>
            </w:r>
          </w:hyperlink>
        </w:p>
        <w:p w:rsidR="005833E8" w:rsidRDefault="009C58C7">
          <w:pPr>
            <w:pStyle w:val="Obsah1"/>
            <w:tabs>
              <w:tab w:val="right" w:leader="dot" w:pos="10070"/>
            </w:tabs>
            <w:rPr>
              <w:rFonts w:asciiTheme="minorHAnsi" w:eastAsiaTheme="minorEastAsia" w:hAnsiTheme="minorHAnsi" w:cstheme="minorBidi"/>
              <w:noProof/>
              <w:lang w:val="cs-CZ"/>
            </w:rPr>
          </w:pPr>
          <w:hyperlink w:anchor="_Toc190476411" w:history="1">
            <w:r w:rsidR="005833E8" w:rsidRPr="001107D8">
              <w:rPr>
                <w:rStyle w:val="Hypertextovodkaz"/>
                <w:noProof/>
              </w:rPr>
              <w:t>Klíčová slova</w:t>
            </w:r>
            <w:r w:rsidR="005833E8">
              <w:rPr>
                <w:noProof/>
                <w:webHidden/>
              </w:rPr>
              <w:tab/>
            </w:r>
            <w:r w:rsidR="005833E8">
              <w:rPr>
                <w:noProof/>
                <w:webHidden/>
              </w:rPr>
              <w:fldChar w:fldCharType="begin"/>
            </w:r>
            <w:r w:rsidR="005833E8">
              <w:rPr>
                <w:noProof/>
                <w:webHidden/>
              </w:rPr>
              <w:instrText xml:space="preserve"> PAGEREF _Toc190476411 \h </w:instrText>
            </w:r>
            <w:r w:rsidR="005833E8">
              <w:rPr>
                <w:noProof/>
                <w:webHidden/>
              </w:rPr>
            </w:r>
            <w:r w:rsidR="005833E8">
              <w:rPr>
                <w:noProof/>
                <w:webHidden/>
              </w:rPr>
              <w:fldChar w:fldCharType="separate"/>
            </w:r>
            <w:r w:rsidR="002E52CC">
              <w:rPr>
                <w:noProof/>
                <w:webHidden/>
              </w:rPr>
              <w:t>76</w:t>
            </w:r>
            <w:r w:rsidR="005833E8">
              <w:rPr>
                <w:noProof/>
                <w:webHidden/>
              </w:rPr>
              <w:fldChar w:fldCharType="end"/>
            </w:r>
          </w:hyperlink>
        </w:p>
        <w:p w:rsidR="005833E8" w:rsidRDefault="009C58C7">
          <w:pPr>
            <w:pStyle w:val="Obsah1"/>
            <w:tabs>
              <w:tab w:val="right" w:leader="dot" w:pos="10070"/>
            </w:tabs>
            <w:rPr>
              <w:rFonts w:asciiTheme="minorHAnsi" w:eastAsiaTheme="minorEastAsia" w:hAnsiTheme="minorHAnsi" w:cstheme="minorBidi"/>
              <w:noProof/>
              <w:lang w:val="cs-CZ"/>
            </w:rPr>
          </w:pPr>
          <w:hyperlink w:anchor="_Toc190476412" w:history="1">
            <w:r w:rsidR="005833E8" w:rsidRPr="001107D8">
              <w:rPr>
                <w:rStyle w:val="Hypertextovodkaz"/>
                <w:noProof/>
              </w:rPr>
              <w:t>Key words</w:t>
            </w:r>
            <w:r w:rsidR="005833E8">
              <w:rPr>
                <w:noProof/>
                <w:webHidden/>
              </w:rPr>
              <w:tab/>
            </w:r>
            <w:r w:rsidR="005833E8">
              <w:rPr>
                <w:noProof/>
                <w:webHidden/>
              </w:rPr>
              <w:fldChar w:fldCharType="begin"/>
            </w:r>
            <w:r w:rsidR="005833E8">
              <w:rPr>
                <w:noProof/>
                <w:webHidden/>
              </w:rPr>
              <w:instrText xml:space="preserve"> PAGEREF _Toc190476412 \h </w:instrText>
            </w:r>
            <w:r w:rsidR="005833E8">
              <w:rPr>
                <w:noProof/>
                <w:webHidden/>
              </w:rPr>
            </w:r>
            <w:r w:rsidR="005833E8">
              <w:rPr>
                <w:noProof/>
                <w:webHidden/>
              </w:rPr>
              <w:fldChar w:fldCharType="separate"/>
            </w:r>
            <w:r w:rsidR="002E52CC">
              <w:rPr>
                <w:noProof/>
                <w:webHidden/>
              </w:rPr>
              <w:t>76</w:t>
            </w:r>
            <w:r w:rsidR="005833E8">
              <w:rPr>
                <w:noProof/>
                <w:webHidden/>
              </w:rPr>
              <w:fldChar w:fldCharType="end"/>
            </w:r>
          </w:hyperlink>
        </w:p>
        <w:p w:rsidR="005833E8" w:rsidRDefault="005833E8" w:rsidP="002E52CC">
          <w:r>
            <w:rPr>
              <w:b/>
              <w:bCs/>
            </w:rPr>
            <w:fldChar w:fldCharType="end"/>
          </w:r>
        </w:p>
      </w:sdtContent>
    </w:sdt>
    <w:p w:rsidR="00D6014A" w:rsidRDefault="00B425CE" w:rsidP="006A3693">
      <w:pPr>
        <w:pStyle w:val="Nadpis1"/>
        <w:ind w:right="567"/>
      </w:pPr>
      <w:bookmarkStart w:id="6" w:name="_Toc190476374"/>
      <w:r w:rsidRPr="00D845BD">
        <w:lastRenderedPageBreak/>
        <w:t>Úvod</w:t>
      </w:r>
      <w:bookmarkEnd w:id="1"/>
      <w:bookmarkEnd w:id="2"/>
      <w:bookmarkEnd w:id="4"/>
      <w:bookmarkEnd w:id="6"/>
      <w:r w:rsidR="00D420AB">
        <w:br/>
      </w:r>
    </w:p>
    <w:p w:rsidR="00D62E64" w:rsidRPr="00A40F4E" w:rsidRDefault="00B425CE" w:rsidP="006A3693">
      <w:pPr>
        <w:spacing w:line="360" w:lineRule="auto"/>
        <w:ind w:right="567"/>
        <w:jc w:val="both"/>
        <w:rPr>
          <w:sz w:val="24"/>
          <w:szCs w:val="24"/>
        </w:rPr>
      </w:pPr>
      <w:r w:rsidRPr="00A40F4E">
        <w:rPr>
          <w:sz w:val="24"/>
          <w:szCs w:val="24"/>
        </w:rPr>
        <w:t>Ustan</w:t>
      </w:r>
      <w:r w:rsidR="008123EF" w:rsidRPr="00A40F4E">
        <w:rPr>
          <w:sz w:val="24"/>
          <w:szCs w:val="24"/>
        </w:rPr>
        <w:t>ovení § 5 PřesZ</w:t>
      </w:r>
      <w:r w:rsidRPr="00A40F4E">
        <w:rPr>
          <w:sz w:val="24"/>
          <w:szCs w:val="24"/>
        </w:rPr>
        <w:t xml:space="preserve"> stanoví, že </w:t>
      </w:r>
      <w:r w:rsidRPr="00A40F4E">
        <w:rPr>
          <w:i/>
          <w:sz w:val="24"/>
          <w:szCs w:val="24"/>
        </w:rPr>
        <w:t>“Přestupkem je společensky škodlivý protiprávní čin, který je v zákoně za přestupek výslovně označen a který vykazuje znaky stanovené zákonem, nejde-li o trestný čin.”</w:t>
      </w:r>
      <w:r w:rsidR="009B3816" w:rsidRPr="00A40F4E">
        <w:rPr>
          <w:rStyle w:val="Znakapoznpodarou"/>
          <w:i/>
          <w:sz w:val="24"/>
          <w:szCs w:val="24"/>
        </w:rPr>
        <w:footnoteReference w:id="1"/>
      </w:r>
      <w:r w:rsidRPr="00A40F4E">
        <w:rPr>
          <w:i/>
          <w:sz w:val="24"/>
          <w:szCs w:val="24"/>
        </w:rPr>
        <w:t xml:space="preserve"> </w:t>
      </w:r>
      <w:r w:rsidRPr="00A40F4E">
        <w:rPr>
          <w:sz w:val="24"/>
          <w:szCs w:val="24"/>
        </w:rPr>
        <w:t>Následkem tohoto protiprávního jednání nemusí být nutně pouze porušení právních předpisů, ale také způsobení újmy konkrétní osobě. Jednou z reakcí na spáchání přestupku může být mimo uložení spravedlivé sankce i náhrada této způsobené újmy. To se může dít přímo v řízení o přestupku, v tzv. adhezním říze</w:t>
      </w:r>
      <w:r w:rsidR="009B3816" w:rsidRPr="00A40F4E">
        <w:rPr>
          <w:sz w:val="24"/>
          <w:szCs w:val="24"/>
        </w:rPr>
        <w:t>ní.</w:t>
      </w:r>
      <w:r w:rsidRPr="00A40F4E">
        <w:rPr>
          <w:sz w:val="24"/>
          <w:szCs w:val="24"/>
          <w:vertAlign w:val="superscript"/>
        </w:rPr>
        <w:footnoteReference w:id="2"/>
      </w:r>
    </w:p>
    <w:p w:rsidR="00D62E64" w:rsidRPr="00A40F4E" w:rsidRDefault="00B425CE" w:rsidP="006A3693">
      <w:pPr>
        <w:spacing w:line="360" w:lineRule="auto"/>
        <w:ind w:right="567" w:firstLine="720"/>
        <w:jc w:val="both"/>
        <w:rPr>
          <w:sz w:val="24"/>
          <w:szCs w:val="24"/>
        </w:rPr>
      </w:pPr>
      <w:r w:rsidRPr="00A40F4E">
        <w:rPr>
          <w:sz w:val="24"/>
          <w:szCs w:val="24"/>
        </w:rPr>
        <w:t xml:space="preserve">Právě tomuto tématu se věnuje moje diplomová práce. Přestupkové právo prošlo v roce 2017 významnou změnou v podobě přijetí nového přestupkového zákona. Tím došlo i k některým změnám v adhezním řízení a právní úpravě poškozeného. </w:t>
      </w:r>
      <w:r w:rsidR="00436BE4">
        <w:rPr>
          <w:rStyle w:val="Znakapoznpodarou"/>
          <w:sz w:val="24"/>
          <w:szCs w:val="24"/>
        </w:rPr>
        <w:footnoteReference w:id="3"/>
      </w:r>
      <w:r w:rsidRPr="00A40F4E">
        <w:rPr>
          <w:sz w:val="24"/>
          <w:szCs w:val="24"/>
        </w:rPr>
        <w:t>Téma považuji za důležité, neboť ani po více než sedmi letech nedošlo k vyjasnění některých dílčích sporných aspektů právní úpravy. Tyto sporné body byly identifikovány po</w:t>
      </w:r>
      <w:r w:rsidR="009B3816" w:rsidRPr="00A40F4E">
        <w:rPr>
          <w:sz w:val="24"/>
          <w:szCs w:val="24"/>
        </w:rPr>
        <w:t xml:space="preserve"> důkladné</w:t>
      </w:r>
      <w:r w:rsidRPr="00A40F4E">
        <w:rPr>
          <w:sz w:val="24"/>
          <w:szCs w:val="24"/>
        </w:rPr>
        <w:t xml:space="preserve"> rešerši odborné literatury. Značnou část jich zmiňuje ve své monografii</w:t>
      </w:r>
      <w:r w:rsidRPr="00A40F4E">
        <w:rPr>
          <w:sz w:val="24"/>
          <w:szCs w:val="24"/>
          <w:vertAlign w:val="superscript"/>
        </w:rPr>
        <w:footnoteReference w:id="4"/>
      </w:r>
      <w:r w:rsidRPr="00A40F4E">
        <w:rPr>
          <w:sz w:val="24"/>
          <w:szCs w:val="24"/>
        </w:rPr>
        <w:t xml:space="preserve"> Helena Prášková, ale také různé komentáře k přestupkovému zákonu. Současně s tím je nutné zaznamenat sporné nebo nejasné aspekty problematiky adhezního řízení a poškozeného i v trestním řízení, neboť přestupkový zákon je značně inspirován trestním řádem.</w:t>
      </w:r>
      <w:r w:rsidR="008123EF" w:rsidRPr="00A40F4E">
        <w:rPr>
          <w:rStyle w:val="Znakapoznpodarou"/>
          <w:sz w:val="24"/>
          <w:szCs w:val="24"/>
        </w:rPr>
        <w:footnoteReference w:id="5"/>
      </w:r>
      <w:r w:rsidRPr="00A40F4E">
        <w:rPr>
          <w:sz w:val="24"/>
          <w:szCs w:val="24"/>
        </w:rPr>
        <w:t xml:space="preserve"> Obě řízení a obě problematiky spolu nepochybně do velké míry souvisí. Dalším důvodem, proč je toto téma aktuální je celkový trend zřetelný “na poli” právní úpravy poškozeného a tím je r</w:t>
      </w:r>
      <w:r w:rsidR="008123EF" w:rsidRPr="00A40F4E">
        <w:rPr>
          <w:sz w:val="24"/>
          <w:szCs w:val="24"/>
        </w:rPr>
        <w:t>ozšiřování jeho procesní pozice v řízení trestním</w:t>
      </w:r>
      <w:r w:rsidR="008123EF" w:rsidRPr="00A40F4E">
        <w:rPr>
          <w:rStyle w:val="Znakapoznpodarou"/>
          <w:sz w:val="24"/>
          <w:szCs w:val="24"/>
        </w:rPr>
        <w:footnoteReference w:id="6"/>
      </w:r>
      <w:r w:rsidR="008123EF" w:rsidRPr="00A40F4E">
        <w:rPr>
          <w:sz w:val="24"/>
          <w:szCs w:val="24"/>
        </w:rPr>
        <w:t xml:space="preserve">. </w:t>
      </w:r>
      <w:r w:rsidRPr="00A40F4E">
        <w:rPr>
          <w:sz w:val="24"/>
          <w:szCs w:val="24"/>
        </w:rPr>
        <w:t xml:space="preserve">Téma je tak aktuální a relevantní, neboť procesní postavení poškozeného je nepochybně jedním z důležitých aspektů přestupkového i trestního řízení a </w:t>
      </w:r>
      <w:r w:rsidR="008123EF" w:rsidRPr="00A40F4E">
        <w:rPr>
          <w:sz w:val="24"/>
          <w:szCs w:val="24"/>
        </w:rPr>
        <w:t>jistě bude</w:t>
      </w:r>
      <w:r w:rsidRPr="00A40F4E">
        <w:rPr>
          <w:sz w:val="24"/>
          <w:szCs w:val="24"/>
        </w:rPr>
        <w:t xml:space="preserve"> předmětem diskuzí ohledně podoby nového trestního řádu. Při těchto debatách jistě nebude stát stranou ani právní úprava přestupků a přestupkového řízení. </w:t>
      </w:r>
    </w:p>
    <w:p w:rsidR="00D62E64" w:rsidRPr="00A40F4E" w:rsidRDefault="00B425CE" w:rsidP="005833E8">
      <w:pPr>
        <w:spacing w:line="360" w:lineRule="auto"/>
        <w:ind w:right="567" w:firstLine="720"/>
        <w:jc w:val="both"/>
        <w:rPr>
          <w:sz w:val="24"/>
          <w:szCs w:val="24"/>
        </w:rPr>
      </w:pPr>
      <w:r w:rsidRPr="00A40F4E">
        <w:rPr>
          <w:sz w:val="24"/>
          <w:szCs w:val="24"/>
        </w:rPr>
        <w:lastRenderedPageBreak/>
        <w:t>Po přečtení značného množství literatury a odborných příspěvků vztahující se k zmiňované problematice bylo identifikováno několik sporných problémů aktuálně účinné právní úpravy, o k</w:t>
      </w:r>
      <w:r w:rsidR="008123EF" w:rsidRPr="00A40F4E">
        <w:rPr>
          <w:sz w:val="24"/>
          <w:szCs w:val="24"/>
        </w:rPr>
        <w:t>t</w:t>
      </w:r>
      <w:r w:rsidRPr="00A40F4E">
        <w:rPr>
          <w:sz w:val="24"/>
          <w:szCs w:val="24"/>
        </w:rPr>
        <w:t xml:space="preserve">erých se vede diskuze a které dosud nebyly uspokojivě vyřešeny. Konkrétně se jedná o otázky uplatnění nároku poškozeným v přestupkovém řízení, zejména ohledně povahy lhůty v ustanovení § 70 odst. 2 </w:t>
      </w:r>
      <w:r w:rsidR="008123EF" w:rsidRPr="00A40F4E">
        <w:rPr>
          <w:sz w:val="24"/>
          <w:szCs w:val="24"/>
        </w:rPr>
        <w:t>PřesZ</w:t>
      </w:r>
      <w:r w:rsidRPr="00A40F4E">
        <w:rPr>
          <w:sz w:val="24"/>
          <w:szCs w:val="24"/>
        </w:rPr>
        <w:t>, která se prakticky projeví v možnosti nebo nemožnosti poškozeného žádat prominutí jejího zmeškání. Dalším spornou záležitostí se jeví být situace, kdy správní orgán nevyrozumí osobu poškozenou přestupkem o možnosti uplatnit v řízení nárok na náhradu škody a její následek. Třetím zajímavým okruhem, který řeším v kapitole třetí, je pak problematika osoby, která utrpěla přestupkem nemajetkovou újmu. Tato kapitola se zabývá procesním postavením této osoby a jejími právy, které měla za předchozí právní úpravy. Ačkoli je svou povahou zaměřená spíše do (byť nedávné) historie, není vyloučeno, že bude v odborných kruzích v budoucnu probíhat debata o znovuzavedení tohoto typu účastníka. Dalšími problémy, kterými se budu zabývat jsou způsob náhrady, kterou může poškozený žádat v řízení o přestupcích a problematika přechodu nároku na právní nástupce poškozeného.</w:t>
      </w:r>
    </w:p>
    <w:p w:rsidR="00D62E64" w:rsidRPr="00A40F4E" w:rsidRDefault="00385452" w:rsidP="005833E8">
      <w:pPr>
        <w:spacing w:line="360" w:lineRule="auto"/>
        <w:ind w:right="567" w:firstLine="720"/>
        <w:jc w:val="both"/>
        <w:rPr>
          <w:sz w:val="24"/>
          <w:szCs w:val="24"/>
        </w:rPr>
      </w:pPr>
      <w:r>
        <w:rPr>
          <w:sz w:val="24"/>
          <w:szCs w:val="24"/>
        </w:rPr>
        <w:br/>
      </w:r>
      <w:r w:rsidR="00B425CE" w:rsidRPr="00A40F4E">
        <w:rPr>
          <w:sz w:val="24"/>
          <w:szCs w:val="24"/>
        </w:rPr>
        <w:t>Za tímto účelem tedy stanovuji několik výzkumných otázek:</w:t>
      </w:r>
    </w:p>
    <w:p w:rsidR="00D62E64" w:rsidRPr="00C07033" w:rsidRDefault="00B425CE" w:rsidP="005833E8">
      <w:pPr>
        <w:spacing w:line="360" w:lineRule="auto"/>
        <w:ind w:right="567" w:firstLine="720"/>
        <w:jc w:val="both"/>
        <w:rPr>
          <w:sz w:val="24"/>
          <w:szCs w:val="24"/>
        </w:rPr>
      </w:pPr>
      <w:r w:rsidRPr="00A40F4E">
        <w:rPr>
          <w:sz w:val="24"/>
          <w:szCs w:val="24"/>
        </w:rPr>
        <w:br/>
      </w:r>
      <w:r w:rsidRPr="00C07033">
        <w:rPr>
          <w:sz w:val="24"/>
          <w:szCs w:val="24"/>
        </w:rPr>
        <w:t>1) Jaká je právní povaha lhůty k uplatnění nároku podle § 70 odst. 3 PřesZ</w:t>
      </w:r>
      <w:r w:rsidR="00385452" w:rsidRPr="00C07033">
        <w:rPr>
          <w:sz w:val="24"/>
          <w:szCs w:val="24"/>
        </w:rPr>
        <w:t xml:space="preserve"> a jaký </w:t>
      </w:r>
      <w:r w:rsidR="004F6478" w:rsidRPr="00C07033">
        <w:rPr>
          <w:sz w:val="24"/>
          <w:szCs w:val="24"/>
        </w:rPr>
        <w:t xml:space="preserve">je následek neuplatnění nároku na náhradu </w:t>
      </w:r>
      <w:r w:rsidR="00385452" w:rsidRPr="00C07033">
        <w:rPr>
          <w:sz w:val="24"/>
          <w:szCs w:val="24"/>
        </w:rPr>
        <w:t>újmy při prvním ústním jednání?</w:t>
      </w:r>
    </w:p>
    <w:p w:rsidR="00D62E64" w:rsidRPr="00C07033" w:rsidRDefault="00B425CE" w:rsidP="005833E8">
      <w:pPr>
        <w:spacing w:line="360" w:lineRule="auto"/>
        <w:ind w:right="567" w:firstLine="720"/>
        <w:jc w:val="both"/>
        <w:rPr>
          <w:sz w:val="24"/>
          <w:szCs w:val="24"/>
        </w:rPr>
      </w:pPr>
      <w:r w:rsidRPr="00C07033">
        <w:rPr>
          <w:sz w:val="24"/>
          <w:szCs w:val="24"/>
        </w:rPr>
        <w:br/>
        <w:t>2) Jaký je následek nesplnění povinnost</w:t>
      </w:r>
      <w:r w:rsidR="00A40F4E" w:rsidRPr="00C07033">
        <w:rPr>
          <w:sz w:val="24"/>
          <w:szCs w:val="24"/>
        </w:rPr>
        <w:t>i</w:t>
      </w:r>
      <w:r w:rsidRPr="00C07033">
        <w:rPr>
          <w:sz w:val="24"/>
          <w:szCs w:val="24"/>
        </w:rPr>
        <w:t xml:space="preserve"> správního orgánu vyrozumět osobu poškozeného o možnosti uplatnit svůj nárok v řízení o přestupcích podle</w:t>
      </w:r>
      <w:r w:rsidR="00AF5227">
        <w:rPr>
          <w:sz w:val="24"/>
          <w:szCs w:val="24"/>
        </w:rPr>
        <w:t xml:space="preserve"> ustanovení</w:t>
      </w:r>
      <w:r w:rsidRPr="00C07033">
        <w:rPr>
          <w:sz w:val="24"/>
          <w:szCs w:val="24"/>
        </w:rPr>
        <w:t xml:space="preserve"> § 70 odst. 1 PřesZ?</w:t>
      </w:r>
    </w:p>
    <w:p w:rsidR="00D62E64" w:rsidRPr="00C07033" w:rsidRDefault="00B425CE" w:rsidP="005833E8">
      <w:pPr>
        <w:spacing w:line="360" w:lineRule="auto"/>
        <w:ind w:right="567" w:firstLine="720"/>
        <w:jc w:val="both"/>
        <w:rPr>
          <w:sz w:val="24"/>
          <w:szCs w:val="24"/>
        </w:rPr>
      </w:pPr>
      <w:r w:rsidRPr="00C07033">
        <w:rPr>
          <w:sz w:val="24"/>
          <w:szCs w:val="24"/>
        </w:rPr>
        <w:br/>
        <w:t xml:space="preserve">3) Jaké bylo právní postavení osoby, které byla přestupkem způsobena nemajetková újma a bylo by vhodné tento typ poškozeného znovu zavést do právní úpravy? </w:t>
      </w:r>
    </w:p>
    <w:p w:rsidR="00D62E64" w:rsidRPr="00C07033" w:rsidRDefault="00D62E64" w:rsidP="005833E8">
      <w:pPr>
        <w:spacing w:line="360" w:lineRule="auto"/>
        <w:ind w:right="567"/>
        <w:jc w:val="both"/>
        <w:rPr>
          <w:sz w:val="24"/>
          <w:szCs w:val="24"/>
        </w:rPr>
      </w:pPr>
      <w:r w:rsidRPr="00C07033">
        <w:rPr>
          <w:sz w:val="24"/>
          <w:szCs w:val="24"/>
        </w:rPr>
        <w:br/>
      </w:r>
      <w:r w:rsidR="00B425CE" w:rsidRPr="00C07033">
        <w:rPr>
          <w:sz w:val="24"/>
          <w:szCs w:val="24"/>
        </w:rPr>
        <w:t>4) Připadá v řízení o přestupcích v úvahu přechod nároku poškozeného na jeho právní nástupce?</w:t>
      </w:r>
    </w:p>
    <w:p w:rsidR="00A40F4E" w:rsidRPr="00A40F4E" w:rsidRDefault="00A40F4E" w:rsidP="005833E8">
      <w:pPr>
        <w:spacing w:line="360" w:lineRule="auto"/>
        <w:ind w:right="567"/>
        <w:jc w:val="both"/>
        <w:rPr>
          <w:sz w:val="24"/>
          <w:szCs w:val="24"/>
        </w:rPr>
      </w:pPr>
    </w:p>
    <w:p w:rsidR="00D62E64" w:rsidRPr="00A40F4E" w:rsidRDefault="00B425CE" w:rsidP="005833E8">
      <w:pPr>
        <w:spacing w:line="360" w:lineRule="auto"/>
        <w:ind w:right="567" w:firstLine="720"/>
        <w:jc w:val="both"/>
        <w:rPr>
          <w:sz w:val="24"/>
          <w:szCs w:val="24"/>
        </w:rPr>
      </w:pPr>
      <w:r w:rsidRPr="00A40F4E">
        <w:rPr>
          <w:sz w:val="24"/>
          <w:szCs w:val="24"/>
        </w:rPr>
        <w:t xml:space="preserve">Dalším cílem je pak vyjádřit se k některým dalším problémům, které však nemají charakter výzkumných otázek, pouze na ně upozorním a připojím k nim své stanovisko, které se pokusím argumentačně podpořit. Existuje více problematických aspektů soudobé úpravy, které mohou vést k určitým nejasnostem či nelogičnostem. Příkladem může být </w:t>
      </w:r>
      <w:r w:rsidRPr="00A40F4E">
        <w:rPr>
          <w:sz w:val="24"/>
          <w:szCs w:val="24"/>
        </w:rPr>
        <w:lastRenderedPageBreak/>
        <w:t xml:space="preserve">pasáž o formě odkazu poškozeného s jeho nárokem do civilního řízení, právní úprava soudních poplatků, dále pasáže o překážce věci zahájené či (ne)možnosti zastavení adhezního řízení. Tam, kde se to v konkrétním případě nabízí, snažím se uvést návrhy </w:t>
      </w:r>
      <w:r w:rsidRPr="00A40F4E">
        <w:rPr>
          <w:i/>
          <w:sz w:val="24"/>
          <w:szCs w:val="24"/>
        </w:rPr>
        <w:t>de lege ferenda</w:t>
      </w:r>
      <w:r w:rsidRPr="00A40F4E">
        <w:rPr>
          <w:sz w:val="24"/>
          <w:szCs w:val="24"/>
        </w:rPr>
        <w:t>. Hypotézu nestanovuji, neboť si troufám tvrdit, že v tomto pojetí a tomto druhu pr</w:t>
      </w:r>
      <w:r w:rsidR="00337FE5" w:rsidRPr="00A40F4E">
        <w:rPr>
          <w:sz w:val="24"/>
          <w:szCs w:val="24"/>
        </w:rPr>
        <w:t>áce</w:t>
      </w:r>
      <w:r w:rsidRPr="00A40F4E">
        <w:rPr>
          <w:sz w:val="24"/>
          <w:szCs w:val="24"/>
        </w:rPr>
        <w:t xml:space="preserve"> není nutná a postačí výše uvedené výzkumné otázky</w:t>
      </w:r>
      <w:r w:rsidR="00AF5227">
        <w:rPr>
          <w:sz w:val="24"/>
          <w:szCs w:val="24"/>
        </w:rPr>
        <w:t xml:space="preserve"> a další průběžné postřehy</w:t>
      </w:r>
      <w:r w:rsidRPr="00A40F4E">
        <w:rPr>
          <w:sz w:val="24"/>
          <w:szCs w:val="24"/>
        </w:rPr>
        <w:t xml:space="preserve">. </w:t>
      </w:r>
    </w:p>
    <w:p w:rsidR="00D62E64" w:rsidRPr="00A40F4E" w:rsidRDefault="00B425CE" w:rsidP="005833E8">
      <w:pPr>
        <w:spacing w:line="360" w:lineRule="auto"/>
        <w:ind w:right="567" w:firstLine="720"/>
        <w:jc w:val="both"/>
        <w:rPr>
          <w:sz w:val="24"/>
          <w:szCs w:val="24"/>
        </w:rPr>
      </w:pPr>
      <w:r w:rsidRPr="00A40F4E">
        <w:rPr>
          <w:sz w:val="24"/>
          <w:szCs w:val="24"/>
        </w:rPr>
        <w:t xml:space="preserve">Výzkumnými metodami, kterými se pokusím dospět k odpovědím na výše </w:t>
      </w:r>
      <w:r w:rsidR="004265B2" w:rsidRPr="00A40F4E">
        <w:rPr>
          <w:sz w:val="24"/>
          <w:szCs w:val="24"/>
        </w:rPr>
        <w:t>uvedené</w:t>
      </w:r>
      <w:r w:rsidRPr="00A40F4E">
        <w:rPr>
          <w:sz w:val="24"/>
          <w:szCs w:val="24"/>
        </w:rPr>
        <w:t xml:space="preserve"> otázky jsou analytická, komparační, syntetická a samozřejmě také metoda popisná a kompilační. Komparace je prováděna především s právní úpravou adhezního řízení v trestním řízení, tedy obsaženou v zákoně č. 141/1961 Sb.</w:t>
      </w:r>
      <w:r w:rsidR="004265B2" w:rsidRPr="00A40F4E">
        <w:rPr>
          <w:sz w:val="24"/>
          <w:szCs w:val="24"/>
        </w:rPr>
        <w:t>,</w:t>
      </w:r>
      <w:r w:rsidRPr="00A40F4E">
        <w:rPr>
          <w:sz w:val="24"/>
          <w:szCs w:val="24"/>
        </w:rPr>
        <w:t xml:space="preserve"> o soudním řízení trestním (dále jen TŘ). Do jisté míry také s předchozím </w:t>
      </w:r>
      <w:r w:rsidR="004265B2" w:rsidRPr="00A40F4E">
        <w:rPr>
          <w:sz w:val="24"/>
          <w:szCs w:val="24"/>
        </w:rPr>
        <w:t>“P</w:t>
      </w:r>
      <w:r w:rsidRPr="00A40F4E">
        <w:rPr>
          <w:sz w:val="24"/>
          <w:szCs w:val="24"/>
        </w:rPr>
        <w:t>řestupkovým zákonem</w:t>
      </w:r>
      <w:r w:rsidR="004265B2" w:rsidRPr="00A40F4E">
        <w:rPr>
          <w:sz w:val="24"/>
          <w:szCs w:val="24"/>
        </w:rPr>
        <w:t>”</w:t>
      </w:r>
      <w:r w:rsidRPr="00A40F4E">
        <w:rPr>
          <w:sz w:val="24"/>
          <w:szCs w:val="24"/>
        </w:rPr>
        <w:t xml:space="preserve"> č. 200/1990 Sb. (dále jen </w:t>
      </w:r>
      <w:r w:rsidR="003629BC">
        <w:rPr>
          <w:sz w:val="24"/>
          <w:szCs w:val="24"/>
        </w:rPr>
        <w:t>“</w:t>
      </w:r>
      <w:r w:rsidRPr="00A40F4E">
        <w:rPr>
          <w:sz w:val="24"/>
          <w:szCs w:val="24"/>
        </w:rPr>
        <w:t>PřesZ 1990</w:t>
      </w:r>
      <w:r w:rsidR="003629BC">
        <w:rPr>
          <w:sz w:val="24"/>
          <w:szCs w:val="24"/>
        </w:rPr>
        <w:t>”</w:t>
      </w:r>
      <w:r w:rsidRPr="00A40F4E">
        <w:rPr>
          <w:sz w:val="24"/>
          <w:szCs w:val="24"/>
        </w:rPr>
        <w:t xml:space="preserve">). </w:t>
      </w:r>
    </w:p>
    <w:p w:rsidR="00D62E64" w:rsidRPr="00A40F4E" w:rsidRDefault="00B425CE" w:rsidP="005833E8">
      <w:pPr>
        <w:spacing w:line="360" w:lineRule="auto"/>
        <w:ind w:right="567" w:firstLine="720"/>
        <w:jc w:val="both"/>
        <w:rPr>
          <w:sz w:val="24"/>
          <w:szCs w:val="24"/>
        </w:rPr>
      </w:pPr>
      <w:r w:rsidRPr="00A40F4E">
        <w:rPr>
          <w:sz w:val="24"/>
          <w:szCs w:val="24"/>
        </w:rPr>
        <w:t xml:space="preserve">Práce je rozdělena do </w:t>
      </w:r>
      <w:r w:rsidR="00053D38">
        <w:rPr>
          <w:sz w:val="24"/>
          <w:szCs w:val="24"/>
        </w:rPr>
        <w:t>sedmi</w:t>
      </w:r>
      <w:r w:rsidRPr="00A40F4E">
        <w:rPr>
          <w:sz w:val="24"/>
          <w:szCs w:val="24"/>
        </w:rPr>
        <w:t xml:space="preserve"> kapitol</w:t>
      </w:r>
      <w:r w:rsidR="00337FE5" w:rsidRPr="00A40F4E">
        <w:rPr>
          <w:sz w:val="24"/>
          <w:szCs w:val="24"/>
        </w:rPr>
        <w:t>, které</w:t>
      </w:r>
      <w:r w:rsidRPr="00A40F4E">
        <w:rPr>
          <w:sz w:val="24"/>
          <w:szCs w:val="24"/>
        </w:rPr>
        <w:t xml:space="preserve"> dále se člení na podkapitoly. V první kapitole je cílem nastínit a popsat smysl a význam adhezního řízení a to v obecné rovině, tedy i toho v řízení trestním. Za tímto účelem je pak řeč o základních zásadách, smyslu a účelu řízení o deliktu obecně</w:t>
      </w:r>
      <w:r w:rsidR="00AF5227">
        <w:rPr>
          <w:sz w:val="24"/>
          <w:szCs w:val="24"/>
        </w:rPr>
        <w:t xml:space="preserve">. Ve druhé se věnuji </w:t>
      </w:r>
      <w:r w:rsidRPr="00A40F4E">
        <w:rPr>
          <w:sz w:val="24"/>
          <w:szCs w:val="24"/>
        </w:rPr>
        <w:t xml:space="preserve">vztahu adhezního řízení a civilního řízení. Ve </w:t>
      </w:r>
      <w:r w:rsidR="00AF5227">
        <w:rPr>
          <w:sz w:val="24"/>
          <w:szCs w:val="24"/>
        </w:rPr>
        <w:t>třetí</w:t>
      </w:r>
      <w:r w:rsidRPr="00A40F4E">
        <w:rPr>
          <w:sz w:val="24"/>
          <w:szCs w:val="24"/>
        </w:rPr>
        <w:t xml:space="preserve"> kapitole se zabývám již účinnou právní úpravou adhezního řízení a poškozeného, zejména předpoklady pro uplatnění nároku</w:t>
      </w:r>
      <w:r w:rsidR="00AF5227">
        <w:rPr>
          <w:sz w:val="24"/>
          <w:szCs w:val="24"/>
        </w:rPr>
        <w:t xml:space="preserve"> osobou poškozeného</w:t>
      </w:r>
      <w:r w:rsidR="004265B2" w:rsidRPr="00A40F4E">
        <w:rPr>
          <w:sz w:val="24"/>
          <w:szCs w:val="24"/>
        </w:rPr>
        <w:t>, ať už jde o kritéria řádnosti či včasnosti</w:t>
      </w:r>
      <w:r w:rsidRPr="00A40F4E">
        <w:rPr>
          <w:sz w:val="24"/>
          <w:szCs w:val="24"/>
        </w:rPr>
        <w:t xml:space="preserve">. Třetí kapitola se zabývá </w:t>
      </w:r>
      <w:r w:rsidR="00A40F4E" w:rsidRPr="00A40F4E">
        <w:rPr>
          <w:sz w:val="24"/>
          <w:szCs w:val="24"/>
        </w:rPr>
        <w:t>postavením poškozeného, zejména jeho procesními právy.</w:t>
      </w:r>
      <w:r w:rsidRPr="00A40F4E">
        <w:rPr>
          <w:sz w:val="24"/>
          <w:szCs w:val="24"/>
        </w:rPr>
        <w:t xml:space="preserve"> Ve čtvrté pak </w:t>
      </w:r>
      <w:r w:rsidR="00AF5227">
        <w:rPr>
          <w:sz w:val="24"/>
          <w:szCs w:val="24"/>
        </w:rPr>
        <w:t>další aspekty procesního postavení poškozeného. Pátá kapitola nabídne pohled na postavení osoby, které byla způsobena nemajetková újma, a to ve světle předchozí právní úpravy. Stranou ale nezůstává ani zamyšlení se nad případným zakotvením takového účastníka v budoucnu</w:t>
      </w:r>
      <w:r w:rsidRPr="00A40F4E">
        <w:rPr>
          <w:sz w:val="24"/>
          <w:szCs w:val="24"/>
        </w:rPr>
        <w:t xml:space="preserve">. </w:t>
      </w:r>
      <w:r w:rsidR="00AF5227">
        <w:rPr>
          <w:sz w:val="24"/>
          <w:szCs w:val="24"/>
        </w:rPr>
        <w:t xml:space="preserve">V poslední kapitole se pak pojednává o způsobech rozhodnutí o nároku poškozeného a také je rozebrána problematika právního nástupnctví v adhenzím řízení. </w:t>
      </w:r>
      <w:r w:rsidRPr="00A40F4E">
        <w:rPr>
          <w:sz w:val="24"/>
          <w:szCs w:val="24"/>
        </w:rPr>
        <w:t>Vzhledem k omezenému rozsahu práce (který byl navíc navýšen za laskavého souhlasu vedoucí práce) se nezabývám problematikou zajištění nároku</w:t>
      </w:r>
      <w:r w:rsidR="00AF5227">
        <w:rPr>
          <w:sz w:val="24"/>
          <w:szCs w:val="24"/>
        </w:rPr>
        <w:t xml:space="preserve">, a </w:t>
      </w:r>
      <w:r w:rsidRPr="00A40F4E">
        <w:rPr>
          <w:sz w:val="24"/>
          <w:szCs w:val="24"/>
        </w:rPr>
        <w:t>ani dokazováním v adhezním řízení. Stranou ponechávám také postavení zdravotní pojišťovny jakožto účastníka řízení a také teoretické aspekty pojmů škoda, příčinná souvislost, újma na zdraví atd. Pro jejich analýzu by rozsah již neúměrně narostl</w:t>
      </w:r>
      <w:r w:rsidR="004265B2" w:rsidRPr="00A40F4E">
        <w:rPr>
          <w:sz w:val="24"/>
          <w:szCs w:val="24"/>
        </w:rPr>
        <w:t xml:space="preserve"> a značně by přesahoval možnosti diplomové práce</w:t>
      </w:r>
      <w:r w:rsidRPr="00A40F4E">
        <w:rPr>
          <w:sz w:val="24"/>
          <w:szCs w:val="24"/>
        </w:rPr>
        <w:t xml:space="preserve">. </w:t>
      </w:r>
    </w:p>
    <w:p w:rsidR="00D62E64" w:rsidRPr="00A40F4E" w:rsidRDefault="00B425CE" w:rsidP="005833E8">
      <w:pPr>
        <w:spacing w:line="360" w:lineRule="auto"/>
        <w:ind w:right="567" w:firstLine="720"/>
        <w:jc w:val="both"/>
        <w:rPr>
          <w:sz w:val="24"/>
          <w:szCs w:val="24"/>
        </w:rPr>
      </w:pPr>
      <w:r w:rsidRPr="00A40F4E">
        <w:rPr>
          <w:sz w:val="24"/>
          <w:szCs w:val="24"/>
        </w:rPr>
        <w:t xml:space="preserve">Pokud v práci hovořím o “náhradě újmy” v přestupkovém řízení, má se na mysli náhrada majetkové škody a vydání bezdůvodného obohacení, nikoli náhrada nemajetkové újmy. Pokud je řeč o poškozeném v přestupkovém řízení, mám na mysli poškozeného jakožto účastníka řízení o přestupku. Když zmiňuji “osobu poškozeného”, myslím tím konkrétní fyzickou (teoreticky i právnickou) osobu, která však nemá doposud status </w:t>
      </w:r>
      <w:r w:rsidRPr="00A40F4E">
        <w:rPr>
          <w:sz w:val="24"/>
          <w:szCs w:val="24"/>
        </w:rPr>
        <w:lastRenderedPageBreak/>
        <w:t xml:space="preserve">účastníka řízení dle PřesZ. Pro osobu, které byla způsobena nemajetková újma používám označení “osoba nemajetkově poškozená”. </w:t>
      </w:r>
    </w:p>
    <w:p w:rsidR="00A40F4E" w:rsidRDefault="00A40F4E" w:rsidP="005833E8">
      <w:pPr>
        <w:pStyle w:val="Bezmezer"/>
        <w:spacing w:line="360" w:lineRule="auto"/>
        <w:ind w:right="567"/>
        <w:rPr>
          <w:b/>
          <w:sz w:val="32"/>
          <w:szCs w:val="32"/>
        </w:rPr>
      </w:pPr>
    </w:p>
    <w:p w:rsidR="00D62E64" w:rsidRPr="004E672D" w:rsidRDefault="00D62E64" w:rsidP="005833E8">
      <w:pPr>
        <w:pStyle w:val="Nadpis1"/>
        <w:spacing w:line="360" w:lineRule="auto"/>
        <w:rPr>
          <w:rStyle w:val="Zdraznn"/>
          <w:i w:val="0"/>
          <w:iCs w:val="0"/>
          <w:szCs w:val="32"/>
        </w:rPr>
      </w:pPr>
      <w:bookmarkStart w:id="7" w:name="_Toc190464503"/>
      <w:bookmarkStart w:id="8" w:name="_Toc190466542"/>
      <w:bookmarkStart w:id="9" w:name="_Toc190468790"/>
      <w:bookmarkStart w:id="10" w:name="_Toc190476375"/>
      <w:r w:rsidRPr="004E672D">
        <w:rPr>
          <w:rStyle w:val="Zdraznn"/>
          <w:i w:val="0"/>
          <w:iCs w:val="0"/>
          <w:szCs w:val="32"/>
        </w:rPr>
        <w:t xml:space="preserve">1. </w:t>
      </w:r>
      <w:r w:rsidR="00B425CE" w:rsidRPr="004E672D">
        <w:rPr>
          <w:rStyle w:val="Zdraznn"/>
          <w:i w:val="0"/>
          <w:iCs w:val="0"/>
          <w:szCs w:val="32"/>
        </w:rPr>
        <w:t>Pojem adhezní řízení, jeho smysl a význam, vztah k základním zásadám</w:t>
      </w:r>
      <w:bookmarkEnd w:id="7"/>
      <w:bookmarkEnd w:id="8"/>
      <w:bookmarkEnd w:id="9"/>
      <w:bookmarkEnd w:id="10"/>
    </w:p>
    <w:p w:rsidR="00D536D8" w:rsidRPr="004E672D" w:rsidRDefault="00B425CE" w:rsidP="005833E8">
      <w:pPr>
        <w:pStyle w:val="Nadpis2"/>
        <w:spacing w:line="360" w:lineRule="auto"/>
        <w:rPr>
          <w:rStyle w:val="Zdraznn"/>
          <w:i w:val="0"/>
          <w:iCs w:val="0"/>
        </w:rPr>
      </w:pPr>
      <w:r w:rsidRPr="00215304">
        <w:rPr>
          <w:rStyle w:val="Zdraznn"/>
        </w:rPr>
        <w:br/>
      </w:r>
      <w:bookmarkStart w:id="11" w:name="_Toc190464504"/>
      <w:bookmarkStart w:id="12" w:name="_Toc190466543"/>
      <w:bookmarkStart w:id="13" w:name="_Toc190468791"/>
      <w:bookmarkStart w:id="14" w:name="_Toc190476376"/>
      <w:r w:rsidRPr="004E672D">
        <w:rPr>
          <w:rStyle w:val="Zdraznn"/>
          <w:i w:val="0"/>
          <w:iCs w:val="0"/>
        </w:rPr>
        <w:t>1.1. Pojem adhezní řízení</w:t>
      </w:r>
      <w:bookmarkEnd w:id="11"/>
      <w:bookmarkEnd w:id="12"/>
      <w:bookmarkEnd w:id="13"/>
      <w:bookmarkEnd w:id="14"/>
      <w:r w:rsidR="00D6014A" w:rsidRPr="004E672D">
        <w:rPr>
          <w:rStyle w:val="Zdraznn"/>
          <w:i w:val="0"/>
          <w:iCs w:val="0"/>
        </w:rPr>
        <w:br/>
      </w:r>
    </w:p>
    <w:p w:rsidR="004265B2" w:rsidRPr="00A40F4E" w:rsidRDefault="00B425CE" w:rsidP="005833E8">
      <w:pPr>
        <w:spacing w:after="160" w:line="360" w:lineRule="auto"/>
        <w:ind w:right="567" w:firstLine="720"/>
        <w:jc w:val="both"/>
        <w:rPr>
          <w:rFonts w:eastAsia="Aptos"/>
          <w:sz w:val="24"/>
          <w:szCs w:val="24"/>
        </w:rPr>
      </w:pPr>
      <w:r w:rsidRPr="00D845BD">
        <w:rPr>
          <w:rFonts w:eastAsia="Aptos"/>
          <w:sz w:val="24"/>
          <w:szCs w:val="24"/>
        </w:rPr>
        <w:t>Adhezní řízení je řízení, ve kterém poškozený uplatňuje nárok na náhradu škody či vydání bezdůvodného obohacení způsobené spácháním přestupku na úkor poškozeného.</w:t>
      </w:r>
      <w:r w:rsidRPr="00D845BD">
        <w:rPr>
          <w:rFonts w:eastAsia="Aptos"/>
          <w:sz w:val="24"/>
          <w:szCs w:val="24"/>
          <w:vertAlign w:val="superscript"/>
        </w:rPr>
        <w:footnoteReference w:id="7"/>
      </w:r>
      <w:r w:rsidRPr="00D845BD">
        <w:rPr>
          <w:rFonts w:eastAsia="Aptos"/>
          <w:sz w:val="24"/>
          <w:szCs w:val="24"/>
        </w:rPr>
        <w:t xml:space="preserve"> </w:t>
      </w:r>
      <w:r w:rsidRPr="004F6478">
        <w:rPr>
          <w:rFonts w:eastAsia="Aptos"/>
          <w:sz w:val="24"/>
          <w:szCs w:val="24"/>
        </w:rPr>
        <w:t>Nejedná se však o legální termín.</w:t>
      </w:r>
      <w:r w:rsidRPr="00D845BD">
        <w:rPr>
          <w:rFonts w:eastAsia="Aptos"/>
          <w:sz w:val="24"/>
          <w:szCs w:val="24"/>
        </w:rPr>
        <w:t xml:space="preserve"> Vzato optikou českého právního řádu, </w:t>
      </w:r>
      <w:r w:rsidR="004265B2">
        <w:rPr>
          <w:rFonts w:eastAsia="Aptos"/>
          <w:sz w:val="24"/>
          <w:szCs w:val="24"/>
        </w:rPr>
        <w:t xml:space="preserve">PřesZ </w:t>
      </w:r>
      <w:r w:rsidRPr="00D845BD">
        <w:rPr>
          <w:rFonts w:eastAsia="Aptos"/>
          <w:sz w:val="24"/>
          <w:szCs w:val="24"/>
        </w:rPr>
        <w:t>nezná termín “adhezní řízení”. Tento zákon ve své části třetí, která upravuje řízení o přestupcích, hlavě IV., dílu 3., kterým se upravují zvláštní druhy řízení, a konkrétně ustanovení § 89 hovoří o “řízení o náhradě škody a vydání bezdůvodného obohacení”.</w:t>
      </w:r>
      <w:r w:rsidRPr="00D845BD">
        <w:rPr>
          <w:rFonts w:eastAsia="Aptos"/>
          <w:sz w:val="24"/>
          <w:szCs w:val="24"/>
          <w:vertAlign w:val="superscript"/>
        </w:rPr>
        <w:footnoteReference w:id="8"/>
      </w:r>
      <w:r w:rsidRPr="00D845BD">
        <w:rPr>
          <w:rFonts w:eastAsia="Aptos"/>
          <w:sz w:val="24"/>
          <w:szCs w:val="24"/>
        </w:rPr>
        <w:t xml:space="preserve"> Také </w:t>
      </w:r>
      <w:r w:rsidR="004265B2">
        <w:rPr>
          <w:rFonts w:eastAsia="Aptos"/>
          <w:sz w:val="24"/>
          <w:szCs w:val="24"/>
        </w:rPr>
        <w:t xml:space="preserve">TŘ </w:t>
      </w:r>
      <w:r w:rsidRPr="00D845BD">
        <w:rPr>
          <w:rFonts w:eastAsia="Aptos"/>
          <w:sz w:val="24"/>
          <w:szCs w:val="24"/>
        </w:rPr>
        <w:t xml:space="preserve"> v žádném ze svých ustanovení nezmiňuje tento pojem a ve svém oddíle sedmém, který je věnován poškozenému a způsobu uplatnění jeho nároku, hovoří o “oprávnění poškozeného a uplatnění nároku na náhradu škody nebo nemajetkové újmy nebo na vydání bezdůvodného obohacení</w:t>
      </w:r>
      <w:r w:rsidRPr="00A40F4E">
        <w:rPr>
          <w:rFonts w:eastAsia="Aptos"/>
          <w:sz w:val="24"/>
          <w:szCs w:val="24"/>
        </w:rPr>
        <w:t>”.</w:t>
      </w:r>
      <w:r w:rsidRPr="00A40F4E">
        <w:rPr>
          <w:rFonts w:eastAsia="Aptos"/>
          <w:sz w:val="24"/>
          <w:szCs w:val="24"/>
          <w:vertAlign w:val="superscript"/>
        </w:rPr>
        <w:footnoteReference w:id="9"/>
      </w:r>
      <w:r w:rsidRPr="00A40F4E">
        <w:rPr>
          <w:rFonts w:eastAsia="Aptos"/>
          <w:sz w:val="24"/>
          <w:szCs w:val="24"/>
          <w:vertAlign w:val="superscript"/>
        </w:rPr>
        <w:t xml:space="preserve">   </w:t>
      </w:r>
      <w:r w:rsidRPr="00A40F4E">
        <w:rPr>
          <w:rFonts w:eastAsia="Aptos"/>
          <w:sz w:val="24"/>
          <w:szCs w:val="24"/>
        </w:rPr>
        <w:t>Definice a případná precizace tohoto pojmu je tak ponechán</w:t>
      </w:r>
      <w:r w:rsidR="004265B2" w:rsidRPr="00A40F4E">
        <w:rPr>
          <w:rFonts w:eastAsia="Aptos"/>
          <w:sz w:val="24"/>
          <w:szCs w:val="24"/>
        </w:rPr>
        <w:t xml:space="preserve">a doktríně, případně judikatuře. </w:t>
      </w:r>
    </w:p>
    <w:p w:rsidR="00D6014A" w:rsidRPr="004265B2" w:rsidRDefault="00B425CE" w:rsidP="005833E8">
      <w:pPr>
        <w:spacing w:after="160" w:line="360" w:lineRule="auto"/>
        <w:ind w:right="567" w:firstLine="720"/>
        <w:jc w:val="both"/>
        <w:rPr>
          <w:rFonts w:eastAsia="Aptos"/>
          <w:color w:val="FF0000"/>
          <w:sz w:val="24"/>
          <w:szCs w:val="24"/>
          <w:vertAlign w:val="superscript"/>
        </w:rPr>
      </w:pPr>
      <w:r w:rsidRPr="00D845BD">
        <w:rPr>
          <w:rFonts w:eastAsia="Aptos"/>
          <w:sz w:val="24"/>
          <w:szCs w:val="24"/>
        </w:rPr>
        <w:t xml:space="preserve">Důvodová zpráva k aktuálně platnému a účinnému PřesZ hovoří o adhezním řízení tak, že: </w:t>
      </w:r>
      <w:r w:rsidRPr="00D845BD">
        <w:rPr>
          <w:rFonts w:eastAsia="Aptos"/>
          <w:i/>
          <w:sz w:val="24"/>
          <w:szCs w:val="24"/>
        </w:rPr>
        <w:t>„se jedná o obecnou úpravu náhrady škody způsobené spácháním přestupku na úkor poškozeného, která nevylučuje speciální úpravu ve zvláštních zákonech.“</w:t>
      </w:r>
      <w:r w:rsidRPr="00D845BD">
        <w:rPr>
          <w:rFonts w:eastAsia="Aptos"/>
          <w:sz w:val="24"/>
          <w:szCs w:val="24"/>
          <w:vertAlign w:val="superscript"/>
        </w:rPr>
        <w:footnoteReference w:id="10"/>
      </w:r>
      <w:r w:rsidRPr="00D845BD">
        <w:rPr>
          <w:rFonts w:eastAsia="Aptos"/>
          <w:i/>
          <w:sz w:val="24"/>
          <w:szCs w:val="24"/>
        </w:rPr>
        <w:t xml:space="preserve"> </w:t>
      </w:r>
      <w:r w:rsidRPr="00D845BD">
        <w:rPr>
          <w:rFonts w:eastAsia="Aptos"/>
          <w:sz w:val="24"/>
          <w:szCs w:val="24"/>
        </w:rPr>
        <w:t>Nejde však</w:t>
      </w:r>
      <w:r w:rsidRPr="00D845BD">
        <w:rPr>
          <w:rFonts w:eastAsia="Aptos"/>
          <w:i/>
          <w:sz w:val="24"/>
          <w:szCs w:val="24"/>
        </w:rPr>
        <w:t xml:space="preserve"> </w:t>
      </w:r>
      <w:r w:rsidRPr="00D845BD">
        <w:rPr>
          <w:rFonts w:eastAsia="Aptos"/>
          <w:sz w:val="24"/>
          <w:szCs w:val="24"/>
        </w:rPr>
        <w:t>o</w:t>
      </w:r>
      <w:r w:rsidRPr="00D845BD">
        <w:rPr>
          <w:rFonts w:eastAsia="Aptos"/>
          <w:i/>
          <w:sz w:val="24"/>
          <w:szCs w:val="24"/>
        </w:rPr>
        <w:t xml:space="preserve"> </w:t>
      </w:r>
      <w:r w:rsidRPr="00D845BD">
        <w:rPr>
          <w:rFonts w:eastAsia="Aptos"/>
          <w:sz w:val="24"/>
          <w:szCs w:val="24"/>
        </w:rPr>
        <w:t>samostatné, formálně ani časově oddělené, na přestupkovém řízení nezávislé řízení, nýbrž je součástí řízení o přestupku. Zejména se tato závislost adhezního a přestupkového řízení projevuje v opatřování podkladů, dokazování a rozhodování.</w:t>
      </w:r>
      <w:r w:rsidRPr="00D845BD">
        <w:rPr>
          <w:rFonts w:eastAsia="Aptos"/>
          <w:i/>
          <w:sz w:val="24"/>
          <w:szCs w:val="24"/>
          <w:vertAlign w:val="superscript"/>
        </w:rPr>
        <w:footnoteReference w:id="11"/>
      </w:r>
      <w:r w:rsidRPr="00D845BD">
        <w:rPr>
          <w:rFonts w:eastAsia="Aptos"/>
          <w:sz w:val="24"/>
          <w:szCs w:val="24"/>
        </w:rPr>
        <w:t xml:space="preserve"> </w:t>
      </w:r>
      <w:r w:rsidRPr="00D845BD">
        <w:rPr>
          <w:rFonts w:eastAsia="Aptos"/>
          <w:sz w:val="24"/>
          <w:szCs w:val="24"/>
        </w:rPr>
        <w:lastRenderedPageBreak/>
        <w:t xml:space="preserve">Shodně tak v trestním řízení, kde podle Šámala platí, že:  </w:t>
      </w:r>
      <w:r w:rsidRPr="00D845BD">
        <w:rPr>
          <w:rFonts w:eastAsia="Aptos"/>
          <w:i/>
          <w:sz w:val="24"/>
          <w:szCs w:val="24"/>
        </w:rPr>
        <w:t>„Adhezní řízení,…, je součástí trestního řízení a splývá s ním, zejména pokud jde o dokazování...“.</w:t>
      </w:r>
      <w:r w:rsidRPr="00D845BD">
        <w:rPr>
          <w:rFonts w:eastAsia="Aptos"/>
          <w:i/>
          <w:sz w:val="24"/>
          <w:szCs w:val="24"/>
          <w:vertAlign w:val="superscript"/>
        </w:rPr>
        <w:footnoteReference w:id="12"/>
      </w:r>
      <w:r w:rsidRPr="00D845BD">
        <w:rPr>
          <w:rFonts w:eastAsia="Aptos"/>
          <w:i/>
          <w:sz w:val="24"/>
          <w:szCs w:val="24"/>
        </w:rPr>
        <w:t xml:space="preserve"> </w:t>
      </w:r>
      <w:r w:rsidRPr="00D845BD">
        <w:rPr>
          <w:rFonts w:eastAsia="Aptos"/>
          <w:sz w:val="24"/>
          <w:szCs w:val="24"/>
        </w:rPr>
        <w:t>Netvoří tedy samostatnou, formálně ani časově oddělenou část</w:t>
      </w:r>
      <w:r w:rsidRPr="00D845BD">
        <w:rPr>
          <w:rFonts w:eastAsia="Aptos"/>
          <w:i/>
          <w:sz w:val="24"/>
          <w:szCs w:val="24"/>
        </w:rPr>
        <w:t xml:space="preserve">. </w:t>
      </w:r>
      <w:r w:rsidRPr="00D845BD">
        <w:rPr>
          <w:rFonts w:eastAsia="Aptos"/>
          <w:i/>
          <w:sz w:val="24"/>
          <w:szCs w:val="24"/>
          <w:vertAlign w:val="superscript"/>
        </w:rPr>
        <w:footnoteReference w:id="13"/>
      </w:r>
      <w:r w:rsidRPr="00D845BD">
        <w:rPr>
          <w:rFonts w:eastAsia="Aptos"/>
          <w:sz w:val="24"/>
          <w:szCs w:val="24"/>
        </w:rPr>
        <w:t xml:space="preserve"> Definice a podstata pojmu byla v zásadě totožná již ve starší právní doktríně. Storch označoval adhezní řízení jako formální a vedlejší část trestního řízení.</w:t>
      </w:r>
      <w:r w:rsidRPr="00D845BD">
        <w:rPr>
          <w:rFonts w:eastAsia="Aptos"/>
          <w:sz w:val="24"/>
          <w:szCs w:val="24"/>
          <w:vertAlign w:val="superscript"/>
        </w:rPr>
        <w:footnoteReference w:id="14"/>
      </w:r>
      <w:r w:rsidRPr="00D845BD">
        <w:rPr>
          <w:rFonts w:eastAsia="Aptos"/>
          <w:sz w:val="24"/>
          <w:szCs w:val="24"/>
          <w:vertAlign w:val="superscript"/>
        </w:rPr>
        <w:t xml:space="preserve"> </w:t>
      </w:r>
      <w:r w:rsidRPr="00D845BD">
        <w:rPr>
          <w:rFonts w:eastAsia="Aptos"/>
          <w:sz w:val="24"/>
          <w:szCs w:val="24"/>
        </w:rPr>
        <w:t>Koneckonců již samotný výraz „adheze“ lze v českém jazyce mimo jiné vyložit jako synonymum pro slovo „přilnutí“</w:t>
      </w:r>
      <w:r w:rsidRPr="00D845BD">
        <w:rPr>
          <w:rFonts w:eastAsia="Aptos"/>
          <w:i/>
          <w:sz w:val="24"/>
          <w:szCs w:val="24"/>
          <w:vertAlign w:val="superscript"/>
        </w:rPr>
        <w:footnoteReference w:id="15"/>
      </w:r>
      <w:r w:rsidRPr="00D845BD">
        <w:rPr>
          <w:rFonts w:eastAsia="Aptos"/>
          <w:sz w:val="24"/>
          <w:szCs w:val="24"/>
        </w:rPr>
        <w:t>, což jen potvrzuje výše uvedená tvrzení, bez ohledu na to, zda se jedná o řízení přestupkové, či trestní.</w:t>
      </w:r>
      <w:r w:rsidRPr="00D845BD">
        <w:rPr>
          <w:rFonts w:eastAsia="Aptos"/>
          <w:sz w:val="24"/>
          <w:szCs w:val="24"/>
        </w:rPr>
        <w:tab/>
        <w:t xml:space="preserve"> </w:t>
      </w:r>
      <w:r w:rsidRPr="00D845BD">
        <w:rPr>
          <w:rFonts w:eastAsia="Aptos"/>
          <w:sz w:val="24"/>
          <w:szCs w:val="24"/>
        </w:rPr>
        <w:tab/>
      </w:r>
    </w:p>
    <w:p w:rsidR="00D536D8" w:rsidRPr="00D6014A" w:rsidRDefault="00053D38" w:rsidP="005833E8">
      <w:pPr>
        <w:pStyle w:val="Nadpis2"/>
        <w:spacing w:line="360" w:lineRule="auto"/>
      </w:pPr>
      <w:bookmarkStart w:id="15" w:name="_Toc190464505"/>
      <w:bookmarkStart w:id="16" w:name="_Toc190466544"/>
      <w:bookmarkStart w:id="17" w:name="_Toc190468792"/>
      <w:bookmarkStart w:id="18" w:name="_Toc190476377"/>
      <w:r>
        <w:t>1</w:t>
      </w:r>
      <w:r w:rsidR="00B425CE" w:rsidRPr="00D6014A">
        <w:t>. 2. Smysl a význam adhezního řízení</w:t>
      </w:r>
      <w:bookmarkEnd w:id="15"/>
      <w:bookmarkEnd w:id="16"/>
      <w:bookmarkEnd w:id="17"/>
      <w:bookmarkEnd w:id="18"/>
    </w:p>
    <w:p w:rsidR="00D6014A" w:rsidRPr="00222FDD" w:rsidRDefault="00B425CE" w:rsidP="005833E8">
      <w:pPr>
        <w:spacing w:after="160" w:line="360" w:lineRule="auto"/>
        <w:ind w:right="567" w:firstLine="708"/>
        <w:jc w:val="both"/>
        <w:rPr>
          <w:rFonts w:eastAsia="Aptos"/>
          <w:sz w:val="24"/>
          <w:szCs w:val="24"/>
        </w:rPr>
      </w:pPr>
      <w:r w:rsidRPr="00D845BD">
        <w:rPr>
          <w:rFonts w:eastAsia="Aptos"/>
          <w:sz w:val="24"/>
          <w:szCs w:val="24"/>
        </w:rPr>
        <w:t>Máme-li zkoumat povahu, smysl, účel a obecně význam adhezního řízení, nelze se pro kontext vyhnout vymezení charakteristiky přestupkového (a také trestního) řízení jako takového. Řízení o přestupku je zvláštním druhem správního řízení.</w:t>
      </w:r>
      <w:r w:rsidRPr="00D845BD">
        <w:rPr>
          <w:rFonts w:eastAsia="Aptos"/>
          <w:sz w:val="24"/>
          <w:szCs w:val="24"/>
          <w:vertAlign w:val="superscript"/>
        </w:rPr>
        <w:footnoteReference w:id="16"/>
      </w:r>
      <w:r w:rsidRPr="00D845BD">
        <w:rPr>
          <w:rFonts w:eastAsia="Aptos"/>
          <w:sz w:val="24"/>
          <w:szCs w:val="24"/>
        </w:rPr>
        <w:t xml:space="preserve"> Prášková jej vymezuje jako: „</w:t>
      </w:r>
      <w:r w:rsidRPr="00D845BD">
        <w:rPr>
          <w:rFonts w:eastAsia="Aptos"/>
          <w:i/>
          <w:sz w:val="24"/>
          <w:szCs w:val="24"/>
        </w:rPr>
        <w:t>zákonem upravený postup správních orgánů, jehož účelem je zjistit, zda byl spáchán určitý skutek a kdo jej spáchal, posoudit právní kvalifikaci skutku, uložit podle zákona správní trest a zajistit jeho výkon.</w:t>
      </w:r>
      <w:r w:rsidRPr="00D845BD">
        <w:rPr>
          <w:rFonts w:eastAsia="Aptos"/>
          <w:sz w:val="24"/>
          <w:szCs w:val="24"/>
        </w:rPr>
        <w:t>“</w:t>
      </w:r>
      <w:r w:rsidRPr="00D845BD">
        <w:rPr>
          <w:rFonts w:eastAsia="Aptos"/>
          <w:sz w:val="24"/>
          <w:szCs w:val="24"/>
          <w:vertAlign w:val="superscript"/>
        </w:rPr>
        <w:footnoteReference w:id="17"/>
      </w:r>
      <w:r w:rsidRPr="00D845BD">
        <w:rPr>
          <w:rFonts w:eastAsia="Aptos"/>
          <w:sz w:val="24"/>
          <w:szCs w:val="24"/>
        </w:rPr>
        <w:t xml:space="preserve"> Přestupkové řízení je řízením veřejnoprávním a to řízením o trestném deliktu – přestupku, jehož předmětem je skutek.</w:t>
      </w:r>
      <w:r w:rsidRPr="00D845BD">
        <w:rPr>
          <w:rFonts w:eastAsia="Aptos"/>
          <w:sz w:val="24"/>
          <w:szCs w:val="24"/>
          <w:vertAlign w:val="superscript"/>
        </w:rPr>
        <w:footnoteReference w:id="18"/>
      </w:r>
      <w:r w:rsidRPr="00D845BD">
        <w:rPr>
          <w:rFonts w:eastAsia="Aptos"/>
          <w:i/>
          <w:sz w:val="24"/>
          <w:szCs w:val="24"/>
        </w:rPr>
        <w:t xml:space="preserve"> </w:t>
      </w:r>
      <w:r w:rsidRPr="00222FDD">
        <w:rPr>
          <w:rFonts w:eastAsia="Aptos"/>
          <w:sz w:val="24"/>
          <w:szCs w:val="24"/>
        </w:rPr>
        <w:t>Účel</w:t>
      </w:r>
      <w:r w:rsidRPr="00222FDD">
        <w:rPr>
          <w:rFonts w:eastAsia="Aptos"/>
          <w:i/>
          <w:sz w:val="24"/>
          <w:szCs w:val="24"/>
        </w:rPr>
        <w:t xml:space="preserve"> </w:t>
      </w:r>
      <w:r w:rsidRPr="00222FDD">
        <w:rPr>
          <w:rFonts w:eastAsia="Aptos"/>
          <w:sz w:val="24"/>
          <w:szCs w:val="24"/>
        </w:rPr>
        <w:t>přestupkového řízení není (na rozdíl od TŘ) v zákoně o přestupcích výslovně stanoven. Je tak třeba jej dovodit</w:t>
      </w:r>
      <w:r w:rsidRPr="00D845BD">
        <w:rPr>
          <w:rFonts w:eastAsia="Aptos"/>
          <w:sz w:val="24"/>
          <w:szCs w:val="24"/>
        </w:rPr>
        <w:t xml:space="preserve">. Vetešník v komentáři k PřesZ zmiňuje, že: </w:t>
      </w:r>
      <w:r w:rsidRPr="00D845BD">
        <w:rPr>
          <w:rFonts w:eastAsia="Aptos"/>
          <w:i/>
          <w:sz w:val="24"/>
          <w:szCs w:val="24"/>
        </w:rPr>
        <w:t xml:space="preserve">„účelem zákona o přestupcích je ochránit zájmy chráněné zákonem před pachateli přestupků, zabránit pachateli přestupku v dalším páchání protiprávní činnosti a vychovat pachatele k tomu, aby k další protiprávní činnosti již nedocházelo.“ </w:t>
      </w:r>
      <w:r w:rsidRPr="00D845BD">
        <w:rPr>
          <w:rFonts w:eastAsia="Aptos"/>
          <w:sz w:val="24"/>
          <w:szCs w:val="24"/>
        </w:rPr>
        <w:t>Přestupkové řízení pak považuje za realizaci tohoto účelu. Jednou z forem realizace této ochrany je podle něj i správní trest.</w:t>
      </w:r>
      <w:r w:rsidRPr="00D845BD">
        <w:rPr>
          <w:rFonts w:eastAsia="Aptos"/>
          <w:sz w:val="24"/>
          <w:szCs w:val="24"/>
          <w:vertAlign w:val="superscript"/>
        </w:rPr>
        <w:t xml:space="preserve"> </w:t>
      </w:r>
      <w:r w:rsidRPr="00D845BD">
        <w:rPr>
          <w:rFonts w:eastAsia="Aptos"/>
          <w:sz w:val="24"/>
          <w:szCs w:val="24"/>
          <w:vertAlign w:val="superscript"/>
        </w:rPr>
        <w:footnoteReference w:id="19"/>
      </w:r>
      <w:r w:rsidRPr="00D845BD">
        <w:rPr>
          <w:rFonts w:eastAsia="Aptos"/>
          <w:sz w:val="24"/>
          <w:szCs w:val="24"/>
        </w:rPr>
        <w:t xml:space="preserve"> </w:t>
      </w:r>
      <w:r w:rsidRPr="00D845BD">
        <w:rPr>
          <w:rFonts w:eastAsia="Aptos"/>
          <w:i/>
          <w:sz w:val="24"/>
          <w:szCs w:val="24"/>
        </w:rPr>
        <w:t xml:space="preserve">  “Řízení o přestupcích, které je svou povahou správním trestáním, můžeme považovat za součást vrchnostenského výkonu veřejné správy, jehož účelem je zajištění bezproblémového a </w:t>
      </w:r>
      <w:r w:rsidRPr="00D845BD">
        <w:rPr>
          <w:rFonts w:eastAsia="Aptos"/>
          <w:i/>
          <w:sz w:val="24"/>
          <w:szCs w:val="24"/>
        </w:rPr>
        <w:lastRenderedPageBreak/>
        <w:t>bezporuchového chodu veřejné správy.”</w:t>
      </w:r>
      <w:r w:rsidRPr="00D845BD">
        <w:rPr>
          <w:rFonts w:eastAsia="Aptos"/>
          <w:sz w:val="24"/>
          <w:szCs w:val="24"/>
        </w:rPr>
        <w:t xml:space="preserve"> </w:t>
      </w:r>
      <w:r w:rsidRPr="00D845BD">
        <w:rPr>
          <w:rFonts w:eastAsia="Aptos"/>
          <w:sz w:val="24"/>
          <w:szCs w:val="24"/>
          <w:vertAlign w:val="superscript"/>
        </w:rPr>
        <w:footnoteReference w:id="20"/>
      </w:r>
      <w:r w:rsidRPr="00D845BD">
        <w:rPr>
          <w:rFonts w:eastAsia="Aptos"/>
          <w:sz w:val="24"/>
          <w:szCs w:val="24"/>
        </w:rPr>
        <w:t xml:space="preserve"> Jednou z funkcí správního trestání je funkce ochranná, neboť chrání před narušením a ohrožením tohoto chodu.  Za další funkce lze považovat funkce represivní, retributivní, preventivní, výchovnou, signalizační, </w:t>
      </w:r>
      <w:r w:rsidRPr="00222FDD">
        <w:rPr>
          <w:rFonts w:eastAsia="Aptos"/>
          <w:sz w:val="24"/>
          <w:szCs w:val="24"/>
        </w:rPr>
        <w:t>preventivní a konečně reparační a satisfakční.</w:t>
      </w:r>
      <w:r w:rsidRPr="00222FDD">
        <w:rPr>
          <w:rFonts w:eastAsia="Aptos"/>
          <w:sz w:val="24"/>
          <w:szCs w:val="24"/>
          <w:vertAlign w:val="superscript"/>
        </w:rPr>
        <w:footnoteReference w:id="21"/>
      </w:r>
      <w:r w:rsidRPr="00222FDD">
        <w:rPr>
          <w:rFonts w:eastAsia="Aptos"/>
          <w:sz w:val="24"/>
          <w:szCs w:val="24"/>
        </w:rPr>
        <w:t xml:space="preserve">  </w:t>
      </w:r>
    </w:p>
    <w:p w:rsidR="00D6014A" w:rsidRDefault="00B425CE" w:rsidP="005833E8">
      <w:pPr>
        <w:spacing w:after="160" w:line="360" w:lineRule="auto"/>
        <w:ind w:right="567" w:firstLine="708"/>
        <w:jc w:val="both"/>
        <w:rPr>
          <w:rFonts w:eastAsia="Aptos"/>
          <w:sz w:val="24"/>
          <w:szCs w:val="24"/>
        </w:rPr>
      </w:pPr>
      <w:r w:rsidRPr="00222FDD">
        <w:rPr>
          <w:rFonts w:eastAsia="Aptos"/>
          <w:sz w:val="24"/>
          <w:szCs w:val="24"/>
        </w:rPr>
        <w:t>Osobně spatřuji právě v adhezním řízení silný prvek reparační funkce. Připustíme-li významné podobnosti smyslu a účelu přestupkového a trestního řízení, tak toto tvrzení dokládám také odkazem na cíle trestního řízení,</w:t>
      </w:r>
      <w:r w:rsidRPr="00D845BD">
        <w:rPr>
          <w:rFonts w:eastAsia="Aptos"/>
          <w:sz w:val="24"/>
          <w:szCs w:val="24"/>
        </w:rPr>
        <w:t xml:space="preserve"> kdy za jeden z nich považuje Šámal náhradu škody, nemajetkové újmy či vydání bezdůvodného obohacení poškozenému v případném adhezním řízení. </w:t>
      </w:r>
      <w:r w:rsidRPr="00D845BD">
        <w:rPr>
          <w:rFonts w:eastAsia="Aptos"/>
          <w:sz w:val="24"/>
          <w:szCs w:val="24"/>
          <w:vertAlign w:val="superscript"/>
        </w:rPr>
        <w:footnoteReference w:id="22"/>
      </w:r>
      <w:r w:rsidR="00D6014A">
        <w:rPr>
          <w:rFonts w:eastAsia="Aptos"/>
          <w:sz w:val="24"/>
          <w:szCs w:val="24"/>
        </w:rPr>
        <w:tab/>
      </w:r>
    </w:p>
    <w:p w:rsidR="00D6014A" w:rsidRDefault="00B425CE" w:rsidP="005833E8">
      <w:pPr>
        <w:spacing w:after="160" w:line="360" w:lineRule="auto"/>
        <w:ind w:right="567" w:firstLine="708"/>
        <w:jc w:val="both"/>
        <w:rPr>
          <w:rFonts w:eastAsia="Aptos"/>
          <w:i/>
          <w:sz w:val="24"/>
          <w:szCs w:val="24"/>
        </w:rPr>
      </w:pPr>
      <w:r w:rsidRPr="00222FDD">
        <w:rPr>
          <w:rFonts w:eastAsia="Aptos"/>
          <w:sz w:val="24"/>
          <w:szCs w:val="24"/>
        </w:rPr>
        <w:t>Význam, smysl a účel adhezního řízení je stejný v řízení o přestupcích i řízení trestním.</w:t>
      </w:r>
      <w:r w:rsidRPr="00222FDD">
        <w:rPr>
          <w:rFonts w:eastAsia="Aptos"/>
          <w:sz w:val="24"/>
          <w:szCs w:val="24"/>
          <w:vertAlign w:val="superscript"/>
        </w:rPr>
        <w:footnoteReference w:id="23"/>
      </w:r>
      <w:r w:rsidRPr="00222FDD">
        <w:rPr>
          <w:rFonts w:eastAsia="Aptos"/>
          <w:sz w:val="24"/>
          <w:szCs w:val="24"/>
        </w:rPr>
        <w:t xml:space="preserve"> Je tedy žádoucí vycházet i z trestněprávní literatury, kde je téma adhezního řízení přece jenom zpracováno více. </w:t>
      </w:r>
      <w:r w:rsidRPr="00D845BD">
        <w:rPr>
          <w:rFonts w:eastAsia="Aptos"/>
          <w:sz w:val="24"/>
          <w:szCs w:val="24"/>
        </w:rPr>
        <w:t>Grus popisuje význam adhezního řízení tak, že:</w:t>
      </w:r>
      <w:r w:rsidRPr="00D845BD">
        <w:rPr>
          <w:rFonts w:eastAsia="Aptos"/>
          <w:i/>
          <w:sz w:val="24"/>
          <w:szCs w:val="24"/>
        </w:rPr>
        <w:t xml:space="preserve"> „společně s trestním stíháním dochází i k objasnění nároku poškozeného na náhradu škody.“</w:t>
      </w:r>
      <w:r w:rsidRPr="00D845BD">
        <w:rPr>
          <w:rFonts w:eastAsia="Aptos"/>
          <w:sz w:val="24"/>
          <w:szCs w:val="24"/>
          <w:vertAlign w:val="superscript"/>
        </w:rPr>
        <w:footnoteReference w:id="24"/>
      </w:r>
      <w:r w:rsidRPr="00D845BD">
        <w:rPr>
          <w:rFonts w:eastAsia="Aptos"/>
          <w:i/>
          <w:sz w:val="24"/>
          <w:szCs w:val="24"/>
        </w:rPr>
        <w:t xml:space="preserve"> </w:t>
      </w:r>
      <w:r w:rsidRPr="00D845BD">
        <w:rPr>
          <w:rFonts w:eastAsia="Aptos"/>
          <w:sz w:val="24"/>
          <w:szCs w:val="24"/>
        </w:rPr>
        <w:t>Upozorňuje na výhodu rychlosti při získání exekučního titulu, a tím pádem rovněž faktického nahrazení své škody.</w:t>
      </w:r>
      <w:r w:rsidRPr="00D845BD">
        <w:rPr>
          <w:rFonts w:eastAsia="Aptos"/>
          <w:sz w:val="24"/>
          <w:szCs w:val="24"/>
          <w:vertAlign w:val="superscript"/>
        </w:rPr>
        <w:footnoteReference w:id="25"/>
      </w:r>
      <w:r w:rsidRPr="00D845BD">
        <w:rPr>
          <w:rFonts w:eastAsia="Aptos"/>
          <w:sz w:val="24"/>
          <w:szCs w:val="24"/>
        </w:rPr>
        <w:t xml:space="preserve"> Kučera pak za smysl adhezního řízení označuje: </w:t>
      </w:r>
      <w:r w:rsidRPr="00D845BD">
        <w:rPr>
          <w:rFonts w:eastAsia="Aptos"/>
          <w:i/>
          <w:sz w:val="24"/>
          <w:szCs w:val="24"/>
        </w:rPr>
        <w:t>„umožnění poškozenému, kterému obviněný způsobil škodu, aby se přiznání práva na náhradu škody domohl přímo v rámci probíhajícího trestního řízení.”</w:t>
      </w:r>
      <w:r w:rsidRPr="00D845BD">
        <w:rPr>
          <w:rFonts w:eastAsia="Aptos"/>
          <w:i/>
          <w:sz w:val="24"/>
          <w:szCs w:val="24"/>
          <w:vertAlign w:val="superscript"/>
        </w:rPr>
        <w:footnoteReference w:id="26"/>
      </w:r>
      <w:r w:rsidRPr="00D845BD">
        <w:rPr>
          <w:rFonts w:eastAsia="Aptos"/>
          <w:i/>
          <w:sz w:val="24"/>
          <w:szCs w:val="24"/>
        </w:rPr>
        <w:t xml:space="preserve"> </w:t>
      </w:r>
      <w:r w:rsidRPr="00D845BD">
        <w:rPr>
          <w:rFonts w:eastAsia="Aptos"/>
          <w:sz w:val="24"/>
          <w:szCs w:val="24"/>
        </w:rPr>
        <w:t>Stejně jako Grus zmiňuje výhodu rychlosti při získání exekučního titulu a tím i rychlost náhrady a argumentuje při tom i důkazním břemenem na straně orgánů činných v trestním řízení (je-li škoda znakem skutkové podstaty trestného činu) oproti důkaznímu břemenu v řízení civilním, kde by leželo na osobě poškozené a tedy celkovou výhodností tohoto institutu pro ni.</w:t>
      </w:r>
      <w:r w:rsidRPr="00D845BD">
        <w:rPr>
          <w:rFonts w:eastAsia="Aptos"/>
          <w:sz w:val="24"/>
          <w:szCs w:val="24"/>
          <w:vertAlign w:val="superscript"/>
        </w:rPr>
        <w:footnoteReference w:id="27"/>
      </w:r>
      <w:r w:rsidRPr="00D845BD">
        <w:rPr>
          <w:rFonts w:eastAsia="Aptos"/>
          <w:sz w:val="24"/>
          <w:szCs w:val="24"/>
        </w:rPr>
        <w:t xml:space="preserve"> </w:t>
      </w:r>
      <w:r w:rsidRPr="004265B2">
        <w:rPr>
          <w:rFonts w:eastAsia="Aptos"/>
          <w:sz w:val="24"/>
          <w:szCs w:val="24"/>
        </w:rPr>
        <w:t>Ačkoli to nemusí být jistě vždy pravidlem, obecně lze říci, že uspokojení nároku v adhezním řízení bude rychlejší, než domáhání se nároku cestou civilního řízení, neboť obecně jsou řízení o deliktu rychlejší.</w:t>
      </w:r>
      <w:r w:rsidRPr="004265B2">
        <w:rPr>
          <w:rFonts w:eastAsia="Aptos"/>
          <w:sz w:val="24"/>
          <w:szCs w:val="24"/>
          <w:vertAlign w:val="superscript"/>
        </w:rPr>
        <w:footnoteReference w:id="28"/>
      </w:r>
      <w:r w:rsidRPr="004265B2">
        <w:rPr>
          <w:rFonts w:eastAsia="Aptos"/>
          <w:sz w:val="24"/>
          <w:szCs w:val="24"/>
        </w:rPr>
        <w:t xml:space="preserve"> </w:t>
      </w:r>
      <w:r w:rsidRPr="00D845BD">
        <w:rPr>
          <w:rFonts w:eastAsia="Aptos"/>
          <w:sz w:val="24"/>
          <w:szCs w:val="24"/>
        </w:rPr>
        <w:t xml:space="preserve">Za další nezanedbatelnou výhodu lze označit mimo </w:t>
      </w:r>
      <w:r w:rsidRPr="00D845BD">
        <w:rPr>
          <w:rFonts w:eastAsia="Aptos"/>
          <w:sz w:val="24"/>
          <w:szCs w:val="24"/>
        </w:rPr>
        <w:lastRenderedPageBreak/>
        <w:t xml:space="preserve">rychlosti také finanční stránku celé věci. </w:t>
      </w:r>
      <w:r w:rsidRPr="00D845BD">
        <w:rPr>
          <w:rFonts w:eastAsia="Aptos"/>
          <w:sz w:val="24"/>
          <w:szCs w:val="24"/>
          <w:vertAlign w:val="superscript"/>
        </w:rPr>
        <w:footnoteReference w:id="29"/>
      </w:r>
      <w:r w:rsidRPr="00D845BD">
        <w:rPr>
          <w:rFonts w:eastAsia="Aptos"/>
          <w:sz w:val="24"/>
          <w:szCs w:val="24"/>
        </w:rPr>
        <w:t xml:space="preserve"> Stejné výhody zmiňuje v komentáři pod svým autorským vedením Bohadlo a dokládá to argumentem, že: “</w:t>
      </w:r>
      <w:r w:rsidRPr="00D845BD">
        <w:rPr>
          <w:rFonts w:eastAsia="Aptos"/>
          <w:i/>
          <w:sz w:val="24"/>
          <w:szCs w:val="24"/>
        </w:rPr>
        <w:t>poškozený nemusí vyčkávat na ukončení přestupkového řízení a teprve následně se domáhat svých nároků v občanskoprávním řízení.”</w:t>
      </w:r>
      <w:r w:rsidRPr="00D845BD">
        <w:rPr>
          <w:rFonts w:eastAsia="Aptos"/>
          <w:i/>
          <w:sz w:val="24"/>
          <w:szCs w:val="24"/>
          <w:vertAlign w:val="superscript"/>
        </w:rPr>
        <w:footnoteReference w:id="30"/>
      </w:r>
    </w:p>
    <w:p w:rsidR="006A3693" w:rsidRDefault="00B425CE" w:rsidP="005833E8">
      <w:pPr>
        <w:spacing w:after="160" w:line="360" w:lineRule="auto"/>
        <w:ind w:right="567" w:firstLine="708"/>
        <w:jc w:val="both"/>
        <w:rPr>
          <w:rFonts w:eastAsia="Aptos"/>
          <w:sz w:val="24"/>
          <w:szCs w:val="24"/>
        </w:rPr>
      </w:pPr>
      <w:r w:rsidRPr="00D845BD">
        <w:rPr>
          <w:rFonts w:eastAsia="Aptos"/>
          <w:sz w:val="24"/>
          <w:szCs w:val="24"/>
        </w:rPr>
        <w:t>Pokud jde o hledisko financí, poškozený, který by uplatňoval svůj nárok prostřednictvím civilní žaloby v civilním řízení</w:t>
      </w:r>
      <w:r w:rsidR="004265B2">
        <w:rPr>
          <w:rFonts w:eastAsia="Aptos"/>
          <w:sz w:val="24"/>
          <w:szCs w:val="24"/>
        </w:rPr>
        <w:t>,</w:t>
      </w:r>
      <w:r w:rsidRPr="00D845BD">
        <w:rPr>
          <w:rFonts w:eastAsia="Aptos"/>
          <w:sz w:val="24"/>
          <w:szCs w:val="24"/>
        </w:rPr>
        <w:t xml:space="preserve"> by musel platit soudní poplatek, který je účtován za to, že řízení je zahájeno, resp. bude vedeno, a jehož zaplacení je jednou z procesních podmínek sporného civilního řízení.</w:t>
      </w:r>
      <w:r w:rsidRPr="00D845BD">
        <w:rPr>
          <w:rFonts w:eastAsia="Aptos"/>
          <w:sz w:val="24"/>
          <w:szCs w:val="24"/>
          <w:vertAlign w:val="superscript"/>
        </w:rPr>
        <w:footnoteReference w:id="31"/>
      </w:r>
      <w:r w:rsidR="00D6014A" w:rsidRPr="00D845BD">
        <w:rPr>
          <w:rFonts w:eastAsia="Aptos"/>
          <w:sz w:val="24"/>
          <w:szCs w:val="24"/>
        </w:rPr>
        <w:t xml:space="preserve"> </w:t>
      </w:r>
      <w:r w:rsidRPr="00D845BD">
        <w:rPr>
          <w:rFonts w:eastAsia="Aptos"/>
          <w:sz w:val="24"/>
          <w:szCs w:val="24"/>
        </w:rPr>
        <w:t>Ustanovení § 11 odst. 2 písm. r) zákona o soudních poplatcích (dále jen ZoSP) sice osvobozuje navrhovatele ve věcech náhrady škody, nemajetkové újmy či vydání bezdůvodného obohacení, pokud byl pravomocným rozsudkem odkázán na civilní řízení, od soudního poplatku, avšak nehovoří o navrhovateli, který tento nárok uplatnil v řízení o přestupku.</w:t>
      </w:r>
      <w:r w:rsidRPr="00D845BD">
        <w:rPr>
          <w:rFonts w:eastAsia="Aptos"/>
          <w:sz w:val="24"/>
          <w:szCs w:val="24"/>
          <w:vertAlign w:val="superscript"/>
        </w:rPr>
        <w:footnoteReference w:id="32"/>
      </w:r>
      <w:r w:rsidRPr="00D845BD">
        <w:rPr>
          <w:rFonts w:eastAsia="Aptos"/>
          <w:color w:val="FF0000"/>
          <w:sz w:val="24"/>
          <w:szCs w:val="24"/>
        </w:rPr>
        <w:t xml:space="preserve"> </w:t>
      </w:r>
      <w:r w:rsidRPr="00222FDD">
        <w:rPr>
          <w:rFonts w:eastAsia="Aptos"/>
          <w:sz w:val="24"/>
          <w:szCs w:val="24"/>
        </w:rPr>
        <w:t xml:space="preserve">Mám za to, že tento rozdíl v přístupu k poškozeným ve smyslu TŘ a poškozeným ve smyslu zákona o přestupcích není racionálně nijak zdůvodněn a nedává dobrý smysl. </w:t>
      </w:r>
      <w:r w:rsidRPr="00D845BD">
        <w:rPr>
          <w:rFonts w:eastAsia="Aptos"/>
          <w:sz w:val="24"/>
          <w:szCs w:val="24"/>
        </w:rPr>
        <w:t>Ten je ve vztahu k osvobození od soudního poplatku ve věcech poškozeného trestným činem zdůvodněn Hromadou jako motivace k uplatnění svých práv i v rámci tíživé situace.</w:t>
      </w:r>
      <w:r w:rsidRPr="00D845BD">
        <w:rPr>
          <w:rFonts w:eastAsia="Aptos"/>
          <w:sz w:val="24"/>
          <w:szCs w:val="24"/>
          <w:vertAlign w:val="superscript"/>
        </w:rPr>
        <w:footnoteReference w:id="33"/>
      </w:r>
      <w:r w:rsidRPr="00D845BD">
        <w:rPr>
          <w:rFonts w:eastAsia="Aptos"/>
          <w:sz w:val="24"/>
          <w:szCs w:val="24"/>
        </w:rPr>
        <w:t xml:space="preserve"> </w:t>
      </w:r>
      <w:r w:rsidRPr="00222FDD">
        <w:rPr>
          <w:rFonts w:eastAsia="Aptos"/>
          <w:sz w:val="24"/>
          <w:szCs w:val="24"/>
        </w:rPr>
        <w:t xml:space="preserve">Lze jistě pozitivně hodnotit, že osoby odkázané trestním soudem na civilní řízení ve smyslu ustanovení § 229 TŘ jsou osvobozeny od soudního poplatku v řízení civilním, avšak deficit úpravy ve vztahu k osobám odkázaným na civilní soud ze strany správního orgánu ve smyslu </w:t>
      </w:r>
      <w:r w:rsidR="004265B2" w:rsidRPr="00222FDD">
        <w:rPr>
          <w:rFonts w:eastAsia="Aptos"/>
          <w:sz w:val="24"/>
          <w:szCs w:val="24"/>
        </w:rPr>
        <w:t xml:space="preserve">ustanovení </w:t>
      </w:r>
      <w:r w:rsidRPr="00222FDD">
        <w:rPr>
          <w:rFonts w:eastAsia="Aptos"/>
          <w:sz w:val="24"/>
          <w:szCs w:val="24"/>
        </w:rPr>
        <w:t xml:space="preserve">§ 89 PřestZ nepovažuji za spravedlivý a racionální. </w:t>
      </w:r>
      <w:r w:rsidRPr="00222FDD">
        <w:rPr>
          <w:rFonts w:eastAsia="Aptos"/>
          <w:i/>
          <w:sz w:val="24"/>
          <w:szCs w:val="24"/>
        </w:rPr>
        <w:t xml:space="preserve">De lege ferenda </w:t>
      </w:r>
      <w:r w:rsidRPr="00222FDD">
        <w:rPr>
          <w:rFonts w:eastAsia="Aptos"/>
          <w:sz w:val="24"/>
          <w:szCs w:val="24"/>
        </w:rPr>
        <w:t xml:space="preserve">považuji za vhodné tento deficit vyrovnat tak, že </w:t>
      </w:r>
      <w:r w:rsidR="004265B2" w:rsidRPr="00222FDD">
        <w:rPr>
          <w:rFonts w:eastAsia="Aptos"/>
          <w:sz w:val="24"/>
          <w:szCs w:val="24"/>
        </w:rPr>
        <w:t>ZoSP</w:t>
      </w:r>
      <w:r w:rsidRPr="00222FDD">
        <w:rPr>
          <w:rFonts w:eastAsia="Aptos"/>
          <w:sz w:val="24"/>
          <w:szCs w:val="24"/>
        </w:rPr>
        <w:t xml:space="preserve"> bude pozměněn tím způsobem, že osvobodí od soudního poplatku i poškozeného, kterého na civilní soud odkázal správní orgán v řízení o přestupku ve smyslu ustanovení § 89 PřesZ</w:t>
      </w:r>
      <w:r w:rsidRPr="00222FDD">
        <w:rPr>
          <w:rFonts w:eastAsia="Aptos"/>
          <w:sz w:val="24"/>
          <w:szCs w:val="24"/>
          <w:vertAlign w:val="superscript"/>
        </w:rPr>
        <w:footnoteReference w:id="34"/>
      </w:r>
      <w:r w:rsidRPr="00222FDD">
        <w:rPr>
          <w:rFonts w:eastAsia="Aptos"/>
          <w:sz w:val="24"/>
          <w:szCs w:val="24"/>
        </w:rPr>
        <w:t xml:space="preserve">. Další variantou by mohlo být při aplikaci ustanovení § 11 ZoSP analogicky rozšířit toto ustanovení i o navrhovatele - poškozeného, který byl odkázán na civilní řízení pravomocným rozhodnutím i v přestupkovém řízení. Domnívám </w:t>
      </w:r>
      <w:r w:rsidRPr="00222FDD">
        <w:rPr>
          <w:rFonts w:eastAsia="Aptos"/>
          <w:sz w:val="24"/>
          <w:szCs w:val="24"/>
        </w:rPr>
        <w:lastRenderedPageBreak/>
        <w:t xml:space="preserve">se, že jsou zde splněny předpoklady pro možnou </w:t>
      </w:r>
      <w:r w:rsidRPr="00222FDD">
        <w:rPr>
          <w:rFonts w:eastAsia="Aptos"/>
          <w:i/>
          <w:sz w:val="24"/>
          <w:szCs w:val="24"/>
        </w:rPr>
        <w:t>analogii legis</w:t>
      </w:r>
      <w:r w:rsidRPr="00222FDD">
        <w:rPr>
          <w:rFonts w:eastAsia="Aptos"/>
          <w:sz w:val="24"/>
          <w:szCs w:val="24"/>
        </w:rPr>
        <w:t xml:space="preserve"> a to na základě </w:t>
      </w:r>
      <w:r w:rsidRPr="00222FDD">
        <w:rPr>
          <w:rFonts w:eastAsia="Aptos"/>
          <w:i/>
          <w:sz w:val="24"/>
          <w:szCs w:val="24"/>
        </w:rPr>
        <w:t>argumentu a simili</w:t>
      </w:r>
      <w:r w:rsidRPr="00222FDD">
        <w:rPr>
          <w:rFonts w:eastAsia="Aptos"/>
          <w:i/>
          <w:sz w:val="24"/>
          <w:szCs w:val="24"/>
          <w:vertAlign w:val="superscript"/>
        </w:rPr>
        <w:footnoteReference w:id="35"/>
      </w:r>
      <w:r w:rsidRPr="00222FDD">
        <w:rPr>
          <w:rFonts w:eastAsia="Aptos"/>
          <w:sz w:val="24"/>
          <w:szCs w:val="24"/>
        </w:rPr>
        <w:t xml:space="preserve">. Je zde </w:t>
      </w:r>
      <w:r w:rsidR="00686310" w:rsidRPr="00222FDD">
        <w:rPr>
          <w:rFonts w:eastAsia="Aptos"/>
          <w:sz w:val="24"/>
          <w:szCs w:val="24"/>
        </w:rPr>
        <w:t>určitá zákonná norma</w:t>
      </w:r>
      <w:r w:rsidRPr="00222FDD">
        <w:rPr>
          <w:rFonts w:eastAsia="Aptos"/>
          <w:sz w:val="24"/>
          <w:szCs w:val="24"/>
        </w:rPr>
        <w:t xml:space="preserve"> </w:t>
      </w:r>
      <w:r w:rsidR="00222FDD">
        <w:rPr>
          <w:rFonts w:eastAsia="Aptos"/>
          <w:sz w:val="24"/>
          <w:szCs w:val="24"/>
        </w:rPr>
        <w:t xml:space="preserve">(pevný bod) </w:t>
      </w:r>
      <w:r w:rsidRPr="00222FDD">
        <w:rPr>
          <w:rFonts w:eastAsia="Aptos"/>
          <w:sz w:val="24"/>
          <w:szCs w:val="24"/>
        </w:rPr>
        <w:t>působící určitý následek, je</w:t>
      </w:r>
      <w:r w:rsidR="00686310" w:rsidRPr="00222FDD">
        <w:rPr>
          <w:rFonts w:eastAsia="Aptos"/>
          <w:sz w:val="24"/>
          <w:szCs w:val="24"/>
        </w:rPr>
        <w:t>jí</w:t>
      </w:r>
      <w:r w:rsidRPr="00222FDD">
        <w:rPr>
          <w:rFonts w:eastAsia="Aptos"/>
          <w:sz w:val="24"/>
          <w:szCs w:val="24"/>
        </w:rPr>
        <w:t xml:space="preserve"> smysl a účel, tedy teoleologie</w:t>
      </w:r>
      <w:r w:rsidRPr="00222FDD">
        <w:rPr>
          <w:rFonts w:eastAsia="Aptos"/>
          <w:sz w:val="24"/>
          <w:szCs w:val="24"/>
          <w:vertAlign w:val="superscript"/>
        </w:rPr>
        <w:footnoteReference w:id="36"/>
      </w:r>
      <w:r w:rsidRPr="00222FDD">
        <w:rPr>
          <w:rFonts w:eastAsia="Aptos"/>
          <w:sz w:val="24"/>
          <w:szCs w:val="24"/>
        </w:rPr>
        <w:t>, a toto zůstane zachováno a bude naplněno i v případě odkázání poškozeného na civilní řízení v řízení o přestupku ve smyslu ustanovení § 89 odst. 2 PřesZ. V tomto smyslu není důvodné s poškozenými v řízení o přestupcích, kteří mohou přestupkem uplatňovat nárok na náhradu škody klidně i o něco vyšší, než která je jinému způsobena spácháním trestného činu, zacházet v rámci osvobozen</w:t>
      </w:r>
      <w:r w:rsidR="00D6014A" w:rsidRPr="00222FDD">
        <w:rPr>
          <w:rFonts w:eastAsia="Aptos"/>
          <w:sz w:val="24"/>
          <w:szCs w:val="24"/>
        </w:rPr>
        <w:t>í od soudních poplatků odlišně.</w:t>
      </w:r>
      <w:r w:rsidRPr="00222FDD">
        <w:rPr>
          <w:rFonts w:eastAsia="Aptos"/>
          <w:sz w:val="24"/>
          <w:szCs w:val="24"/>
        </w:rPr>
        <w:tab/>
      </w:r>
      <w:r w:rsidRPr="00222FDD">
        <w:rPr>
          <w:rFonts w:eastAsia="Aptos"/>
          <w:sz w:val="24"/>
          <w:szCs w:val="24"/>
        </w:rPr>
        <w:tab/>
      </w:r>
      <w:r w:rsidRPr="00222FDD">
        <w:rPr>
          <w:rFonts w:eastAsia="Aptos"/>
          <w:sz w:val="24"/>
          <w:szCs w:val="24"/>
        </w:rPr>
        <w:tab/>
      </w:r>
      <w:r w:rsidRPr="00222FDD">
        <w:rPr>
          <w:rFonts w:eastAsia="Aptos"/>
          <w:sz w:val="24"/>
          <w:szCs w:val="24"/>
        </w:rPr>
        <w:tab/>
      </w:r>
      <w:r w:rsidRPr="00D845BD">
        <w:rPr>
          <w:rFonts w:eastAsia="Aptos"/>
          <w:sz w:val="24"/>
          <w:szCs w:val="24"/>
        </w:rPr>
        <w:tab/>
      </w:r>
      <w:r w:rsidRPr="00D845BD">
        <w:rPr>
          <w:rFonts w:eastAsia="Aptos"/>
          <w:sz w:val="24"/>
          <w:szCs w:val="24"/>
        </w:rPr>
        <w:tab/>
      </w:r>
      <w:r w:rsidR="00D6014A">
        <w:rPr>
          <w:rFonts w:eastAsia="Aptos"/>
          <w:sz w:val="24"/>
          <w:szCs w:val="24"/>
        </w:rPr>
        <w:tab/>
      </w:r>
    </w:p>
    <w:p w:rsidR="00D536D8" w:rsidRPr="00686310" w:rsidRDefault="00B425CE" w:rsidP="005833E8">
      <w:pPr>
        <w:spacing w:after="160" w:line="360" w:lineRule="auto"/>
        <w:ind w:right="567" w:firstLine="708"/>
        <w:jc w:val="both"/>
        <w:rPr>
          <w:rFonts w:eastAsia="Aptos"/>
          <w:sz w:val="24"/>
          <w:szCs w:val="24"/>
        </w:rPr>
      </w:pPr>
      <w:r w:rsidRPr="00D845BD">
        <w:rPr>
          <w:rFonts w:eastAsia="Aptos"/>
          <w:sz w:val="24"/>
          <w:szCs w:val="24"/>
        </w:rPr>
        <w:t>Ve smyslu a účelu adhezního řízení, tedy jakožto racionálního způsobu domožení se svého nároku osobou poškozenou a také domožení se zadostiučinění vůči pachateli, se trestněprávní nauka shodovala i v minulém a předminulém století, a to i přes odlišnou pozitivněprávní úpravu napříč lety.</w:t>
      </w:r>
      <w:r w:rsidRPr="00D845BD">
        <w:rPr>
          <w:rFonts w:eastAsia="Aptos"/>
          <w:sz w:val="24"/>
          <w:szCs w:val="24"/>
          <w:vertAlign w:val="superscript"/>
        </w:rPr>
        <w:footnoteReference w:id="37"/>
      </w:r>
      <w:r w:rsidR="00D6014A">
        <w:rPr>
          <w:rFonts w:eastAsia="Aptos"/>
          <w:sz w:val="24"/>
          <w:szCs w:val="24"/>
        </w:rPr>
        <w:t xml:space="preserve"> </w:t>
      </w:r>
      <w:r w:rsidRPr="00D845BD">
        <w:rPr>
          <w:rFonts w:eastAsia="Aptos"/>
          <w:sz w:val="24"/>
          <w:szCs w:val="24"/>
        </w:rPr>
        <w:t>Tak například Storch hovořil již na konci 19. století o rychlém a nenákladném uplatňování soukromoprávního nároku ve spojeném řízením trestním a občanskoprávním. Přípojené řízení tak považoval za efektivní způsob zjednání nápravy, zejména z důvodu stejného základu obou řízení – spáchaného trestného činu.</w:t>
      </w:r>
      <w:r w:rsidRPr="00D845BD">
        <w:rPr>
          <w:rFonts w:eastAsia="Aptos"/>
          <w:sz w:val="24"/>
          <w:szCs w:val="24"/>
          <w:vertAlign w:val="superscript"/>
        </w:rPr>
        <w:footnoteReference w:id="38"/>
      </w:r>
      <w:r w:rsidRPr="00D845BD">
        <w:rPr>
          <w:rFonts w:eastAsia="Aptos"/>
          <w:sz w:val="24"/>
          <w:szCs w:val="24"/>
        </w:rPr>
        <w:t xml:space="preserve"> Látal považoval úpravu rozhodování o náhradě škody v adhezním řízení za důležitý atribut právního vědomí občanů a jeho formování. Úprava rozhodování o náhradě škody v adhezním řízení a z něj plynoucí rozhodnutí soudu pak podle něj působí preventivně a reparačně, což působí individuálně i generálně preventivně vůči společnosti. </w:t>
      </w:r>
      <w:r w:rsidRPr="00D845BD">
        <w:rPr>
          <w:rFonts w:eastAsia="Aptos"/>
          <w:sz w:val="24"/>
          <w:szCs w:val="24"/>
          <w:vertAlign w:val="superscript"/>
        </w:rPr>
        <w:footnoteReference w:id="39"/>
      </w:r>
      <w:r w:rsidRPr="00D845BD">
        <w:rPr>
          <w:rFonts w:eastAsia="Aptos"/>
          <w:sz w:val="24"/>
          <w:szCs w:val="24"/>
        </w:rPr>
        <w:t xml:space="preserve"> O preventivně - výchovném působení trestu doplněném povinností nahradit vzniklou újmu píše ve svém komentáři k TŘ též Šámal.</w:t>
      </w:r>
      <w:r w:rsidRPr="00D845BD">
        <w:rPr>
          <w:rFonts w:eastAsia="Aptos"/>
          <w:sz w:val="24"/>
          <w:szCs w:val="24"/>
          <w:vertAlign w:val="superscript"/>
        </w:rPr>
        <w:footnoteReference w:id="40"/>
      </w:r>
      <w:r w:rsidRPr="00D845BD">
        <w:rPr>
          <w:rFonts w:eastAsia="Aptos"/>
          <w:sz w:val="24"/>
          <w:szCs w:val="24"/>
        </w:rPr>
        <w:t xml:space="preserve">  </w:t>
      </w:r>
      <w:r w:rsidRPr="00686310">
        <w:rPr>
          <w:rFonts w:eastAsia="Aptos"/>
          <w:sz w:val="24"/>
          <w:szCs w:val="24"/>
        </w:rPr>
        <w:t xml:space="preserve">Je otázkou, nakolik působí opravdu výchovně (ať již ve vztahu ke konkrétnímu pachateli či celé společnosti) samotný fakt, že k rozhodnutí o náhradě škody dojde přímo v řízení o deliktu, tedy společně s rozhodnutím o vině a trestu. Mám za to, že samotným vyčleněním nároku poškozeného k civilnímu řízení výchovný prvek sám o sobě neutrpí.jen protože se věc projedná v jiném typu řízení, než přímo trestním, potažmo přestupkovém. Nicméně lze si představit, že svým urychlením, které adhezní řízení ve vztahu k napravení porušených zájmů může přinést, bude zvýšena </w:t>
      </w:r>
      <w:r w:rsidRPr="00686310">
        <w:rPr>
          <w:rFonts w:eastAsia="Aptos"/>
          <w:sz w:val="24"/>
          <w:szCs w:val="24"/>
        </w:rPr>
        <w:lastRenderedPageBreak/>
        <w:t xml:space="preserve">důvěra společnosti v právo (a tedy vlastně Látalem zmíněná prevence) a jeho vymáhání obecně. Zda-li má opravdu výchovný vliv na pachatele to, že k uložení povinnosti nahradit škodu dojde přímo v řízení o přestupku nebo řízení trestním je pak do značné míry spíše otázka psychologie, kriminologie či penologie a výzkum v této oblasti přesahuje možnosti této práce. Konstatuji však, že z laické pozice si to představit jistě lze. </w:t>
      </w:r>
    </w:p>
    <w:p w:rsidR="00686310" w:rsidRDefault="00B425CE" w:rsidP="005833E8">
      <w:pPr>
        <w:spacing w:after="160" w:line="360" w:lineRule="auto"/>
        <w:ind w:right="567" w:firstLine="708"/>
        <w:jc w:val="both"/>
        <w:rPr>
          <w:rFonts w:eastAsia="Aptos"/>
          <w:sz w:val="24"/>
          <w:szCs w:val="24"/>
        </w:rPr>
      </w:pPr>
      <w:r w:rsidRPr="00D845BD">
        <w:rPr>
          <w:rFonts w:eastAsia="Aptos"/>
          <w:sz w:val="24"/>
          <w:szCs w:val="24"/>
        </w:rPr>
        <w:t>O povaze a účelu adhezního řízení se vedly debaty již v dávné minulosti. Již v 80. letech 19. století publikoval František Storch obsáhlý článek v časopise Právník, kde částečně mapuje tehdejší debatu. Storch poznamenává, že část, zejména německy píšících právníků</w:t>
      </w:r>
      <w:r w:rsidRPr="00D845BD">
        <w:rPr>
          <w:rFonts w:eastAsia="Aptos"/>
          <w:sz w:val="24"/>
          <w:szCs w:val="24"/>
          <w:vertAlign w:val="superscript"/>
        </w:rPr>
        <w:footnoteReference w:id="41"/>
      </w:r>
      <w:r w:rsidRPr="00D845BD">
        <w:rPr>
          <w:rFonts w:eastAsia="Aptos"/>
          <w:sz w:val="24"/>
          <w:szCs w:val="24"/>
        </w:rPr>
        <w:t xml:space="preserve"> spatřovala účel adhezního řízení, tedy úpravu náhrady škody způsobenou zločinem, jako totožný s účelem trestního řízení vůbec. Tedy, že účel, který sleduje adhezní řízení, je součástí účelu trestního řízení </w:t>
      </w:r>
      <w:r w:rsidR="00686310">
        <w:rPr>
          <w:rFonts w:eastAsia="Aptos"/>
          <w:sz w:val="24"/>
          <w:szCs w:val="24"/>
        </w:rPr>
        <w:t>–</w:t>
      </w:r>
      <w:r w:rsidRPr="00D845BD">
        <w:rPr>
          <w:rFonts w:eastAsia="Aptos"/>
          <w:sz w:val="24"/>
          <w:szCs w:val="24"/>
        </w:rPr>
        <w:t xml:space="preserve"> a sice reagovat na spáchaný delikt.</w:t>
      </w:r>
      <w:r w:rsidRPr="00D845BD">
        <w:rPr>
          <w:rFonts w:eastAsia="Aptos"/>
          <w:sz w:val="24"/>
          <w:szCs w:val="24"/>
          <w:vertAlign w:val="superscript"/>
        </w:rPr>
        <w:footnoteReference w:id="42"/>
      </w:r>
      <w:r w:rsidRPr="00D845BD">
        <w:rPr>
          <w:rFonts w:eastAsia="Aptos"/>
          <w:sz w:val="24"/>
          <w:szCs w:val="24"/>
        </w:rPr>
        <w:t xml:space="preserve"> Sám Storch se však s tímto názorem neztotožňoval a argumentoval tím, že ačkoli jednotlivec, kterému byla zločinem způsobena škoda má mít právo na náhradu škody, nevyplývá z něj rozhodně to, že by jeho právo automaticky plynulo z účelu trestního řízení a měl by jeho nárok automaticky být součástí trestního řízení. Argumentoval také především zcela rozdílnými účely řízení trestního a civilního a zcela odlišnými zásadami, na kterých jsou obě řízení vystavěna.</w:t>
      </w:r>
      <w:r w:rsidRPr="00D845BD">
        <w:rPr>
          <w:rFonts w:eastAsia="Aptos"/>
          <w:sz w:val="24"/>
          <w:szCs w:val="24"/>
          <w:vertAlign w:val="superscript"/>
        </w:rPr>
        <w:footnoteReference w:id="43"/>
      </w:r>
      <w:r w:rsidRPr="00D845BD">
        <w:rPr>
          <w:rFonts w:eastAsia="Aptos"/>
          <w:sz w:val="24"/>
          <w:szCs w:val="24"/>
        </w:rPr>
        <w:t xml:space="preserve"> Konkrétně k tomu uvádí: </w:t>
      </w:r>
      <w:r w:rsidRPr="00D845BD">
        <w:rPr>
          <w:rFonts w:eastAsia="Aptos"/>
          <w:i/>
          <w:sz w:val="24"/>
          <w:szCs w:val="24"/>
        </w:rPr>
        <w:t>“Celá ta nevyplnitelná mezera, která dělí právo soukromé a veřejné, která různí jednak právo, resp. povinnost státu vykonávati trest, jednak zase nárok soukromoprávný na náhradu škody, táž mezera odděluje účely obou řízení., … , Oba tyto obory jsou od sebe pojmově příliš mnoho ohraničeny, než aby jejich cíle mohly býti společné., … , Ovšem jest úlohou státu, aby poskytoval ochrany a pomoci proti poškozením práv soukromých; avšak této povinnosti, třebas i poškození bylo způsobeno zločinem, učinil úplně zadost, poskytl-li škodujícímu právních prostředků, kterými práv soukromých vůbec bylo možno domáhati.”</w:t>
      </w:r>
      <w:r w:rsidRPr="00D845BD">
        <w:rPr>
          <w:rFonts w:eastAsia="Aptos"/>
          <w:i/>
          <w:sz w:val="24"/>
          <w:szCs w:val="24"/>
          <w:vertAlign w:val="superscript"/>
        </w:rPr>
        <w:footnoteReference w:id="44"/>
      </w:r>
      <w:r w:rsidRPr="00D845BD">
        <w:rPr>
          <w:rFonts w:eastAsia="Aptos"/>
          <w:i/>
          <w:sz w:val="24"/>
          <w:szCs w:val="24"/>
        </w:rPr>
        <w:t xml:space="preserve"> </w:t>
      </w:r>
      <w:r w:rsidRPr="00D845BD">
        <w:rPr>
          <w:rFonts w:eastAsia="Aptos"/>
          <w:sz w:val="24"/>
          <w:szCs w:val="24"/>
        </w:rPr>
        <w:t xml:space="preserve">Za ideální považoval to, že adhezní řízení může, ale nutně nemusí být součástí trestního řízení a to </w:t>
      </w:r>
      <w:r w:rsidRPr="00D845BD">
        <w:rPr>
          <w:rFonts w:eastAsia="Aptos"/>
          <w:sz w:val="24"/>
          <w:szCs w:val="24"/>
        </w:rPr>
        <w:lastRenderedPageBreak/>
        <w:t>v závislosti na tom, zda vzhledem k účelu trestního řízení převažují výhody, či</w:t>
      </w:r>
      <w:r w:rsidR="00686310">
        <w:rPr>
          <w:rFonts w:eastAsia="Aptos"/>
          <w:sz w:val="24"/>
          <w:szCs w:val="24"/>
        </w:rPr>
        <w:t xml:space="preserve"> nevýhody v konkrétním případě.</w:t>
      </w:r>
      <w:r w:rsidRPr="00D845BD">
        <w:rPr>
          <w:rFonts w:eastAsia="Aptos"/>
          <w:sz w:val="24"/>
          <w:szCs w:val="24"/>
          <w:vertAlign w:val="superscript"/>
        </w:rPr>
        <w:footnoteReference w:id="45"/>
      </w:r>
      <w:r w:rsidR="00686310">
        <w:rPr>
          <w:rFonts w:eastAsia="Aptos"/>
          <w:sz w:val="24"/>
          <w:szCs w:val="24"/>
        </w:rPr>
        <w:t xml:space="preserve"> </w:t>
      </w:r>
      <w:r w:rsidRPr="00D845BD">
        <w:rPr>
          <w:rFonts w:eastAsia="Aptos"/>
          <w:sz w:val="24"/>
          <w:szCs w:val="24"/>
        </w:rPr>
        <w:t xml:space="preserve">Je tedy patrno, že již tehdy si minimálně část odborné veřejnosti uvědomovala limity realizace tohoto institutu v konkrétních situacích. Přesto byl prezentován i názor, že ve správním řízení trestním má být narozdíl od trestního řízení rozhodováno i </w:t>
      </w:r>
      <w:r w:rsidRPr="00D845BD">
        <w:rPr>
          <w:rFonts w:eastAsia="Aptos"/>
          <w:i/>
          <w:sz w:val="24"/>
          <w:szCs w:val="24"/>
        </w:rPr>
        <w:t>ex offo</w:t>
      </w:r>
      <w:r w:rsidRPr="00D845BD">
        <w:rPr>
          <w:rFonts w:eastAsia="Aptos"/>
          <w:sz w:val="24"/>
          <w:szCs w:val="24"/>
        </w:rPr>
        <w:t xml:space="preserve">, a to s ohledem na zásadu oficiality. </w:t>
      </w:r>
      <w:r w:rsidRPr="00D845BD">
        <w:rPr>
          <w:rFonts w:eastAsia="Aptos"/>
          <w:sz w:val="24"/>
          <w:szCs w:val="24"/>
          <w:vertAlign w:val="superscript"/>
        </w:rPr>
        <w:footnoteReference w:id="46"/>
      </w:r>
    </w:p>
    <w:p w:rsidR="00D6014A" w:rsidRDefault="00B425CE" w:rsidP="005833E8">
      <w:pPr>
        <w:spacing w:after="160" w:line="360" w:lineRule="auto"/>
        <w:ind w:right="567" w:firstLine="708"/>
        <w:jc w:val="both"/>
        <w:rPr>
          <w:rFonts w:eastAsia="Aptos"/>
          <w:sz w:val="24"/>
          <w:szCs w:val="24"/>
        </w:rPr>
      </w:pPr>
      <w:r w:rsidRPr="00D845BD">
        <w:rPr>
          <w:rFonts w:eastAsia="Aptos"/>
          <w:sz w:val="24"/>
          <w:szCs w:val="24"/>
        </w:rPr>
        <w:t xml:space="preserve">Ke smyslu adhezního řízení samozřejmě nemlčí také judikatura. Nejvyšší správní soud (dále jen NSS) se k povaze adhezního řízení vyjádřil ve svém rozsudku ze dne 31. října 2007, sp. zn. 2 AS 46/2006, kde uvedl, že: </w:t>
      </w:r>
      <w:r w:rsidRPr="00D845BD">
        <w:rPr>
          <w:rFonts w:eastAsia="Aptos"/>
          <w:i/>
          <w:sz w:val="24"/>
          <w:szCs w:val="24"/>
        </w:rPr>
        <w:t>“Adhezní řízení o náhradě škody v rámci řízení přestupkového tedy není ničím jiným než z hlediska procesní ekonomie i procesního komfortu poškozeného efektivním způsobem rozhodnutí o jeho nároku, lze-li tak učinit bez větších složitostí a v rámci přestupkového řízení, přičemž otázky komplikované či mezi poškozeným a tím, koho má poškozený za škůdce (kterým může být jak obviněný z přestupku, u něhož je shledáno, že byl jeho pachatelem, tak obviněný, jenž takovým shledán nebyl), sporné mohou být projednány příslušným orgánem (zpravidla soudem v občanskoprávním řízení) mimo přestupkové řízení.</w:t>
      </w:r>
      <w:r w:rsidRPr="00D845BD">
        <w:rPr>
          <w:rFonts w:eastAsia="Aptos"/>
          <w:sz w:val="24"/>
          <w:szCs w:val="24"/>
        </w:rPr>
        <w:t>”</w:t>
      </w:r>
      <w:r w:rsidRPr="00D845BD">
        <w:rPr>
          <w:rFonts w:eastAsia="Aptos"/>
          <w:sz w:val="24"/>
          <w:szCs w:val="24"/>
          <w:vertAlign w:val="superscript"/>
        </w:rPr>
        <w:footnoteReference w:id="47"/>
      </w:r>
      <w:r w:rsidRPr="00D845BD">
        <w:rPr>
          <w:rFonts w:eastAsia="Aptos"/>
          <w:sz w:val="24"/>
          <w:szCs w:val="24"/>
        </w:rPr>
        <w:t xml:space="preserve"> </w:t>
      </w:r>
    </w:p>
    <w:p w:rsidR="009A2F2B" w:rsidRPr="009A2F2B" w:rsidRDefault="00B425CE" w:rsidP="005833E8">
      <w:pPr>
        <w:spacing w:after="160" w:line="360" w:lineRule="auto"/>
        <w:ind w:right="567" w:firstLine="708"/>
        <w:jc w:val="both"/>
        <w:rPr>
          <w:rFonts w:eastAsia="Aptos"/>
          <w:sz w:val="24"/>
          <w:szCs w:val="24"/>
        </w:rPr>
      </w:pPr>
      <w:r w:rsidRPr="00D6014A">
        <w:rPr>
          <w:rFonts w:eastAsia="Aptos"/>
          <w:sz w:val="24"/>
          <w:szCs w:val="24"/>
        </w:rPr>
        <w:t xml:space="preserve">Že adhezní řízení není samostatné a je součástí řízení o přestupku vyplývá i z dalšího rozsudku NSS. Konkrétně se v něm uvádí, že: </w:t>
      </w:r>
      <w:r w:rsidRPr="00D6014A">
        <w:rPr>
          <w:rFonts w:eastAsia="Aptos"/>
          <w:i/>
          <w:sz w:val="24"/>
          <w:szCs w:val="24"/>
        </w:rPr>
        <w:t>“</w:t>
      </w:r>
      <w:r w:rsidRPr="00D6014A">
        <w:rPr>
          <w:i/>
          <w:sz w:val="24"/>
          <w:szCs w:val="24"/>
          <w:highlight w:val="white"/>
        </w:rPr>
        <w:t>Uplynutí doby, které by jinak podle § 29 písm. a) a § 30 zákona č. 250/2016 Sb., vedlo k zániku odpovědnosti za přestupek, o němž již bylo pravomocně rozhodnuto co do viny a trestu, brání dalšímu vedení řízení o náhradě škody způsobené spácháním tohoto přestupku jakožto řízení adhezního (§ 89 cit. zákona). Adhezní řízení proto musí být podle § 66 odst. 1 písm. g) správního řádu zastaveno.”</w:t>
      </w:r>
      <w:r w:rsidRPr="00D6014A">
        <w:rPr>
          <w:i/>
          <w:sz w:val="24"/>
          <w:szCs w:val="24"/>
          <w:highlight w:val="white"/>
          <w:vertAlign w:val="superscript"/>
        </w:rPr>
        <w:footnoteReference w:id="48"/>
      </w:r>
      <w:r w:rsidRPr="00D6014A">
        <w:rPr>
          <w:i/>
          <w:sz w:val="24"/>
          <w:szCs w:val="24"/>
          <w:highlight w:val="white"/>
        </w:rPr>
        <w:t xml:space="preserve"> “V uvedeném případě šlo o otázku, zda lze vést řízení o nároku na náhradu újmy samostatně po té, co výrok o vině již nabyl právní moci a přitom v mezidobí od právní moci až do okamžiku rozhodování uplynula promlčecí doba přestupku. Dojde-li k zastavení přestupkového řízení, nelze nadále vést adhezní řízení, neboť se nejedná o řízení, které by bylo možno vést samostatně ,…, povaha adhezního řízení brání přijetí závěru, že je-li vydáno pravomocné rozhodnutí o přestupku (a zánik přestupkové odpovědnosti v důsledku </w:t>
      </w:r>
      <w:r w:rsidRPr="00D6014A">
        <w:rPr>
          <w:i/>
          <w:sz w:val="24"/>
          <w:szCs w:val="24"/>
          <w:highlight w:val="white"/>
        </w:rPr>
        <w:lastRenderedPageBreak/>
        <w:t>uplynutí promlčecí doby tedy nepřichází z povahy věci v úvahu), lze bez omezení pokračovat v řízení o náhradě škody. Časovým limitem pro další případné vedení takového řízení proto bude uplynutí lhůty, v níž by jinak bylo nutno o přestupku pravomocně rozhodnout. Adhezní řízení jakožto nedílnou součást řízení přestupkového totiž nelze vést mimo časový rámec, který byl zákonodárcem pro projednání konkrétního typu přestupku stanoven.</w:t>
      </w:r>
      <w:r w:rsidRPr="00D6014A">
        <w:rPr>
          <w:rFonts w:eastAsia="Aptos"/>
          <w:sz w:val="24"/>
          <w:szCs w:val="24"/>
        </w:rPr>
        <w:t>”</w:t>
      </w:r>
      <w:r w:rsidRPr="00D6014A">
        <w:rPr>
          <w:i/>
          <w:sz w:val="24"/>
          <w:szCs w:val="24"/>
          <w:highlight w:val="white"/>
          <w:vertAlign w:val="superscript"/>
        </w:rPr>
        <w:footnoteReference w:id="49"/>
      </w:r>
      <w:r w:rsidRPr="00D6014A">
        <w:rPr>
          <w:rFonts w:eastAsia="Aptos"/>
          <w:sz w:val="24"/>
          <w:szCs w:val="24"/>
        </w:rPr>
        <w:t xml:space="preserve"> Je však zapotřebí zdůraznit, že nejde o zastavení řízení dle přestupkového zákona, nýbrž o zastavení řízení o žádosti dle SŘ. Prášková totiž označila tento názor soudu za opačný ke svému, kdy tvrdí, že adhezní řízení nemůže být samostatně v rámci řízení o přestupku.</w:t>
      </w:r>
      <w:r w:rsidRPr="00D6014A">
        <w:rPr>
          <w:rFonts w:eastAsia="Aptos"/>
          <w:sz w:val="24"/>
          <w:szCs w:val="24"/>
          <w:vertAlign w:val="superscript"/>
        </w:rPr>
        <w:footnoteReference w:id="50"/>
      </w:r>
      <w:r w:rsidRPr="00D6014A">
        <w:rPr>
          <w:rFonts w:eastAsia="Aptos"/>
          <w:sz w:val="24"/>
          <w:szCs w:val="24"/>
        </w:rPr>
        <w:t xml:space="preserve"> </w:t>
      </w:r>
      <w:r w:rsidRPr="009A2F2B">
        <w:rPr>
          <w:rFonts w:eastAsia="Aptos"/>
          <w:sz w:val="24"/>
          <w:szCs w:val="24"/>
        </w:rPr>
        <w:t>To je nepochybně pravda, ale mám za to, že se to nevylučuje se závěrem NSS v tomto rozhodnutí a principielně tvrdí Prášková i NSS totéž. Dalším relevantním argumentem, proč je adhezní řízení výhodné pro poškozeného oproti standardnímu civilnímu řízení je také šance zabránění rizika vzniku sekundární viktimizace.</w:t>
      </w:r>
      <w:r w:rsidRPr="009A2F2B">
        <w:rPr>
          <w:rFonts w:eastAsia="Aptos"/>
          <w:sz w:val="24"/>
          <w:szCs w:val="24"/>
          <w:vertAlign w:val="superscript"/>
        </w:rPr>
        <w:footnoteReference w:id="51"/>
      </w:r>
    </w:p>
    <w:p w:rsidR="00A40F4E" w:rsidRDefault="00B425CE" w:rsidP="005833E8">
      <w:pPr>
        <w:spacing w:after="160" w:line="360" w:lineRule="auto"/>
        <w:ind w:right="567" w:firstLine="708"/>
        <w:jc w:val="both"/>
        <w:rPr>
          <w:rFonts w:eastAsia="Aptos"/>
          <w:sz w:val="24"/>
          <w:szCs w:val="24"/>
        </w:rPr>
      </w:pPr>
      <w:r w:rsidRPr="00D845BD">
        <w:rPr>
          <w:rFonts w:eastAsia="Aptos"/>
          <w:color w:val="FF0000"/>
          <w:sz w:val="24"/>
          <w:szCs w:val="24"/>
        </w:rPr>
        <w:t xml:space="preserve"> </w:t>
      </w:r>
    </w:p>
    <w:p w:rsidR="00D536D8" w:rsidRPr="003629BC" w:rsidRDefault="00053D38" w:rsidP="005833E8">
      <w:pPr>
        <w:pStyle w:val="Nadpis2"/>
        <w:spacing w:line="360" w:lineRule="auto"/>
      </w:pPr>
      <w:bookmarkStart w:id="19" w:name="_Toc190464506"/>
      <w:bookmarkStart w:id="20" w:name="_Toc190466545"/>
      <w:bookmarkStart w:id="21" w:name="_Toc190468793"/>
      <w:bookmarkStart w:id="22" w:name="_Toc190476378"/>
      <w:r w:rsidRPr="003629BC">
        <w:t>1</w:t>
      </w:r>
      <w:r w:rsidR="00B425CE" w:rsidRPr="003629BC">
        <w:t>.3. Vztah adhezního řízení k základním zásadám</w:t>
      </w:r>
      <w:bookmarkEnd w:id="19"/>
      <w:bookmarkEnd w:id="20"/>
      <w:bookmarkEnd w:id="21"/>
      <w:bookmarkEnd w:id="22"/>
    </w:p>
    <w:p w:rsidR="00D6014A" w:rsidRDefault="009A2F2B" w:rsidP="005833E8">
      <w:pPr>
        <w:spacing w:after="160" w:line="360" w:lineRule="auto"/>
        <w:ind w:right="567" w:firstLine="720"/>
        <w:jc w:val="both"/>
        <w:rPr>
          <w:rFonts w:eastAsia="Aptos"/>
          <w:sz w:val="24"/>
          <w:szCs w:val="24"/>
        </w:rPr>
      </w:pPr>
      <w:r>
        <w:rPr>
          <w:rFonts w:eastAsia="Aptos"/>
          <w:sz w:val="24"/>
          <w:szCs w:val="24"/>
        </w:rPr>
        <w:t>Již</w:t>
      </w:r>
      <w:r w:rsidR="00B425CE" w:rsidRPr="00D845BD">
        <w:rPr>
          <w:rFonts w:eastAsia="Aptos"/>
          <w:sz w:val="24"/>
          <w:szCs w:val="24"/>
        </w:rPr>
        <w:t xml:space="preserve"> před více než 100 lety označil ve výše citovaném díle Storch jako hlavní rozdíl </w:t>
      </w:r>
      <w:r w:rsidR="00D6014A">
        <w:rPr>
          <w:rFonts w:eastAsia="Aptos"/>
          <w:sz w:val="24"/>
          <w:szCs w:val="24"/>
        </w:rPr>
        <w:t>mezi</w:t>
      </w:r>
      <w:r>
        <w:rPr>
          <w:rFonts w:eastAsia="Aptos"/>
          <w:sz w:val="24"/>
          <w:szCs w:val="24"/>
        </w:rPr>
        <w:t xml:space="preserve"> </w:t>
      </w:r>
      <w:r w:rsidR="00B425CE" w:rsidRPr="00D845BD">
        <w:rPr>
          <w:rFonts w:eastAsia="Aptos"/>
          <w:sz w:val="24"/>
          <w:szCs w:val="24"/>
        </w:rPr>
        <w:t>trestním a civilním řízením mimojiné jeho podstatu a jejich předmět, z čehož vyplývají i zásady, na kterých jsou postaveny. V civilním sporném řízení jde o práva soukromá a je na každém, zda se jich domáhá před orgánem veřejné moci.</w:t>
      </w:r>
      <w:r w:rsidR="00B425CE" w:rsidRPr="00D845BD">
        <w:rPr>
          <w:rFonts w:eastAsia="Aptos"/>
          <w:sz w:val="24"/>
          <w:szCs w:val="24"/>
          <w:vertAlign w:val="superscript"/>
        </w:rPr>
        <w:footnoteReference w:id="52"/>
      </w:r>
      <w:r w:rsidR="00B425CE" w:rsidRPr="00D845BD">
        <w:rPr>
          <w:rFonts w:eastAsia="Aptos"/>
          <w:sz w:val="24"/>
          <w:szCs w:val="24"/>
        </w:rPr>
        <w:t xml:space="preserve"> Civilní sporné řízení je vystaveno na zásadě dispoziční. Ta spočívá na dispozici účastníků s řízením, zejména v otázce zahájení řízení, jeho předmětem a jeho okruhem účastníků. Soud je zásadně vázán dispozičními úkony účastníků. </w:t>
      </w:r>
      <w:r w:rsidR="00B425CE" w:rsidRPr="00D845BD">
        <w:rPr>
          <w:rFonts w:eastAsia="Aptos"/>
          <w:sz w:val="24"/>
          <w:szCs w:val="24"/>
          <w:vertAlign w:val="superscript"/>
        </w:rPr>
        <w:footnoteReference w:id="53"/>
      </w:r>
      <w:r w:rsidR="00B425CE" w:rsidRPr="00D845BD">
        <w:rPr>
          <w:rFonts w:eastAsia="Aptos"/>
          <w:sz w:val="24"/>
          <w:szCs w:val="24"/>
        </w:rPr>
        <w:t xml:space="preserve"> Iniciativa je dána účastníkům.</w:t>
      </w:r>
      <w:r w:rsidR="00B425CE" w:rsidRPr="00D845BD">
        <w:rPr>
          <w:rFonts w:eastAsia="Aptos"/>
          <w:sz w:val="24"/>
          <w:szCs w:val="24"/>
          <w:vertAlign w:val="superscript"/>
        </w:rPr>
        <w:footnoteReference w:id="54"/>
      </w:r>
      <w:r w:rsidR="00B425CE" w:rsidRPr="00D845BD">
        <w:rPr>
          <w:rFonts w:eastAsia="Aptos"/>
          <w:sz w:val="24"/>
          <w:szCs w:val="24"/>
        </w:rPr>
        <w:t xml:space="preserve"> Dispoziční zásada však není cizí ani správnímu právu. Tam se uplatňuje v řízeních, která lze zahájit pouze na návrh.</w:t>
      </w:r>
      <w:r w:rsidR="00B425CE" w:rsidRPr="00D845BD">
        <w:rPr>
          <w:rFonts w:eastAsia="Aptos"/>
          <w:sz w:val="24"/>
          <w:szCs w:val="24"/>
          <w:vertAlign w:val="superscript"/>
        </w:rPr>
        <w:footnoteReference w:id="55"/>
      </w:r>
      <w:r w:rsidR="00B425CE" w:rsidRPr="00D845BD">
        <w:rPr>
          <w:rFonts w:eastAsia="Aptos"/>
          <w:sz w:val="24"/>
          <w:szCs w:val="24"/>
        </w:rPr>
        <w:t xml:space="preserve"> Jedná se o ta řízení, která jsou v zájmu určité osoby.</w:t>
      </w:r>
      <w:r w:rsidR="00B425CE" w:rsidRPr="00D845BD">
        <w:rPr>
          <w:rFonts w:eastAsia="Aptos"/>
          <w:sz w:val="24"/>
          <w:szCs w:val="24"/>
          <w:vertAlign w:val="superscript"/>
        </w:rPr>
        <w:footnoteReference w:id="56"/>
      </w:r>
      <w:r w:rsidR="00D6014A">
        <w:rPr>
          <w:rFonts w:eastAsia="Aptos"/>
          <w:sz w:val="24"/>
          <w:szCs w:val="24"/>
        </w:rPr>
        <w:tab/>
      </w:r>
    </w:p>
    <w:p w:rsidR="00D6014A" w:rsidRDefault="00B425CE" w:rsidP="005833E8">
      <w:pPr>
        <w:spacing w:after="160" w:line="360" w:lineRule="auto"/>
        <w:ind w:right="567" w:firstLine="720"/>
        <w:jc w:val="both"/>
        <w:rPr>
          <w:rFonts w:eastAsia="Aptos"/>
          <w:sz w:val="24"/>
          <w:szCs w:val="24"/>
        </w:rPr>
      </w:pPr>
      <w:r w:rsidRPr="00D845BD">
        <w:rPr>
          <w:rFonts w:eastAsia="Aptos"/>
          <w:sz w:val="24"/>
          <w:szCs w:val="24"/>
        </w:rPr>
        <w:lastRenderedPageBreak/>
        <w:t>Protikladem zásady dispoziční je zásada oficiality.</w:t>
      </w:r>
      <w:r w:rsidRPr="00D845BD">
        <w:rPr>
          <w:rFonts w:eastAsia="Aptos"/>
          <w:sz w:val="24"/>
          <w:szCs w:val="24"/>
          <w:vertAlign w:val="superscript"/>
        </w:rPr>
        <w:footnoteReference w:id="57"/>
      </w:r>
      <w:r w:rsidRPr="00D845BD">
        <w:rPr>
          <w:rFonts w:eastAsia="Aptos"/>
          <w:sz w:val="24"/>
          <w:szCs w:val="24"/>
        </w:rPr>
        <w:t xml:space="preserve"> Zásadou oficiality jsou ovládana právě řízení trestní</w:t>
      </w:r>
      <w:r w:rsidRPr="00D845BD">
        <w:rPr>
          <w:rFonts w:eastAsia="Aptos"/>
          <w:sz w:val="24"/>
          <w:szCs w:val="24"/>
          <w:vertAlign w:val="superscript"/>
        </w:rPr>
        <w:footnoteReference w:id="58"/>
      </w:r>
      <w:r w:rsidRPr="00D845BD">
        <w:rPr>
          <w:rFonts w:eastAsia="Aptos"/>
          <w:sz w:val="24"/>
          <w:szCs w:val="24"/>
        </w:rPr>
        <w:t xml:space="preserve"> a přestupkové</w:t>
      </w:r>
      <w:r w:rsidRPr="00D845BD">
        <w:rPr>
          <w:rFonts w:eastAsia="Aptos"/>
          <w:sz w:val="24"/>
          <w:szCs w:val="24"/>
          <w:vertAlign w:val="superscript"/>
        </w:rPr>
        <w:footnoteReference w:id="59"/>
      </w:r>
      <w:r w:rsidRPr="00D845BD">
        <w:rPr>
          <w:rFonts w:eastAsia="Aptos"/>
          <w:sz w:val="24"/>
          <w:szCs w:val="24"/>
        </w:rPr>
        <w:t>. Jak v případě přestupkového, tak trestního případech tato zásada vyplývá již ze zákona. SŘ stanoví, že: “</w:t>
      </w:r>
      <w:r w:rsidRPr="00D845BD">
        <w:rPr>
          <w:rFonts w:eastAsia="Aptos"/>
          <w:i/>
          <w:sz w:val="24"/>
          <w:szCs w:val="24"/>
        </w:rPr>
        <w:t>Správní orgán zahájí řízení o každém přestupku, který zjistí a postupuje v řízení z moci úřední.</w:t>
      </w:r>
      <w:r w:rsidRPr="00D845BD">
        <w:rPr>
          <w:rFonts w:eastAsia="Aptos"/>
          <w:sz w:val="24"/>
          <w:szCs w:val="24"/>
        </w:rPr>
        <w:t>”</w:t>
      </w:r>
      <w:r w:rsidRPr="00D845BD">
        <w:rPr>
          <w:rFonts w:eastAsia="Aptos"/>
          <w:sz w:val="24"/>
          <w:szCs w:val="24"/>
          <w:vertAlign w:val="superscript"/>
        </w:rPr>
        <w:footnoteReference w:id="60"/>
      </w:r>
      <w:r w:rsidRPr="00D845BD">
        <w:rPr>
          <w:rFonts w:eastAsia="Aptos"/>
          <w:color w:val="FF0000"/>
          <w:sz w:val="24"/>
          <w:szCs w:val="24"/>
        </w:rPr>
        <w:t xml:space="preserve"> </w:t>
      </w:r>
      <w:r w:rsidRPr="00D845BD">
        <w:rPr>
          <w:rFonts w:eastAsia="Aptos"/>
          <w:sz w:val="24"/>
          <w:szCs w:val="24"/>
        </w:rPr>
        <w:t>Zjistí-li tedy správní orgán skutečnosti, které by mohly nasvědčovat, že byl spáchán přestupek, postupuje z vlastní iniciativy, a to zásadně bez ohledu na stanoviska jiných osob.</w:t>
      </w:r>
      <w:r w:rsidRPr="00D845BD">
        <w:rPr>
          <w:rFonts w:eastAsia="Aptos"/>
          <w:sz w:val="24"/>
          <w:szCs w:val="24"/>
          <w:vertAlign w:val="superscript"/>
        </w:rPr>
        <w:footnoteReference w:id="61"/>
      </w:r>
      <w:r w:rsidRPr="00D845BD">
        <w:rPr>
          <w:rFonts w:eastAsia="Aptos"/>
          <w:sz w:val="24"/>
          <w:szCs w:val="24"/>
        </w:rPr>
        <w:t xml:space="preserve">  </w:t>
      </w:r>
      <w:r w:rsidRPr="00981F9E">
        <w:rPr>
          <w:rFonts w:eastAsia="Aptos"/>
          <w:sz w:val="24"/>
          <w:szCs w:val="24"/>
        </w:rPr>
        <w:t xml:space="preserve">V trestním řízení má zásada oficiality takřka stejný význam. </w:t>
      </w:r>
      <w:r w:rsidRPr="00D845BD">
        <w:rPr>
          <w:rFonts w:eastAsia="Aptos"/>
          <w:sz w:val="24"/>
          <w:szCs w:val="24"/>
        </w:rPr>
        <w:t>V TŘ je výslovně uvedeno, že:</w:t>
      </w:r>
      <w:r w:rsidRPr="00D845BD">
        <w:rPr>
          <w:rFonts w:eastAsia="Aptos"/>
          <w:i/>
          <w:sz w:val="24"/>
          <w:szCs w:val="24"/>
        </w:rPr>
        <w:t xml:space="preserve"> “Jestliže tento zákon nestanoví jinak, postupují orgány činné v trestním řízení z úřední povinnosti.”</w:t>
      </w:r>
      <w:r w:rsidRPr="00D845BD">
        <w:rPr>
          <w:rFonts w:eastAsia="Aptos"/>
          <w:i/>
          <w:sz w:val="24"/>
          <w:szCs w:val="24"/>
          <w:vertAlign w:val="superscript"/>
        </w:rPr>
        <w:footnoteReference w:id="62"/>
      </w:r>
      <w:r w:rsidRPr="00D845BD">
        <w:rPr>
          <w:rFonts w:eastAsia="Aptos"/>
          <w:i/>
          <w:sz w:val="24"/>
          <w:szCs w:val="24"/>
        </w:rPr>
        <w:t xml:space="preserve"> </w:t>
      </w:r>
      <w:r w:rsidRPr="00D845BD">
        <w:rPr>
          <w:rFonts w:eastAsia="Aptos"/>
          <w:sz w:val="24"/>
          <w:szCs w:val="24"/>
        </w:rPr>
        <w:t>Postupují tak při šetření všech skutečností, zda byl spáchán trestný čin, popř. jakou osobou, a to z vlastní iniciativy, až na zákonem stanovené výjimky.</w:t>
      </w:r>
      <w:r w:rsidRPr="00D845BD">
        <w:rPr>
          <w:rFonts w:eastAsia="Aptos"/>
          <w:sz w:val="24"/>
          <w:szCs w:val="24"/>
          <w:vertAlign w:val="superscript"/>
        </w:rPr>
        <w:footnoteReference w:id="63"/>
      </w:r>
      <w:r w:rsidRPr="00D845BD">
        <w:rPr>
          <w:rFonts w:eastAsia="Aptos"/>
          <w:sz w:val="24"/>
          <w:szCs w:val="24"/>
        </w:rPr>
        <w:t xml:space="preserve"> Správní orgán je ohledně zahájení, vymezení toho, o čem se řízení povede a provedení či neprovedení procesních úkonů vázán splněním zákonných předpokladů.</w:t>
      </w:r>
      <w:r w:rsidRPr="00D845BD">
        <w:rPr>
          <w:rFonts w:eastAsia="Aptos"/>
          <w:sz w:val="24"/>
          <w:szCs w:val="24"/>
          <w:vertAlign w:val="superscript"/>
        </w:rPr>
        <w:footnoteReference w:id="64"/>
      </w:r>
    </w:p>
    <w:p w:rsidR="00D6014A" w:rsidRDefault="00D6014A" w:rsidP="005833E8">
      <w:pPr>
        <w:spacing w:after="160" w:line="360" w:lineRule="auto"/>
        <w:ind w:right="567" w:firstLine="720"/>
        <w:jc w:val="both"/>
        <w:rPr>
          <w:rFonts w:eastAsia="Aptos"/>
          <w:sz w:val="24"/>
          <w:szCs w:val="24"/>
        </w:rPr>
      </w:pPr>
      <w:r w:rsidRPr="00A40F4E">
        <w:rPr>
          <w:rFonts w:eastAsia="Aptos"/>
          <w:sz w:val="24"/>
          <w:szCs w:val="24"/>
        </w:rPr>
        <w:t xml:space="preserve"> </w:t>
      </w:r>
      <w:r w:rsidR="00B425CE" w:rsidRPr="00A40F4E">
        <w:rPr>
          <w:rFonts w:eastAsia="Aptos"/>
          <w:sz w:val="24"/>
          <w:szCs w:val="24"/>
        </w:rPr>
        <w:t xml:space="preserve">Z výše uvedeného popisu základních zásad přestupkového, trestního, jakož i civilního řízení je zřejmé, že adhezní řízení je v řízení o deliktu </w:t>
      </w:r>
      <w:r w:rsidR="00981F9E" w:rsidRPr="00A40F4E">
        <w:rPr>
          <w:rFonts w:eastAsia="Aptos"/>
          <w:sz w:val="24"/>
          <w:szCs w:val="24"/>
        </w:rPr>
        <w:t xml:space="preserve">– </w:t>
      </w:r>
      <w:r w:rsidR="00B425CE" w:rsidRPr="00A40F4E">
        <w:rPr>
          <w:rFonts w:eastAsia="Aptos"/>
          <w:sz w:val="24"/>
          <w:szCs w:val="24"/>
        </w:rPr>
        <w:t xml:space="preserve">ať již správním nebo trestním, jakýmsi cizorodým prvkem. </w:t>
      </w:r>
      <w:r w:rsidR="00B425CE" w:rsidRPr="00D845BD">
        <w:rPr>
          <w:rFonts w:eastAsia="Aptos"/>
          <w:sz w:val="24"/>
          <w:szCs w:val="24"/>
        </w:rPr>
        <w:t xml:space="preserve">Slunský totiž uvádí, že: </w:t>
      </w:r>
      <w:r w:rsidR="00B425CE" w:rsidRPr="00D845BD">
        <w:rPr>
          <w:rFonts w:eastAsia="Aptos"/>
          <w:i/>
          <w:sz w:val="24"/>
          <w:szCs w:val="24"/>
        </w:rPr>
        <w:t xml:space="preserve">“Nestejnorodost a odlišnost adhezního řízení se samotnou ryze trestní linií lze vysledovat pomocí několika hledisek. Nejdůležitějším hlediskem je v případě adhezního řízení prolomení zásad oficiality a legality ve prospěch zde posílené zásady oportunity, neboť poškozený je nucen k procesní iniciativě.” </w:t>
      </w:r>
      <w:r w:rsidR="00B425CE" w:rsidRPr="00D845BD">
        <w:rPr>
          <w:rFonts w:eastAsia="Aptos"/>
          <w:sz w:val="24"/>
          <w:szCs w:val="24"/>
        </w:rPr>
        <w:t>Argumentuje pak analogií ustanovení § 206 TŘ a principem občanskoprávního petitu oproti zásadě oficiality.</w:t>
      </w:r>
      <w:r w:rsidR="00B425CE" w:rsidRPr="00D845BD">
        <w:rPr>
          <w:rFonts w:eastAsia="Aptos"/>
          <w:i/>
          <w:sz w:val="24"/>
          <w:szCs w:val="24"/>
          <w:vertAlign w:val="superscript"/>
        </w:rPr>
        <w:footnoteReference w:id="65"/>
      </w:r>
      <w:r w:rsidR="00B425CE" w:rsidRPr="00D845BD">
        <w:rPr>
          <w:rFonts w:eastAsia="Aptos"/>
          <w:i/>
          <w:sz w:val="24"/>
          <w:szCs w:val="24"/>
        </w:rPr>
        <w:t xml:space="preserve"> </w:t>
      </w:r>
      <w:r w:rsidR="00B425CE" w:rsidRPr="00A40F4E">
        <w:rPr>
          <w:rFonts w:eastAsia="Aptos"/>
          <w:sz w:val="24"/>
          <w:szCs w:val="24"/>
        </w:rPr>
        <w:t xml:space="preserve">Tento závěr však nelze bezvýhradně přijmout. Problém spatřuji v jeho tvrzení, že adhezní řízení je výjimka ze zásady legality. V trestním řízení totiž zásada legality ukládá státnímu zástupci povinnost zahájit trestní stíhání o všech trestných činech, o kterých se dozví, není-li stanoveno jinak zákonem či vyhlášenou mezinárodní smlouvou, kterou je Česká republika vázána. </w:t>
      </w:r>
      <w:r w:rsidR="00B425CE" w:rsidRPr="00A40F4E">
        <w:rPr>
          <w:rFonts w:eastAsia="Aptos"/>
          <w:sz w:val="24"/>
          <w:szCs w:val="24"/>
          <w:vertAlign w:val="superscript"/>
        </w:rPr>
        <w:footnoteReference w:id="66"/>
      </w:r>
      <w:r w:rsidR="00B425CE" w:rsidRPr="00A40F4E">
        <w:rPr>
          <w:rFonts w:eastAsia="Aptos"/>
          <w:sz w:val="24"/>
          <w:szCs w:val="24"/>
        </w:rPr>
        <w:t xml:space="preserve"> Totéž platí pro řízení o </w:t>
      </w:r>
      <w:r w:rsidR="00B425CE" w:rsidRPr="00A40F4E">
        <w:rPr>
          <w:rFonts w:eastAsia="Aptos"/>
          <w:sz w:val="24"/>
          <w:szCs w:val="24"/>
        </w:rPr>
        <w:lastRenderedPageBreak/>
        <w:t>přestupcích, jen iniciativu je povinen vyvodit správní orgán místo soudu.</w:t>
      </w:r>
      <w:r w:rsidR="00B425CE" w:rsidRPr="00A40F4E">
        <w:rPr>
          <w:rFonts w:eastAsia="Aptos"/>
          <w:sz w:val="24"/>
          <w:szCs w:val="24"/>
          <w:vertAlign w:val="superscript"/>
        </w:rPr>
        <w:footnoteReference w:id="67"/>
      </w:r>
      <w:r w:rsidR="00B425CE" w:rsidRPr="00A40F4E">
        <w:rPr>
          <w:rFonts w:eastAsia="Aptos"/>
          <w:sz w:val="24"/>
          <w:szCs w:val="24"/>
        </w:rPr>
        <w:t xml:space="preserve"> Pokud jde o zásadu legality, pak ta je Jelínkem definována jako</w:t>
      </w:r>
      <w:r w:rsidR="00B425CE" w:rsidRPr="00D845BD">
        <w:rPr>
          <w:rFonts w:eastAsia="Aptos"/>
          <w:sz w:val="24"/>
          <w:szCs w:val="24"/>
        </w:rPr>
        <w:t xml:space="preserve"> “</w:t>
      </w:r>
      <w:r w:rsidR="00B425CE" w:rsidRPr="00D845BD">
        <w:rPr>
          <w:rFonts w:eastAsia="Aptos"/>
          <w:i/>
          <w:sz w:val="24"/>
          <w:szCs w:val="24"/>
        </w:rPr>
        <w:t>důsledek zásady oficiality v otázce zahájení trestního řízení.”</w:t>
      </w:r>
      <w:r w:rsidR="00B425CE" w:rsidRPr="00D845BD">
        <w:rPr>
          <w:rFonts w:eastAsia="Aptos"/>
          <w:i/>
          <w:sz w:val="24"/>
          <w:szCs w:val="24"/>
          <w:vertAlign w:val="superscript"/>
        </w:rPr>
        <w:footnoteReference w:id="68"/>
      </w:r>
      <w:r w:rsidR="00B425CE" w:rsidRPr="00D845BD">
        <w:rPr>
          <w:rFonts w:eastAsia="Aptos"/>
          <w:sz w:val="24"/>
          <w:szCs w:val="24"/>
        </w:rPr>
        <w:t xml:space="preserve"> Existuje řada výjimek ze zásady legality a jejich počet je pak závislý na tom, jaký charakter a jaké funkce zásadě legality přiřadíme.</w:t>
      </w:r>
      <w:r w:rsidR="00B425CE" w:rsidRPr="00D845BD">
        <w:rPr>
          <w:rFonts w:eastAsia="Aptos"/>
          <w:sz w:val="24"/>
          <w:szCs w:val="24"/>
          <w:vertAlign w:val="superscript"/>
        </w:rPr>
        <w:footnoteReference w:id="69"/>
      </w:r>
      <w:r w:rsidR="00B425CE" w:rsidRPr="00D845BD">
        <w:rPr>
          <w:rFonts w:eastAsia="Aptos"/>
          <w:sz w:val="24"/>
          <w:szCs w:val="24"/>
        </w:rPr>
        <w:t xml:space="preserve"> Nicméně nepatří mezi ně institut adhezního řízení, ten nemá s otázkou zahájení trestního stíhání či stíhání dle přestupkového zákona nic co dočinění. Institut adhezního řízení, jehož uskutečnění je pak odvislé od návrhu poškozeného na jeho zahájení, a to v obou zmíněných řízeních, je výjimkou ze zásady oficiality. </w:t>
      </w:r>
      <w:r w:rsidR="00B425CE" w:rsidRPr="00D845BD">
        <w:rPr>
          <w:rFonts w:eastAsia="Aptos"/>
          <w:sz w:val="24"/>
          <w:szCs w:val="24"/>
          <w:vertAlign w:val="superscript"/>
        </w:rPr>
        <w:footnoteReference w:id="70"/>
      </w:r>
      <w:r w:rsidR="00B425CE" w:rsidRPr="00D845BD">
        <w:rPr>
          <w:rFonts w:eastAsia="Aptos"/>
          <w:sz w:val="24"/>
          <w:szCs w:val="24"/>
        </w:rPr>
        <w:tab/>
      </w:r>
      <w:r w:rsidR="00B425CE" w:rsidRPr="00D845BD">
        <w:rPr>
          <w:rFonts w:eastAsia="Aptos"/>
          <w:sz w:val="24"/>
          <w:szCs w:val="24"/>
        </w:rPr>
        <w:tab/>
      </w:r>
      <w:r w:rsidR="00B425CE" w:rsidRPr="00D845BD">
        <w:rPr>
          <w:rFonts w:eastAsia="Aptos"/>
          <w:sz w:val="24"/>
          <w:szCs w:val="24"/>
        </w:rPr>
        <w:tab/>
      </w:r>
      <w:r w:rsidR="00B425CE" w:rsidRPr="00D845BD">
        <w:rPr>
          <w:rFonts w:eastAsia="Aptos"/>
          <w:sz w:val="24"/>
          <w:szCs w:val="24"/>
        </w:rPr>
        <w:tab/>
      </w:r>
      <w:r w:rsidR="00B425CE" w:rsidRPr="00D845BD">
        <w:rPr>
          <w:rFonts w:eastAsia="Aptos"/>
          <w:sz w:val="24"/>
          <w:szCs w:val="24"/>
        </w:rPr>
        <w:tab/>
      </w:r>
      <w:r w:rsidR="00B425CE" w:rsidRPr="00D845BD">
        <w:rPr>
          <w:rFonts w:eastAsia="Aptos"/>
          <w:sz w:val="24"/>
          <w:szCs w:val="24"/>
        </w:rPr>
        <w:tab/>
      </w:r>
      <w:r w:rsidR="00B425CE" w:rsidRPr="00D845BD">
        <w:rPr>
          <w:rFonts w:eastAsia="Aptos"/>
          <w:sz w:val="24"/>
          <w:szCs w:val="24"/>
        </w:rPr>
        <w:tab/>
      </w:r>
      <w:r w:rsidR="00B425CE" w:rsidRPr="00D845BD">
        <w:rPr>
          <w:rFonts w:eastAsia="Aptos"/>
          <w:sz w:val="24"/>
          <w:szCs w:val="24"/>
        </w:rPr>
        <w:tab/>
      </w:r>
      <w:r w:rsidR="00B425CE" w:rsidRPr="00D845BD">
        <w:rPr>
          <w:rFonts w:eastAsia="Aptos"/>
          <w:sz w:val="24"/>
          <w:szCs w:val="24"/>
        </w:rPr>
        <w:tab/>
      </w:r>
      <w:r w:rsidR="00B425CE" w:rsidRPr="00D845BD">
        <w:rPr>
          <w:rFonts w:eastAsia="Aptos"/>
          <w:sz w:val="24"/>
          <w:szCs w:val="24"/>
        </w:rPr>
        <w:tab/>
        <w:t>Lze tak konstatovat, že adhezní řízení představuje dispoziční prvek v</w:t>
      </w:r>
      <w:r w:rsidR="00981F9E">
        <w:rPr>
          <w:rFonts w:eastAsia="Aptos"/>
          <w:sz w:val="24"/>
          <w:szCs w:val="24"/>
        </w:rPr>
        <w:t xml:space="preserve"> </w:t>
      </w:r>
      <w:r w:rsidR="00B425CE" w:rsidRPr="00D845BD">
        <w:rPr>
          <w:rFonts w:eastAsia="Aptos"/>
          <w:sz w:val="24"/>
          <w:szCs w:val="24"/>
        </w:rPr>
        <w:t>přestupkovém/trestním řízení a</w:t>
      </w:r>
      <w:r w:rsidR="001614C7">
        <w:rPr>
          <w:rFonts w:eastAsia="Aptos"/>
          <w:sz w:val="24"/>
          <w:szCs w:val="24"/>
        </w:rPr>
        <w:t xml:space="preserve"> jako takové</w:t>
      </w:r>
      <w:r w:rsidR="00B425CE" w:rsidRPr="00D845BD">
        <w:rPr>
          <w:rFonts w:eastAsia="Aptos"/>
          <w:sz w:val="24"/>
          <w:szCs w:val="24"/>
        </w:rPr>
        <w:t xml:space="preserve"> je ovládáno zásadou dispoziční.</w:t>
      </w:r>
      <w:r w:rsidR="00B425CE" w:rsidRPr="00D845BD">
        <w:rPr>
          <w:rFonts w:eastAsia="Aptos"/>
          <w:sz w:val="24"/>
          <w:szCs w:val="24"/>
          <w:vertAlign w:val="superscript"/>
        </w:rPr>
        <w:footnoteReference w:id="71"/>
      </w:r>
      <w:r w:rsidR="00B425CE" w:rsidRPr="00D845BD">
        <w:rPr>
          <w:rFonts w:eastAsia="Aptos"/>
          <w:sz w:val="24"/>
          <w:szCs w:val="24"/>
        </w:rPr>
        <w:t xml:space="preserve"> Je to poškozený a nikdo jiný, kdo jej iniciuje.</w:t>
      </w:r>
      <w:r w:rsidR="00B425CE" w:rsidRPr="00D845BD">
        <w:rPr>
          <w:rFonts w:eastAsia="Aptos"/>
          <w:sz w:val="24"/>
          <w:szCs w:val="24"/>
          <w:vertAlign w:val="superscript"/>
        </w:rPr>
        <w:footnoteReference w:id="72"/>
      </w:r>
      <w:r w:rsidR="00B425CE" w:rsidRPr="00D845BD">
        <w:rPr>
          <w:rFonts w:eastAsia="Aptos"/>
          <w:sz w:val="24"/>
          <w:szCs w:val="24"/>
        </w:rPr>
        <w:t xml:space="preserve">  Mám však za to, že i u institutu adhezního řízení lze spatřit určité prvky zásady oficiality, a to zejména ještě před jeho případným začátkem. Správní orgán má totiž povinnost bezodkladně vyrozumět poškozeného o možnosti jej vůbec vést a také poučovací povinnost ohledně lhůty, kdy svůj nárok uplatnit.</w:t>
      </w:r>
      <w:r w:rsidR="00B425CE" w:rsidRPr="00D845BD">
        <w:rPr>
          <w:rFonts w:eastAsia="Aptos"/>
          <w:sz w:val="24"/>
          <w:szCs w:val="24"/>
          <w:vertAlign w:val="superscript"/>
        </w:rPr>
        <w:footnoteReference w:id="73"/>
      </w:r>
      <w:r w:rsidR="00B425CE" w:rsidRPr="00D845BD">
        <w:rPr>
          <w:rFonts w:eastAsia="Aptos"/>
          <w:sz w:val="24"/>
          <w:szCs w:val="24"/>
        </w:rPr>
        <w:t xml:space="preserve"> V obou případech správní orgán (soud v trestním řízení) nepochybně postupuje z úřední povinnosti. Navíc se zde dá v tomto případě hovořit o výslovné konkretizaci jinak správnímu řízení všeobecně vlastní zásady poučovací, obsažené v § 4 odst. 2 SŘ, a která zakotvuje povinnost správního orgánu v souvislosti se svým úkonem přiměřeně poučit osobu o jejich právech a povinnostech.</w:t>
      </w:r>
      <w:r w:rsidR="00B425CE" w:rsidRPr="00D845BD">
        <w:rPr>
          <w:rFonts w:eastAsia="Aptos"/>
          <w:sz w:val="24"/>
          <w:szCs w:val="24"/>
          <w:vertAlign w:val="superscript"/>
        </w:rPr>
        <w:footnoteReference w:id="74"/>
      </w:r>
      <w:r w:rsidR="00B425CE" w:rsidRPr="00D845BD">
        <w:rPr>
          <w:rFonts w:eastAsia="Aptos"/>
          <w:sz w:val="24"/>
          <w:szCs w:val="24"/>
        </w:rPr>
        <w:t xml:space="preserve"> V trestním řízení je situace v zásadě stejná. Soud z úřední povinnosti musí poškozeného poučit o právech a povinnostech vyplývajících z jeho postavení. </w:t>
      </w:r>
      <w:r w:rsidR="00B425CE" w:rsidRPr="00D845BD">
        <w:rPr>
          <w:rFonts w:eastAsia="Aptos"/>
          <w:sz w:val="24"/>
          <w:szCs w:val="24"/>
          <w:vertAlign w:val="superscript"/>
        </w:rPr>
        <w:footnoteReference w:id="75"/>
      </w:r>
      <w:r w:rsidR="00B425CE" w:rsidRPr="00D845BD">
        <w:rPr>
          <w:rFonts w:eastAsia="Aptos"/>
          <w:sz w:val="24"/>
          <w:szCs w:val="24"/>
        </w:rPr>
        <w:t xml:space="preserve"> </w:t>
      </w:r>
    </w:p>
    <w:p w:rsidR="00A40F4E" w:rsidRPr="00D6014A" w:rsidRDefault="00A40F4E" w:rsidP="005833E8">
      <w:pPr>
        <w:spacing w:after="160" w:line="360" w:lineRule="auto"/>
        <w:ind w:right="567"/>
        <w:jc w:val="both"/>
        <w:rPr>
          <w:rFonts w:eastAsia="Aptos"/>
          <w:sz w:val="24"/>
          <w:szCs w:val="24"/>
        </w:rPr>
      </w:pPr>
    </w:p>
    <w:p w:rsidR="00D6014A" w:rsidRPr="003629BC" w:rsidRDefault="00053D38" w:rsidP="005833E8">
      <w:pPr>
        <w:pStyle w:val="Nadpis1"/>
        <w:spacing w:line="360" w:lineRule="auto"/>
      </w:pPr>
      <w:bookmarkStart w:id="23" w:name="_Toc190464507"/>
      <w:bookmarkStart w:id="24" w:name="_Toc190466546"/>
      <w:bookmarkStart w:id="25" w:name="_Toc190468794"/>
      <w:bookmarkStart w:id="26" w:name="_Toc190476379"/>
      <w:r w:rsidRPr="003629BC">
        <w:lastRenderedPageBreak/>
        <w:t>2</w:t>
      </w:r>
      <w:r w:rsidR="00B425CE" w:rsidRPr="003629BC">
        <w:t>. Vztah adhezního řízení k civilnímu procesu</w:t>
      </w:r>
      <w:bookmarkEnd w:id="23"/>
      <w:bookmarkEnd w:id="24"/>
      <w:bookmarkEnd w:id="25"/>
      <w:bookmarkEnd w:id="26"/>
      <w:r w:rsidR="00B425CE" w:rsidRPr="003629BC">
        <w:t xml:space="preserve"> </w:t>
      </w:r>
    </w:p>
    <w:p w:rsidR="001614C7" w:rsidRDefault="00B425CE" w:rsidP="005833E8">
      <w:pPr>
        <w:spacing w:after="160" w:line="360" w:lineRule="auto"/>
        <w:ind w:right="567" w:firstLine="720"/>
        <w:jc w:val="both"/>
        <w:rPr>
          <w:rFonts w:eastAsia="Aptos"/>
          <w:sz w:val="32"/>
          <w:szCs w:val="32"/>
        </w:rPr>
      </w:pPr>
      <w:r w:rsidRPr="00D845BD">
        <w:rPr>
          <w:rFonts w:eastAsia="Aptos"/>
          <w:sz w:val="24"/>
          <w:szCs w:val="24"/>
        </w:rPr>
        <w:t>I přes výše uvedené je však třeba zdůraznit, že je orgánem veřejné moci v adhezním řízení rozhodována věc soukromoprávní povahy – nárok vyplývající z norem soukromého práva, mající povahu civilního sporu a ten musí být uplatnitelný v civilním řízení.</w:t>
      </w:r>
      <w:r w:rsidRPr="00D845BD">
        <w:rPr>
          <w:rFonts w:eastAsia="Aptos"/>
          <w:sz w:val="24"/>
          <w:szCs w:val="24"/>
          <w:vertAlign w:val="superscript"/>
        </w:rPr>
        <w:footnoteReference w:id="76"/>
      </w:r>
      <w:r w:rsidRPr="00D845BD">
        <w:rPr>
          <w:rFonts w:eastAsia="Aptos"/>
          <w:sz w:val="24"/>
          <w:szCs w:val="24"/>
        </w:rPr>
        <w:t xml:space="preserve"> Typicky tedy bude orgán veřejné moci, ať už soud v řízení trestním, či správní orgán v řízení přestupkovém, rozhodovat o hmotněprávních předpokladech nároku dle norem soukromoprávních, zejména podle občanského zákoníku (dále jen OZ), ale v úvahu připadají i jiné předpisy (např. zákoník práce).</w:t>
      </w:r>
      <w:r w:rsidRPr="00D845BD">
        <w:rPr>
          <w:rFonts w:eastAsia="Aptos"/>
          <w:sz w:val="24"/>
          <w:szCs w:val="24"/>
          <w:vertAlign w:val="superscript"/>
        </w:rPr>
        <w:footnoteReference w:id="77"/>
      </w:r>
      <w:r w:rsidRPr="00D845BD">
        <w:rPr>
          <w:rFonts w:eastAsia="Aptos"/>
          <w:sz w:val="24"/>
          <w:szCs w:val="24"/>
        </w:rPr>
        <w:t xml:space="preserve"> Bude-li se tedy v adhezním řízení rozhodovat o nároku na náhradu škody ve smyslu OZ, bude správní orgán při posuzování splnění předpokladů pro jeho vznik vycházet z jeho ustanovení.</w:t>
      </w:r>
      <w:r w:rsidRPr="00D845BD">
        <w:rPr>
          <w:rFonts w:eastAsia="Aptos"/>
          <w:sz w:val="24"/>
          <w:szCs w:val="24"/>
          <w:vertAlign w:val="superscript"/>
        </w:rPr>
        <w:footnoteReference w:id="78"/>
      </w:r>
    </w:p>
    <w:p w:rsidR="004977E3" w:rsidRPr="00AF3492" w:rsidRDefault="00B425CE" w:rsidP="005833E8">
      <w:pPr>
        <w:spacing w:after="160" w:line="360" w:lineRule="auto"/>
        <w:ind w:right="567" w:firstLine="720"/>
        <w:jc w:val="both"/>
        <w:rPr>
          <w:rFonts w:eastAsia="Aptos"/>
          <w:sz w:val="24"/>
          <w:szCs w:val="24"/>
        </w:rPr>
      </w:pPr>
      <w:r w:rsidRPr="00AF3492">
        <w:rPr>
          <w:rFonts w:eastAsia="Aptos"/>
          <w:sz w:val="24"/>
          <w:szCs w:val="24"/>
        </w:rPr>
        <w:t>Dojde-li přestupkem nebo trestným činem ke způsobení újmy osobě poškozeného, mělo by velmi pravděpodobně adhezní řízení a potenciální civil</w:t>
      </w:r>
      <w:r w:rsidR="00AF3492" w:rsidRPr="00AF3492">
        <w:rPr>
          <w:rFonts w:eastAsia="Aptos"/>
          <w:sz w:val="24"/>
          <w:szCs w:val="24"/>
        </w:rPr>
        <w:t>ní sporné řízení stejný předmět i</w:t>
      </w:r>
      <w:r w:rsidRPr="00AF3492">
        <w:rPr>
          <w:rFonts w:eastAsia="Aptos"/>
          <w:sz w:val="24"/>
          <w:szCs w:val="24"/>
        </w:rPr>
        <w:t xml:space="preserve"> </w:t>
      </w:r>
      <w:r w:rsidR="00AF3492">
        <w:rPr>
          <w:rFonts w:eastAsia="Aptos"/>
          <w:sz w:val="24"/>
          <w:szCs w:val="24"/>
        </w:rPr>
        <w:t xml:space="preserve">stejné </w:t>
      </w:r>
      <w:r w:rsidRPr="00AF3492">
        <w:rPr>
          <w:rFonts w:eastAsia="Aptos"/>
          <w:sz w:val="24"/>
          <w:szCs w:val="24"/>
        </w:rPr>
        <w:t>účastníky. Přirozeně vyvstává otázka překážek řízení, neboť takový nárok by pak byl uplatnitelný jak cestou adhezního řízení (ať již v přestupkovém či trestním řízení v závislosti na hmotněprávním posouzení deliktu), tak i cestou řízení civilního.</w:t>
      </w:r>
      <w:r w:rsidRPr="00AF3492">
        <w:rPr>
          <w:rFonts w:eastAsia="Aptos"/>
          <w:sz w:val="24"/>
          <w:szCs w:val="24"/>
          <w:vertAlign w:val="superscript"/>
        </w:rPr>
        <w:footnoteReference w:id="79"/>
      </w:r>
      <w:r w:rsidRPr="00AF3492">
        <w:rPr>
          <w:rFonts w:eastAsia="Aptos"/>
          <w:sz w:val="24"/>
          <w:szCs w:val="24"/>
        </w:rPr>
        <w:t xml:space="preserve"> Je tedy třeba vyjasnit jejich vzájemný jejich vztah v různých situacích, kdy by do</w:t>
      </w:r>
      <w:r w:rsidR="004977E3" w:rsidRPr="00AF3492">
        <w:rPr>
          <w:rFonts w:eastAsia="Aptos"/>
          <w:sz w:val="24"/>
          <w:szCs w:val="24"/>
        </w:rPr>
        <w:t xml:space="preserve">šlo k možné kolizi obou řízení. </w:t>
      </w:r>
      <w:r w:rsidRPr="00D845BD">
        <w:rPr>
          <w:sz w:val="24"/>
          <w:szCs w:val="24"/>
        </w:rPr>
        <w:t>Pokud jde o civilněprocesní překážky vedení řízení,</w:t>
      </w:r>
      <w:r w:rsidRPr="00D845BD">
        <w:rPr>
          <w:i/>
          <w:sz w:val="24"/>
          <w:szCs w:val="24"/>
        </w:rPr>
        <w:t xml:space="preserve"> </w:t>
      </w:r>
      <w:r w:rsidRPr="00D845BD">
        <w:rPr>
          <w:sz w:val="24"/>
          <w:szCs w:val="24"/>
        </w:rPr>
        <w:t>teorie civilního procesu hovoří o překážkách věci zahájené (</w:t>
      </w:r>
      <w:r w:rsidRPr="001614C7">
        <w:rPr>
          <w:i/>
          <w:sz w:val="24"/>
          <w:szCs w:val="24"/>
        </w:rPr>
        <w:t>lis pendens</w:t>
      </w:r>
      <w:r w:rsidRPr="00D845BD">
        <w:rPr>
          <w:sz w:val="24"/>
          <w:szCs w:val="24"/>
        </w:rPr>
        <w:t>) a rozhodnuté</w:t>
      </w:r>
      <w:r w:rsidR="001614C7">
        <w:rPr>
          <w:sz w:val="24"/>
          <w:szCs w:val="24"/>
        </w:rPr>
        <w:t xml:space="preserve"> </w:t>
      </w:r>
      <w:r w:rsidR="00053D38">
        <w:rPr>
          <w:sz w:val="24"/>
          <w:szCs w:val="24"/>
        </w:rPr>
        <w:t>.</w:t>
      </w:r>
      <w:r w:rsidRPr="00D845BD">
        <w:rPr>
          <w:sz w:val="24"/>
          <w:szCs w:val="24"/>
        </w:rPr>
        <w:t>V obou případech se jedná o tzv. negativní procesní podmínky, přičemž za těchto podmínek nelze v řízení pokračovat a řízení zahájené později, resp. nově zahájené u věci rozsouzené, musí být zastaveno.</w:t>
      </w:r>
      <w:r w:rsidRPr="00D845BD">
        <w:rPr>
          <w:rFonts w:eastAsia="Aptos"/>
          <w:sz w:val="24"/>
          <w:szCs w:val="24"/>
          <w:vertAlign w:val="superscript"/>
        </w:rPr>
        <w:footnoteReference w:id="80"/>
      </w:r>
      <w:r w:rsidRPr="00D845BD">
        <w:rPr>
          <w:rFonts w:eastAsia="Aptos"/>
          <w:sz w:val="24"/>
          <w:szCs w:val="24"/>
        </w:rPr>
        <w:t xml:space="preserve">  </w:t>
      </w:r>
      <w:r w:rsidRPr="00AF3492">
        <w:rPr>
          <w:rFonts w:eastAsia="Aptos"/>
          <w:sz w:val="24"/>
          <w:szCs w:val="24"/>
        </w:rPr>
        <w:t>Překážky na tomto principu lze identifikovat i v normách dotčených veřejnoprávních předpisů, tedy v právní úpravě adhezního řízení v přestupkovém řízení</w:t>
      </w:r>
      <w:r w:rsidRPr="00AF3492">
        <w:rPr>
          <w:rFonts w:eastAsia="Aptos"/>
          <w:sz w:val="24"/>
          <w:szCs w:val="24"/>
          <w:vertAlign w:val="superscript"/>
        </w:rPr>
        <w:footnoteReference w:id="81"/>
      </w:r>
      <w:r w:rsidRPr="00AF3492">
        <w:rPr>
          <w:rFonts w:eastAsia="Aptos"/>
          <w:sz w:val="24"/>
          <w:szCs w:val="24"/>
        </w:rPr>
        <w:t xml:space="preserve"> i v řízení trestním</w:t>
      </w:r>
      <w:r w:rsidR="00AF3492">
        <w:rPr>
          <w:rFonts w:eastAsia="Aptos"/>
          <w:sz w:val="24"/>
          <w:szCs w:val="24"/>
        </w:rPr>
        <w:t>.</w:t>
      </w:r>
      <w:r w:rsidRPr="00AF3492">
        <w:rPr>
          <w:rFonts w:eastAsia="Aptos"/>
          <w:sz w:val="24"/>
          <w:szCs w:val="24"/>
          <w:vertAlign w:val="superscript"/>
        </w:rPr>
        <w:footnoteReference w:id="82"/>
      </w:r>
      <w:r w:rsidRPr="00AF3492">
        <w:rPr>
          <w:rFonts w:eastAsia="Aptos"/>
          <w:sz w:val="24"/>
          <w:szCs w:val="24"/>
        </w:rPr>
        <w:t xml:space="preserve"> Jak je ale patrno z následujících řádků, existují v platné právní úpravě nimi jisté rozdíly. </w:t>
      </w:r>
    </w:p>
    <w:p w:rsidR="00AF3492" w:rsidRPr="003629BC" w:rsidRDefault="00B425CE" w:rsidP="005833E8">
      <w:pPr>
        <w:pStyle w:val="Nadpis2"/>
        <w:spacing w:line="360" w:lineRule="auto"/>
      </w:pPr>
      <w:r w:rsidRPr="00D845BD">
        <w:rPr>
          <w:color w:val="FF0000"/>
          <w:sz w:val="24"/>
          <w:szCs w:val="24"/>
        </w:rPr>
        <w:lastRenderedPageBreak/>
        <w:br/>
      </w:r>
      <w:bookmarkStart w:id="27" w:name="_Toc190464508"/>
      <w:bookmarkStart w:id="28" w:name="_Toc190466547"/>
      <w:bookmarkStart w:id="29" w:name="_Toc190468795"/>
      <w:bookmarkStart w:id="30" w:name="_Toc190476380"/>
      <w:r w:rsidR="00053D38" w:rsidRPr="003629BC">
        <w:t>2</w:t>
      </w:r>
      <w:r w:rsidRPr="003629BC">
        <w:t xml:space="preserve">. 1. </w:t>
      </w:r>
      <w:r w:rsidR="004977E3" w:rsidRPr="003629BC">
        <w:t>Překážka věci rozhodnuté</w:t>
      </w:r>
      <w:bookmarkEnd w:id="27"/>
      <w:bookmarkEnd w:id="28"/>
      <w:bookmarkEnd w:id="29"/>
      <w:bookmarkEnd w:id="30"/>
    </w:p>
    <w:p w:rsidR="00A44CD0" w:rsidRPr="00A44CD0" w:rsidRDefault="00B425CE" w:rsidP="005833E8">
      <w:pPr>
        <w:spacing w:after="160" w:line="360" w:lineRule="auto"/>
        <w:ind w:right="567" w:firstLine="720"/>
        <w:jc w:val="both"/>
        <w:rPr>
          <w:rFonts w:eastAsia="Aptos"/>
          <w:sz w:val="24"/>
          <w:szCs w:val="24"/>
        </w:rPr>
      </w:pPr>
      <w:r w:rsidRPr="00D845BD">
        <w:rPr>
          <w:rFonts w:eastAsia="Aptos"/>
          <w:sz w:val="24"/>
          <w:szCs w:val="24"/>
        </w:rPr>
        <w:t xml:space="preserve">Současný PřesZ ve svém ustanovení § 70 odst. 3. věta první stanoví: </w:t>
      </w:r>
      <w:r w:rsidRPr="00D845BD">
        <w:rPr>
          <w:rFonts w:eastAsia="Aptos"/>
          <w:i/>
          <w:sz w:val="24"/>
          <w:szCs w:val="24"/>
        </w:rPr>
        <w:t>“</w:t>
      </w:r>
      <w:r w:rsidRPr="00D845BD">
        <w:rPr>
          <w:i/>
          <w:sz w:val="24"/>
          <w:szCs w:val="24"/>
        </w:rPr>
        <w:t xml:space="preserve">Pokud osoba uplatní nárok na náhradu škody způsobené spácháním přestupku nebo nárok na vydání bezdůvodného obohacení, kterým se obviněný spácháním přestupku obohatil na její úkor, a o takovém nároku již bylo rozhodnuto v občanskoprávním nebo jiném řízení nebo pokud takové řízení probíhá, správní orgán ji vyrozumí o nemožnosti rozhodovat o náhradě této škody nebo o vydání takového bezdůvodného obohacení.” </w:t>
      </w:r>
      <w:r w:rsidRPr="00D845BD">
        <w:rPr>
          <w:i/>
          <w:sz w:val="24"/>
          <w:szCs w:val="24"/>
          <w:vertAlign w:val="superscript"/>
        </w:rPr>
        <w:footnoteReference w:id="83"/>
      </w:r>
      <w:r w:rsidRPr="00D845BD">
        <w:rPr>
          <w:i/>
          <w:sz w:val="24"/>
          <w:szCs w:val="24"/>
        </w:rPr>
        <w:t xml:space="preserve"> </w:t>
      </w:r>
      <w:r w:rsidRPr="00D845BD">
        <w:rPr>
          <w:i/>
          <w:sz w:val="20"/>
          <w:szCs w:val="20"/>
        </w:rPr>
        <w:t xml:space="preserve"> </w:t>
      </w:r>
      <w:r w:rsidRPr="00A40F4E">
        <w:rPr>
          <w:sz w:val="24"/>
          <w:szCs w:val="24"/>
        </w:rPr>
        <w:t>Jsou zde tedy nastíněny dvě varianty. Za prvé, kdy o nároku poškozeného již bylo rozhodnuto v dřívějším řízení a za druhé, když řízení o tomto nároku probíhá v civilním či jiném řízení.</w:t>
      </w:r>
      <w:r w:rsidR="00AF3492">
        <w:rPr>
          <w:rFonts w:eastAsia="Aptos"/>
          <w:color w:val="FF0000"/>
          <w:sz w:val="28"/>
          <w:szCs w:val="28"/>
        </w:rPr>
        <w:t xml:space="preserve"> </w:t>
      </w:r>
      <w:r w:rsidRPr="00D845BD">
        <w:rPr>
          <w:sz w:val="24"/>
          <w:szCs w:val="24"/>
        </w:rPr>
        <w:t>V prvním případě se jedná o překážku věci rozsouzené.</w:t>
      </w:r>
      <w:r w:rsidRPr="00D845BD">
        <w:rPr>
          <w:sz w:val="20"/>
          <w:szCs w:val="20"/>
        </w:rPr>
        <w:t xml:space="preserve"> </w:t>
      </w:r>
      <w:r w:rsidRPr="00D845BD">
        <w:rPr>
          <w:sz w:val="24"/>
          <w:szCs w:val="24"/>
        </w:rPr>
        <w:t>Obecně tkví její podstata</w:t>
      </w:r>
      <w:r w:rsidRPr="00D845BD">
        <w:rPr>
          <w:sz w:val="20"/>
          <w:szCs w:val="20"/>
        </w:rPr>
        <w:t xml:space="preserve">, </w:t>
      </w:r>
      <w:r w:rsidRPr="00D845BD">
        <w:rPr>
          <w:rFonts w:eastAsia="Aptos"/>
          <w:sz w:val="24"/>
          <w:szCs w:val="24"/>
        </w:rPr>
        <w:t xml:space="preserve">jak konstatoval </w:t>
      </w:r>
      <w:r w:rsidR="002D17EF">
        <w:rPr>
          <w:rFonts w:eastAsia="Aptos"/>
          <w:sz w:val="24"/>
          <w:szCs w:val="24"/>
        </w:rPr>
        <w:t>NS</w:t>
      </w:r>
      <w:r w:rsidRPr="00D845BD">
        <w:rPr>
          <w:rFonts w:eastAsia="Aptos"/>
          <w:sz w:val="24"/>
          <w:szCs w:val="24"/>
        </w:rPr>
        <w:t xml:space="preserve">, v tom, že </w:t>
      </w:r>
      <w:r w:rsidRPr="00D845BD">
        <w:rPr>
          <w:rFonts w:eastAsia="Aptos"/>
          <w:i/>
          <w:sz w:val="24"/>
          <w:szCs w:val="24"/>
        </w:rPr>
        <w:t>“o stejnou věc jde tehdy, jde-li v pozdějším řízení o tentýž nárok nebo stav, o němž bylo již zahájeno jiné řízení (o němž již bylo v jiném řízení pravomocně rozhodnuto), a týká-li se stejného předmětu řízení a týchž osob. Tentýž předmět řízení je dán tehdy, jestliže tentýž nárok nebo stav vymezený žalobním petitem vyplývá ze stejných skutkových tvrzení, jimiž byl uplatněn.</w:t>
      </w:r>
      <w:r w:rsidRPr="00D845BD">
        <w:rPr>
          <w:rFonts w:eastAsia="Aptos"/>
          <w:i/>
          <w:sz w:val="24"/>
          <w:szCs w:val="24"/>
          <w:vertAlign w:val="superscript"/>
        </w:rPr>
        <w:footnoteReference w:id="84"/>
      </w:r>
      <w:r w:rsidRPr="00D845BD">
        <w:rPr>
          <w:rFonts w:eastAsia="Aptos"/>
          <w:i/>
          <w:sz w:val="24"/>
          <w:szCs w:val="24"/>
        </w:rPr>
        <w:t xml:space="preserve"> </w:t>
      </w:r>
      <w:r w:rsidRPr="00D845BD">
        <w:rPr>
          <w:rFonts w:eastAsia="Aptos"/>
          <w:sz w:val="24"/>
          <w:szCs w:val="24"/>
        </w:rPr>
        <w:t>Těmito civilněprávní rozhodnutími mohou být rozsudek a platební rozkaz, elektronický platební rozkaz, směnečný platební rozkaz a usnesení o schválení smíru s účinky pravomocného rozsudku, mají-li tyt</w:t>
      </w:r>
      <w:r w:rsidR="004977E3">
        <w:rPr>
          <w:rFonts w:eastAsia="Aptos"/>
          <w:sz w:val="24"/>
          <w:szCs w:val="24"/>
        </w:rPr>
        <w:t>o účinky</w:t>
      </w:r>
      <w:r w:rsidR="00A44CD0">
        <w:rPr>
          <w:rFonts w:eastAsia="Aptos"/>
          <w:sz w:val="24"/>
          <w:szCs w:val="24"/>
        </w:rPr>
        <w:t xml:space="preserve"> p</w:t>
      </w:r>
      <w:r w:rsidR="004977E3">
        <w:rPr>
          <w:rFonts w:eastAsia="Aptos"/>
          <w:sz w:val="24"/>
          <w:szCs w:val="24"/>
        </w:rPr>
        <w:t>ravomocného rozsudku.</w:t>
      </w:r>
      <w:r w:rsidRPr="00D845BD">
        <w:rPr>
          <w:rFonts w:eastAsia="Aptos"/>
          <w:sz w:val="24"/>
          <w:szCs w:val="24"/>
          <w:vertAlign w:val="superscript"/>
        </w:rPr>
        <w:footnoteReference w:id="85"/>
      </w:r>
    </w:p>
    <w:p w:rsidR="004977E3" w:rsidRPr="00A44CD0" w:rsidRDefault="00B425CE" w:rsidP="005833E8">
      <w:pPr>
        <w:spacing w:after="160" w:line="360" w:lineRule="auto"/>
        <w:ind w:right="567" w:firstLine="720"/>
        <w:jc w:val="both"/>
        <w:rPr>
          <w:rFonts w:eastAsia="Aptos"/>
          <w:sz w:val="24"/>
          <w:szCs w:val="24"/>
        </w:rPr>
      </w:pPr>
      <w:r w:rsidRPr="00D845BD">
        <w:rPr>
          <w:rFonts w:eastAsia="Aptos"/>
          <w:sz w:val="24"/>
          <w:szCs w:val="24"/>
        </w:rPr>
        <w:t>Překážka věci rozsouzené nepředstavuje problém, který by vzbuzoval nejasnosti. Jak v adhezním řízení v řízení přestupkovém, tak v řízení trestním, zná právní úprava překážku věci rozhodnuté, jejíž účel je nevyprodukovat dvě pravomocná a vykonatelná rozhodnutí ohledně téhož předmětu řízení.</w:t>
      </w:r>
      <w:r w:rsidRPr="00D845BD">
        <w:rPr>
          <w:rFonts w:eastAsia="Aptos"/>
          <w:sz w:val="24"/>
          <w:szCs w:val="24"/>
          <w:vertAlign w:val="superscript"/>
        </w:rPr>
        <w:footnoteReference w:id="86"/>
      </w:r>
      <w:r w:rsidRPr="00D845BD">
        <w:rPr>
          <w:rFonts w:eastAsia="Aptos"/>
          <w:color w:val="FF0000"/>
          <w:sz w:val="24"/>
          <w:szCs w:val="24"/>
        </w:rPr>
        <w:t xml:space="preserve"> </w:t>
      </w:r>
      <w:r w:rsidRPr="00A44CD0">
        <w:rPr>
          <w:rFonts w:eastAsia="Aptos"/>
          <w:sz w:val="24"/>
          <w:szCs w:val="24"/>
        </w:rPr>
        <w:t>Nikoli takto jednoduchá situace nastává v případě</w:t>
      </w:r>
      <w:r w:rsidR="00A44CD0" w:rsidRPr="00A44CD0">
        <w:rPr>
          <w:rFonts w:eastAsia="Aptos"/>
          <w:sz w:val="24"/>
          <w:szCs w:val="24"/>
        </w:rPr>
        <w:t xml:space="preserve"> překážky</w:t>
      </w:r>
      <w:r w:rsidRPr="00A44CD0">
        <w:rPr>
          <w:rFonts w:eastAsia="Aptos"/>
          <w:sz w:val="24"/>
          <w:szCs w:val="24"/>
        </w:rPr>
        <w:t xml:space="preserve"> věci zahájené, pokud je první zahájeno řízení civilní a až následně řízení adhezní v řízení o deliktu, což je rozebráno dále. Jak se ukáže, má</w:t>
      </w:r>
      <w:r w:rsidR="00A44CD0" w:rsidRPr="00A44CD0">
        <w:rPr>
          <w:rFonts w:eastAsia="Aptos"/>
          <w:sz w:val="24"/>
          <w:szCs w:val="24"/>
        </w:rPr>
        <w:t>, nebo může mít,</w:t>
      </w:r>
      <w:r w:rsidRPr="00A44CD0">
        <w:rPr>
          <w:rFonts w:eastAsia="Aptos"/>
          <w:sz w:val="24"/>
          <w:szCs w:val="24"/>
        </w:rPr>
        <w:t xml:space="preserve"> závěr dopad na aktuální přestupkovou úpravu.</w:t>
      </w:r>
    </w:p>
    <w:p w:rsidR="004977E3" w:rsidRPr="003629BC" w:rsidRDefault="00B425CE" w:rsidP="005833E8">
      <w:pPr>
        <w:pStyle w:val="Nadpis2"/>
        <w:spacing w:line="360" w:lineRule="auto"/>
        <w:rPr>
          <w:sz w:val="24"/>
          <w:szCs w:val="24"/>
        </w:rPr>
      </w:pPr>
      <w:r w:rsidRPr="00D845BD">
        <w:rPr>
          <w:color w:val="FF0000"/>
          <w:sz w:val="24"/>
          <w:szCs w:val="24"/>
        </w:rPr>
        <w:lastRenderedPageBreak/>
        <w:br/>
      </w:r>
      <w:bookmarkStart w:id="31" w:name="_Toc190464509"/>
      <w:bookmarkStart w:id="32" w:name="_Toc190466548"/>
      <w:bookmarkStart w:id="33" w:name="_Toc190468796"/>
      <w:bookmarkStart w:id="34" w:name="_Toc190476381"/>
      <w:r w:rsidR="00614E8B" w:rsidRPr="003629BC">
        <w:t>2.2.</w:t>
      </w:r>
      <w:r w:rsidRPr="003629BC">
        <w:t xml:space="preserve"> Překážka věci za</w:t>
      </w:r>
      <w:r w:rsidR="004977E3" w:rsidRPr="003629BC">
        <w:t>hájené z pohledu trestního řádu</w:t>
      </w:r>
      <w:bookmarkEnd w:id="31"/>
      <w:bookmarkEnd w:id="32"/>
      <w:bookmarkEnd w:id="33"/>
      <w:bookmarkEnd w:id="34"/>
    </w:p>
    <w:p w:rsidR="004977E3" w:rsidRDefault="00B425CE" w:rsidP="005833E8">
      <w:pPr>
        <w:spacing w:after="160" w:line="360" w:lineRule="auto"/>
        <w:ind w:right="567"/>
        <w:jc w:val="both"/>
        <w:rPr>
          <w:rFonts w:eastAsia="Aptos"/>
          <w:b/>
          <w:color w:val="FF0000"/>
          <w:sz w:val="28"/>
          <w:szCs w:val="28"/>
        </w:rPr>
      </w:pPr>
      <w:r w:rsidRPr="00D845BD">
        <w:rPr>
          <w:sz w:val="24"/>
          <w:szCs w:val="24"/>
        </w:rPr>
        <w:t>Odlišně od PřesZ hovoří ustanovení § 44 odst. 3 TŘ, kde je uvedeno:</w:t>
      </w:r>
      <w:r w:rsidRPr="00D845BD">
        <w:rPr>
          <w:i/>
          <w:sz w:val="24"/>
          <w:szCs w:val="24"/>
        </w:rPr>
        <w:t xml:space="preserve"> “Návrh podle § 43 odst. 3 nelze podat, bylo-li o nároku již rozhodnuto v občanskoprávním nebo v jiném příslušném řízení.</w:t>
      </w:r>
      <w:r w:rsidRPr="00D845BD">
        <w:rPr>
          <w:i/>
          <w:sz w:val="24"/>
          <w:szCs w:val="24"/>
          <w:vertAlign w:val="superscript"/>
        </w:rPr>
        <w:footnoteReference w:id="87"/>
      </w:r>
      <w:r w:rsidRPr="00D845BD">
        <w:rPr>
          <w:i/>
          <w:sz w:val="24"/>
          <w:szCs w:val="24"/>
        </w:rPr>
        <w:t xml:space="preserve">” </w:t>
      </w:r>
      <w:r w:rsidRPr="008E73B4">
        <w:rPr>
          <w:i/>
          <w:color w:val="000000" w:themeColor="text1"/>
          <w:sz w:val="24"/>
          <w:szCs w:val="24"/>
        </w:rPr>
        <w:t xml:space="preserve">A contrario </w:t>
      </w:r>
      <w:r w:rsidRPr="008E73B4">
        <w:rPr>
          <w:color w:val="000000" w:themeColor="text1"/>
          <w:sz w:val="24"/>
          <w:szCs w:val="24"/>
        </w:rPr>
        <w:t>z toho vyplývá, že TŘ na rozdíl od PřesZ nezná překážku věci zahájené</w:t>
      </w:r>
      <w:r w:rsidRPr="008E73B4">
        <w:rPr>
          <w:i/>
          <w:color w:val="000000" w:themeColor="text1"/>
          <w:sz w:val="24"/>
          <w:szCs w:val="24"/>
        </w:rPr>
        <w:t xml:space="preserve">. </w:t>
      </w:r>
      <w:r w:rsidRPr="00D845BD">
        <w:rPr>
          <w:sz w:val="24"/>
          <w:szCs w:val="24"/>
        </w:rPr>
        <w:t xml:space="preserve">Ve vztahu k zahájenému civilnímu řízení lze nárok </w:t>
      </w:r>
      <w:r w:rsidRPr="00A40F4E">
        <w:rPr>
          <w:sz w:val="24"/>
          <w:szCs w:val="24"/>
        </w:rPr>
        <w:t>poškozeného v adhezním řízení uplatnit do té doby, než bude civilní rozhodnutí vyhlášeno.</w:t>
      </w:r>
      <w:r w:rsidRPr="00A40F4E">
        <w:rPr>
          <w:i/>
          <w:sz w:val="24"/>
          <w:szCs w:val="24"/>
        </w:rPr>
        <w:t xml:space="preserve"> </w:t>
      </w:r>
      <w:r w:rsidRPr="00A40F4E">
        <w:rPr>
          <w:i/>
          <w:sz w:val="24"/>
          <w:szCs w:val="24"/>
          <w:vertAlign w:val="superscript"/>
        </w:rPr>
        <w:footnoteReference w:id="88"/>
      </w:r>
      <w:r w:rsidRPr="00A40F4E">
        <w:rPr>
          <w:i/>
          <w:sz w:val="24"/>
          <w:szCs w:val="24"/>
        </w:rPr>
        <w:t xml:space="preserve"> </w:t>
      </w:r>
      <w:r w:rsidRPr="00A40F4E">
        <w:rPr>
          <w:rFonts w:eastAsia="Aptos"/>
          <w:sz w:val="24"/>
          <w:szCs w:val="24"/>
        </w:rPr>
        <w:t xml:space="preserve">Zajímavou otázkou může být, jak řešit konkurenci civilního a adhezního trestního řízení. </w:t>
      </w:r>
      <w:r w:rsidRPr="00D845BD">
        <w:rPr>
          <w:rFonts w:eastAsia="Aptos"/>
          <w:sz w:val="24"/>
          <w:szCs w:val="24"/>
        </w:rPr>
        <w:t>Winterová ve svém článku vyvozovala při konkurenci řízení přednost adhezního, a to z faktu, že i přes nepřiznání nároku v trestním řízení může ještě následovat řízení civilní, zatímco v opačném případě nikoli.</w:t>
      </w:r>
      <w:r w:rsidRPr="00D845BD">
        <w:rPr>
          <w:rFonts w:eastAsia="Aptos"/>
          <w:sz w:val="24"/>
          <w:szCs w:val="24"/>
          <w:vertAlign w:val="superscript"/>
        </w:rPr>
        <w:footnoteReference w:id="89"/>
      </w:r>
      <w:r w:rsidRPr="00D845BD">
        <w:rPr>
          <w:rFonts w:eastAsia="Aptos"/>
          <w:sz w:val="24"/>
          <w:szCs w:val="24"/>
        </w:rPr>
        <w:t xml:space="preserve"> Je otázkou, zda z tohoto šlo opravdu vyvozovat přednost při konkurenci, nicméně obecně to je dobrý argument pro nezakotvení překážky litispendence do TŘ.</w:t>
      </w:r>
      <w:r w:rsidRPr="00D845BD">
        <w:rPr>
          <w:rFonts w:eastAsia="Aptos"/>
          <w:color w:val="0000FF"/>
          <w:sz w:val="24"/>
          <w:szCs w:val="24"/>
        </w:rPr>
        <w:t xml:space="preserve"> </w:t>
      </w:r>
    </w:p>
    <w:p w:rsidR="004977E3" w:rsidRDefault="00B425CE" w:rsidP="005833E8">
      <w:pPr>
        <w:spacing w:after="160" w:line="360" w:lineRule="auto"/>
        <w:ind w:right="567" w:firstLine="720"/>
        <w:jc w:val="both"/>
        <w:rPr>
          <w:rFonts w:eastAsia="Aptos"/>
          <w:b/>
          <w:color w:val="FF0000"/>
          <w:sz w:val="28"/>
          <w:szCs w:val="28"/>
        </w:rPr>
      </w:pPr>
      <w:r w:rsidRPr="00D845BD">
        <w:rPr>
          <w:rFonts w:eastAsia="Aptos"/>
          <w:sz w:val="24"/>
          <w:szCs w:val="24"/>
        </w:rPr>
        <w:t>Opačného názoru je Beranová, která považuje aktuální úpravu této otázky za nepovedenou a argumentuje smyslem a účelem úpravy adhezního řízení a navrhuje změnu, která by v důsledku znamenala stejný výsledek, jaký nabízí úprava v PřesZ.</w:t>
      </w:r>
      <w:r w:rsidRPr="00D845BD">
        <w:rPr>
          <w:rFonts w:eastAsia="Aptos"/>
          <w:sz w:val="24"/>
          <w:szCs w:val="24"/>
          <w:vertAlign w:val="superscript"/>
        </w:rPr>
        <w:footnoteReference w:id="90"/>
      </w:r>
      <w:r w:rsidRPr="00D845BD">
        <w:rPr>
          <w:rFonts w:eastAsia="Aptos"/>
          <w:sz w:val="24"/>
          <w:szCs w:val="24"/>
        </w:rPr>
        <w:t xml:space="preserve"> Konkrétně uvádí, že “</w:t>
      </w:r>
      <w:r w:rsidRPr="00D845BD">
        <w:rPr>
          <w:rFonts w:eastAsia="Aptos"/>
          <w:i/>
          <w:sz w:val="24"/>
          <w:szCs w:val="24"/>
        </w:rPr>
        <w:t>institut adhezního řízení byl vytvořen pro to, aby se nárokem poškozeného nemuselo zabývat více soudů</w:t>
      </w:r>
      <w:r w:rsidRPr="00614E8B">
        <w:rPr>
          <w:rFonts w:eastAsia="Aptos"/>
          <w:i/>
          <w:sz w:val="24"/>
          <w:szCs w:val="24"/>
        </w:rPr>
        <w:t>”.</w:t>
      </w:r>
      <w:r w:rsidRPr="00614E8B">
        <w:rPr>
          <w:rFonts w:eastAsia="Aptos"/>
          <w:i/>
          <w:sz w:val="24"/>
          <w:szCs w:val="24"/>
          <w:vertAlign w:val="superscript"/>
        </w:rPr>
        <w:footnoteReference w:id="91"/>
      </w:r>
      <w:r w:rsidRPr="00614E8B">
        <w:rPr>
          <w:rFonts w:eastAsia="Aptos"/>
          <w:i/>
          <w:sz w:val="24"/>
          <w:szCs w:val="24"/>
        </w:rPr>
        <w:t xml:space="preserve"> </w:t>
      </w:r>
      <w:r w:rsidRPr="00614E8B">
        <w:rPr>
          <w:rFonts w:eastAsia="Aptos"/>
          <w:sz w:val="24"/>
          <w:szCs w:val="24"/>
        </w:rPr>
        <w:t>Mám však za to, že toto smyslem a účelem adhezního řízení není, minimálně to nepovažuji za zcela přesné. Kdyby tomu tak bylo, existovala by po mém soudu možnost trestního soudu nárok poškozeného nejen přiznat, ale také zamítnout, nejsou-li splněny předpoklady jeho přiznání. I pokud by měl trestní soud prakticky jistě za to, že nejsou splněný nároky k jeho přiznání (a to i pokud je dle něj zcela jisté, že se skutek ani nestal), nelze nárok zamítnout a je třeba poškozeného odkázat na civilní soud, který jeho nárok projedná.</w:t>
      </w:r>
      <w:r w:rsidRPr="00614E8B">
        <w:rPr>
          <w:rFonts w:eastAsia="Aptos"/>
          <w:sz w:val="24"/>
          <w:szCs w:val="24"/>
          <w:vertAlign w:val="superscript"/>
        </w:rPr>
        <w:footnoteReference w:id="92"/>
      </w:r>
      <w:r w:rsidRPr="00614E8B">
        <w:rPr>
          <w:rFonts w:eastAsia="Aptos"/>
          <w:sz w:val="24"/>
          <w:szCs w:val="24"/>
        </w:rPr>
        <w:t xml:space="preserve"> Pravým smyslem je podle mě nikoli to, aby se nevedlo více řízení z hlediska soudů, ale spíše aby je nemusela absolvovat sama osoba poškozeného a dostalo se jí výhod popsaných v první podkapitole. </w:t>
      </w:r>
    </w:p>
    <w:p w:rsidR="004977E3" w:rsidRPr="003247A4" w:rsidRDefault="00B425CE" w:rsidP="005833E8">
      <w:pPr>
        <w:spacing w:after="160" w:line="360" w:lineRule="auto"/>
        <w:ind w:right="567" w:firstLine="720"/>
        <w:jc w:val="both"/>
        <w:rPr>
          <w:rFonts w:eastAsia="Aptos"/>
          <w:b/>
          <w:sz w:val="28"/>
          <w:szCs w:val="28"/>
        </w:rPr>
      </w:pPr>
      <w:r w:rsidRPr="003247A4">
        <w:rPr>
          <w:rFonts w:eastAsia="Aptos"/>
          <w:sz w:val="24"/>
          <w:szCs w:val="24"/>
        </w:rPr>
        <w:lastRenderedPageBreak/>
        <w:t xml:space="preserve">Domnívám se, že smyslem a účelem absence zakotvení překážky litispendence v TŘ je samotný smysl a účel adhezního řízení jako takový </w:t>
      </w:r>
      <w:r w:rsidR="003247A4" w:rsidRPr="003247A4">
        <w:rPr>
          <w:rFonts w:eastAsia="Aptos"/>
          <w:sz w:val="24"/>
          <w:szCs w:val="24"/>
        </w:rPr>
        <w:t>–</w:t>
      </w:r>
      <w:r w:rsidRPr="003247A4">
        <w:rPr>
          <w:rFonts w:eastAsia="Aptos"/>
          <w:sz w:val="24"/>
          <w:szCs w:val="24"/>
        </w:rPr>
        <w:t xml:space="preserve"> tedy dát poškozené osobě možnost rychlého a levného uspokojení svého nároku.</w:t>
      </w:r>
      <w:r w:rsidRPr="003247A4">
        <w:rPr>
          <w:rFonts w:eastAsia="Aptos"/>
          <w:sz w:val="24"/>
          <w:szCs w:val="24"/>
          <w:vertAlign w:val="superscript"/>
        </w:rPr>
        <w:footnoteReference w:id="93"/>
      </w:r>
      <w:r w:rsidRPr="003247A4">
        <w:rPr>
          <w:rFonts w:eastAsia="Aptos"/>
          <w:sz w:val="24"/>
          <w:szCs w:val="24"/>
        </w:rPr>
        <w:t xml:space="preserve"> I pokud by běželo civilní řízení u civilního soudu (typicky o náhradě škody) a mezitím bylo zahájeno řízení trestní, tak zakotvení překážky věci zahájené do TŘ, která by bránila možnosti vůbec projednat nárok poškozeného (a samozřejmě ho případně přiznat) probíhajícím trestním řízení, by zabránilo hlavním výhodám adhezního řízení z pohledu poškozeného (jak se však ukáže dále, i tento závěr může být sporný).  Aktuálně nastavenou právní úpravu této záležitosti v TŘ považuji za rozumnou. Lze tedy minimálně z tohoto úhlu pohledu pozitivně hodnotit absenci zakotvení překážky věci zahájené v právní úpravě trestního řízení. </w:t>
      </w:r>
    </w:p>
    <w:p w:rsidR="00B425CE" w:rsidRPr="003247A4" w:rsidRDefault="00B425CE" w:rsidP="005833E8">
      <w:pPr>
        <w:spacing w:after="160" w:line="360" w:lineRule="auto"/>
        <w:ind w:right="567" w:firstLine="720"/>
        <w:jc w:val="both"/>
        <w:rPr>
          <w:rFonts w:eastAsia="Aptos"/>
          <w:sz w:val="24"/>
          <w:szCs w:val="24"/>
        </w:rPr>
      </w:pPr>
      <w:r w:rsidRPr="003247A4">
        <w:rPr>
          <w:rFonts w:eastAsia="Aptos"/>
          <w:sz w:val="24"/>
          <w:szCs w:val="24"/>
        </w:rPr>
        <w:t>Rozdíl v právní úpravě překážek věci zahájené adhezního řízení v řízením přestupkovém a trestním však neshledávám příliš logický. Skutečně nevidím žádný racionální důvod, který by v adhezním řízení u přestupkového řízení smysluplně odůvodňoval existenci překážky věci zahájené, když v právní úpravě trestního řízení tato překážka z dobrých důvodů neexistuje. Mám-li vzít v potaz v předchozím odstavci uvedený příklad, nezdá se mi být racionální ani systémové, aby bylo možno projednat a případně přiznat poškozenému nárok v řízení trestním a v přestupkovém nikoli. Tím spíš, když se dá předpokládat, že věci řešené v přestupkovém řízení budou díky své menší společenské škodlivosti typicky spíše skutkově méně složité, než věci trestní (což</w:t>
      </w:r>
      <w:r w:rsidR="003247A4" w:rsidRPr="003247A4">
        <w:rPr>
          <w:rFonts w:eastAsia="Aptos"/>
          <w:sz w:val="24"/>
          <w:szCs w:val="24"/>
        </w:rPr>
        <w:t xml:space="preserve"> ale</w:t>
      </w:r>
      <w:r w:rsidRPr="003247A4">
        <w:rPr>
          <w:rFonts w:eastAsia="Aptos"/>
          <w:sz w:val="24"/>
          <w:szCs w:val="24"/>
        </w:rPr>
        <w:t xml:space="preserve"> jistě nemusí platit absolutně ve všech případech). Myslím si tedy, že přestupková řízení by i s adhezním řízením probíhala rychleji než řízení civilní, minimálně ve většině případů. Shrnuji tedy, že tento rozpor mezi přestupkovým řízením a trestním řízením by </w:t>
      </w:r>
      <w:r w:rsidRPr="003247A4">
        <w:rPr>
          <w:rFonts w:eastAsia="Aptos"/>
          <w:i/>
          <w:sz w:val="24"/>
          <w:szCs w:val="24"/>
        </w:rPr>
        <w:t>de lege ferenda</w:t>
      </w:r>
      <w:r w:rsidR="003247A4" w:rsidRPr="003247A4">
        <w:rPr>
          <w:rFonts w:eastAsia="Aptos"/>
          <w:sz w:val="24"/>
          <w:szCs w:val="24"/>
        </w:rPr>
        <w:t xml:space="preserve"> měl být odstraněn</w:t>
      </w:r>
      <w:r w:rsidRPr="003247A4">
        <w:rPr>
          <w:rFonts w:eastAsia="Aptos"/>
          <w:sz w:val="24"/>
          <w:szCs w:val="24"/>
        </w:rPr>
        <w:t xml:space="preserve"> a to ve prospěch řešení, které nabízí TŘ. Jinými slovy, překážku litispendence z ustanovení § 70 PřesZ vyjmout, což by mohlo mít za následek v některých případech rychlejší získání exekučního titulu k napravení porušeného stavu. </w:t>
      </w:r>
    </w:p>
    <w:p w:rsidR="009C3EB0" w:rsidRDefault="009C3EB0" w:rsidP="005833E8">
      <w:pPr>
        <w:spacing w:after="160" w:line="360" w:lineRule="auto"/>
        <w:ind w:right="567"/>
        <w:jc w:val="both"/>
        <w:rPr>
          <w:rFonts w:eastAsia="Aptos"/>
          <w:b/>
          <w:sz w:val="28"/>
          <w:szCs w:val="28"/>
        </w:rPr>
      </w:pPr>
    </w:p>
    <w:p w:rsidR="007A4145" w:rsidRDefault="007A4145" w:rsidP="005833E8">
      <w:pPr>
        <w:spacing w:after="160" w:line="360" w:lineRule="auto"/>
        <w:ind w:right="567"/>
        <w:jc w:val="both"/>
        <w:rPr>
          <w:rFonts w:eastAsia="Aptos"/>
          <w:b/>
          <w:sz w:val="28"/>
          <w:szCs w:val="28"/>
        </w:rPr>
      </w:pPr>
    </w:p>
    <w:p w:rsidR="007A4145" w:rsidRDefault="007A4145" w:rsidP="005833E8">
      <w:pPr>
        <w:spacing w:after="160" w:line="360" w:lineRule="auto"/>
        <w:ind w:right="567"/>
        <w:jc w:val="both"/>
        <w:rPr>
          <w:rFonts w:eastAsia="Aptos"/>
          <w:b/>
          <w:sz w:val="28"/>
          <w:szCs w:val="28"/>
        </w:rPr>
      </w:pPr>
    </w:p>
    <w:p w:rsidR="00D536D8" w:rsidRPr="003629BC" w:rsidRDefault="00614E8B" w:rsidP="005833E8">
      <w:pPr>
        <w:pStyle w:val="Nadpis2"/>
        <w:spacing w:line="360" w:lineRule="auto"/>
      </w:pPr>
      <w:bookmarkStart w:id="35" w:name="_Toc190464510"/>
      <w:bookmarkStart w:id="36" w:name="_Toc190466549"/>
      <w:bookmarkStart w:id="37" w:name="_Toc190468797"/>
      <w:bookmarkStart w:id="38" w:name="_Toc190476382"/>
      <w:r w:rsidRPr="003629BC">
        <w:lastRenderedPageBreak/>
        <w:t>2</w:t>
      </w:r>
      <w:r w:rsidR="00B425CE" w:rsidRPr="003629BC">
        <w:t>.3</w:t>
      </w:r>
      <w:r w:rsidRPr="003629BC">
        <w:t>.</w:t>
      </w:r>
      <w:r w:rsidR="00B425CE" w:rsidRPr="003629BC">
        <w:t xml:space="preserve"> Řešení podle občanského soudního řádu</w:t>
      </w:r>
      <w:bookmarkEnd w:id="35"/>
      <w:bookmarkEnd w:id="36"/>
      <w:bookmarkEnd w:id="37"/>
      <w:bookmarkEnd w:id="38"/>
      <w:r w:rsidRPr="003629BC">
        <w:t xml:space="preserve"> </w:t>
      </w:r>
    </w:p>
    <w:p w:rsidR="003247A4" w:rsidRDefault="00B425CE" w:rsidP="005833E8">
      <w:pPr>
        <w:spacing w:line="360" w:lineRule="auto"/>
        <w:ind w:right="567" w:firstLine="720"/>
        <w:jc w:val="both"/>
        <w:rPr>
          <w:i/>
          <w:sz w:val="24"/>
          <w:szCs w:val="24"/>
          <w:highlight w:val="white"/>
        </w:rPr>
      </w:pPr>
      <w:r w:rsidRPr="00D845BD">
        <w:rPr>
          <w:sz w:val="24"/>
          <w:szCs w:val="24"/>
        </w:rPr>
        <w:t>OSŘ obsahuje překážku věci zahájené z pohledu civilníh</w:t>
      </w:r>
      <w:r w:rsidR="003247A4">
        <w:rPr>
          <w:sz w:val="24"/>
          <w:szCs w:val="24"/>
        </w:rPr>
        <w:t>o řízení. Konkrétně stanoví, že</w:t>
      </w:r>
      <w:r w:rsidRPr="00D845BD">
        <w:rPr>
          <w:sz w:val="24"/>
          <w:szCs w:val="24"/>
        </w:rPr>
        <w:t xml:space="preserve"> “</w:t>
      </w:r>
      <w:r w:rsidRPr="00D845BD">
        <w:rPr>
          <w:i/>
          <w:sz w:val="24"/>
          <w:szCs w:val="24"/>
        </w:rPr>
        <w:t>Zahájení řízení brání tomu, aby o téže věci probíhalo u soudu jiné řízení.</w:t>
      </w:r>
      <w:r w:rsidRPr="00D845BD">
        <w:rPr>
          <w:sz w:val="24"/>
          <w:szCs w:val="24"/>
        </w:rPr>
        <w:t>”</w:t>
      </w:r>
      <w:r w:rsidRPr="00D845BD">
        <w:rPr>
          <w:sz w:val="24"/>
          <w:szCs w:val="24"/>
          <w:vertAlign w:val="superscript"/>
        </w:rPr>
        <w:footnoteReference w:id="94"/>
      </w:r>
      <w:r w:rsidRPr="00D845BD">
        <w:rPr>
          <w:sz w:val="24"/>
          <w:szCs w:val="24"/>
        </w:rPr>
        <w:t xml:space="preserve"> Za tuto překážku je mimojiné považováno i adhezní řízení v řízením trestním.</w:t>
      </w:r>
      <w:r w:rsidRPr="00D845BD">
        <w:rPr>
          <w:sz w:val="24"/>
          <w:szCs w:val="24"/>
          <w:vertAlign w:val="superscript"/>
        </w:rPr>
        <w:footnoteReference w:id="95"/>
      </w:r>
      <w:r w:rsidRPr="00D845BD">
        <w:rPr>
          <w:sz w:val="24"/>
          <w:szCs w:val="24"/>
        </w:rPr>
        <w:t xml:space="preserve"> </w:t>
      </w:r>
      <w:r w:rsidR="003247A4">
        <w:rPr>
          <w:sz w:val="24"/>
          <w:szCs w:val="24"/>
        </w:rPr>
        <w:t>NS</w:t>
      </w:r>
      <w:r w:rsidRPr="00D845BD">
        <w:rPr>
          <w:sz w:val="24"/>
          <w:szCs w:val="24"/>
        </w:rPr>
        <w:t xml:space="preserve"> k této problematice uvedl: “</w:t>
      </w:r>
      <w:r w:rsidRPr="00D845BD">
        <w:rPr>
          <w:i/>
          <w:sz w:val="24"/>
          <w:szCs w:val="24"/>
        </w:rPr>
        <w:t xml:space="preserve">Podle § 83 odst. 1 OSŘ brání zahájení řízení tomu, aby o téže věci probíhalo u soudu jiné řízení. Ve smyslu tohoto ustanovení jde o stejnou věc tehdy, jde-li v pozdějším řízení o tentýž nárok nebo stav, o němž již bylo v jiném řízení pravomocně rozhodnuto, a týká-li se stejného předmětu řízení a týchž osob. Tentýž předmět řízení je dán, jestliže tentýž nárok nebo stav vymezený žalobním petitem vyplývá ze stejných skutkových tvrzení, jimiž byl uplatněn (ze stejného skutku)., …. , Pro posouzení, zda je dána překážka litispendence, není významné, jak je skutek, který je předmětem dřívějšího řízení, posouzen po stránce právní. Překážka litispendence je tudíž dána i tehdy, domáhá-li se poškozený na základě téhož skutku nejdříve náhrady škody způsobené mu trestným činem v rámci trestního řízení a </w:t>
      </w:r>
      <w:r w:rsidRPr="00D845BD">
        <w:rPr>
          <w:b/>
          <w:i/>
          <w:sz w:val="24"/>
          <w:szCs w:val="24"/>
        </w:rPr>
        <w:t>následně podá</w:t>
      </w:r>
      <w:r w:rsidRPr="00D845BD">
        <w:rPr>
          <w:i/>
          <w:sz w:val="24"/>
          <w:szCs w:val="24"/>
        </w:rPr>
        <w:t xml:space="preserve"> na základě stejného skutku žalobu na plnění v civilním řízení. Co do totožnosti osob není samo o sobě významné, mají-li stejné osoby v různých řízeních rozdílné procesní postavení (např. vystupují-li v jednom řízení jako žalovaní a ve druhém jako žalobci). Týchž osob se řízení týká i v případě, jestliže v pozdějším řízení vystupují právní nástupci (z důvodu universální nebo singulární sukcese) osob, které jsou (byly) účastníky dříve zahájeného řízení.</w:t>
      </w:r>
      <w:r w:rsidRPr="00D845BD">
        <w:rPr>
          <w:sz w:val="24"/>
          <w:szCs w:val="24"/>
        </w:rPr>
        <w:t xml:space="preserve">” </w:t>
      </w:r>
      <w:r w:rsidRPr="00D845BD">
        <w:rPr>
          <w:rFonts w:eastAsia="Aptos"/>
          <w:sz w:val="24"/>
          <w:szCs w:val="24"/>
          <w:vertAlign w:val="superscript"/>
        </w:rPr>
        <w:footnoteReference w:id="96"/>
      </w:r>
      <w:r w:rsidRPr="00D845BD">
        <w:rPr>
          <w:rFonts w:eastAsia="Aptos"/>
          <w:sz w:val="24"/>
          <w:szCs w:val="24"/>
        </w:rPr>
        <w:t xml:space="preserve"> Předpokládá se zde tedy uplatnění nároku v adhezním řízení a až následné podání civilní žaloby.</w:t>
      </w:r>
      <w:r w:rsidR="003247A4">
        <w:rPr>
          <w:rFonts w:eastAsia="Aptos"/>
          <w:sz w:val="24"/>
          <w:szCs w:val="24"/>
        </w:rPr>
        <w:t xml:space="preserve"> </w:t>
      </w:r>
      <w:r w:rsidRPr="00D845BD">
        <w:rPr>
          <w:rFonts w:eastAsia="Aptos"/>
          <w:sz w:val="24"/>
          <w:szCs w:val="24"/>
        </w:rPr>
        <w:t>Vztah mezi civilním řízením a adhezním řízením v trestním řízení byl řešen i v minulosti.</w:t>
      </w:r>
      <w:r w:rsidRPr="00D845BD">
        <w:rPr>
          <w:i/>
          <w:sz w:val="24"/>
          <w:szCs w:val="24"/>
          <w:highlight w:val="white"/>
          <w:vertAlign w:val="superscript"/>
        </w:rPr>
        <w:footnoteReference w:id="97"/>
      </w:r>
      <w:r w:rsidRPr="00D845BD">
        <w:rPr>
          <w:i/>
          <w:sz w:val="24"/>
          <w:szCs w:val="24"/>
          <w:highlight w:val="white"/>
        </w:rPr>
        <w:t xml:space="preserve"> </w:t>
      </w:r>
      <w:r w:rsidRPr="00D845BD">
        <w:rPr>
          <w:sz w:val="24"/>
          <w:szCs w:val="24"/>
          <w:highlight w:val="white"/>
        </w:rPr>
        <w:t>Bylo uvedeno, že</w:t>
      </w:r>
      <w:r w:rsidRPr="00D845BD">
        <w:rPr>
          <w:i/>
          <w:sz w:val="24"/>
          <w:szCs w:val="24"/>
          <w:highlight w:val="white"/>
        </w:rPr>
        <w:t xml:space="preserve">: “Řádné uplatnění nároku na náhradu škody v trestním řízení (§ 43 odst. 2, 3 tr. ř.) 3) je z hlediska ustanovení § 82 o. s. ř. zahájením řízení a tvoří překážku zahájeného řízení, jestliže žaloba v občanském soudním řízení byla podána </w:t>
      </w:r>
      <w:r w:rsidRPr="00D845BD">
        <w:rPr>
          <w:b/>
          <w:i/>
          <w:sz w:val="24"/>
          <w:szCs w:val="24"/>
          <w:highlight w:val="white"/>
        </w:rPr>
        <w:t>až poté</w:t>
      </w:r>
      <w:r w:rsidRPr="00D845BD">
        <w:rPr>
          <w:i/>
          <w:sz w:val="24"/>
          <w:szCs w:val="24"/>
          <w:highlight w:val="white"/>
        </w:rPr>
        <w:t>, kdy již byl učiněn návrh na přisouzení náhrady škody v trestním řízení. Jestliže je tedy z návrhu na zahájení řízení patrno, že protiprávnost jednání žalovaného spočívala v trestné činnosti, musí soud se zřetelem na ustanovení § 83 o. s. ř. zkoumat, zda stejný nárok nebyl již dříve uplatněn v adhezním řízení.”</w:t>
      </w:r>
      <w:r w:rsidRPr="00D845BD">
        <w:rPr>
          <w:i/>
          <w:sz w:val="24"/>
          <w:szCs w:val="24"/>
          <w:highlight w:val="white"/>
          <w:vertAlign w:val="superscript"/>
        </w:rPr>
        <w:footnoteReference w:id="98"/>
      </w:r>
    </w:p>
    <w:p w:rsidR="002E4654" w:rsidRDefault="00B425CE" w:rsidP="005833E8">
      <w:pPr>
        <w:spacing w:line="360" w:lineRule="auto"/>
        <w:ind w:right="567" w:firstLine="720"/>
        <w:jc w:val="both"/>
        <w:rPr>
          <w:rFonts w:eastAsia="Aptos"/>
          <w:sz w:val="24"/>
          <w:szCs w:val="24"/>
        </w:rPr>
      </w:pPr>
      <w:r w:rsidRPr="00D845BD">
        <w:rPr>
          <w:sz w:val="24"/>
          <w:szCs w:val="24"/>
          <w:highlight w:val="white"/>
        </w:rPr>
        <w:lastRenderedPageBreak/>
        <w:t xml:space="preserve">Zajímavou otázkou může být, jak řešit situaci, kdy je civilní řízení zahájeno dřív než adhezní. Z praktického hlediska sice půjde nejspíš o výjimečné případy, protože velmi pravděpodobně bude spíše první zahájeno řízení o deliktu, než řízení civilní o náhradě újmy z deliktu vyšlé, nicméně teoreticky to vyloučit nelze. </w:t>
      </w:r>
      <w:r w:rsidRPr="003247A4">
        <w:rPr>
          <w:rFonts w:eastAsia="Aptos"/>
          <w:sz w:val="24"/>
          <w:szCs w:val="24"/>
        </w:rPr>
        <w:t>Kučera jazykovým výkladem dospívá k názoru, že lze přerušit civilní řízení, protože ustanovení § 83 OSŘ, upravující překážku věci zahájené, hovoří o tom, že “</w:t>
      </w:r>
      <w:r w:rsidRPr="003247A4">
        <w:rPr>
          <w:rFonts w:eastAsia="Aptos"/>
          <w:i/>
          <w:sz w:val="24"/>
          <w:szCs w:val="24"/>
        </w:rPr>
        <w:t>zahájení řízení brání tomu, aby o téže věci “probíhalo” u soudu jiné řízení</w:t>
      </w:r>
      <w:r w:rsidRPr="003247A4">
        <w:rPr>
          <w:rFonts w:eastAsia="Aptos"/>
          <w:sz w:val="24"/>
          <w:szCs w:val="24"/>
        </w:rPr>
        <w:t>”.</w:t>
      </w:r>
      <w:r w:rsidRPr="003247A4">
        <w:rPr>
          <w:rFonts w:eastAsia="Aptos"/>
          <w:sz w:val="24"/>
          <w:szCs w:val="24"/>
          <w:vertAlign w:val="superscript"/>
        </w:rPr>
        <w:footnoteReference w:id="99"/>
      </w:r>
      <w:r w:rsidRPr="003247A4">
        <w:rPr>
          <w:rFonts w:eastAsia="Aptos"/>
          <w:sz w:val="24"/>
          <w:szCs w:val="24"/>
        </w:rPr>
        <w:t xml:space="preserve"> Obecně doporučuje zvážit kritérium hospodárnosti při zjištění stavu fází obou typů řízení. Řešení podle něj závisí na konkrétním případu, tedy stavu, v jakém se obě řízení nacházejí a zmiňuje možnosti zastavení a přerušení toho civilního. Hovoří však o přerušení řízení z důvodu vhodnosti, totiž použití ustanovení § 109 odst. 2 písm. c) OSŘ, protože případné trestní řízení podle něho může mít vliv na běžící civilní řízení. </w:t>
      </w:r>
      <w:r w:rsidRPr="003247A4">
        <w:rPr>
          <w:rFonts w:eastAsia="Aptos"/>
          <w:sz w:val="24"/>
          <w:szCs w:val="24"/>
          <w:vertAlign w:val="superscript"/>
        </w:rPr>
        <w:footnoteReference w:id="100"/>
      </w:r>
      <w:r w:rsidRPr="003247A4">
        <w:rPr>
          <w:rFonts w:eastAsia="Aptos"/>
          <w:sz w:val="24"/>
          <w:szCs w:val="24"/>
        </w:rPr>
        <w:t xml:space="preserve"> </w:t>
      </w:r>
      <w:r w:rsidR="002E4654">
        <w:rPr>
          <w:rFonts w:eastAsia="Aptos"/>
          <w:sz w:val="24"/>
          <w:szCs w:val="24"/>
        </w:rPr>
        <w:t xml:space="preserve"> </w:t>
      </w:r>
    </w:p>
    <w:p w:rsidR="002E4654" w:rsidRPr="002E4654" w:rsidRDefault="00B425CE" w:rsidP="005833E8">
      <w:pPr>
        <w:spacing w:line="360" w:lineRule="auto"/>
        <w:ind w:right="567" w:firstLine="720"/>
        <w:jc w:val="both"/>
        <w:rPr>
          <w:rFonts w:eastAsia="Aptos"/>
          <w:b/>
          <w:sz w:val="24"/>
          <w:szCs w:val="24"/>
        </w:rPr>
      </w:pPr>
      <w:r w:rsidRPr="002E4654">
        <w:rPr>
          <w:rFonts w:eastAsia="Aptos"/>
          <w:sz w:val="24"/>
          <w:szCs w:val="24"/>
        </w:rPr>
        <w:t>Již dříve se objevovaly různé náhledy na problematiku na souběh adhezního řízení a civilního řízení v případě varianty, že civilní bylo zahájeno dříve. Šperling prezentoval jeden z nich, v zásadě podobný tomu Kučery, a sice považoval za správnou variantu přerušení civilního řízení podle ustanovení § 109 odst. 2 písm. c) OSŘ. Podle tohoto pohledu se měla totiž v probíhajícím trestním řízení řešit otázka významná pro civilní řízení. Nemělo se jednat o překážku litispendence, neboť ta dle tohoto názoru spočívá v zahájení dalšího civilního řízení, pokud už jedno řízení běží. Přerušení mělo (dle něj fakticky obligatorně) nastat z toho důvodu, že výsledek trestního řízení bude mít význam pro civilní a soud tak vyčká na vyřešení prejudiciální otázky.</w:t>
      </w:r>
      <w:r w:rsidRPr="002E4654">
        <w:rPr>
          <w:rFonts w:eastAsia="Aptos"/>
          <w:sz w:val="24"/>
          <w:szCs w:val="24"/>
          <w:vertAlign w:val="superscript"/>
        </w:rPr>
        <w:footnoteReference w:id="101"/>
      </w:r>
      <w:r w:rsidR="002E4654" w:rsidRPr="002E4654">
        <w:rPr>
          <w:rFonts w:eastAsia="Aptos"/>
          <w:sz w:val="24"/>
          <w:szCs w:val="24"/>
        </w:rPr>
        <w:t xml:space="preserve"> </w:t>
      </w:r>
      <w:r w:rsidRPr="002E4654">
        <w:rPr>
          <w:rFonts w:eastAsia="Aptos"/>
          <w:sz w:val="24"/>
          <w:szCs w:val="24"/>
        </w:rPr>
        <w:t>Jiný pohled zastávala Winterová, zejména protože se v adhezním řízení nejedná o otázku prejudiciální, ale pouze o stejném předmětu. V souladu se zákonnou úpravou civilního řízení dovozovala, že správným řešením je skutečně zastavení civilního řízení ve smyslu ustanovení § 83 OSŘ, protože tu není požadavek na zastavení později zahájeného řízení, ale jen na zastavení jednoho z dvou běžících. Odmítala úvahy o přerušení řízení z důvodu vhodnosti, neboť v adhezním řízení podle ní není řešena otázka, která by v civilním řízení měla být považována za prejudiciální (a to se týká zda a kým byl spáchán trestný čin).</w:t>
      </w:r>
      <w:r w:rsidRPr="002E4654">
        <w:rPr>
          <w:rFonts w:eastAsia="Aptos"/>
          <w:sz w:val="24"/>
          <w:szCs w:val="24"/>
          <w:vertAlign w:val="superscript"/>
        </w:rPr>
        <w:footnoteReference w:id="102"/>
      </w:r>
      <w:r w:rsidRPr="002E4654">
        <w:rPr>
          <w:rFonts w:eastAsia="Aptos"/>
          <w:sz w:val="24"/>
          <w:szCs w:val="24"/>
        </w:rPr>
        <w:t xml:space="preserve"> </w:t>
      </w:r>
    </w:p>
    <w:p w:rsidR="002E4654" w:rsidRPr="002E4654" w:rsidRDefault="00B425CE" w:rsidP="005833E8">
      <w:pPr>
        <w:spacing w:line="360" w:lineRule="auto"/>
        <w:ind w:right="567" w:firstLine="720"/>
        <w:jc w:val="both"/>
        <w:rPr>
          <w:rFonts w:eastAsia="Aptos"/>
          <w:sz w:val="24"/>
          <w:szCs w:val="24"/>
        </w:rPr>
      </w:pPr>
      <w:r w:rsidRPr="002E4654">
        <w:rPr>
          <w:rFonts w:eastAsia="Aptos"/>
          <w:sz w:val="24"/>
          <w:szCs w:val="24"/>
        </w:rPr>
        <w:lastRenderedPageBreak/>
        <w:t>Právě otázka, zda a kým byl spáchán trestný čin však podle současné civilněprocesní odborné literatury prejudiciální otázkou, kterou soud v civilním řízení není oprávněn řešit sám, je. Do vyřešení této otázky je tak civilní soud povinen řízení přerušit</w:t>
      </w:r>
      <w:r w:rsidR="002E4654" w:rsidRPr="002E4654">
        <w:rPr>
          <w:rFonts w:eastAsia="Aptos"/>
          <w:sz w:val="24"/>
          <w:szCs w:val="24"/>
        </w:rPr>
        <w:t>,</w:t>
      </w:r>
      <w:r w:rsidRPr="002E4654">
        <w:rPr>
          <w:rFonts w:eastAsia="Aptos"/>
          <w:sz w:val="24"/>
          <w:szCs w:val="24"/>
        </w:rPr>
        <w:t xml:space="preserve"> a to na základě § 109 odst. 1 písm. b) OSŘ. Jirsa k tomuto ustanovení uvádí, že “je-li </w:t>
      </w:r>
      <w:r w:rsidRPr="002E4654">
        <w:rPr>
          <w:rFonts w:eastAsia="Aptos"/>
          <w:i/>
          <w:sz w:val="24"/>
          <w:szCs w:val="24"/>
        </w:rPr>
        <w:t>v jiném řízení (trestním či správním) řešena otázka, zda se účastník dopustil trestného činu, přestupku či jiného správního deliktu, soud řízení přeruší.”</w:t>
      </w:r>
      <w:r w:rsidRPr="002E4654">
        <w:rPr>
          <w:rFonts w:eastAsia="Aptos"/>
          <w:i/>
          <w:sz w:val="24"/>
          <w:szCs w:val="24"/>
          <w:vertAlign w:val="superscript"/>
        </w:rPr>
        <w:footnoteReference w:id="103"/>
      </w:r>
      <w:r w:rsidRPr="002E4654">
        <w:rPr>
          <w:rFonts w:eastAsia="Aptos"/>
          <w:i/>
          <w:sz w:val="24"/>
          <w:szCs w:val="24"/>
        </w:rPr>
        <w:t xml:space="preserve"> </w:t>
      </w:r>
      <w:r w:rsidRPr="002E4654">
        <w:rPr>
          <w:rFonts w:eastAsia="Aptos"/>
          <w:sz w:val="24"/>
          <w:szCs w:val="24"/>
        </w:rPr>
        <w:t>Paradoxně jak správně zmínila Winterová (ač se k tomuto řešení nepřikláněla),</w:t>
      </w:r>
      <w:r w:rsidRPr="002E4654">
        <w:rPr>
          <w:rFonts w:eastAsia="Aptos"/>
          <w:sz w:val="24"/>
          <w:szCs w:val="24"/>
          <w:vertAlign w:val="superscript"/>
        </w:rPr>
        <w:footnoteReference w:id="104"/>
      </w:r>
      <w:r w:rsidRPr="002E4654">
        <w:rPr>
          <w:rFonts w:eastAsia="Aptos"/>
          <w:sz w:val="24"/>
          <w:szCs w:val="24"/>
        </w:rPr>
        <w:t xml:space="preserve"> se tak stane, ať už poškozený v adhezním řízení nárok uplatnil, či nikoli.</w:t>
      </w:r>
      <w:r w:rsidR="002E4654" w:rsidRPr="002E4654">
        <w:rPr>
          <w:rFonts w:eastAsia="Aptos"/>
          <w:sz w:val="24"/>
          <w:szCs w:val="24"/>
        </w:rPr>
        <w:t xml:space="preserve"> </w:t>
      </w:r>
      <w:r w:rsidRPr="002E4654">
        <w:rPr>
          <w:rFonts w:eastAsia="Aptos"/>
          <w:sz w:val="24"/>
          <w:szCs w:val="24"/>
        </w:rPr>
        <w:t>Toto řešení je také podle mě více konformní se zásadou rychlosti a hospodárnosti, protože po odkázání poškozeného soudem či správním orgánem na civilní řízení by mohlo pokračovat (a to i ve velmi pokročilé fázi) a nikoli začínat od znovu, jak by tomu bylo v případě zastavení původního civilního řízení pro překážku litispendence. Nověji konstatuje nejednoznačnost otázky litispendence v otázce souběhu civilního a adhezního řízení Sivák, nicméně sám se příklání k založení překážky litispendence adhezním řízení, a konkrétní názory pro opak neuvádí a odkazuje pouze na usneseni Nejvyššího sou</w:t>
      </w:r>
      <w:r w:rsidR="007279DA">
        <w:rPr>
          <w:rFonts w:eastAsia="Aptos"/>
          <w:sz w:val="24"/>
          <w:szCs w:val="24"/>
        </w:rPr>
        <w:t>du ze dne 13. 11. 2013, sp. zn.</w:t>
      </w:r>
      <w:r w:rsidRPr="002E4654">
        <w:rPr>
          <w:rFonts w:eastAsia="Aptos"/>
          <w:sz w:val="24"/>
          <w:szCs w:val="24"/>
        </w:rPr>
        <w:t xml:space="preserve"> 3 Tdo 1117/2013, kde však nenalézám žádný rozpor s obecně přijímaným řešením situace, kdy je první zahájeno řízení adhezní.</w:t>
      </w:r>
      <w:r w:rsidRPr="002E4654">
        <w:rPr>
          <w:rFonts w:eastAsia="Aptos"/>
          <w:sz w:val="24"/>
          <w:szCs w:val="24"/>
          <w:vertAlign w:val="superscript"/>
        </w:rPr>
        <w:footnoteReference w:id="105"/>
      </w:r>
      <w:r w:rsidRPr="002E4654">
        <w:rPr>
          <w:rFonts w:eastAsia="Aptos"/>
          <w:sz w:val="24"/>
          <w:szCs w:val="24"/>
        </w:rPr>
        <w:t xml:space="preserve"> </w:t>
      </w:r>
    </w:p>
    <w:p w:rsidR="002E4654" w:rsidRDefault="00B425CE" w:rsidP="005833E8">
      <w:pPr>
        <w:spacing w:line="360" w:lineRule="auto"/>
        <w:ind w:right="567" w:firstLine="720"/>
        <w:jc w:val="both"/>
        <w:rPr>
          <w:rFonts w:eastAsia="Aptos"/>
          <w:sz w:val="24"/>
          <w:szCs w:val="24"/>
        </w:rPr>
      </w:pPr>
      <w:r w:rsidRPr="00D845BD">
        <w:rPr>
          <w:sz w:val="24"/>
          <w:szCs w:val="24"/>
          <w:highlight w:val="white"/>
        </w:rPr>
        <w:t>Uvedené má souvislost i co do řízení o přestupcích. Ustanovení § 70 odst. 3 PřesZ obsahuje překážku litispendence, běží – li přestupkové řízení. Komentáře k PřesZ, s kterými pracuji a jež v práci cituji, se shodují na nemožnosti zahájit adhezní řízení, běží-li civilní řízení v otázce náhrady újmy.</w:t>
      </w:r>
      <w:r w:rsidRPr="00D845BD">
        <w:rPr>
          <w:sz w:val="24"/>
          <w:szCs w:val="24"/>
          <w:highlight w:val="white"/>
          <w:vertAlign w:val="superscript"/>
        </w:rPr>
        <w:footnoteReference w:id="106"/>
      </w:r>
      <w:r w:rsidRPr="00D845BD">
        <w:rPr>
          <w:sz w:val="24"/>
          <w:szCs w:val="24"/>
          <w:highlight w:val="white"/>
        </w:rPr>
        <w:t xml:space="preserve"> Toto řešení podle mě není příliš šťastné, protože teoreticky může mít </w:t>
      </w:r>
      <w:r w:rsidRPr="00D845BD">
        <w:rPr>
          <w:rFonts w:eastAsia="Aptos"/>
          <w:sz w:val="24"/>
          <w:szCs w:val="24"/>
        </w:rPr>
        <w:t xml:space="preserve">za následek absurdní situaci, kdy poškozená osoba nemůže uplatnit v řízení o přestupku svůj nárok (kvůli překážce litispendence), neboť formální civilní řízení (ač přerušené) probíhá (ve smyslu, že existuje), zatímco civilní řízení by muselo být obligatorně přerušeno do doby vydání rozhodnutí o přestupku podle ustanovení§ 109 odst. 1 písm. b). Nejen, že by tedy nemohla požívat výhod adhezního řízení, ale ještě by se mohla teoreticky zpomalit cesta k domožení se nároku civilní cestou. Určitou variantou je </w:t>
      </w:r>
      <w:r w:rsidRPr="00D845BD">
        <w:rPr>
          <w:rFonts w:eastAsia="Aptos"/>
          <w:sz w:val="24"/>
          <w:szCs w:val="24"/>
        </w:rPr>
        <w:lastRenderedPageBreak/>
        <w:t xml:space="preserve">tedy teleologický výklad slova “probíhá” v ustanovení </w:t>
      </w:r>
      <w:r w:rsidR="002E4654">
        <w:rPr>
          <w:rFonts w:eastAsia="Aptos"/>
          <w:sz w:val="24"/>
          <w:szCs w:val="24"/>
        </w:rPr>
        <w:t xml:space="preserve">§ 70 odst. 3 PřesZ – </w:t>
      </w:r>
      <w:r w:rsidRPr="00D845BD">
        <w:rPr>
          <w:rFonts w:eastAsia="Aptos"/>
          <w:sz w:val="24"/>
          <w:szCs w:val="24"/>
        </w:rPr>
        <w:t>smyslem a účelem překážky litispendence je, aby se o tomtéž nároku nevedla dvě řízení,</w:t>
      </w:r>
      <w:r w:rsidRPr="00D845BD">
        <w:rPr>
          <w:rFonts w:eastAsia="Aptos"/>
          <w:sz w:val="24"/>
          <w:szCs w:val="24"/>
          <w:vertAlign w:val="superscript"/>
        </w:rPr>
        <w:footnoteReference w:id="107"/>
      </w:r>
      <w:r w:rsidRPr="00D845BD">
        <w:rPr>
          <w:rFonts w:eastAsia="Aptos"/>
          <w:sz w:val="24"/>
          <w:szCs w:val="24"/>
        </w:rPr>
        <w:t xml:space="preserve"> to je v zásadě v případě přerušeného civilního řízení jistě splněno. Nicméně uznávám, že toto řešení je vedeno spíše for</w:t>
      </w:r>
      <w:r w:rsidR="002E4654">
        <w:rPr>
          <w:rFonts w:eastAsia="Aptos"/>
          <w:sz w:val="24"/>
          <w:szCs w:val="24"/>
        </w:rPr>
        <w:t>mou “přání otcem myšlenky”.</w:t>
      </w:r>
    </w:p>
    <w:p w:rsidR="00D845BD" w:rsidRDefault="00B425CE" w:rsidP="005833E8">
      <w:pPr>
        <w:spacing w:line="360" w:lineRule="auto"/>
        <w:ind w:right="567" w:firstLine="720"/>
        <w:jc w:val="both"/>
        <w:rPr>
          <w:rFonts w:eastAsia="Aptos"/>
          <w:sz w:val="24"/>
          <w:szCs w:val="24"/>
        </w:rPr>
      </w:pPr>
      <w:r w:rsidRPr="00D845BD">
        <w:rPr>
          <w:rFonts w:eastAsia="Aptos"/>
          <w:sz w:val="24"/>
          <w:szCs w:val="24"/>
        </w:rPr>
        <w:t xml:space="preserve">Je třeba připustit, že mnou navrhované řešení by také mělo za následek silné zúžení aplikačního prostoru pasáže o překážce litispendence v ustanovení § 70 odst. 3 PřesZ, neboť by bylo omezeno na případy, kdy civilní soud nepřeruší řízení a fakticky tak bude jednat proti zákonu, což by byla nejspíš zcela raritní záležitost, přesto čistě teoreticky možná. </w:t>
      </w:r>
      <w:r w:rsidRPr="00D845BD">
        <w:rPr>
          <w:rFonts w:eastAsia="Aptos"/>
          <w:i/>
          <w:sz w:val="24"/>
          <w:szCs w:val="24"/>
        </w:rPr>
        <w:t xml:space="preserve">De lege ferenda </w:t>
      </w:r>
      <w:r w:rsidRPr="00D845BD">
        <w:rPr>
          <w:rFonts w:eastAsia="Aptos"/>
          <w:sz w:val="24"/>
          <w:szCs w:val="24"/>
        </w:rPr>
        <w:t>navrhuji po vzoru TŘ překážku litispen</w:t>
      </w:r>
      <w:r w:rsidR="002E4654">
        <w:rPr>
          <w:rFonts w:eastAsia="Aptos"/>
          <w:sz w:val="24"/>
          <w:szCs w:val="24"/>
        </w:rPr>
        <w:t>dence z ustanovení § 70 odst. 3</w:t>
      </w:r>
      <w:r w:rsidRPr="00D845BD">
        <w:rPr>
          <w:rFonts w:eastAsia="Aptos"/>
          <w:sz w:val="24"/>
          <w:szCs w:val="24"/>
        </w:rPr>
        <w:t xml:space="preserve"> PřesZ vyjmout, neboť nevidím oproti současnému stavu jedinou nevýhodu takového řešení, které v trestním řízení dobře funguje a lépe vyhovuje koherentnosti právního řádu v oblasti řízení o deliktu. Lépe také vyhoví rychlejšímu uspokojení nároku poškozeného. Naopak jak vidno, aktuální pojetí může, minimálně po teoretické rovině, přinášet určité nejasnosti.</w:t>
      </w:r>
    </w:p>
    <w:p w:rsidR="00B425CE" w:rsidRPr="003629BC" w:rsidRDefault="00B425CE" w:rsidP="005833E8">
      <w:pPr>
        <w:pStyle w:val="Nadpis1"/>
        <w:spacing w:line="360" w:lineRule="auto"/>
      </w:pPr>
      <w:r w:rsidRPr="00D845BD">
        <w:rPr>
          <w:rFonts w:eastAsia="Aptos"/>
          <w:sz w:val="24"/>
          <w:szCs w:val="24"/>
        </w:rPr>
        <w:br/>
      </w:r>
      <w:bookmarkStart w:id="39" w:name="_Toc190464511"/>
      <w:bookmarkStart w:id="40" w:name="_Toc190466550"/>
      <w:bookmarkStart w:id="41" w:name="_Toc190468798"/>
      <w:bookmarkStart w:id="42" w:name="_Toc190476383"/>
      <w:r w:rsidR="00614E8B" w:rsidRPr="003629BC">
        <w:rPr>
          <w:rFonts w:eastAsia="Aptos"/>
        </w:rPr>
        <w:t>3</w:t>
      </w:r>
      <w:r w:rsidRPr="003629BC">
        <w:rPr>
          <w:rFonts w:eastAsia="Aptos"/>
        </w:rPr>
        <w:t xml:space="preserve">. </w:t>
      </w:r>
      <w:r w:rsidRPr="003629BC">
        <w:t>Poškozený jako subjekt adhezního řízení</w:t>
      </w:r>
      <w:bookmarkEnd w:id="39"/>
      <w:bookmarkEnd w:id="40"/>
      <w:bookmarkEnd w:id="41"/>
      <w:bookmarkEnd w:id="42"/>
    </w:p>
    <w:p w:rsidR="00575BDA" w:rsidRPr="003629BC" w:rsidRDefault="00B425CE" w:rsidP="005833E8">
      <w:pPr>
        <w:pStyle w:val="Nadpis2"/>
        <w:spacing w:line="360" w:lineRule="auto"/>
      </w:pPr>
      <w:r w:rsidRPr="003629BC">
        <w:rPr>
          <w:sz w:val="24"/>
          <w:szCs w:val="24"/>
        </w:rPr>
        <w:br/>
      </w:r>
      <w:bookmarkStart w:id="43" w:name="_Toc190464512"/>
      <w:bookmarkStart w:id="44" w:name="_Toc190466551"/>
      <w:bookmarkStart w:id="45" w:name="_Toc190468799"/>
      <w:bookmarkStart w:id="46" w:name="_Toc190476384"/>
      <w:r w:rsidR="00614E8B" w:rsidRPr="003629BC">
        <w:t>3</w:t>
      </w:r>
      <w:r w:rsidRPr="003629BC">
        <w:t>.1. Stručný exk</w:t>
      </w:r>
      <w:r w:rsidR="00575BDA" w:rsidRPr="003629BC">
        <w:t>urz do nadnárodní právní úpravy</w:t>
      </w:r>
      <w:bookmarkEnd w:id="43"/>
      <w:bookmarkEnd w:id="44"/>
      <w:bookmarkEnd w:id="45"/>
      <w:bookmarkEnd w:id="46"/>
    </w:p>
    <w:p w:rsidR="00575BDA" w:rsidRDefault="00575BDA" w:rsidP="005833E8">
      <w:pPr>
        <w:spacing w:line="360" w:lineRule="auto"/>
        <w:ind w:right="567" w:firstLine="720"/>
        <w:jc w:val="both"/>
        <w:rPr>
          <w:b/>
          <w:sz w:val="28"/>
          <w:szCs w:val="28"/>
        </w:rPr>
      </w:pPr>
    </w:p>
    <w:p w:rsidR="004977E3" w:rsidRPr="00575BDA" w:rsidRDefault="004977E3" w:rsidP="005833E8">
      <w:pPr>
        <w:spacing w:line="360" w:lineRule="auto"/>
        <w:ind w:right="567" w:firstLine="720"/>
        <w:jc w:val="both"/>
        <w:rPr>
          <w:b/>
          <w:sz w:val="28"/>
          <w:szCs w:val="28"/>
        </w:rPr>
      </w:pPr>
      <w:r w:rsidRPr="00575BDA">
        <w:rPr>
          <w:sz w:val="24"/>
          <w:szCs w:val="24"/>
        </w:rPr>
        <w:t xml:space="preserve">Je - li řeč o právních aktech EU, je třeba zmínit závazné akty související s poškozenými trestných deliktů. </w:t>
      </w:r>
      <w:r w:rsidR="00B425CE" w:rsidRPr="00575BDA">
        <w:rPr>
          <w:sz w:val="24"/>
          <w:szCs w:val="24"/>
        </w:rPr>
        <w:t>Osobám poškozeným deliktem se věnuje řada právních aktů evropského práva i mezinárodních smluv.</w:t>
      </w:r>
      <w:r w:rsidR="00B425CE" w:rsidRPr="00575BDA">
        <w:rPr>
          <w:sz w:val="24"/>
          <w:szCs w:val="24"/>
          <w:vertAlign w:val="superscript"/>
        </w:rPr>
        <w:footnoteReference w:id="108"/>
      </w:r>
      <w:r w:rsidRPr="00575BDA">
        <w:rPr>
          <w:sz w:val="24"/>
          <w:szCs w:val="24"/>
        </w:rPr>
        <w:t xml:space="preserve"> </w:t>
      </w:r>
      <w:r w:rsidR="00B425CE" w:rsidRPr="00D845BD">
        <w:rPr>
          <w:sz w:val="24"/>
          <w:szCs w:val="24"/>
        </w:rPr>
        <w:t>Asi nejvýznamnějším předpisem evropského zákonodárství je v oblasti obětí deliktů Směrnice Evropského parlamentu a Rady 2012/29/EU ze dne 25. 10. 2012</w:t>
      </w:r>
      <w:r w:rsidR="002A46FF">
        <w:rPr>
          <w:sz w:val="24"/>
          <w:szCs w:val="24"/>
        </w:rPr>
        <w:t xml:space="preserve"> </w:t>
      </w:r>
      <w:r w:rsidR="00B425CE" w:rsidRPr="00D845BD">
        <w:rPr>
          <w:sz w:val="24"/>
          <w:szCs w:val="24"/>
        </w:rPr>
        <w:t>kterou se zavádí minimální pravidla pro práva, podporu a ochranu obětí trestného činu a kterou se nahrazuje rámcové rozhodnutí Rady 2001/220/SVV</w:t>
      </w:r>
      <w:r w:rsidR="00D420AB">
        <w:rPr>
          <w:sz w:val="24"/>
          <w:szCs w:val="24"/>
        </w:rPr>
        <w:t xml:space="preserve"> (dále jen Směrnice)</w:t>
      </w:r>
      <w:r w:rsidR="00D420AB" w:rsidRPr="00D845BD">
        <w:rPr>
          <w:sz w:val="24"/>
          <w:szCs w:val="24"/>
        </w:rPr>
        <w:t>,</w:t>
      </w:r>
      <w:r w:rsidR="002A46FF">
        <w:rPr>
          <w:sz w:val="24"/>
          <w:szCs w:val="24"/>
        </w:rPr>
        <w:t xml:space="preserve">. </w:t>
      </w:r>
      <w:r w:rsidR="00B425CE" w:rsidRPr="00D845BD">
        <w:rPr>
          <w:sz w:val="24"/>
          <w:szCs w:val="24"/>
        </w:rPr>
        <w:t>Ta operuje s pojmem “oběť” (</w:t>
      </w:r>
      <w:r w:rsidR="00B425CE" w:rsidRPr="00D845BD">
        <w:rPr>
          <w:i/>
          <w:sz w:val="24"/>
          <w:szCs w:val="24"/>
        </w:rPr>
        <w:t>victim</w:t>
      </w:r>
      <w:r w:rsidR="00B425CE" w:rsidRPr="00D845BD">
        <w:rPr>
          <w:sz w:val="24"/>
          <w:szCs w:val="24"/>
        </w:rPr>
        <w:t xml:space="preserve">) a “trestný čin” </w:t>
      </w:r>
      <w:r w:rsidR="00B425CE" w:rsidRPr="00D845BD">
        <w:rPr>
          <w:sz w:val="24"/>
          <w:szCs w:val="24"/>
        </w:rPr>
        <w:lastRenderedPageBreak/>
        <w:t>(</w:t>
      </w:r>
      <w:r w:rsidR="00B425CE" w:rsidRPr="00D845BD">
        <w:rPr>
          <w:i/>
          <w:sz w:val="24"/>
          <w:szCs w:val="24"/>
        </w:rPr>
        <w:t>criminal offence</w:t>
      </w:r>
      <w:r w:rsidR="00B425CE" w:rsidRPr="00D845BD">
        <w:rPr>
          <w:sz w:val="24"/>
          <w:szCs w:val="24"/>
        </w:rPr>
        <w:t>). Ve svém článku 2, písm. a), odst. prvém definuje pojem oběti jako “</w:t>
      </w:r>
      <w:r w:rsidR="00B425CE" w:rsidRPr="00D845BD">
        <w:rPr>
          <w:i/>
          <w:sz w:val="24"/>
          <w:szCs w:val="24"/>
        </w:rPr>
        <w:t>fyzickou osobu, která utrpěla újmu včetně fyzické, duševní či citové újmy či hmotnou ztrátu, které byly přímo způsobeny trestným činem”.</w:t>
      </w:r>
      <w:r w:rsidR="00B425CE" w:rsidRPr="00D845BD">
        <w:rPr>
          <w:sz w:val="24"/>
          <w:szCs w:val="24"/>
        </w:rPr>
        <w:t xml:space="preserve"> </w:t>
      </w:r>
      <w:r w:rsidR="00B425CE" w:rsidRPr="004977E3">
        <w:rPr>
          <w:sz w:val="24"/>
          <w:szCs w:val="24"/>
        </w:rPr>
        <w:t>Existují argumenty pro tvrzení, že tato směrnice směřuje obecně na osoby, které utrpěly újmy v příčinné souvislosti i se správním deliktem, typicky přestupkem, nebo minimálně že lze k tomuto závěru dospět výkladem</w:t>
      </w:r>
      <w:r w:rsidR="00B425CE" w:rsidRPr="00D845BD">
        <w:rPr>
          <w:sz w:val="24"/>
          <w:szCs w:val="24"/>
        </w:rPr>
        <w:t>.</w:t>
      </w:r>
      <w:r w:rsidR="00B425CE" w:rsidRPr="00D845BD">
        <w:rPr>
          <w:sz w:val="24"/>
          <w:szCs w:val="24"/>
          <w:vertAlign w:val="superscript"/>
        </w:rPr>
        <w:footnoteReference w:id="109"/>
      </w:r>
      <w:r w:rsidR="00B425CE" w:rsidRPr="00D845BD">
        <w:rPr>
          <w:sz w:val="24"/>
          <w:szCs w:val="24"/>
        </w:rPr>
        <w:t xml:space="preserve"> Naráží na Článek 6 Úmluvy o lidských právech zakotvuje základní požadavky práva na spravedlivý proces, přičemž body 2-4 věnuje oblasti trestního práva. Hovoří o právech obviněného jednak na presumpci neviny, jednak obsahuje některé minimální požadavky práva na obhajobu.</w:t>
      </w:r>
      <w:r w:rsidR="00B425CE" w:rsidRPr="00D845BD">
        <w:rPr>
          <w:sz w:val="24"/>
          <w:szCs w:val="24"/>
          <w:vertAlign w:val="superscript"/>
        </w:rPr>
        <w:footnoteReference w:id="110"/>
      </w:r>
      <w:r w:rsidR="00B425CE" w:rsidRPr="00D845BD">
        <w:rPr>
          <w:sz w:val="24"/>
          <w:szCs w:val="24"/>
        </w:rPr>
        <w:t xml:space="preserve"> ESLP v minulosti v několika případech konstatoval, že i osoba obviněná z přestupku požívá ochrany ve smyslu čl. 6 Úmluvy o lidských právech.</w:t>
      </w:r>
      <w:r w:rsidR="00B425CE" w:rsidRPr="00D845BD">
        <w:rPr>
          <w:sz w:val="24"/>
          <w:szCs w:val="24"/>
          <w:vertAlign w:val="superscript"/>
        </w:rPr>
        <w:footnoteReference w:id="111"/>
      </w:r>
      <w:r w:rsidR="00B425CE" w:rsidRPr="00D845BD">
        <w:rPr>
          <w:sz w:val="24"/>
          <w:szCs w:val="24"/>
        </w:rPr>
        <w:t xml:space="preserve"> Hepová uvádí, že stejnou logikou, jako je nahlíženo na obviněné z deliktů, by mohlo být nahlíženo i na poškozené (oběti). Argumentuje mimojiné tak, že “</w:t>
      </w:r>
      <w:r w:rsidR="00B425CE" w:rsidRPr="00D845BD">
        <w:rPr>
          <w:i/>
          <w:sz w:val="24"/>
          <w:szCs w:val="24"/>
        </w:rPr>
        <w:t>pociťovaná újma oběti deliktního jednání není odvislá od právní kvalifikace tohoto jednání”</w:t>
      </w:r>
      <w:r w:rsidR="00B425CE" w:rsidRPr="00D845BD">
        <w:rPr>
          <w:sz w:val="24"/>
          <w:szCs w:val="24"/>
        </w:rPr>
        <w:t>.</w:t>
      </w:r>
      <w:r w:rsidR="00B425CE" w:rsidRPr="00D845BD">
        <w:rPr>
          <w:sz w:val="24"/>
          <w:szCs w:val="24"/>
          <w:vertAlign w:val="superscript"/>
        </w:rPr>
        <w:footnoteReference w:id="112"/>
      </w:r>
      <w:r w:rsidR="00B425CE" w:rsidRPr="00D845BD">
        <w:rPr>
          <w:sz w:val="24"/>
          <w:szCs w:val="24"/>
        </w:rPr>
        <w:t xml:space="preserve"> </w:t>
      </w:r>
    </w:p>
    <w:p w:rsidR="00B425CE" w:rsidRDefault="00B425CE" w:rsidP="005833E8">
      <w:pPr>
        <w:spacing w:line="360" w:lineRule="auto"/>
        <w:ind w:right="567" w:firstLine="720"/>
        <w:jc w:val="both"/>
        <w:rPr>
          <w:sz w:val="24"/>
          <w:szCs w:val="24"/>
        </w:rPr>
      </w:pPr>
      <w:r w:rsidRPr="00D845BD">
        <w:rPr>
          <w:sz w:val="24"/>
          <w:szCs w:val="24"/>
        </w:rPr>
        <w:t>Zmíněná Směrnice zejména apeluje na individuální zacházení s obětmi, bez jakékoli diskriminace, profesionalitu, předcházení sekundární viktimizace, respekt k tělesné i duševní integritě a dostupností právní ochrany.</w:t>
      </w:r>
      <w:r w:rsidRPr="00D845BD">
        <w:rPr>
          <w:sz w:val="24"/>
          <w:szCs w:val="24"/>
          <w:vertAlign w:val="superscript"/>
        </w:rPr>
        <w:footnoteReference w:id="113"/>
      </w:r>
      <w:r w:rsidR="00575BDA">
        <w:rPr>
          <w:sz w:val="24"/>
          <w:szCs w:val="24"/>
        </w:rPr>
        <w:t xml:space="preserve"> </w:t>
      </w:r>
      <w:r w:rsidRPr="00D845BD">
        <w:rPr>
          <w:sz w:val="24"/>
          <w:szCs w:val="24"/>
        </w:rPr>
        <w:t>K obsahu směrnic, zejména výše zmiňované přihlíží zejména zákon  o obětech Tč. Ten vešel v účinnost v roce 2013 a jeho účelem je mimojiné vylepšit postavení obětí trestných činů.</w:t>
      </w:r>
      <w:r w:rsidRPr="00D845BD">
        <w:rPr>
          <w:sz w:val="24"/>
          <w:szCs w:val="24"/>
          <w:vertAlign w:val="superscript"/>
        </w:rPr>
        <w:footnoteReference w:id="114"/>
      </w:r>
      <w:r w:rsidRPr="00D845BD">
        <w:rPr>
          <w:sz w:val="24"/>
          <w:szCs w:val="24"/>
        </w:rPr>
        <w:t xml:space="preserve"> Hepová si klade zajímavou otázku, zda by nebylo vhodné aplikovat práva obětí trestných činů garantovaná Směrnicí </w:t>
      </w:r>
      <w:r w:rsidRPr="00D845BD">
        <w:rPr>
          <w:i/>
          <w:sz w:val="24"/>
          <w:szCs w:val="24"/>
        </w:rPr>
        <w:t>per analogiam</w:t>
      </w:r>
      <w:r w:rsidRPr="00D845BD">
        <w:rPr>
          <w:sz w:val="24"/>
          <w:szCs w:val="24"/>
        </w:rPr>
        <w:t xml:space="preserve"> na základě preambule.</w:t>
      </w:r>
      <w:r w:rsidRPr="00D845BD">
        <w:rPr>
          <w:sz w:val="24"/>
          <w:szCs w:val="24"/>
          <w:vertAlign w:val="superscript"/>
        </w:rPr>
        <w:footnoteReference w:id="115"/>
      </w:r>
      <w:r w:rsidRPr="00D845BD">
        <w:rPr>
          <w:sz w:val="24"/>
          <w:szCs w:val="24"/>
        </w:rPr>
        <w:t xml:space="preserve"> Nabízí pro toto tvrzení racionální argumenty - neostrou hranici mezi trestnými činy a přestupky v některých konkrétních případech a také presumpci statusu oběti zakotvenou v ZoOTč.</w:t>
      </w:r>
      <w:r w:rsidRPr="00D845BD">
        <w:rPr>
          <w:sz w:val="24"/>
          <w:szCs w:val="24"/>
          <w:vertAlign w:val="superscript"/>
        </w:rPr>
        <w:footnoteReference w:id="116"/>
      </w:r>
      <w:r w:rsidRPr="00D845BD">
        <w:rPr>
          <w:sz w:val="24"/>
          <w:szCs w:val="24"/>
        </w:rPr>
        <w:t xml:space="preserve"> Souhlasím s Hepovou, že u některých práv garantovaných obětem v tomto zákoně, by mohlo dávat dobrý smysl </w:t>
      </w:r>
      <w:r w:rsidRPr="00D845BD">
        <w:rPr>
          <w:sz w:val="24"/>
          <w:szCs w:val="24"/>
        </w:rPr>
        <w:lastRenderedPageBreak/>
        <w:t>poskytovat i je osobám poškozeným přestupkem. Hepová hovoří zejména o právu na odepření kontaktu s osobou pachatele a ta garantující prevenci před sekundární viktimizací.</w:t>
      </w:r>
      <w:r w:rsidRPr="00D845BD">
        <w:rPr>
          <w:sz w:val="24"/>
          <w:szCs w:val="24"/>
          <w:vertAlign w:val="superscript"/>
        </w:rPr>
        <w:footnoteReference w:id="117"/>
      </w:r>
      <w:r w:rsidRPr="00D845BD">
        <w:rPr>
          <w:sz w:val="24"/>
          <w:szCs w:val="24"/>
        </w:rPr>
        <w:t xml:space="preserve"> </w:t>
      </w:r>
    </w:p>
    <w:p w:rsidR="004977E3" w:rsidRDefault="004977E3" w:rsidP="005833E8">
      <w:pPr>
        <w:spacing w:line="360" w:lineRule="auto"/>
        <w:ind w:right="567"/>
        <w:jc w:val="both"/>
        <w:rPr>
          <w:sz w:val="24"/>
          <w:szCs w:val="24"/>
        </w:rPr>
      </w:pPr>
    </w:p>
    <w:p w:rsidR="00D536D8" w:rsidRPr="003629BC" w:rsidRDefault="00614E8B" w:rsidP="005833E8">
      <w:pPr>
        <w:pStyle w:val="Nadpis2"/>
        <w:spacing w:line="360" w:lineRule="auto"/>
      </w:pPr>
      <w:bookmarkStart w:id="47" w:name="_Toc190464513"/>
      <w:bookmarkStart w:id="48" w:name="_Toc190466552"/>
      <w:bookmarkStart w:id="49" w:name="_Toc190468800"/>
      <w:bookmarkStart w:id="50" w:name="_Toc190476385"/>
      <w:r w:rsidRPr="003629BC">
        <w:t>3</w:t>
      </w:r>
      <w:r w:rsidR="004977E3" w:rsidRPr="003629BC">
        <w:t>.2.</w:t>
      </w:r>
      <w:r w:rsidR="00B425CE" w:rsidRPr="003629BC">
        <w:t xml:space="preserve"> Pojem poškozený ve smyslu přestupkového zákona</w:t>
      </w:r>
      <w:bookmarkEnd w:id="47"/>
      <w:bookmarkEnd w:id="48"/>
      <w:bookmarkEnd w:id="49"/>
      <w:bookmarkEnd w:id="50"/>
    </w:p>
    <w:p w:rsidR="004977E3" w:rsidRDefault="00B425CE" w:rsidP="005833E8">
      <w:pPr>
        <w:spacing w:after="160" w:line="360" w:lineRule="auto"/>
        <w:ind w:right="567"/>
        <w:jc w:val="both"/>
        <w:rPr>
          <w:rFonts w:eastAsia="Aptos"/>
          <w:sz w:val="24"/>
          <w:szCs w:val="24"/>
        </w:rPr>
      </w:pPr>
      <w:r w:rsidRPr="00D845BD">
        <w:rPr>
          <w:rFonts w:eastAsia="Aptos"/>
          <w:sz w:val="24"/>
          <w:szCs w:val="24"/>
        </w:rPr>
        <w:tab/>
      </w:r>
      <w:r w:rsidRPr="00D845BD">
        <w:rPr>
          <w:rFonts w:eastAsia="Aptos"/>
          <w:color w:val="FF0000"/>
          <w:sz w:val="24"/>
          <w:szCs w:val="24"/>
        </w:rPr>
        <w:tab/>
      </w:r>
      <w:r w:rsidRPr="00D845BD">
        <w:rPr>
          <w:rFonts w:eastAsia="Aptos"/>
          <w:sz w:val="24"/>
          <w:szCs w:val="24"/>
        </w:rPr>
        <w:tab/>
      </w:r>
      <w:r w:rsidRPr="00D845BD">
        <w:rPr>
          <w:rFonts w:eastAsia="Aptos"/>
          <w:sz w:val="24"/>
          <w:szCs w:val="24"/>
        </w:rPr>
        <w:tab/>
      </w:r>
      <w:r w:rsidRPr="00D845BD">
        <w:rPr>
          <w:rFonts w:eastAsia="Aptos"/>
          <w:sz w:val="24"/>
          <w:szCs w:val="24"/>
        </w:rPr>
        <w:tab/>
      </w:r>
      <w:r w:rsidRPr="00D845BD">
        <w:rPr>
          <w:rFonts w:eastAsia="Aptos"/>
          <w:sz w:val="24"/>
          <w:szCs w:val="24"/>
        </w:rPr>
        <w:tab/>
      </w:r>
      <w:r w:rsidRPr="00D845BD">
        <w:rPr>
          <w:rFonts w:eastAsia="Aptos"/>
          <w:sz w:val="24"/>
          <w:szCs w:val="24"/>
        </w:rPr>
        <w:tab/>
      </w:r>
      <w:r w:rsidRPr="00D845BD">
        <w:rPr>
          <w:rFonts w:eastAsia="Aptos"/>
          <w:sz w:val="24"/>
          <w:szCs w:val="24"/>
        </w:rPr>
        <w:tab/>
      </w:r>
      <w:r w:rsidRPr="00D845BD">
        <w:rPr>
          <w:rFonts w:eastAsia="Aptos"/>
          <w:sz w:val="24"/>
          <w:szCs w:val="24"/>
        </w:rPr>
        <w:tab/>
      </w:r>
      <w:r w:rsidRPr="00D845BD">
        <w:rPr>
          <w:rFonts w:eastAsia="Aptos"/>
          <w:sz w:val="24"/>
          <w:szCs w:val="24"/>
        </w:rPr>
        <w:tab/>
      </w:r>
      <w:r w:rsidRPr="00D845BD">
        <w:rPr>
          <w:rFonts w:eastAsia="Aptos"/>
          <w:sz w:val="24"/>
          <w:szCs w:val="24"/>
        </w:rPr>
        <w:tab/>
      </w:r>
      <w:r w:rsidRPr="00D845BD">
        <w:rPr>
          <w:rFonts w:eastAsia="Aptos"/>
          <w:sz w:val="24"/>
          <w:szCs w:val="24"/>
        </w:rPr>
        <w:tab/>
      </w:r>
      <w:r w:rsidRPr="00D845BD">
        <w:rPr>
          <w:rFonts w:eastAsia="Aptos"/>
          <w:sz w:val="24"/>
          <w:szCs w:val="24"/>
        </w:rPr>
        <w:tab/>
      </w:r>
      <w:r w:rsidRPr="00D845BD">
        <w:rPr>
          <w:rFonts w:eastAsia="Aptos"/>
          <w:sz w:val="24"/>
          <w:szCs w:val="24"/>
        </w:rPr>
        <w:tab/>
      </w:r>
      <w:r w:rsidRPr="00D845BD">
        <w:rPr>
          <w:rFonts w:eastAsia="Aptos"/>
          <w:sz w:val="24"/>
          <w:szCs w:val="24"/>
        </w:rPr>
        <w:tab/>
        <w:t>Poškozený je jeden ze subjektů řízení o přestupku a to vedle mnoha jiných – příslušného správního orgánu, fyzických, právnických či podnikajících fyzických a právnických osob v postavení obviněného nebo vlastníka věci. Dalšími subjekty jsou tlumočníci, svědci, znalci, osoby přímo postižené spácháním přestupku a v řízení vedeném proti mladistvému i zákonný zástupce mladistvého, opatrovník a orgán sociálně právní ochrany dětí. Subjekty mohou ovlivňovat průběh přestupkového řízení.</w:t>
      </w:r>
      <w:r w:rsidRPr="00D845BD">
        <w:rPr>
          <w:rFonts w:eastAsia="Aptos"/>
          <w:sz w:val="24"/>
          <w:szCs w:val="24"/>
          <w:vertAlign w:val="superscript"/>
        </w:rPr>
        <w:footnoteReference w:id="118"/>
      </w:r>
      <w:r w:rsidRPr="00D845BD">
        <w:rPr>
          <w:rFonts w:eastAsia="Aptos"/>
          <w:sz w:val="24"/>
          <w:szCs w:val="24"/>
        </w:rPr>
        <w:t xml:space="preserve"> Jak je uvedeno výše, přestupkové řízení je zvláštním druhem správního řízení.</w:t>
      </w:r>
      <w:r w:rsidRPr="00D845BD">
        <w:rPr>
          <w:rFonts w:eastAsia="Aptos"/>
          <w:sz w:val="24"/>
          <w:szCs w:val="24"/>
          <w:vertAlign w:val="superscript"/>
        </w:rPr>
        <w:footnoteReference w:id="119"/>
      </w:r>
      <w:r w:rsidR="004977E3">
        <w:rPr>
          <w:rFonts w:eastAsia="Aptos"/>
          <w:sz w:val="24"/>
          <w:szCs w:val="24"/>
        </w:rPr>
        <w:t xml:space="preserve"> </w:t>
      </w:r>
    </w:p>
    <w:p w:rsidR="004977E3" w:rsidRDefault="00B425CE" w:rsidP="005833E8">
      <w:pPr>
        <w:spacing w:after="160" w:line="360" w:lineRule="auto"/>
        <w:ind w:right="567" w:firstLine="720"/>
        <w:jc w:val="both"/>
        <w:rPr>
          <w:rFonts w:eastAsia="Aptos"/>
          <w:sz w:val="24"/>
          <w:szCs w:val="24"/>
        </w:rPr>
      </w:pPr>
      <w:r w:rsidRPr="00D845BD">
        <w:rPr>
          <w:rFonts w:eastAsia="Aptos"/>
          <w:sz w:val="24"/>
          <w:szCs w:val="24"/>
        </w:rPr>
        <w:t xml:space="preserve">Účastenství poškozeného je založeno zákonem, konkrétně ustanovením § 68 PřesZ, z kterého v písm. b) vyplývá,, že: </w:t>
      </w:r>
      <w:r w:rsidRPr="00D845BD">
        <w:rPr>
          <w:rFonts w:eastAsia="Aptos"/>
          <w:i/>
          <w:sz w:val="24"/>
          <w:szCs w:val="24"/>
        </w:rPr>
        <w:t xml:space="preserve">“ </w:t>
      </w:r>
      <w:r w:rsidRPr="00D845BD">
        <w:rPr>
          <w:i/>
          <w:sz w:val="24"/>
          <w:szCs w:val="24"/>
          <w:highlight w:val="white"/>
        </w:rPr>
        <w:t xml:space="preserve">Účastníkem řízení je </w:t>
      </w:r>
      <w:r w:rsidRPr="00D845BD">
        <w:rPr>
          <w:rFonts w:eastAsia="Aptos"/>
          <w:i/>
          <w:sz w:val="24"/>
          <w:szCs w:val="24"/>
        </w:rPr>
        <w:t>poškozený v části řízení, která se týká jím uplatněného nároku na náhradu škody nebo nároku na vydání bezdůvodného obohacení”.</w:t>
      </w:r>
      <w:r w:rsidRPr="00D845BD">
        <w:rPr>
          <w:rFonts w:eastAsia="Aptos"/>
          <w:i/>
          <w:sz w:val="24"/>
          <w:szCs w:val="24"/>
          <w:vertAlign w:val="superscript"/>
        </w:rPr>
        <w:footnoteReference w:id="120"/>
      </w:r>
      <w:r w:rsidRPr="00D845BD">
        <w:rPr>
          <w:rFonts w:eastAsia="Aptos"/>
          <w:sz w:val="24"/>
          <w:szCs w:val="24"/>
        </w:rPr>
        <w:t xml:space="preserve"> Jedná se o hlavního účastníka adhezního řízení,</w:t>
      </w:r>
      <w:r w:rsidRPr="00D845BD">
        <w:rPr>
          <w:rFonts w:eastAsia="Aptos"/>
          <w:sz w:val="24"/>
          <w:szCs w:val="24"/>
          <w:vertAlign w:val="superscript"/>
        </w:rPr>
        <w:footnoteReference w:id="121"/>
      </w:r>
      <w:r w:rsidRPr="00D845BD">
        <w:rPr>
          <w:rFonts w:eastAsia="Aptos"/>
          <w:sz w:val="24"/>
          <w:szCs w:val="24"/>
        </w:rPr>
        <w:t xml:space="preserve"> optikou celého přestupkového řízení se jedná o omezené účastenství. </w:t>
      </w:r>
      <w:r w:rsidRPr="00D845BD">
        <w:rPr>
          <w:rFonts w:eastAsia="Aptos"/>
          <w:sz w:val="24"/>
          <w:szCs w:val="24"/>
          <w:vertAlign w:val="superscript"/>
        </w:rPr>
        <w:footnoteReference w:id="122"/>
      </w:r>
      <w:r w:rsidRPr="00D845BD">
        <w:rPr>
          <w:rFonts w:eastAsia="Aptos"/>
          <w:sz w:val="24"/>
          <w:szCs w:val="24"/>
        </w:rPr>
        <w:t xml:space="preserve"> Pro účely řízení o přestupku </w:t>
      </w:r>
      <w:r w:rsidRPr="00D845BD">
        <w:rPr>
          <w:rFonts w:eastAsia="Aptos"/>
          <w:i/>
          <w:sz w:val="24"/>
          <w:szCs w:val="24"/>
        </w:rPr>
        <w:t xml:space="preserve">de lege lata </w:t>
      </w:r>
      <w:r w:rsidRPr="00D845BD">
        <w:rPr>
          <w:rFonts w:eastAsia="Aptos"/>
          <w:sz w:val="24"/>
          <w:szCs w:val="24"/>
        </w:rPr>
        <w:t xml:space="preserve">je poškozený vymezen v ustanovení § 70 PřesZ takto: </w:t>
      </w:r>
      <w:r w:rsidRPr="00D845BD">
        <w:rPr>
          <w:rFonts w:eastAsia="Aptos"/>
          <w:i/>
          <w:sz w:val="24"/>
          <w:szCs w:val="24"/>
        </w:rPr>
        <w:t>„Osoba, které byla spácháním přestupku způsobena škoda nebo na jejíž úkor se obviněný spácháním přestupku bezdůvodně obohatil, se stává poškozeným uplatněním nároku na náhradu škody nebo nároku na vydání bezdůvodného obohacení.“</w:t>
      </w:r>
      <w:r w:rsidRPr="00D845BD">
        <w:rPr>
          <w:rFonts w:eastAsia="Aptos"/>
          <w:sz w:val="24"/>
          <w:szCs w:val="24"/>
          <w:vertAlign w:val="superscript"/>
        </w:rPr>
        <w:footnoteReference w:id="123"/>
      </w:r>
      <w:r w:rsidRPr="00D845BD">
        <w:rPr>
          <w:rFonts w:eastAsia="Aptos"/>
          <w:sz w:val="24"/>
          <w:szCs w:val="24"/>
          <w:vertAlign w:val="superscript"/>
        </w:rPr>
        <w:t xml:space="preserve"> </w:t>
      </w:r>
      <w:r w:rsidRPr="00D845BD">
        <w:rPr>
          <w:rFonts w:eastAsia="Aptos"/>
          <w:sz w:val="24"/>
          <w:szCs w:val="24"/>
        </w:rPr>
        <w:t>Poškozeným může být stejně jako v trestním řízení jak fyzická osoba, tak právnická osoba.</w:t>
      </w:r>
      <w:r w:rsidRPr="00D845BD">
        <w:rPr>
          <w:rFonts w:eastAsia="Aptos"/>
          <w:sz w:val="24"/>
          <w:szCs w:val="24"/>
          <w:vertAlign w:val="superscript"/>
        </w:rPr>
        <w:footnoteReference w:id="124"/>
      </w:r>
      <w:r w:rsidRPr="00D845BD">
        <w:rPr>
          <w:rFonts w:eastAsia="Aptos"/>
          <w:sz w:val="24"/>
          <w:szCs w:val="24"/>
        </w:rPr>
        <w:t xml:space="preserve">  </w:t>
      </w:r>
      <w:r w:rsidRPr="00575BDA">
        <w:rPr>
          <w:rFonts w:eastAsia="Aptos"/>
          <w:sz w:val="24"/>
          <w:szCs w:val="24"/>
        </w:rPr>
        <w:t xml:space="preserve">Oproti definici pojmu </w:t>
      </w:r>
      <w:r w:rsidRPr="00575BDA">
        <w:rPr>
          <w:rFonts w:eastAsia="Aptos"/>
          <w:sz w:val="24"/>
          <w:szCs w:val="24"/>
        </w:rPr>
        <w:lastRenderedPageBreak/>
        <w:t xml:space="preserve">poškozený v trestněprávním slova smyslu je tu tedy značná odlišnost. </w:t>
      </w:r>
      <w:r w:rsidRPr="00D845BD">
        <w:rPr>
          <w:rFonts w:eastAsia="Aptos"/>
          <w:sz w:val="24"/>
          <w:szCs w:val="24"/>
        </w:rPr>
        <w:t xml:space="preserve">Ustanovení § 43 TŘ totiž definuje poškozeného v odst. 1 následovně: </w:t>
      </w:r>
      <w:r w:rsidRPr="00D845BD">
        <w:rPr>
          <w:rFonts w:eastAsia="Aptos"/>
          <w:i/>
          <w:sz w:val="24"/>
          <w:szCs w:val="24"/>
        </w:rPr>
        <w:t>„Ten, komu bylo trestným činem ublíženo na zdraví, způsobena majetková škoda nebo nemajetková újma, nebo ten, na jehož úkor se pachatel trestným činem obohatil“.</w:t>
      </w:r>
      <w:r w:rsidRPr="00D845BD">
        <w:rPr>
          <w:rFonts w:eastAsia="Aptos"/>
          <w:sz w:val="24"/>
          <w:szCs w:val="24"/>
          <w:vertAlign w:val="superscript"/>
        </w:rPr>
        <w:footnoteReference w:id="125"/>
      </w:r>
      <w:r w:rsidRPr="00D845BD">
        <w:rPr>
          <w:rFonts w:eastAsia="Aptos"/>
          <w:i/>
          <w:sz w:val="24"/>
          <w:szCs w:val="24"/>
        </w:rPr>
        <w:t xml:space="preserve"> </w:t>
      </w:r>
      <w:r w:rsidRPr="00575BDA">
        <w:rPr>
          <w:rFonts w:eastAsia="Aptos"/>
          <w:sz w:val="24"/>
          <w:szCs w:val="24"/>
        </w:rPr>
        <w:t xml:space="preserve">Jednak je tedy již na první pohled zjevné, že trestněprocesní pojem poškozeného je širší v tom smyslu, že za poškozeného považuje i osobu, které byla způsobena nemajetková újma a které bylo ublíženo na zdraví. Za druhé není pojem poškozený vázán na skutečnost, že osoba uplatňuje svůj nárok v adhezním řízení, jako je tomu v řízení o přestupku, ale je jím každý, kdo naplňuje předpoklad jedné z výše zmíněných typů újmy. Rozdíl v pojetí poškozeného může vyvolávat debatu (a jak plyne dále, tak také vyvolává), neboť si lze představit i takové pojetí poškozeného v přestupkovém řízení, kterému by byla poskytnuta některá práva účastníka, ať už uplatnil nebo neuplatnil nárok v adhezním řízení. </w:t>
      </w:r>
      <w:r w:rsidRPr="00D845BD">
        <w:rPr>
          <w:rFonts w:eastAsia="Aptos"/>
          <w:sz w:val="24"/>
          <w:szCs w:val="24"/>
        </w:rPr>
        <w:t>Podle Hepové by bylo místě definovat poškozeného pomocí kondicionálu jako “</w:t>
      </w:r>
      <w:r w:rsidRPr="00D845BD">
        <w:rPr>
          <w:rFonts w:eastAsia="Aptos"/>
          <w:i/>
          <w:sz w:val="24"/>
          <w:szCs w:val="24"/>
        </w:rPr>
        <w:t xml:space="preserve">osobu, které </w:t>
      </w:r>
      <w:r w:rsidRPr="007279DA">
        <w:rPr>
          <w:rFonts w:eastAsia="Aptos"/>
          <w:i/>
          <w:sz w:val="24"/>
          <w:szCs w:val="24"/>
        </w:rPr>
        <w:t>měla být</w:t>
      </w:r>
      <w:r w:rsidRPr="00D845BD">
        <w:rPr>
          <w:rFonts w:eastAsia="Aptos"/>
          <w:i/>
          <w:sz w:val="24"/>
          <w:szCs w:val="24"/>
        </w:rPr>
        <w:t xml:space="preserve"> způsobená škoda…”</w:t>
      </w:r>
      <w:r w:rsidRPr="00D845BD">
        <w:rPr>
          <w:rFonts w:eastAsia="Aptos"/>
          <w:sz w:val="24"/>
          <w:szCs w:val="24"/>
        </w:rPr>
        <w:t>, protože lépe vystihuje fakt, že se jedná o procesní označení účastníka, které není plně závislé na hmotněprávním nároku, ale pouze se tento nárok presumuje.</w:t>
      </w:r>
      <w:r w:rsidRPr="00D845BD">
        <w:rPr>
          <w:rFonts w:eastAsia="Aptos"/>
          <w:sz w:val="24"/>
          <w:szCs w:val="24"/>
          <w:vertAlign w:val="superscript"/>
        </w:rPr>
        <w:footnoteReference w:id="126"/>
      </w:r>
      <w:r w:rsidRPr="00D845BD">
        <w:rPr>
          <w:rFonts w:eastAsia="Aptos"/>
          <w:sz w:val="24"/>
          <w:szCs w:val="24"/>
        </w:rPr>
        <w:t xml:space="preserve"> </w:t>
      </w:r>
      <w:r w:rsidRPr="00614E8B">
        <w:rPr>
          <w:rFonts w:eastAsia="Aptos"/>
          <w:sz w:val="24"/>
          <w:szCs w:val="24"/>
        </w:rPr>
        <w:t xml:space="preserve">Jazykově by byla tato definice vhodnější a skutečně by lépe vystihovala procesní stav. </w:t>
      </w:r>
      <w:r w:rsidRPr="00D845BD">
        <w:rPr>
          <w:rFonts w:eastAsia="Aptos"/>
          <w:sz w:val="24"/>
          <w:szCs w:val="24"/>
        </w:rPr>
        <w:t>Také by to lépe odpovídalo ryze procesní povaze pojmu požkozený.</w:t>
      </w:r>
      <w:r w:rsidRPr="00D845BD">
        <w:rPr>
          <w:rFonts w:eastAsia="Aptos"/>
          <w:sz w:val="24"/>
          <w:szCs w:val="24"/>
          <w:vertAlign w:val="superscript"/>
        </w:rPr>
        <w:footnoteReference w:id="127"/>
      </w:r>
      <w:r w:rsidR="00575BDA">
        <w:rPr>
          <w:rFonts w:eastAsia="Aptos"/>
          <w:sz w:val="24"/>
          <w:szCs w:val="24"/>
        </w:rPr>
        <w:t xml:space="preserve"> Nicméně si myslím, že současný pojem “poškozený” zase lépe odpovídá jakémusi “ideálnímu stavu”, že byl někdo poškozen ve svých právech a domáhá se napravení. Avšak </w:t>
      </w:r>
      <w:r w:rsidR="00DC63DB">
        <w:rPr>
          <w:rFonts w:eastAsia="Aptos"/>
          <w:sz w:val="24"/>
          <w:szCs w:val="24"/>
        </w:rPr>
        <w:t>z jistého úhlu pohledu souhlasím s Hepovou</w:t>
      </w:r>
      <w:r w:rsidR="00575BDA">
        <w:rPr>
          <w:rFonts w:eastAsia="Aptos"/>
          <w:sz w:val="24"/>
          <w:szCs w:val="24"/>
        </w:rPr>
        <w:t>.</w:t>
      </w:r>
    </w:p>
    <w:p w:rsidR="00FB1987" w:rsidRDefault="00FB1987" w:rsidP="005833E8">
      <w:pPr>
        <w:spacing w:after="160" w:line="360" w:lineRule="auto"/>
        <w:ind w:right="567"/>
        <w:jc w:val="both"/>
        <w:rPr>
          <w:rFonts w:eastAsia="Aptos"/>
          <w:sz w:val="24"/>
          <w:szCs w:val="24"/>
        </w:rPr>
      </w:pPr>
    </w:p>
    <w:p w:rsidR="001A2B55" w:rsidRPr="003629BC" w:rsidRDefault="001A2B55" w:rsidP="005833E8">
      <w:pPr>
        <w:pStyle w:val="Nadpis2"/>
        <w:spacing w:line="360" w:lineRule="auto"/>
      </w:pPr>
      <w:r w:rsidRPr="00FB1987">
        <w:rPr>
          <w:b w:val="0"/>
          <w:sz w:val="24"/>
          <w:szCs w:val="24"/>
        </w:rPr>
        <w:br/>
      </w:r>
      <w:bookmarkStart w:id="51" w:name="_Toc190464514"/>
      <w:bookmarkStart w:id="52" w:name="_Toc190466553"/>
      <w:bookmarkStart w:id="53" w:name="_Toc190468801"/>
      <w:bookmarkStart w:id="54" w:name="_Toc190476386"/>
      <w:r w:rsidR="00C85A10" w:rsidRPr="003629BC">
        <w:t>3.</w:t>
      </w:r>
      <w:r w:rsidR="00B425CE" w:rsidRPr="003629BC">
        <w:t xml:space="preserve"> 3.</w:t>
      </w:r>
      <w:r w:rsidRPr="003629BC">
        <w:t xml:space="preserve"> </w:t>
      </w:r>
      <w:r w:rsidR="00A3474F" w:rsidRPr="003629BC">
        <w:t>Podmínky uplatnění nároku na náhradu újmy</w:t>
      </w:r>
      <w:bookmarkEnd w:id="51"/>
      <w:bookmarkEnd w:id="52"/>
      <w:bookmarkEnd w:id="53"/>
      <w:bookmarkEnd w:id="54"/>
    </w:p>
    <w:p w:rsidR="001A2B55" w:rsidRDefault="00B425CE" w:rsidP="005833E8">
      <w:pPr>
        <w:spacing w:after="160" w:line="360" w:lineRule="auto"/>
        <w:ind w:right="567" w:firstLine="720"/>
        <w:jc w:val="both"/>
        <w:rPr>
          <w:rFonts w:eastAsia="Aptos"/>
          <w:sz w:val="28"/>
          <w:szCs w:val="28"/>
        </w:rPr>
      </w:pPr>
      <w:r w:rsidRPr="00D845BD">
        <w:rPr>
          <w:rFonts w:eastAsia="Aptos"/>
          <w:sz w:val="24"/>
          <w:szCs w:val="24"/>
        </w:rPr>
        <w:t>Aby se určitá osoba stala poškozeným ve smyslu PřesZ, je zapotřebí splnění několika předpokladů. Ty lze rozdělit do dvou skupin. První jsou hmotněprávní předpoklady, druhou pak procesní předpoklady.</w:t>
      </w:r>
      <w:r w:rsidRPr="00D845BD">
        <w:rPr>
          <w:rFonts w:eastAsia="Aptos"/>
          <w:sz w:val="24"/>
          <w:szCs w:val="24"/>
          <w:vertAlign w:val="superscript"/>
        </w:rPr>
        <w:footnoteReference w:id="128"/>
      </w:r>
      <w:r w:rsidRPr="00D845BD">
        <w:rPr>
          <w:rFonts w:eastAsia="Aptos"/>
          <w:color w:val="FF0000"/>
          <w:sz w:val="24"/>
          <w:szCs w:val="24"/>
        </w:rPr>
        <w:t xml:space="preserve"> </w:t>
      </w:r>
      <w:r w:rsidRPr="00D845BD">
        <w:rPr>
          <w:rFonts w:eastAsia="Aptos"/>
          <w:sz w:val="24"/>
          <w:szCs w:val="24"/>
        </w:rPr>
        <w:t xml:space="preserve">Jsou jimi za prvé spáchání přestupku, za druhé způsobení majetkové škody či nabytí bezdůvodného obohacení, a za třetí, aby </w:t>
      </w:r>
      <w:r w:rsidRPr="00D845BD">
        <w:rPr>
          <w:rFonts w:eastAsia="Aptos"/>
          <w:sz w:val="24"/>
          <w:szCs w:val="24"/>
        </w:rPr>
        <w:lastRenderedPageBreak/>
        <w:t>byla mezi těmito předpoklady příčinná souvislost.</w:t>
      </w:r>
      <w:r w:rsidRPr="00D845BD">
        <w:rPr>
          <w:rFonts w:eastAsia="Aptos"/>
          <w:sz w:val="24"/>
          <w:szCs w:val="24"/>
          <w:vertAlign w:val="superscript"/>
        </w:rPr>
        <w:footnoteReference w:id="129"/>
      </w:r>
      <w:r w:rsidRPr="00D845BD">
        <w:rPr>
          <w:rFonts w:eastAsia="Aptos"/>
          <w:sz w:val="24"/>
          <w:szCs w:val="24"/>
        </w:rPr>
        <w:t xml:space="preserve"> V rámci řízení jsou dalšími předpoklady uplatnění nároku v řízení a to řádně a včas.</w:t>
      </w:r>
      <w:r w:rsidRPr="00D845BD">
        <w:rPr>
          <w:rFonts w:eastAsia="Aptos"/>
          <w:sz w:val="24"/>
          <w:szCs w:val="24"/>
          <w:vertAlign w:val="superscript"/>
        </w:rPr>
        <w:footnoteReference w:id="130"/>
      </w:r>
      <w:r w:rsidRPr="00D845BD">
        <w:rPr>
          <w:rFonts w:eastAsia="Aptos"/>
          <w:sz w:val="24"/>
          <w:szCs w:val="24"/>
        </w:rPr>
        <w:t xml:space="preserve"> Pokud jde o způsob uplatnění nároku, přichází v úvahu alternativně dva způsoby, které plynou z ustanovení § 70 odst. 2 PřesZ. První způsob je uplatnění tohoto nároku u správního orgánu. Druhou variantou je pak uplatnění nároku v trestním řízení, které přestupkovému předcházelo a vedlo-li se o totožném skutku.</w:t>
      </w:r>
      <w:r w:rsidRPr="00D845BD">
        <w:rPr>
          <w:rFonts w:eastAsia="Aptos"/>
          <w:sz w:val="24"/>
          <w:szCs w:val="24"/>
          <w:vertAlign w:val="superscript"/>
        </w:rPr>
        <w:footnoteReference w:id="131"/>
      </w:r>
    </w:p>
    <w:p w:rsidR="00D420AB" w:rsidRDefault="00B425CE" w:rsidP="005833E8">
      <w:pPr>
        <w:spacing w:after="160" w:line="360" w:lineRule="auto"/>
        <w:ind w:right="567" w:firstLine="720"/>
        <w:jc w:val="both"/>
        <w:rPr>
          <w:rFonts w:eastAsia="Aptos"/>
          <w:sz w:val="24"/>
          <w:szCs w:val="24"/>
        </w:rPr>
      </w:pPr>
      <w:r w:rsidRPr="00DC63DB">
        <w:rPr>
          <w:rFonts w:eastAsia="Aptos"/>
          <w:sz w:val="24"/>
          <w:szCs w:val="24"/>
        </w:rPr>
        <w:t>Škodou se rozumí majetková újma. Tou je penězi ocenitelná újma na majetkových statcích.</w:t>
      </w:r>
      <w:r w:rsidRPr="00DC63DB">
        <w:rPr>
          <w:rFonts w:eastAsia="Aptos"/>
          <w:sz w:val="24"/>
          <w:szCs w:val="24"/>
          <w:vertAlign w:val="superscript"/>
        </w:rPr>
        <w:footnoteReference w:id="132"/>
      </w:r>
      <w:r w:rsidRPr="00DC63DB">
        <w:rPr>
          <w:rFonts w:eastAsia="Aptos"/>
          <w:sz w:val="24"/>
          <w:szCs w:val="24"/>
        </w:rPr>
        <w:t xml:space="preserve"> Jedná se tedy o újmu na jmění. Jde o jednu ze dvou druhů újmy ve smyslu civilního práva, a to vedle nemajetkové újmy.</w:t>
      </w:r>
      <w:r w:rsidRPr="00DC63DB">
        <w:rPr>
          <w:rFonts w:eastAsia="Aptos"/>
          <w:sz w:val="24"/>
          <w:szCs w:val="24"/>
          <w:vertAlign w:val="superscript"/>
        </w:rPr>
        <w:footnoteReference w:id="133"/>
      </w:r>
      <w:r w:rsidRPr="00DC63DB">
        <w:rPr>
          <w:rFonts w:eastAsia="Aptos"/>
          <w:sz w:val="24"/>
          <w:szCs w:val="24"/>
        </w:rPr>
        <w:t xml:space="preserve"> OZ stanoví, že: “</w:t>
      </w:r>
      <w:r w:rsidRPr="00DC63DB">
        <w:rPr>
          <w:i/>
          <w:sz w:val="24"/>
          <w:szCs w:val="24"/>
          <w:highlight w:val="white"/>
        </w:rPr>
        <w:t>Jmění osoby tvoří souhrn jejího majetku a jejích dluhů.”</w:t>
      </w:r>
      <w:r w:rsidRPr="00DC63DB">
        <w:rPr>
          <w:i/>
          <w:sz w:val="24"/>
          <w:szCs w:val="24"/>
          <w:highlight w:val="white"/>
          <w:vertAlign w:val="superscript"/>
        </w:rPr>
        <w:footnoteReference w:id="134"/>
      </w:r>
      <w:r w:rsidRPr="00DC63DB">
        <w:rPr>
          <w:i/>
          <w:sz w:val="24"/>
          <w:szCs w:val="24"/>
          <w:highlight w:val="white"/>
        </w:rPr>
        <w:t xml:space="preserve"> </w:t>
      </w:r>
      <w:r w:rsidRPr="00DC63DB">
        <w:rPr>
          <w:sz w:val="24"/>
          <w:szCs w:val="24"/>
          <w:highlight w:val="white"/>
        </w:rPr>
        <w:t>OZ tedy pod pojem újma na jmění zahrnuje jak snížení aktiv, tak zvýšení dluhů.  Toto pojetí je rozdíl od Občanského zákoníku z roku 1964, který zvýš</w:t>
      </w:r>
      <w:r w:rsidR="00DC63DB">
        <w:rPr>
          <w:sz w:val="24"/>
          <w:szCs w:val="24"/>
          <w:highlight w:val="white"/>
        </w:rPr>
        <w:t>ení pasiv za škodu nepovažoval.</w:t>
      </w:r>
      <w:r w:rsidRPr="00DC63DB">
        <w:rPr>
          <w:sz w:val="24"/>
          <w:szCs w:val="24"/>
          <w:highlight w:val="white"/>
          <w:vertAlign w:val="superscript"/>
        </w:rPr>
        <w:footnoteReference w:id="135"/>
      </w:r>
      <w:r w:rsidRPr="00DC63DB">
        <w:rPr>
          <w:sz w:val="24"/>
          <w:szCs w:val="24"/>
          <w:highlight w:val="white"/>
        </w:rPr>
        <w:t xml:space="preserve"> Pro účely přestupkového řízení je škodou na majetku i ušlý výdělek zapříčiněný pracovní neschopností a náklady léčení.</w:t>
      </w:r>
      <w:r w:rsidRPr="00DC63DB">
        <w:rPr>
          <w:rFonts w:eastAsia="Aptos"/>
          <w:i/>
          <w:sz w:val="20"/>
          <w:szCs w:val="20"/>
          <w:vertAlign w:val="superscript"/>
        </w:rPr>
        <w:footnoteReference w:id="136"/>
      </w:r>
      <w:r w:rsidRPr="00DC63DB">
        <w:rPr>
          <w:rFonts w:eastAsia="Aptos"/>
          <w:sz w:val="24"/>
          <w:szCs w:val="24"/>
        </w:rPr>
        <w:t xml:space="preserve"> Rovněž lze žádat v rámci majetkové škody úroky z prodlení a náklady spojené s uplatněním nárok</w:t>
      </w:r>
      <w:r w:rsidRPr="00DC63DB">
        <w:rPr>
          <w:rFonts w:eastAsia="Aptos"/>
          <w:sz w:val="20"/>
          <w:szCs w:val="20"/>
        </w:rPr>
        <w:t xml:space="preserve">u. </w:t>
      </w:r>
      <w:r w:rsidRPr="00DC63DB">
        <w:rPr>
          <w:rFonts w:eastAsia="Aptos"/>
          <w:sz w:val="20"/>
          <w:szCs w:val="20"/>
          <w:vertAlign w:val="superscript"/>
        </w:rPr>
        <w:footnoteReference w:id="137"/>
      </w:r>
      <w:r w:rsidRPr="00DC63DB">
        <w:rPr>
          <w:rFonts w:eastAsia="Aptos"/>
          <w:sz w:val="24"/>
          <w:szCs w:val="24"/>
        </w:rPr>
        <w:t xml:space="preserve"> Dalším nárokem, kterého se lze domáhat od účinnosti “nového” přestupkového zákona je ten na vydání bezdůvodného obohacení.</w:t>
      </w:r>
      <w:r w:rsidRPr="00DC63DB">
        <w:rPr>
          <w:rFonts w:eastAsia="Aptos"/>
          <w:sz w:val="24"/>
          <w:szCs w:val="24"/>
          <w:vertAlign w:val="superscript"/>
        </w:rPr>
        <w:footnoteReference w:id="138"/>
      </w:r>
      <w:r w:rsidRPr="00DC63DB">
        <w:rPr>
          <w:rFonts w:eastAsia="Aptos"/>
          <w:sz w:val="24"/>
          <w:szCs w:val="24"/>
        </w:rPr>
        <w:t xml:space="preserve"> PřesZ 1990 tento nárok neobsahoval. Svou povahou bude v přestupkovém řízení uplatňován spíše vyjímečně.</w:t>
      </w:r>
      <w:r w:rsidRPr="00DC63DB">
        <w:rPr>
          <w:rFonts w:eastAsia="Aptos"/>
          <w:sz w:val="24"/>
          <w:szCs w:val="24"/>
          <w:vertAlign w:val="superscript"/>
        </w:rPr>
        <w:footnoteReference w:id="139"/>
      </w:r>
      <w:r w:rsidRPr="00DC63DB">
        <w:rPr>
          <w:rFonts w:eastAsia="Aptos"/>
          <w:sz w:val="24"/>
          <w:szCs w:val="24"/>
        </w:rPr>
        <w:t xml:space="preserve"> Bezdůvodné obohacení lze charakterizovat jako nabytí majetkové hodnoty na úkor jiného, aniž by ten měl pro toto nabytí spravedlivý důvod.</w:t>
      </w:r>
      <w:r w:rsidRPr="00DC63DB">
        <w:rPr>
          <w:rFonts w:eastAsia="Aptos"/>
          <w:sz w:val="24"/>
          <w:szCs w:val="24"/>
          <w:vertAlign w:val="superscript"/>
        </w:rPr>
        <w:footnoteReference w:id="140"/>
      </w:r>
      <w:r w:rsidRPr="00DC63DB">
        <w:rPr>
          <w:rFonts w:eastAsia="Aptos"/>
          <w:sz w:val="24"/>
          <w:szCs w:val="24"/>
        </w:rPr>
        <w:t xml:space="preserve"> </w:t>
      </w:r>
    </w:p>
    <w:p w:rsidR="005833E8" w:rsidRDefault="00D420AB" w:rsidP="005833E8">
      <w:pPr>
        <w:spacing w:line="360" w:lineRule="auto"/>
        <w:rPr>
          <w:b/>
        </w:rPr>
      </w:pPr>
      <w:r>
        <w:br/>
      </w:r>
      <w:r w:rsidR="005833E8">
        <w:rPr>
          <w:b/>
        </w:rPr>
        <w:br/>
      </w:r>
    </w:p>
    <w:p w:rsidR="00D845BD" w:rsidRPr="00FB1987" w:rsidRDefault="00C85A10" w:rsidP="005833E8">
      <w:pPr>
        <w:spacing w:line="360" w:lineRule="auto"/>
        <w:rPr>
          <w:b/>
          <w:color w:val="A64D79"/>
        </w:rPr>
      </w:pPr>
      <w:r w:rsidRPr="00FB1987">
        <w:rPr>
          <w:b/>
        </w:rPr>
        <w:lastRenderedPageBreak/>
        <w:t>3</w:t>
      </w:r>
      <w:r w:rsidR="009C3EB0" w:rsidRPr="00FB1987">
        <w:rPr>
          <w:b/>
        </w:rPr>
        <w:t>.3.1</w:t>
      </w:r>
      <w:r w:rsidRPr="00FB1987">
        <w:rPr>
          <w:b/>
        </w:rPr>
        <w:t>.</w:t>
      </w:r>
      <w:r w:rsidR="00B425CE" w:rsidRPr="00FB1987">
        <w:rPr>
          <w:b/>
        </w:rPr>
        <w:t xml:space="preserve"> Krité</w:t>
      </w:r>
      <w:r w:rsidR="00D845BD" w:rsidRPr="00FB1987">
        <w:rPr>
          <w:b/>
        </w:rPr>
        <w:t xml:space="preserve">rium řádnosti uplatnění nároku </w:t>
      </w:r>
    </w:p>
    <w:p w:rsidR="007A76F9" w:rsidRPr="00DC63DB" w:rsidRDefault="00B425CE" w:rsidP="005833E8">
      <w:pPr>
        <w:spacing w:after="160" w:line="360" w:lineRule="auto"/>
        <w:ind w:right="567" w:firstLine="720"/>
        <w:jc w:val="both"/>
        <w:rPr>
          <w:rFonts w:eastAsia="Aptos"/>
          <w:b/>
          <w:sz w:val="28"/>
          <w:szCs w:val="28"/>
        </w:rPr>
      </w:pPr>
      <w:r w:rsidRPr="00D845BD">
        <w:rPr>
          <w:rFonts w:eastAsia="Aptos"/>
          <w:sz w:val="24"/>
          <w:szCs w:val="24"/>
        </w:rPr>
        <w:t>Pokud osoba poškozeného uplatňuje svůj nárok, je potřeba, aby v něm určila konkrétní osobu škůdce nebo obohaceného. V situaci, kdy je osob škůdců či obohacených více, pak poškozený uvede způsob náhrady. V úvahu připadá varianta jak solidární odpovědnosti škůdců, tedy její uplatnění vůči všem škůdcům, tak náhrada podle míry jejich účasti.</w:t>
      </w:r>
      <w:r w:rsidRPr="00D845BD">
        <w:rPr>
          <w:rFonts w:eastAsia="Aptos"/>
          <w:sz w:val="24"/>
          <w:szCs w:val="24"/>
          <w:vertAlign w:val="superscript"/>
        </w:rPr>
        <w:footnoteReference w:id="141"/>
      </w:r>
      <w:r w:rsidRPr="00D845BD">
        <w:rPr>
          <w:rFonts w:eastAsia="Aptos"/>
          <w:sz w:val="24"/>
          <w:szCs w:val="24"/>
        </w:rPr>
        <w:t xml:space="preserve">  V úvahu přichází i varianta, že poškozený bude uplatňovat nárok pouze vůči jednomu z nich.</w:t>
      </w:r>
      <w:r w:rsidRPr="00D845BD">
        <w:rPr>
          <w:rFonts w:eastAsia="Aptos"/>
          <w:sz w:val="24"/>
          <w:szCs w:val="24"/>
          <w:vertAlign w:val="superscript"/>
        </w:rPr>
        <w:footnoteReference w:id="142"/>
      </w:r>
      <w:r w:rsidRPr="00D845BD">
        <w:rPr>
          <w:rFonts w:eastAsia="Aptos"/>
          <w:sz w:val="24"/>
          <w:szCs w:val="24"/>
        </w:rPr>
        <w:t xml:space="preserve"> Takovou osobou samozřejmě musí být obviněný z přestupku.</w:t>
      </w:r>
      <w:r w:rsidRPr="00D845BD">
        <w:rPr>
          <w:rFonts w:eastAsia="Aptos"/>
          <w:color w:val="00FF00"/>
          <w:sz w:val="24"/>
          <w:szCs w:val="24"/>
        </w:rPr>
        <w:t xml:space="preserve"> </w:t>
      </w:r>
      <w:r w:rsidRPr="00D845BD">
        <w:rPr>
          <w:rFonts w:eastAsia="Aptos"/>
          <w:sz w:val="24"/>
          <w:szCs w:val="24"/>
          <w:vertAlign w:val="superscript"/>
        </w:rPr>
        <w:footnoteReference w:id="143"/>
      </w:r>
      <w:r w:rsidRPr="00D845BD">
        <w:rPr>
          <w:rFonts w:eastAsia="Aptos"/>
          <w:sz w:val="24"/>
          <w:szCs w:val="24"/>
        </w:rPr>
        <w:t xml:space="preserve"> </w:t>
      </w:r>
      <w:r w:rsidRPr="00DC63DB">
        <w:rPr>
          <w:rFonts w:eastAsia="Aptos"/>
          <w:sz w:val="24"/>
          <w:szCs w:val="24"/>
        </w:rPr>
        <w:t>Tento výčet nelze měnit po mezním termínu pro uplatnění nároku osobou. Je</w:t>
      </w:r>
      <w:r w:rsidRPr="00D845BD">
        <w:rPr>
          <w:rFonts w:eastAsia="Aptos"/>
          <w:sz w:val="24"/>
          <w:szCs w:val="24"/>
        </w:rPr>
        <w:t>-li spoluobviněných více a v rámci řízení o deliktu bude ve vztahu k té, vůči které uplatňuje poškozený n</w:t>
      </w:r>
      <w:r w:rsidR="00D845BD">
        <w:rPr>
          <w:rFonts w:eastAsia="Aptos"/>
          <w:sz w:val="24"/>
          <w:szCs w:val="24"/>
        </w:rPr>
        <w:t xml:space="preserve">árok, řízení zastaveno, pak se </w:t>
      </w:r>
      <w:r w:rsidRPr="00D845BD">
        <w:rPr>
          <w:rFonts w:eastAsia="Aptos"/>
          <w:sz w:val="24"/>
          <w:szCs w:val="24"/>
        </w:rPr>
        <w:t>poškozený nedomůže nároku v adhezním řízení v případě obviněných, vůči kterým jej včas neuplatnil.</w:t>
      </w:r>
      <w:r w:rsidRPr="00D845BD">
        <w:rPr>
          <w:rFonts w:eastAsia="Aptos"/>
          <w:sz w:val="24"/>
          <w:szCs w:val="24"/>
          <w:vertAlign w:val="superscript"/>
        </w:rPr>
        <w:footnoteReference w:id="144"/>
      </w:r>
      <w:r w:rsidRPr="00D845BD">
        <w:rPr>
          <w:rFonts w:eastAsia="Aptos"/>
          <w:sz w:val="24"/>
          <w:szCs w:val="24"/>
        </w:rPr>
        <w:t xml:space="preserve"> Lze tedy silně doporučit, aby poškozený uplatnil nárok uplatnil vůči všem obviněným osobám. </w:t>
      </w:r>
      <w:r w:rsidRPr="00DC63DB">
        <w:rPr>
          <w:rFonts w:eastAsia="Aptos"/>
          <w:sz w:val="24"/>
          <w:szCs w:val="24"/>
        </w:rPr>
        <w:t>Není důvod myslet si, že v přestupkovém řízení bude situace jiná.</w:t>
      </w:r>
    </w:p>
    <w:p w:rsidR="007A76F9" w:rsidRPr="00DC63DB" w:rsidRDefault="00B425CE" w:rsidP="005833E8">
      <w:pPr>
        <w:spacing w:after="160" w:line="360" w:lineRule="auto"/>
        <w:ind w:right="567" w:firstLine="720"/>
        <w:jc w:val="both"/>
        <w:rPr>
          <w:rFonts w:eastAsia="Aptos"/>
          <w:sz w:val="24"/>
          <w:szCs w:val="24"/>
        </w:rPr>
      </w:pPr>
      <w:r w:rsidRPr="00D845BD">
        <w:rPr>
          <w:rFonts w:eastAsia="Aptos"/>
          <w:sz w:val="24"/>
          <w:szCs w:val="24"/>
        </w:rPr>
        <w:t>Další podmínkou splnění požadavku řádnosti uplatnění nároku je, aby z něj byl patrný důvod existence a také výše škody, přičemž obojí musí být poškozeným doloženo.</w:t>
      </w:r>
      <w:r w:rsidRPr="00D845BD">
        <w:rPr>
          <w:rFonts w:eastAsia="Aptos"/>
          <w:sz w:val="24"/>
          <w:szCs w:val="24"/>
          <w:vertAlign w:val="superscript"/>
        </w:rPr>
        <w:footnoteReference w:id="145"/>
      </w:r>
      <w:r w:rsidRPr="00D845BD">
        <w:rPr>
          <w:rFonts w:eastAsia="Aptos"/>
          <w:sz w:val="24"/>
          <w:szCs w:val="24"/>
        </w:rPr>
        <w:t xml:space="preserve"> Co se týče požadavku důvodu, pak trestněprocesní komentáře pod autorským vedením Šámala i Draštíka konstatují, že postačí pouze tvrzení, že předmětným skutkem vznikla škoda a poškozený ji uplatňuje.</w:t>
      </w:r>
      <w:r w:rsidRPr="00D845BD">
        <w:rPr>
          <w:rFonts w:eastAsia="Aptos"/>
          <w:sz w:val="24"/>
          <w:szCs w:val="24"/>
          <w:vertAlign w:val="superscript"/>
        </w:rPr>
        <w:footnoteReference w:id="146"/>
      </w:r>
      <w:r w:rsidRPr="00D845BD">
        <w:rPr>
          <w:rFonts w:eastAsia="Aptos"/>
          <w:sz w:val="24"/>
          <w:szCs w:val="24"/>
        </w:rPr>
        <w:t xml:space="preserve"> Výše škody musí být konkretizována alespoň co do minimální částky nebo alespoň uvedením takových údajů, z nichž vyplývá, přičemž konečnou výši lze měnit v průběhu řízení měnit.</w:t>
      </w:r>
      <w:r w:rsidRPr="00D845BD">
        <w:rPr>
          <w:rFonts w:eastAsia="Aptos"/>
          <w:sz w:val="24"/>
          <w:szCs w:val="24"/>
          <w:vertAlign w:val="superscript"/>
        </w:rPr>
        <w:footnoteReference w:id="147"/>
      </w:r>
      <w:r w:rsidRPr="00D845BD">
        <w:rPr>
          <w:rFonts w:eastAsia="Aptos"/>
          <w:sz w:val="24"/>
          <w:szCs w:val="24"/>
        </w:rPr>
        <w:t xml:space="preserve"> </w:t>
      </w:r>
      <w:r w:rsidRPr="00DC63DB">
        <w:rPr>
          <w:rFonts w:eastAsia="Aptos"/>
          <w:sz w:val="24"/>
          <w:szCs w:val="24"/>
        </w:rPr>
        <w:t>Mám za to, že stejně tak uvedené postačí v řízení o přestupku, respektive nevidím žádný rozumný důvod pro odchýlení se od názorů v těchto zmíněných komentářích.</w:t>
      </w:r>
    </w:p>
    <w:p w:rsidR="00D536D8" w:rsidRPr="00433A4E" w:rsidRDefault="00B425CE" w:rsidP="005833E8">
      <w:pPr>
        <w:spacing w:after="160" w:line="360" w:lineRule="auto"/>
        <w:ind w:right="567" w:firstLine="720"/>
        <w:jc w:val="both"/>
        <w:rPr>
          <w:rFonts w:eastAsia="Aptos"/>
          <w:sz w:val="24"/>
          <w:szCs w:val="24"/>
        </w:rPr>
      </w:pPr>
      <w:r w:rsidRPr="00D845BD">
        <w:rPr>
          <w:rFonts w:eastAsia="Aptos"/>
          <w:sz w:val="24"/>
          <w:szCs w:val="24"/>
        </w:rPr>
        <w:t xml:space="preserve">PřesZ neobsahuje způsob, jakým se poškozený domáhá svého nároku, tedy, že žádá náhradu </w:t>
      </w:r>
      <w:r w:rsidRPr="00D845BD">
        <w:rPr>
          <w:rFonts w:eastAsia="Aptos"/>
          <w:i/>
          <w:sz w:val="24"/>
          <w:szCs w:val="24"/>
        </w:rPr>
        <w:t>v penězích.</w:t>
      </w:r>
      <w:r w:rsidRPr="00D845BD">
        <w:rPr>
          <w:rFonts w:eastAsia="Aptos"/>
          <w:i/>
          <w:sz w:val="24"/>
          <w:szCs w:val="24"/>
          <w:vertAlign w:val="superscript"/>
        </w:rPr>
        <w:footnoteReference w:id="148"/>
      </w:r>
      <w:r w:rsidRPr="00D845BD">
        <w:rPr>
          <w:rFonts w:eastAsia="Aptos"/>
          <w:i/>
          <w:sz w:val="24"/>
          <w:szCs w:val="24"/>
        </w:rPr>
        <w:t xml:space="preserve"> </w:t>
      </w:r>
      <w:r w:rsidRPr="00D845BD">
        <w:rPr>
          <w:rFonts w:eastAsia="Aptos"/>
          <w:sz w:val="24"/>
          <w:szCs w:val="24"/>
        </w:rPr>
        <w:t xml:space="preserve">Naturální restituci jako způsob náhrady újmy připouští ve </w:t>
      </w:r>
      <w:r w:rsidRPr="00D845BD">
        <w:rPr>
          <w:rFonts w:eastAsia="Aptos"/>
          <w:sz w:val="24"/>
          <w:szCs w:val="24"/>
        </w:rPr>
        <w:lastRenderedPageBreak/>
        <w:t>svých komentářích Bohadlo</w:t>
      </w:r>
      <w:r w:rsidRPr="00D845BD">
        <w:rPr>
          <w:rFonts w:eastAsia="Aptos"/>
          <w:sz w:val="24"/>
          <w:szCs w:val="24"/>
          <w:vertAlign w:val="superscript"/>
        </w:rPr>
        <w:footnoteReference w:id="149"/>
      </w:r>
      <w:r w:rsidRPr="00D845BD">
        <w:rPr>
          <w:rFonts w:eastAsia="Aptos"/>
          <w:sz w:val="24"/>
          <w:szCs w:val="24"/>
        </w:rPr>
        <w:t xml:space="preserve"> i Horzinková a Kučerová.</w:t>
      </w:r>
      <w:r w:rsidRPr="00D845BD">
        <w:rPr>
          <w:rFonts w:eastAsia="Aptos"/>
          <w:sz w:val="24"/>
          <w:szCs w:val="24"/>
          <w:vertAlign w:val="superscript"/>
        </w:rPr>
        <w:footnoteReference w:id="150"/>
      </w:r>
      <w:r w:rsidRPr="00D845BD">
        <w:rPr>
          <w:rFonts w:eastAsia="Aptos"/>
          <w:sz w:val="24"/>
          <w:szCs w:val="24"/>
        </w:rPr>
        <w:t xml:space="preserve"> </w:t>
      </w:r>
      <w:r w:rsidRPr="00DC63DB">
        <w:rPr>
          <w:rFonts w:eastAsia="Aptos"/>
          <w:sz w:val="24"/>
          <w:szCs w:val="24"/>
        </w:rPr>
        <w:t>Osobně považuji za poněkud nešťastné, že k tomuto mlčí jak zákon, tak i důvodová zpráva</w:t>
      </w:r>
      <w:r w:rsidRPr="00D845BD">
        <w:rPr>
          <w:rFonts w:eastAsia="Aptos"/>
          <w:color w:val="FF0000"/>
          <w:sz w:val="24"/>
          <w:szCs w:val="24"/>
        </w:rPr>
        <w:t>.</w:t>
      </w:r>
      <w:r w:rsidRPr="00D845BD">
        <w:rPr>
          <w:rFonts w:eastAsia="Aptos"/>
          <w:sz w:val="24"/>
          <w:szCs w:val="24"/>
        </w:rPr>
        <w:t xml:space="preserve"> Nevyhnutelně dochází (či docházet může) k nejasnostem. Jak totiž píše Prášková: </w:t>
      </w:r>
      <w:r w:rsidRPr="00D845BD">
        <w:rPr>
          <w:rFonts w:eastAsia="Aptos"/>
          <w:i/>
          <w:sz w:val="24"/>
          <w:szCs w:val="24"/>
        </w:rPr>
        <w:t>“Je otázkou, zda by mohl správní orgán rozhodnout o nepeněžní náhradě škody.”</w:t>
      </w:r>
      <w:r w:rsidRPr="00D845BD">
        <w:rPr>
          <w:rFonts w:eastAsia="Aptos"/>
          <w:sz w:val="24"/>
          <w:szCs w:val="24"/>
          <w:vertAlign w:val="superscript"/>
        </w:rPr>
        <w:footnoteReference w:id="151"/>
      </w:r>
      <w:r w:rsidRPr="00D845BD">
        <w:rPr>
          <w:rFonts w:eastAsia="Aptos"/>
          <w:sz w:val="24"/>
          <w:szCs w:val="24"/>
        </w:rPr>
        <w:t xml:space="preserve"> Nahlédnutím do trest</w:t>
      </w:r>
      <w:r w:rsidR="00DC63DB">
        <w:rPr>
          <w:rFonts w:eastAsia="Aptos"/>
          <w:sz w:val="24"/>
          <w:szCs w:val="24"/>
        </w:rPr>
        <w:t xml:space="preserve">ního řízení zjistíme, že znění </w:t>
      </w:r>
      <w:r w:rsidRPr="00D845BD">
        <w:rPr>
          <w:rFonts w:eastAsia="Aptos"/>
          <w:sz w:val="24"/>
          <w:szCs w:val="24"/>
        </w:rPr>
        <w:t xml:space="preserve">ustanovení § 43 TŘ zní vcelku jasně </w:t>
      </w:r>
      <w:r w:rsidR="00DC63DB">
        <w:rPr>
          <w:rFonts w:eastAsia="Aptos"/>
          <w:sz w:val="24"/>
          <w:szCs w:val="24"/>
        </w:rPr>
        <w:t>–</w:t>
      </w:r>
      <w:r w:rsidRPr="00D845BD">
        <w:rPr>
          <w:rFonts w:eastAsia="Aptos"/>
          <w:sz w:val="24"/>
          <w:szCs w:val="24"/>
        </w:rPr>
        <w:t xml:space="preserve"> poškozený může žádat náhradu újmy </w:t>
      </w:r>
      <w:r w:rsidRPr="00D845BD">
        <w:rPr>
          <w:rFonts w:eastAsia="Aptos"/>
          <w:i/>
          <w:sz w:val="24"/>
          <w:szCs w:val="24"/>
        </w:rPr>
        <w:t xml:space="preserve">v penězích. </w:t>
      </w:r>
      <w:r w:rsidRPr="00D845BD">
        <w:rPr>
          <w:rFonts w:eastAsia="Aptos"/>
          <w:sz w:val="24"/>
          <w:szCs w:val="24"/>
        </w:rPr>
        <w:t>Toto slůvko bylo do tohoto ustanovení vloženo novelou TŘ č. 181/2011 Sb., kterou byla mmj. zavedena možnost domáhat se náhrady nemajetkové újmy.</w:t>
      </w:r>
      <w:r w:rsidRPr="00D845BD">
        <w:rPr>
          <w:rFonts w:eastAsia="Aptos"/>
          <w:sz w:val="24"/>
          <w:szCs w:val="24"/>
          <w:vertAlign w:val="superscript"/>
        </w:rPr>
        <w:footnoteReference w:id="152"/>
      </w:r>
      <w:r w:rsidRPr="00D845BD">
        <w:rPr>
          <w:rFonts w:eastAsia="Aptos"/>
          <w:sz w:val="24"/>
          <w:szCs w:val="24"/>
        </w:rPr>
        <w:t xml:space="preserve"> Důvodová zpráva k němu se bohužel o záměru, resp. důvodech nevyjadřuje. Od účinnosti této novely není možná náhrada formou naturální restituce.</w:t>
      </w:r>
      <w:r w:rsidRPr="00D845BD">
        <w:rPr>
          <w:rFonts w:eastAsia="Aptos"/>
          <w:sz w:val="24"/>
          <w:szCs w:val="24"/>
          <w:vertAlign w:val="superscript"/>
        </w:rPr>
        <w:footnoteReference w:id="153"/>
      </w:r>
      <w:r w:rsidRPr="00D845BD">
        <w:rPr>
          <w:rFonts w:eastAsia="Aptos"/>
          <w:color w:val="00FF00"/>
          <w:sz w:val="24"/>
          <w:szCs w:val="24"/>
        </w:rPr>
        <w:t xml:space="preserve"> </w:t>
      </w:r>
      <w:r w:rsidRPr="00D845BD">
        <w:rPr>
          <w:rFonts w:eastAsia="Aptos"/>
          <w:sz w:val="24"/>
          <w:szCs w:val="24"/>
        </w:rPr>
        <w:t>Vyvstává tak otázka, jaký byl smysl a účel novely tohoto ustanovení. Možná, že zákonodárce nechtěl, aby u nároků na náhradu majetkové škody byla naturální restituce možná, zatímco u nemajetkové újmy nikoli (i když i zde je v některých případech jistě přestavitelná</w:t>
      </w:r>
      <w:r w:rsidRPr="00D845BD">
        <w:rPr>
          <w:rFonts w:eastAsia="Aptos"/>
          <w:sz w:val="24"/>
          <w:szCs w:val="24"/>
          <w:vertAlign w:val="superscript"/>
        </w:rPr>
        <w:footnoteReference w:id="154"/>
      </w:r>
      <w:r w:rsidRPr="00D845BD">
        <w:rPr>
          <w:rFonts w:eastAsia="Aptos"/>
          <w:sz w:val="24"/>
          <w:szCs w:val="24"/>
        </w:rPr>
        <w:t>). Tato otázka jistě zaslouží odbornou debatu. Je jakousi ironií, že naturální restituci v adhezním trestním řízení vyloučila zmíněná novela, která je úč</w:t>
      </w:r>
      <w:r w:rsidR="00DC63DB">
        <w:rPr>
          <w:rFonts w:eastAsia="Aptos"/>
          <w:sz w:val="24"/>
          <w:szCs w:val="24"/>
        </w:rPr>
        <w:t xml:space="preserve">inná od roku 2012, tedy v době těsně před účinností </w:t>
      </w:r>
      <w:r w:rsidRPr="00D845BD">
        <w:rPr>
          <w:rFonts w:eastAsia="Aptos"/>
          <w:sz w:val="24"/>
          <w:szCs w:val="24"/>
        </w:rPr>
        <w:t>aktuální</w:t>
      </w:r>
      <w:r w:rsidR="00DC63DB">
        <w:rPr>
          <w:rFonts w:eastAsia="Aptos"/>
          <w:sz w:val="24"/>
          <w:szCs w:val="24"/>
        </w:rPr>
        <w:t>ho</w:t>
      </w:r>
      <w:r w:rsidRPr="00D845BD">
        <w:rPr>
          <w:rFonts w:eastAsia="Aptos"/>
          <w:sz w:val="24"/>
          <w:szCs w:val="24"/>
        </w:rPr>
        <w:t xml:space="preserve"> OZ</w:t>
      </w:r>
      <w:r w:rsidR="00DC63DB">
        <w:rPr>
          <w:rStyle w:val="Znakapoznpodarou"/>
          <w:rFonts w:eastAsia="Aptos"/>
          <w:sz w:val="24"/>
          <w:szCs w:val="24"/>
        </w:rPr>
        <w:footnoteReference w:id="155"/>
      </w:r>
      <w:r w:rsidRPr="00D845BD">
        <w:rPr>
          <w:rFonts w:eastAsia="Aptos"/>
          <w:sz w:val="24"/>
          <w:szCs w:val="24"/>
        </w:rPr>
        <w:t>, který naopak oproti OZ z roku 1964</w:t>
      </w:r>
      <w:r w:rsidRPr="00D845BD">
        <w:rPr>
          <w:rFonts w:eastAsia="Aptos"/>
          <w:sz w:val="24"/>
          <w:szCs w:val="24"/>
          <w:vertAlign w:val="superscript"/>
        </w:rPr>
        <w:footnoteReference w:id="156"/>
      </w:r>
      <w:r w:rsidRPr="00D845BD">
        <w:rPr>
          <w:rFonts w:eastAsia="Aptos"/>
          <w:sz w:val="24"/>
          <w:szCs w:val="24"/>
        </w:rPr>
        <w:t xml:space="preserve"> upřednostnil naturální</w:t>
      </w:r>
      <w:r w:rsidR="007A76F9">
        <w:rPr>
          <w:rFonts w:eastAsia="Aptos"/>
          <w:sz w:val="24"/>
          <w:szCs w:val="24"/>
        </w:rPr>
        <w:t xml:space="preserve"> </w:t>
      </w:r>
      <w:r w:rsidRPr="00D845BD">
        <w:rPr>
          <w:rFonts w:eastAsia="Aptos"/>
          <w:sz w:val="24"/>
          <w:szCs w:val="24"/>
        </w:rPr>
        <w:t>restituci, je li to možné  (současně však dává poškozenému na výběr</w:t>
      </w:r>
      <w:r w:rsidRPr="00D845BD">
        <w:rPr>
          <w:rFonts w:eastAsia="Aptos"/>
          <w:sz w:val="24"/>
          <w:szCs w:val="24"/>
          <w:vertAlign w:val="superscript"/>
        </w:rPr>
        <w:footnoteReference w:id="157"/>
      </w:r>
      <w:r w:rsidRPr="00D845BD">
        <w:rPr>
          <w:rFonts w:eastAsia="Aptos"/>
          <w:sz w:val="24"/>
          <w:szCs w:val="24"/>
        </w:rPr>
        <w:t>). Je také možné, byť si nemyslím, že je to pravým důvodem, že zákonodárce zrušení možnosti žádat naturální restituci přistoupil na základě její nízké využívanosti.</w:t>
      </w:r>
      <w:r w:rsidRPr="00D845BD">
        <w:rPr>
          <w:rFonts w:eastAsia="Aptos"/>
          <w:sz w:val="24"/>
          <w:szCs w:val="24"/>
          <w:vertAlign w:val="superscript"/>
        </w:rPr>
        <w:footnoteReference w:id="158"/>
      </w:r>
      <w:r w:rsidRPr="00D845BD">
        <w:rPr>
          <w:rFonts w:eastAsia="Aptos"/>
          <w:color w:val="FF0000"/>
          <w:sz w:val="24"/>
          <w:szCs w:val="24"/>
        </w:rPr>
        <w:t xml:space="preserve"> </w:t>
      </w:r>
      <w:r w:rsidRPr="00C85A10">
        <w:rPr>
          <w:rFonts w:eastAsia="Aptos"/>
          <w:sz w:val="24"/>
          <w:szCs w:val="24"/>
        </w:rPr>
        <w:t xml:space="preserve">Lze </w:t>
      </w:r>
      <w:r w:rsidR="00433A4E" w:rsidRPr="00C85A10">
        <w:rPr>
          <w:rFonts w:eastAsia="Aptos"/>
          <w:sz w:val="24"/>
          <w:szCs w:val="24"/>
        </w:rPr>
        <w:t>se však</w:t>
      </w:r>
      <w:r w:rsidRPr="00C85A10">
        <w:rPr>
          <w:rFonts w:eastAsia="Aptos"/>
          <w:sz w:val="24"/>
          <w:szCs w:val="24"/>
        </w:rPr>
        <w:t xml:space="preserve"> jistě domnívat, že pro poškozeného </w:t>
      </w:r>
      <w:r w:rsidRPr="00433A4E">
        <w:rPr>
          <w:rFonts w:eastAsia="Aptos"/>
          <w:sz w:val="24"/>
          <w:szCs w:val="24"/>
        </w:rPr>
        <w:t>bude možnost výběru náhrady, jak ji předpokládá ustanovení § 2951 OZ, výhodnější.</w:t>
      </w:r>
    </w:p>
    <w:p w:rsidR="00B425CE" w:rsidRDefault="00B425CE" w:rsidP="005833E8">
      <w:pPr>
        <w:spacing w:after="160" w:line="360" w:lineRule="auto"/>
        <w:ind w:right="567"/>
        <w:jc w:val="both"/>
        <w:rPr>
          <w:rFonts w:eastAsia="Aptos"/>
          <w:sz w:val="24"/>
          <w:szCs w:val="24"/>
        </w:rPr>
      </w:pPr>
      <w:r w:rsidRPr="00433A4E">
        <w:rPr>
          <w:rFonts w:eastAsia="Aptos"/>
          <w:sz w:val="24"/>
          <w:szCs w:val="24"/>
        </w:rPr>
        <w:t xml:space="preserve"> </w:t>
      </w:r>
      <w:r w:rsidR="00433A4E" w:rsidRPr="00433A4E">
        <w:rPr>
          <w:rFonts w:eastAsia="Aptos"/>
          <w:sz w:val="24"/>
          <w:szCs w:val="24"/>
        </w:rPr>
        <w:tab/>
      </w:r>
      <w:r w:rsidRPr="00433A4E">
        <w:rPr>
          <w:rFonts w:eastAsia="Aptos"/>
          <w:sz w:val="24"/>
          <w:szCs w:val="24"/>
        </w:rPr>
        <w:t xml:space="preserve">Vzhledem k tomu, že smysl a účel omezení náhrady újmy na náhradu </w:t>
      </w:r>
      <w:r w:rsidRPr="00433A4E">
        <w:rPr>
          <w:rFonts w:eastAsia="Aptos"/>
          <w:i/>
          <w:sz w:val="24"/>
          <w:szCs w:val="24"/>
        </w:rPr>
        <w:t>v penězích</w:t>
      </w:r>
      <w:r w:rsidRPr="00433A4E">
        <w:rPr>
          <w:rFonts w:eastAsia="Aptos"/>
          <w:sz w:val="24"/>
          <w:szCs w:val="24"/>
        </w:rPr>
        <w:t xml:space="preserve"> v ustanovení § 43 odst. 3 TŘ nevidím, ani jsem jej nedohledal, nemyslím si, že by mělo být </w:t>
      </w:r>
      <w:r w:rsidRPr="00433A4E">
        <w:rPr>
          <w:rFonts w:eastAsia="Aptos"/>
          <w:sz w:val="24"/>
          <w:szCs w:val="24"/>
        </w:rPr>
        <w:lastRenderedPageBreak/>
        <w:t>ustanovení § 70 PřesZ vykládáno restriktivně po vzoru TŘ, i když uznávám, že tím vzniká rozpor mezi oběma předpisy, který bývá v této práci předmětem kritiky. PřesZ o způsobu náhrady újmy nepojednává, spolu s výše zmíněnými autory mám za to, že poškozený si může způsob náhrady vybrat, tedy třeba i formou uvedení v předešlý stav. Tento výběr by pak měl nejspíš učinit v rámci “řádnosti” návrhu, tedy nejspíš do vydání rozhodnutí</w:t>
      </w:r>
      <w:r w:rsidR="00433A4E" w:rsidRPr="00433A4E">
        <w:rPr>
          <w:rFonts w:eastAsia="Aptos"/>
          <w:sz w:val="24"/>
          <w:szCs w:val="24"/>
        </w:rPr>
        <w:t>,</w:t>
      </w:r>
      <w:r w:rsidRPr="00433A4E">
        <w:rPr>
          <w:rFonts w:eastAsia="Aptos"/>
          <w:sz w:val="24"/>
          <w:szCs w:val="24"/>
        </w:rPr>
        <w:t xml:space="preserve"> a nikoli nutně do počátku ústního jednání již v rámci uplatnění nároku. Z toho tedy vyplývá, že by měl poškozený mít možnost požadovaný způsob náhrady změnit. Současně si myslím, že </w:t>
      </w:r>
      <w:r w:rsidRPr="00433A4E">
        <w:rPr>
          <w:rFonts w:eastAsia="Aptos"/>
          <w:i/>
          <w:sz w:val="24"/>
          <w:szCs w:val="24"/>
        </w:rPr>
        <w:t xml:space="preserve">de lege ferenda, </w:t>
      </w:r>
      <w:r w:rsidRPr="00433A4E">
        <w:rPr>
          <w:rFonts w:eastAsia="Aptos"/>
          <w:sz w:val="24"/>
          <w:szCs w:val="24"/>
        </w:rPr>
        <w:t xml:space="preserve">zejména v souvislosti s </w:t>
      </w:r>
      <w:r w:rsidR="00433A4E" w:rsidRPr="00433A4E">
        <w:rPr>
          <w:rFonts w:eastAsia="Aptos"/>
          <w:sz w:val="24"/>
          <w:szCs w:val="24"/>
        </w:rPr>
        <w:t xml:space="preserve">možným </w:t>
      </w:r>
      <w:r w:rsidRPr="00433A4E">
        <w:rPr>
          <w:rFonts w:eastAsia="Aptos"/>
          <w:sz w:val="24"/>
          <w:szCs w:val="24"/>
        </w:rPr>
        <w:t>budoucím přijetím nového TŘ,</w:t>
      </w:r>
      <w:r w:rsidRPr="00433A4E">
        <w:rPr>
          <w:rFonts w:eastAsia="Aptos"/>
          <w:i/>
          <w:sz w:val="24"/>
          <w:szCs w:val="24"/>
        </w:rPr>
        <w:t xml:space="preserve"> </w:t>
      </w:r>
      <w:r w:rsidRPr="00433A4E">
        <w:rPr>
          <w:rFonts w:eastAsia="Aptos"/>
          <w:sz w:val="24"/>
          <w:szCs w:val="24"/>
        </w:rPr>
        <w:t>by bylo dobré otevřít debatu o znovuzavedení možnosti náhrady majetkové újmy poškozeného v adhezním řízení formou naturální restituce, jak o tom psal Visinger</w:t>
      </w:r>
      <w:r w:rsidR="00433A4E" w:rsidRPr="00433A4E">
        <w:rPr>
          <w:rFonts w:eastAsia="Aptos"/>
          <w:sz w:val="24"/>
          <w:szCs w:val="24"/>
        </w:rPr>
        <w:t>,</w:t>
      </w:r>
      <w:r w:rsidRPr="00433A4E">
        <w:rPr>
          <w:rFonts w:eastAsia="Aptos"/>
          <w:sz w:val="24"/>
          <w:szCs w:val="24"/>
          <w:vertAlign w:val="superscript"/>
        </w:rPr>
        <w:footnoteReference w:id="159"/>
      </w:r>
      <w:r w:rsidRPr="00433A4E">
        <w:rPr>
          <w:rFonts w:eastAsia="Aptos"/>
          <w:sz w:val="24"/>
          <w:szCs w:val="24"/>
        </w:rPr>
        <w:t xml:space="preserve"> protože</w:t>
      </w:r>
      <w:r w:rsidRPr="00433A4E">
        <w:rPr>
          <w:rFonts w:eastAsia="Aptos"/>
          <w:i/>
          <w:sz w:val="24"/>
          <w:szCs w:val="24"/>
        </w:rPr>
        <w:t xml:space="preserve"> </w:t>
      </w:r>
      <w:r w:rsidRPr="00433A4E">
        <w:rPr>
          <w:rFonts w:eastAsia="Aptos"/>
          <w:sz w:val="24"/>
          <w:szCs w:val="24"/>
        </w:rPr>
        <w:t>důvod tohoto omezení nevidím a je paradoxem</w:t>
      </w:r>
      <w:r w:rsidRPr="00433A4E">
        <w:rPr>
          <w:rFonts w:eastAsia="Aptos"/>
          <w:i/>
          <w:sz w:val="24"/>
          <w:szCs w:val="24"/>
        </w:rPr>
        <w:t xml:space="preserve">, že </w:t>
      </w:r>
      <w:r w:rsidRPr="00433A4E">
        <w:rPr>
          <w:rFonts w:eastAsia="Aptos"/>
          <w:sz w:val="24"/>
          <w:szCs w:val="24"/>
        </w:rPr>
        <w:t>PřesZ tuto možnost minimálně nevylučuje, OZ dokonce staví na první místo a TŘ je v</w:t>
      </w:r>
      <w:r w:rsidR="007A76F9" w:rsidRPr="00433A4E">
        <w:rPr>
          <w:rFonts w:eastAsia="Aptos"/>
          <w:sz w:val="24"/>
          <w:szCs w:val="24"/>
        </w:rPr>
        <w:t xml:space="preserve"> tomto ohledu nastaven odlišně. </w:t>
      </w:r>
      <w:r w:rsidRPr="00433A4E">
        <w:rPr>
          <w:rFonts w:eastAsia="Aptos"/>
          <w:sz w:val="24"/>
          <w:szCs w:val="24"/>
        </w:rPr>
        <w:t>Dalším argumentem pak může být, že i vydání bezdůvodného obohacení probíhá formou reparace.</w:t>
      </w:r>
      <w:r w:rsidRPr="00433A4E">
        <w:rPr>
          <w:rFonts w:eastAsia="Aptos"/>
          <w:sz w:val="24"/>
          <w:szCs w:val="24"/>
          <w:vertAlign w:val="superscript"/>
        </w:rPr>
        <w:footnoteReference w:id="160"/>
      </w:r>
      <w:r w:rsidRPr="00433A4E">
        <w:rPr>
          <w:rFonts w:eastAsia="Aptos"/>
          <w:sz w:val="24"/>
          <w:szCs w:val="24"/>
        </w:rPr>
        <w:t xml:space="preserve"> Nevidím tedy důvod, proč by mohla být například vydána věc, která je předmětem bezdůvodného obohacení, zatímco náhrada za zničenou věc by nemohla být žádána např. poskytnutím věci stejného druhu. </w:t>
      </w:r>
    </w:p>
    <w:p w:rsidR="00C07033" w:rsidRDefault="00C07033" w:rsidP="005833E8">
      <w:pPr>
        <w:spacing w:after="160" w:line="360" w:lineRule="auto"/>
        <w:ind w:right="567"/>
        <w:jc w:val="both"/>
        <w:rPr>
          <w:rFonts w:eastAsia="Aptos"/>
          <w:sz w:val="24"/>
          <w:szCs w:val="24"/>
        </w:rPr>
      </w:pPr>
    </w:p>
    <w:p w:rsidR="00D536D8" w:rsidRPr="00FB1987" w:rsidRDefault="00D420AB" w:rsidP="005833E8">
      <w:pPr>
        <w:spacing w:line="360" w:lineRule="auto"/>
        <w:rPr>
          <w:b/>
        </w:rPr>
      </w:pPr>
      <w:r w:rsidRPr="00FB1987">
        <w:rPr>
          <w:b/>
        </w:rPr>
        <w:t>3</w:t>
      </w:r>
      <w:r w:rsidR="00B425CE" w:rsidRPr="00FB1987">
        <w:rPr>
          <w:b/>
        </w:rPr>
        <w:t>.3.</w:t>
      </w:r>
      <w:r w:rsidR="009C3EB0" w:rsidRPr="00FB1987">
        <w:rPr>
          <w:b/>
        </w:rPr>
        <w:t>2</w:t>
      </w:r>
      <w:r w:rsidR="00B425CE" w:rsidRPr="00FB1987">
        <w:rPr>
          <w:b/>
        </w:rPr>
        <w:t xml:space="preserve"> Kritérium včasnosti uplatnění nároku </w:t>
      </w:r>
    </w:p>
    <w:p w:rsidR="00D420AB" w:rsidRDefault="00D420AB" w:rsidP="005833E8">
      <w:pPr>
        <w:spacing w:after="160" w:line="360" w:lineRule="auto"/>
        <w:ind w:right="567"/>
        <w:jc w:val="both"/>
        <w:rPr>
          <w:rFonts w:eastAsia="Aptos"/>
          <w:b/>
          <w:sz w:val="24"/>
          <w:szCs w:val="24"/>
        </w:rPr>
      </w:pPr>
    </w:p>
    <w:p w:rsidR="007A76F9" w:rsidRDefault="00B425CE" w:rsidP="005833E8">
      <w:pPr>
        <w:spacing w:after="160" w:line="360" w:lineRule="auto"/>
        <w:ind w:right="567" w:firstLine="720"/>
        <w:jc w:val="both"/>
        <w:rPr>
          <w:rFonts w:eastAsia="Aptos"/>
          <w:sz w:val="24"/>
          <w:szCs w:val="24"/>
        </w:rPr>
      </w:pPr>
      <w:r w:rsidRPr="00D845BD">
        <w:rPr>
          <w:rFonts w:eastAsia="Aptos"/>
          <w:sz w:val="24"/>
          <w:szCs w:val="24"/>
        </w:rPr>
        <w:t>Časovým okamžikem, do kdy je třeba nárok uplatnit, je první ústní jednání ve věci nebo konec lhůty poskytnuté správním orgánem, pokud se ve věci ústní jednání nekoná.</w:t>
      </w:r>
      <w:r w:rsidRPr="00D845BD">
        <w:rPr>
          <w:rFonts w:eastAsia="Aptos"/>
          <w:sz w:val="24"/>
          <w:szCs w:val="24"/>
          <w:vertAlign w:val="superscript"/>
        </w:rPr>
        <w:footnoteReference w:id="161"/>
      </w:r>
      <w:r w:rsidRPr="00D845BD">
        <w:rPr>
          <w:rFonts w:eastAsia="Aptos"/>
          <w:sz w:val="24"/>
          <w:szCs w:val="24"/>
        </w:rPr>
        <w:t xml:space="preserve"> Toto omezení je v podstatě využitím zásady koncentrační.</w:t>
      </w:r>
      <w:r w:rsidRPr="00D845BD">
        <w:rPr>
          <w:rFonts w:eastAsia="Aptos"/>
          <w:sz w:val="24"/>
          <w:szCs w:val="24"/>
          <w:vertAlign w:val="superscript"/>
        </w:rPr>
        <w:footnoteReference w:id="162"/>
      </w:r>
      <w:r w:rsidRPr="00D845BD">
        <w:rPr>
          <w:rFonts w:eastAsia="Aptos"/>
          <w:sz w:val="24"/>
          <w:szCs w:val="24"/>
        </w:rPr>
        <w:t xml:space="preserve"> </w:t>
      </w:r>
      <w:r w:rsidRPr="00433A4E">
        <w:rPr>
          <w:rFonts w:eastAsia="Aptos"/>
          <w:sz w:val="24"/>
          <w:szCs w:val="24"/>
        </w:rPr>
        <w:t>Je otázkou, jak má být řešena situace, pokud poškozený do tohoto okamžiku nárok neuplatní a bude tak chtít učinit později</w:t>
      </w:r>
      <w:r w:rsidRPr="00D845BD">
        <w:rPr>
          <w:rFonts w:eastAsia="Aptos"/>
          <w:sz w:val="24"/>
          <w:szCs w:val="24"/>
        </w:rPr>
        <w:t>. Existují různé názory na její řešení, přičemž jedna část z nich tvrdí, že lhůta zůstane zachována při podání k přepravě v poslední den lhůty a že lhůta lze prodloužit</w:t>
      </w:r>
      <w:r w:rsidRPr="00D845BD">
        <w:rPr>
          <w:rFonts w:eastAsia="Aptos"/>
          <w:sz w:val="24"/>
          <w:szCs w:val="24"/>
          <w:vertAlign w:val="superscript"/>
        </w:rPr>
        <w:footnoteReference w:id="163"/>
      </w:r>
      <w:r w:rsidRPr="00D845BD">
        <w:rPr>
          <w:rFonts w:eastAsia="Aptos"/>
          <w:sz w:val="24"/>
          <w:szCs w:val="24"/>
        </w:rPr>
        <w:t>, druhá část tvrdí opak.</w:t>
      </w:r>
      <w:r w:rsidRPr="00D845BD">
        <w:rPr>
          <w:rFonts w:eastAsia="Aptos"/>
          <w:sz w:val="24"/>
          <w:szCs w:val="24"/>
          <w:vertAlign w:val="superscript"/>
        </w:rPr>
        <w:footnoteReference w:id="164"/>
      </w:r>
      <w:r w:rsidRPr="00D845BD">
        <w:rPr>
          <w:rFonts w:eastAsia="Aptos"/>
          <w:color w:val="FF0000"/>
          <w:sz w:val="24"/>
          <w:szCs w:val="24"/>
        </w:rPr>
        <w:t xml:space="preserve"> </w:t>
      </w:r>
      <w:r w:rsidRPr="00433A4E">
        <w:rPr>
          <w:rFonts w:eastAsia="Aptos"/>
          <w:sz w:val="24"/>
          <w:szCs w:val="24"/>
        </w:rPr>
        <w:t>Pro správné řešení je klíčové rozklíčovat právní povahu této lhůty.</w:t>
      </w:r>
      <w:r w:rsidRPr="00D845BD">
        <w:rPr>
          <w:rFonts w:eastAsia="Aptos"/>
          <w:sz w:val="24"/>
          <w:szCs w:val="24"/>
        </w:rPr>
        <w:t xml:space="preserve"> </w:t>
      </w:r>
      <w:r w:rsidRPr="00D845BD">
        <w:rPr>
          <w:rFonts w:eastAsia="Aptos"/>
          <w:sz w:val="24"/>
          <w:szCs w:val="24"/>
        </w:rPr>
        <w:lastRenderedPageBreak/>
        <w:t>Již samotná důvodová zpráva hovoří o procesní povaze lhůty a možnosti jejího prodloužení formou prominutí zmeškání úkonu.</w:t>
      </w:r>
      <w:r w:rsidRPr="00D845BD">
        <w:rPr>
          <w:rFonts w:eastAsia="Aptos"/>
          <w:sz w:val="24"/>
          <w:szCs w:val="24"/>
          <w:vertAlign w:val="superscript"/>
        </w:rPr>
        <w:footnoteReference w:id="165"/>
      </w:r>
      <w:r w:rsidR="007A76F9">
        <w:rPr>
          <w:rFonts w:eastAsia="Aptos"/>
          <w:sz w:val="24"/>
          <w:szCs w:val="24"/>
        </w:rPr>
        <w:t xml:space="preserve"> </w:t>
      </w:r>
      <w:r w:rsidR="004456B9">
        <w:rPr>
          <w:rFonts w:eastAsia="Aptos"/>
          <w:sz w:val="24"/>
          <w:szCs w:val="24"/>
        </w:rPr>
        <w:t xml:space="preserve">Pokud je lhůta k uplatnění nároku prodlužována správním orgánem v případě, kdy není nařizováno ústní jednání, pak situace nevyvolává zvláštní otázky. V takovém případě </w:t>
      </w:r>
      <w:r w:rsidR="00AF7CCE">
        <w:rPr>
          <w:rFonts w:eastAsia="Aptos"/>
          <w:sz w:val="24"/>
          <w:szCs w:val="24"/>
        </w:rPr>
        <w:t xml:space="preserve">nejspíš </w:t>
      </w:r>
      <w:r w:rsidR="004456B9">
        <w:rPr>
          <w:rFonts w:eastAsia="Aptos"/>
          <w:sz w:val="24"/>
          <w:szCs w:val="24"/>
        </w:rPr>
        <w:t>prodloužení lhůty ze strany správního orgánu nic nebrání, pokud to v konkrétní situaci shledá jako vhodné a nepříčící se rychlosti řízení.</w:t>
      </w:r>
      <w:r w:rsidR="00AF7CCE">
        <w:rPr>
          <w:rFonts w:eastAsia="Aptos"/>
          <w:sz w:val="24"/>
          <w:szCs w:val="24"/>
        </w:rPr>
        <w:t xml:space="preserve"> </w:t>
      </w:r>
      <w:r w:rsidR="00210F97">
        <w:rPr>
          <w:rFonts w:eastAsia="Aptos"/>
          <w:sz w:val="24"/>
          <w:szCs w:val="24"/>
        </w:rPr>
        <w:t>Již samotná důvodová zpráva obsahuje, že “</w:t>
      </w:r>
      <w:r w:rsidR="00210F97">
        <w:t>ve lhůtě určeném správním orgánem podle § 39 správního řádu v případě, že v řízení nebude ústní jednání nařízeno.”</w:t>
      </w:r>
      <w:r w:rsidR="00210F97">
        <w:rPr>
          <w:rStyle w:val="Znakapoznpodarou"/>
        </w:rPr>
        <w:footnoteReference w:id="166"/>
      </w:r>
      <w:r w:rsidR="00210F97">
        <w:t xml:space="preserve">  Samotné toto ustanovení pak dává možnost prodloužení, či případné stanovení lhůty nové, nebude –li to k újmě účelu řízení.</w:t>
      </w:r>
      <w:r w:rsidR="00210F97">
        <w:rPr>
          <w:rStyle w:val="Znakapoznpodarou"/>
          <w:rFonts w:eastAsia="Aptos"/>
          <w:sz w:val="24"/>
          <w:szCs w:val="24"/>
        </w:rPr>
        <w:footnoteReference w:id="167"/>
      </w:r>
    </w:p>
    <w:p w:rsidR="00D420AB" w:rsidRDefault="00B425CE" w:rsidP="005833E8">
      <w:pPr>
        <w:spacing w:after="160" w:line="360" w:lineRule="auto"/>
        <w:ind w:right="567" w:firstLine="720"/>
        <w:jc w:val="both"/>
        <w:rPr>
          <w:rFonts w:eastAsia="Aptos"/>
          <w:sz w:val="24"/>
          <w:szCs w:val="24"/>
        </w:rPr>
      </w:pPr>
      <w:r w:rsidRPr="00D845BD">
        <w:rPr>
          <w:rFonts w:eastAsia="Aptos"/>
          <w:sz w:val="24"/>
          <w:szCs w:val="24"/>
        </w:rPr>
        <w:t>Pro možnost</w:t>
      </w:r>
      <w:r w:rsidRPr="00D845BD">
        <w:rPr>
          <w:rFonts w:eastAsia="Aptos"/>
          <w:color w:val="00FF00"/>
          <w:sz w:val="24"/>
          <w:szCs w:val="24"/>
        </w:rPr>
        <w:t xml:space="preserve"> </w:t>
      </w:r>
      <w:r w:rsidRPr="00D845BD">
        <w:rPr>
          <w:rFonts w:eastAsia="Aptos"/>
          <w:sz w:val="24"/>
          <w:szCs w:val="24"/>
        </w:rPr>
        <w:t>navrácení lhůty</w:t>
      </w:r>
      <w:r w:rsidRPr="00D845BD">
        <w:rPr>
          <w:rFonts w:eastAsia="Aptos"/>
          <w:color w:val="00FF00"/>
          <w:sz w:val="24"/>
          <w:szCs w:val="24"/>
        </w:rPr>
        <w:t xml:space="preserve"> </w:t>
      </w:r>
      <w:r w:rsidRPr="00D845BD">
        <w:rPr>
          <w:rFonts w:eastAsia="Aptos"/>
          <w:sz w:val="24"/>
          <w:szCs w:val="24"/>
        </w:rPr>
        <w:t>a možnost učinit úkon po jejím uplynutí se vyslovuje názor zastávaný Fuchsem. Opírá o tvrzení, že se jedná o lhůtu procesní a argumentuje slovem “</w:t>
      </w:r>
      <w:r w:rsidRPr="00D845BD">
        <w:rPr>
          <w:rFonts w:eastAsia="Aptos"/>
          <w:i/>
          <w:sz w:val="24"/>
          <w:szCs w:val="24"/>
        </w:rPr>
        <w:t>nejpozději</w:t>
      </w:r>
      <w:r w:rsidRPr="00D845BD">
        <w:rPr>
          <w:rFonts w:eastAsia="Aptos"/>
          <w:sz w:val="24"/>
          <w:szCs w:val="24"/>
        </w:rPr>
        <w:t xml:space="preserve">” v § 70 odst. 1 PřesZ, dále možností písemného uplatnění nároku a usuzuje z něj řádné </w:t>
      </w:r>
      <w:r w:rsidRPr="00210F97">
        <w:rPr>
          <w:rFonts w:eastAsia="Aptos"/>
          <w:sz w:val="24"/>
          <w:szCs w:val="24"/>
        </w:rPr>
        <w:t>zachování lhůty v případě, že návrh dojde poslední den lhůty</w:t>
      </w:r>
      <w:r w:rsidRPr="00D845BD">
        <w:rPr>
          <w:rFonts w:eastAsia="Aptos"/>
          <w:color w:val="FF9900"/>
          <w:sz w:val="24"/>
          <w:szCs w:val="24"/>
        </w:rPr>
        <w:t>,</w:t>
      </w:r>
      <w:r w:rsidRPr="00D845BD">
        <w:rPr>
          <w:rFonts w:eastAsia="Aptos"/>
          <w:sz w:val="24"/>
          <w:szCs w:val="24"/>
        </w:rPr>
        <w:t xml:space="preserve"> tedy nejpozději v den konání ústního jednání.</w:t>
      </w:r>
      <w:r w:rsidRPr="00D845BD">
        <w:rPr>
          <w:rFonts w:eastAsia="Aptos"/>
          <w:sz w:val="24"/>
          <w:szCs w:val="24"/>
          <w:vertAlign w:val="superscript"/>
        </w:rPr>
        <w:footnoteReference w:id="168"/>
      </w:r>
      <w:r w:rsidRPr="00D845BD">
        <w:rPr>
          <w:rFonts w:eastAsia="Aptos"/>
          <w:sz w:val="24"/>
          <w:szCs w:val="24"/>
        </w:rPr>
        <w:t xml:space="preserve">  </w:t>
      </w:r>
      <w:r w:rsidRPr="00210F97">
        <w:rPr>
          <w:rFonts w:eastAsia="Aptos"/>
          <w:sz w:val="24"/>
          <w:szCs w:val="24"/>
        </w:rPr>
        <w:t xml:space="preserve">Již tohle tvrzení považuji za problematické, neboť principielně se jedná o stejnou situaci, jakou upravuje i TŘ. </w:t>
      </w:r>
      <w:r w:rsidRPr="00D845BD">
        <w:rPr>
          <w:rFonts w:eastAsia="Aptos"/>
          <w:sz w:val="24"/>
          <w:szCs w:val="24"/>
        </w:rPr>
        <w:t>Ačkoli je označována lhůta k uplatnění nároku v ustanovení § 43 odst.  3 TŘ za procesní</w:t>
      </w:r>
      <w:r w:rsidRPr="00D845BD">
        <w:rPr>
          <w:rFonts w:eastAsia="Aptos"/>
          <w:sz w:val="24"/>
          <w:szCs w:val="24"/>
          <w:vertAlign w:val="superscript"/>
        </w:rPr>
        <w:footnoteReference w:id="169"/>
      </w:r>
      <w:r w:rsidR="007A76F9">
        <w:rPr>
          <w:rFonts w:eastAsia="Aptos"/>
          <w:sz w:val="24"/>
          <w:szCs w:val="24"/>
        </w:rPr>
        <w:t>, jejíž prodloužení</w:t>
      </w:r>
      <w:r w:rsidRPr="00D845BD">
        <w:rPr>
          <w:rFonts w:eastAsia="Aptos"/>
          <w:sz w:val="24"/>
          <w:szCs w:val="24"/>
        </w:rPr>
        <w:t xml:space="preserve"> připadá v úvahu,</w:t>
      </w:r>
      <w:r w:rsidRPr="00D845BD">
        <w:rPr>
          <w:rFonts w:eastAsia="Aptos"/>
          <w:sz w:val="24"/>
          <w:szCs w:val="24"/>
          <w:vertAlign w:val="superscript"/>
        </w:rPr>
        <w:footnoteReference w:id="170"/>
      </w:r>
      <w:r w:rsidRPr="00D845BD">
        <w:rPr>
          <w:rFonts w:eastAsia="Aptos"/>
          <w:sz w:val="24"/>
          <w:szCs w:val="24"/>
        </w:rPr>
        <w:t xml:space="preserve">  hovoří toto ustanovení také o nutnosti uplatnit nárok poškozeným “</w:t>
      </w:r>
      <w:r w:rsidRPr="00D845BD">
        <w:rPr>
          <w:rFonts w:eastAsia="Aptos"/>
          <w:i/>
          <w:sz w:val="24"/>
          <w:szCs w:val="24"/>
        </w:rPr>
        <w:t>nejpozději v hlavním líčení před začátkem dokazování</w:t>
      </w:r>
      <w:r w:rsidRPr="00D845BD">
        <w:rPr>
          <w:rFonts w:eastAsia="Aptos"/>
          <w:sz w:val="24"/>
          <w:szCs w:val="24"/>
        </w:rPr>
        <w:t>”.</w:t>
      </w:r>
      <w:r w:rsidRPr="00D845BD">
        <w:rPr>
          <w:rFonts w:eastAsia="Aptos"/>
          <w:sz w:val="24"/>
          <w:szCs w:val="24"/>
          <w:vertAlign w:val="superscript"/>
        </w:rPr>
        <w:footnoteReference w:id="171"/>
      </w:r>
      <w:r w:rsidRPr="00D845BD">
        <w:rPr>
          <w:rFonts w:eastAsia="Aptos"/>
          <w:sz w:val="24"/>
          <w:szCs w:val="24"/>
        </w:rPr>
        <w:t xml:space="preserve"> Tento okamžik je pak vnímán jako skutečně mezní, koncentrační a jakékoli promarnění této lhůty ze strany poškozeného má za následek nemožnost rozhodovat o </w:t>
      </w:r>
      <w:r w:rsidR="00210F97">
        <w:rPr>
          <w:rFonts w:eastAsia="Aptos"/>
          <w:sz w:val="24"/>
          <w:szCs w:val="24"/>
        </w:rPr>
        <w:t xml:space="preserve">jeho nároku v adhezním řízení a </w:t>
      </w:r>
      <w:r w:rsidRPr="00D845BD">
        <w:rPr>
          <w:rFonts w:eastAsia="Aptos"/>
          <w:sz w:val="24"/>
          <w:szCs w:val="24"/>
        </w:rPr>
        <w:t>to dokonce i v případě, že tomuto předchází nesprávné poučení, či dokonce nepoučení soudem.</w:t>
      </w:r>
      <w:r w:rsidRPr="00D845BD">
        <w:rPr>
          <w:rFonts w:eastAsia="Aptos"/>
          <w:sz w:val="24"/>
          <w:szCs w:val="24"/>
          <w:vertAlign w:val="superscript"/>
        </w:rPr>
        <w:footnoteReference w:id="172"/>
      </w:r>
      <w:r w:rsidRPr="00D845BD">
        <w:rPr>
          <w:rFonts w:eastAsia="Aptos"/>
          <w:sz w:val="24"/>
          <w:szCs w:val="24"/>
        </w:rPr>
        <w:t xml:space="preserve"> Je zde tedy možno spatřit silnou preferenci zásady rychlosti řízení. Rovněž i zde může poškozený uplatnit nárok písemně.</w:t>
      </w:r>
      <w:r w:rsidRPr="00D845BD">
        <w:rPr>
          <w:rFonts w:eastAsia="Aptos"/>
          <w:sz w:val="24"/>
          <w:szCs w:val="24"/>
          <w:vertAlign w:val="superscript"/>
        </w:rPr>
        <w:footnoteReference w:id="173"/>
      </w:r>
      <w:r w:rsidRPr="00D845BD">
        <w:rPr>
          <w:rFonts w:eastAsia="Aptos"/>
          <w:sz w:val="24"/>
          <w:szCs w:val="24"/>
        </w:rPr>
        <w:t xml:space="preserve"> </w:t>
      </w:r>
    </w:p>
    <w:p w:rsidR="00D845BD" w:rsidRPr="00210F97" w:rsidRDefault="00B425CE" w:rsidP="005833E8">
      <w:pPr>
        <w:spacing w:after="160" w:line="360" w:lineRule="auto"/>
        <w:ind w:right="567" w:firstLine="720"/>
        <w:jc w:val="both"/>
        <w:rPr>
          <w:rFonts w:eastAsia="Aptos"/>
          <w:sz w:val="24"/>
          <w:szCs w:val="24"/>
        </w:rPr>
      </w:pPr>
      <w:r w:rsidRPr="00D845BD">
        <w:rPr>
          <w:rFonts w:eastAsia="Aptos"/>
          <w:sz w:val="24"/>
          <w:szCs w:val="24"/>
        </w:rPr>
        <w:lastRenderedPageBreak/>
        <w:t xml:space="preserve">Dále je ze strany Fuchse argumentováno subsidiaritou SŘ a tamním ustanovením § 40 odst. 1 písm. d), které stanoví, že je-li provedení úkonu vázáno na lhůtu, pak: </w:t>
      </w:r>
      <w:r w:rsidRPr="00D845BD">
        <w:rPr>
          <w:rFonts w:eastAsia="Aptos"/>
          <w:i/>
          <w:sz w:val="24"/>
          <w:szCs w:val="24"/>
        </w:rPr>
        <w:t xml:space="preserve">“je lhůta zachována, je-li posledního dne lhůty učiněno podání u věcně a místně příslušného správního orgánu anebo je-li v tento den podána poštovní zásilka adresována tomuto správnímu </w:t>
      </w:r>
      <w:r w:rsidR="00210F97">
        <w:rPr>
          <w:rFonts w:eastAsia="Aptos"/>
          <w:i/>
          <w:sz w:val="24"/>
          <w:szCs w:val="24"/>
        </w:rPr>
        <w:t>orgánu</w:t>
      </w:r>
      <w:r w:rsidRPr="00D845BD">
        <w:rPr>
          <w:rFonts w:eastAsia="Aptos"/>
          <w:i/>
          <w:sz w:val="24"/>
          <w:szCs w:val="24"/>
        </w:rPr>
        <w:t>, která obsahuje podání…,”</w:t>
      </w:r>
      <w:r w:rsidRPr="00D845BD">
        <w:rPr>
          <w:rFonts w:eastAsia="Aptos"/>
          <w:sz w:val="24"/>
          <w:szCs w:val="24"/>
          <w:vertAlign w:val="superscript"/>
        </w:rPr>
        <w:footnoteReference w:id="174"/>
      </w:r>
      <w:r w:rsidRPr="00D845BD">
        <w:rPr>
          <w:rFonts w:eastAsia="Aptos"/>
          <w:sz w:val="24"/>
          <w:szCs w:val="24"/>
        </w:rPr>
        <w:t xml:space="preserve"> </w:t>
      </w:r>
      <w:r w:rsidRPr="00210F97">
        <w:rPr>
          <w:rFonts w:eastAsia="Aptos"/>
          <w:sz w:val="24"/>
          <w:szCs w:val="24"/>
        </w:rPr>
        <w:t xml:space="preserve">V této souvislosti si myslím, že sousloví </w:t>
      </w:r>
      <w:r w:rsidRPr="00210F97">
        <w:rPr>
          <w:rFonts w:eastAsia="Aptos"/>
          <w:i/>
          <w:sz w:val="24"/>
          <w:szCs w:val="24"/>
        </w:rPr>
        <w:t>“nejpozději při prvním ústním jednání”</w:t>
      </w:r>
      <w:r w:rsidRPr="00210F97">
        <w:rPr>
          <w:rFonts w:eastAsia="Aptos"/>
          <w:sz w:val="24"/>
          <w:szCs w:val="24"/>
        </w:rPr>
        <w:t xml:space="preserve"> znamená do konce tohoto ústního jednání a spíše než “nejpozději” bych považoval za pomyslně rozhodující slůvko “</w:t>
      </w:r>
      <w:r w:rsidRPr="00210F97">
        <w:rPr>
          <w:rFonts w:eastAsia="Aptos"/>
          <w:i/>
          <w:sz w:val="24"/>
          <w:szCs w:val="24"/>
        </w:rPr>
        <w:t>při</w:t>
      </w:r>
      <w:r w:rsidRPr="00210F97">
        <w:rPr>
          <w:rFonts w:eastAsia="Aptos"/>
          <w:sz w:val="24"/>
          <w:szCs w:val="24"/>
        </w:rPr>
        <w:t>”, případně obě dvě v kombinaci. Pro použití teleologického výkladu je potřeba vyvodit smysl a účel ustanovení.</w:t>
      </w:r>
      <w:r w:rsidRPr="00210F97">
        <w:rPr>
          <w:rFonts w:eastAsia="Aptos"/>
          <w:sz w:val="24"/>
          <w:szCs w:val="24"/>
          <w:vertAlign w:val="superscript"/>
        </w:rPr>
        <w:footnoteReference w:id="175"/>
      </w:r>
      <w:r w:rsidRPr="00210F97">
        <w:rPr>
          <w:rFonts w:eastAsia="Aptos"/>
          <w:sz w:val="24"/>
          <w:szCs w:val="24"/>
        </w:rPr>
        <w:t xml:space="preserve">  Mám za to, že smyslem a účelem ustanovení je stanovit mezní termín pro uplatnění nároku, aby bylo možno před dokazováním a rozhodnutím stanovit jejich předmět, aby mohlo rychle a hladce pokračovat řízení ke svému hlavnímu účelu. Právě proti tomu by šel závěr, k</w:t>
      </w:r>
      <w:r w:rsidR="007A76F9" w:rsidRPr="00210F97">
        <w:rPr>
          <w:rFonts w:eastAsia="Aptos"/>
          <w:sz w:val="24"/>
          <w:szCs w:val="24"/>
        </w:rPr>
        <w:t xml:space="preserve">terý by povolil uplatnit nárok </w:t>
      </w:r>
      <w:r w:rsidRPr="00210F97">
        <w:rPr>
          <w:rFonts w:eastAsia="Aptos"/>
          <w:sz w:val="24"/>
          <w:szCs w:val="24"/>
        </w:rPr>
        <w:t>třeba až na konci dne, kdy ústní jednání proběhlo. Znamenalo by to tedy, že může (samozřejmě hypoteticky vzato) nastat situace, kdy</w:t>
      </w:r>
      <w:r w:rsidR="007A76F9" w:rsidRPr="00210F97">
        <w:rPr>
          <w:rFonts w:eastAsia="Aptos"/>
          <w:sz w:val="24"/>
          <w:szCs w:val="24"/>
        </w:rPr>
        <w:t xml:space="preserve"> </w:t>
      </w:r>
      <w:r w:rsidRPr="00210F97">
        <w:rPr>
          <w:rFonts w:eastAsia="Aptos"/>
          <w:sz w:val="24"/>
          <w:szCs w:val="24"/>
        </w:rPr>
        <w:t xml:space="preserve">sama osoba poškozeného požádá o nařízení ústního jednání, správní orgán jej nařídí v souladu s ustanovením § 80 odst. 3 </w:t>
      </w:r>
      <w:r w:rsidR="00210F97">
        <w:rPr>
          <w:rFonts w:eastAsia="Aptos"/>
          <w:sz w:val="24"/>
          <w:szCs w:val="24"/>
        </w:rPr>
        <w:t xml:space="preserve">PřesZ </w:t>
      </w:r>
      <w:r w:rsidRPr="00210F97">
        <w:rPr>
          <w:rFonts w:eastAsia="Aptos"/>
          <w:sz w:val="24"/>
          <w:szCs w:val="24"/>
        </w:rPr>
        <w:t xml:space="preserve">a následně osoba poškozená oznámí, že svůj nárok uplatní pisemně a odešle (či již uplatnila a odeslala) jej ten samý den k poštovní přepravě a lhůta by zůstala zachována. </w:t>
      </w:r>
    </w:p>
    <w:p w:rsidR="007A76F9" w:rsidRDefault="00B425CE" w:rsidP="005833E8">
      <w:pPr>
        <w:spacing w:after="160" w:line="360" w:lineRule="auto"/>
        <w:ind w:right="567" w:firstLine="720"/>
        <w:jc w:val="both"/>
        <w:rPr>
          <w:rFonts w:eastAsia="Aptos"/>
          <w:sz w:val="24"/>
          <w:szCs w:val="24"/>
        </w:rPr>
      </w:pPr>
      <w:r w:rsidRPr="00210F97">
        <w:rPr>
          <w:rFonts w:eastAsia="Aptos"/>
          <w:sz w:val="24"/>
          <w:szCs w:val="24"/>
        </w:rPr>
        <w:t>Smysl a účel nařízení ústního jednání je v obecné rovině dát možnost účastníkům uplatnit svá procesní práva a provést při něm dokazování.</w:t>
      </w:r>
      <w:r w:rsidRPr="00210F97">
        <w:rPr>
          <w:rFonts w:eastAsia="Aptos"/>
          <w:sz w:val="24"/>
          <w:szCs w:val="24"/>
          <w:vertAlign w:val="superscript"/>
        </w:rPr>
        <w:footnoteReference w:id="176"/>
      </w:r>
      <w:r w:rsidRPr="00210F97">
        <w:rPr>
          <w:rFonts w:eastAsia="Aptos"/>
          <w:sz w:val="24"/>
          <w:szCs w:val="24"/>
        </w:rPr>
        <w:t xml:space="preserve"> Dává tedy dobrý smysl, aby nárok byl uplatněn již během něj. Co se týče uplatnění ustanovení § 40 odst. 1 písm. d) SŘ, pak přichází v úvahu jej v tomto případě teleologickou redukcí</w:t>
      </w:r>
      <w:r w:rsidRPr="00210F97">
        <w:rPr>
          <w:rFonts w:eastAsia="Aptos"/>
          <w:sz w:val="24"/>
          <w:szCs w:val="24"/>
          <w:vertAlign w:val="superscript"/>
        </w:rPr>
        <w:footnoteReference w:id="177"/>
      </w:r>
      <w:r w:rsidRPr="00210F97">
        <w:rPr>
          <w:rFonts w:eastAsia="Aptos"/>
          <w:sz w:val="24"/>
          <w:szCs w:val="24"/>
        </w:rPr>
        <w:t xml:space="preserve"> na tento případ nepoužít a vyjít z řešení, že “při” ústním jednání znamená během něj, neboť to lépe odpovídá smyslu a účelu ustanoveních v PřesZ. Co se týče možnosti žádat o navrácení lhůty, nebude-li tak učiněno, o tom je pojednáno níže. Další argument, proč se přiklonit k závěru možnosti prodloužení lhůty by pak mohla být snaha vyložit ustanovení tak, aby byl výsledek pro poškozeného výhodnější. </w:t>
      </w:r>
      <w:r w:rsidRPr="00D845BD">
        <w:rPr>
          <w:rFonts w:eastAsia="Aptos"/>
          <w:sz w:val="24"/>
          <w:szCs w:val="24"/>
        </w:rPr>
        <w:t xml:space="preserve">Tedy vyjít z obecné koncepce trendu posilování </w:t>
      </w:r>
      <w:r w:rsidRPr="00D845BD">
        <w:rPr>
          <w:rFonts w:eastAsia="Aptos"/>
          <w:sz w:val="24"/>
          <w:szCs w:val="24"/>
        </w:rPr>
        <w:lastRenderedPageBreak/>
        <w:t>práva poškozeného</w:t>
      </w:r>
      <w:r w:rsidRPr="00D845BD">
        <w:rPr>
          <w:rFonts w:eastAsia="Aptos"/>
          <w:sz w:val="24"/>
          <w:szCs w:val="24"/>
          <w:vertAlign w:val="superscript"/>
        </w:rPr>
        <w:footnoteReference w:id="178"/>
      </w:r>
      <w:r w:rsidRPr="00D845BD">
        <w:rPr>
          <w:rFonts w:eastAsia="Aptos"/>
          <w:sz w:val="24"/>
          <w:szCs w:val="24"/>
        </w:rPr>
        <w:t xml:space="preserve"> a přiklonit se k řešení pro něj mírnější. Jedná se však spíše o právně-politickou preferenci, která nemá konkrétní pr</w:t>
      </w:r>
      <w:r w:rsidR="00D845BD">
        <w:rPr>
          <w:rFonts w:eastAsia="Aptos"/>
          <w:sz w:val="24"/>
          <w:szCs w:val="24"/>
        </w:rPr>
        <w:t xml:space="preserve">ávně-analytický podklad.  </w:t>
      </w:r>
    </w:p>
    <w:p w:rsidR="007A76F9" w:rsidRDefault="00B425CE" w:rsidP="005833E8">
      <w:pPr>
        <w:spacing w:after="160" w:line="360" w:lineRule="auto"/>
        <w:ind w:right="567" w:firstLine="720"/>
        <w:jc w:val="both"/>
        <w:rPr>
          <w:rFonts w:eastAsia="Aptos"/>
          <w:color w:val="FF0000"/>
          <w:sz w:val="24"/>
          <w:szCs w:val="24"/>
        </w:rPr>
      </w:pPr>
      <w:r w:rsidRPr="00D845BD">
        <w:rPr>
          <w:rFonts w:eastAsia="Aptos"/>
          <w:sz w:val="24"/>
          <w:szCs w:val="24"/>
        </w:rPr>
        <w:t xml:space="preserve">  Jak je nastíněno výše, opačného názoru je Prášková, která lhůtu označuje za hmotněprávní a názor Fuchse odmítá jako nesprávný.</w:t>
      </w:r>
      <w:r w:rsidRPr="00D845BD">
        <w:rPr>
          <w:rFonts w:eastAsia="Aptos"/>
          <w:sz w:val="24"/>
          <w:szCs w:val="24"/>
          <w:vertAlign w:val="superscript"/>
        </w:rPr>
        <w:footnoteReference w:id="179"/>
      </w:r>
      <w:r w:rsidRPr="00D845BD">
        <w:rPr>
          <w:rFonts w:eastAsia="Aptos"/>
          <w:sz w:val="24"/>
          <w:szCs w:val="24"/>
        </w:rPr>
        <w:t xml:space="preserve"> Odmítá možnost prodloužení lhůty a argumentuje hmotněprávní povahou lhůty při návrhových přestupcích, jak ji stanovil mmj. NSS v rozsudku ze dne 24.2. 2016 č. J. 6 AS 8/2016-21.</w:t>
      </w:r>
      <w:r w:rsidRPr="00D845BD">
        <w:rPr>
          <w:rFonts w:eastAsia="Aptos"/>
          <w:sz w:val="24"/>
          <w:szCs w:val="24"/>
          <w:vertAlign w:val="superscript"/>
        </w:rPr>
        <w:footnoteReference w:id="180"/>
      </w:r>
      <w:r w:rsidRPr="00D845BD">
        <w:rPr>
          <w:rFonts w:eastAsia="Aptos"/>
          <w:sz w:val="24"/>
          <w:szCs w:val="24"/>
        </w:rPr>
        <w:t xml:space="preserve"> </w:t>
      </w:r>
      <w:r w:rsidRPr="00941C55">
        <w:rPr>
          <w:rFonts w:eastAsia="Aptos"/>
          <w:sz w:val="24"/>
          <w:szCs w:val="24"/>
        </w:rPr>
        <w:t>Ani Prášková, ani Fuchs a ani trestněprávní odborná literatura citovaná v předchozím odstavci však nenabízí</w:t>
      </w:r>
      <w:r w:rsidR="00941C55" w:rsidRPr="00941C55">
        <w:rPr>
          <w:rFonts w:eastAsia="Aptos"/>
          <w:sz w:val="24"/>
          <w:szCs w:val="24"/>
        </w:rPr>
        <w:t xml:space="preserve"> další</w:t>
      </w:r>
      <w:r w:rsidRPr="00941C55">
        <w:rPr>
          <w:rFonts w:eastAsia="Aptos"/>
          <w:sz w:val="24"/>
          <w:szCs w:val="24"/>
        </w:rPr>
        <w:t xml:space="preserve"> konkrétní argumenty pro přiklonění se k jednomu či druhému řešení, totiž proč je lhůta k uplatnění nároku hmotněprávní či procesní.  Pro řešení je potřeba vytyčit konkrétní předpoklady té které lhůty. Komentář k OZ uvádí, že </w:t>
      </w:r>
      <w:r w:rsidRPr="00D845BD">
        <w:rPr>
          <w:rFonts w:eastAsia="Aptos"/>
          <w:sz w:val="24"/>
          <w:szCs w:val="24"/>
        </w:rPr>
        <w:t>“</w:t>
      </w:r>
      <w:r w:rsidRPr="00D845BD">
        <w:rPr>
          <w:rFonts w:eastAsia="Aptos"/>
          <w:i/>
          <w:sz w:val="24"/>
          <w:szCs w:val="24"/>
        </w:rPr>
        <w:t>lhůtou je časový úsek stanovený k uplatnění práva u druhé strany, popř. u jiné osoby, anebo u soudu nebo jiného příslušného orgánu.</w:t>
      </w:r>
      <w:r w:rsidRPr="00D845BD">
        <w:rPr>
          <w:rFonts w:eastAsia="Aptos"/>
          <w:i/>
          <w:sz w:val="24"/>
          <w:szCs w:val="24"/>
          <w:vertAlign w:val="superscript"/>
        </w:rPr>
        <w:footnoteReference w:id="181"/>
      </w:r>
      <w:r w:rsidRPr="00D845BD">
        <w:rPr>
          <w:rFonts w:eastAsia="Aptos"/>
          <w:i/>
          <w:sz w:val="24"/>
          <w:szCs w:val="24"/>
        </w:rPr>
        <w:t xml:space="preserve"> Toto dělení je praktické zejména ve vztahu k následkům jejich nedodržení, přičemž platí, že pro dodržení lhůty hmotněprávní je důležité, , aby ke skutečnosti, ohledně níž lhůta běží, došlo nejpozději poslední její den.,..., V takových případech je třeba, aby bylo právo uplatněno poslední den lhůty u soudu, tedy doručeno do jeho sféry, nestačí proto odevzdání žaloby provozovateli poštovních služeb.</w:t>
      </w:r>
      <w:r w:rsidRPr="00D845BD">
        <w:rPr>
          <w:rFonts w:eastAsia="Aptos"/>
          <w:i/>
          <w:sz w:val="24"/>
          <w:szCs w:val="24"/>
          <w:vertAlign w:val="superscript"/>
        </w:rPr>
        <w:footnoteReference w:id="182"/>
      </w:r>
      <w:r w:rsidRPr="00D845BD">
        <w:rPr>
          <w:rFonts w:eastAsia="Aptos"/>
          <w:i/>
          <w:sz w:val="24"/>
          <w:szCs w:val="24"/>
        </w:rPr>
        <w:t xml:space="preserve">  </w:t>
      </w:r>
      <w:r w:rsidRPr="00D845BD">
        <w:rPr>
          <w:rFonts w:eastAsia="Aptos"/>
          <w:sz w:val="24"/>
          <w:szCs w:val="24"/>
        </w:rPr>
        <w:t xml:space="preserve">Hmotněprávní lhůtu naopak nelze nijak prodloužit. </w:t>
      </w:r>
      <w:r w:rsidRPr="00D845BD">
        <w:rPr>
          <w:rFonts w:eastAsia="Aptos"/>
          <w:sz w:val="24"/>
          <w:szCs w:val="24"/>
          <w:vertAlign w:val="superscript"/>
        </w:rPr>
        <w:footnoteReference w:id="183"/>
      </w:r>
      <w:r w:rsidRPr="00D845BD">
        <w:rPr>
          <w:rFonts w:eastAsia="Aptos"/>
          <w:sz w:val="24"/>
          <w:szCs w:val="24"/>
        </w:rPr>
        <w:t xml:space="preserve"> </w:t>
      </w:r>
      <w:r w:rsidR="007A76F9">
        <w:rPr>
          <w:rFonts w:eastAsia="Aptos"/>
          <w:color w:val="FF0000"/>
          <w:sz w:val="24"/>
          <w:szCs w:val="24"/>
        </w:rPr>
        <w:tab/>
      </w:r>
    </w:p>
    <w:p w:rsidR="007A76F9" w:rsidRDefault="00B425CE" w:rsidP="005833E8">
      <w:pPr>
        <w:spacing w:after="160" w:line="360" w:lineRule="auto"/>
        <w:ind w:right="567" w:firstLine="720"/>
        <w:jc w:val="both"/>
        <w:rPr>
          <w:rFonts w:eastAsia="Aptos"/>
          <w:i/>
          <w:sz w:val="24"/>
          <w:szCs w:val="24"/>
        </w:rPr>
      </w:pPr>
      <w:r w:rsidRPr="00D845BD">
        <w:rPr>
          <w:rFonts w:eastAsia="Aptos"/>
          <w:sz w:val="24"/>
          <w:szCs w:val="24"/>
        </w:rPr>
        <w:t>Dle Pulkrábka je: “</w:t>
      </w:r>
      <w:r w:rsidRPr="00D845BD">
        <w:rPr>
          <w:rFonts w:eastAsia="Aptos"/>
          <w:i/>
          <w:sz w:val="24"/>
          <w:szCs w:val="24"/>
        </w:rPr>
        <w:t xml:space="preserve">hmotněprávní lhůta určena pro úkon hmotněprávní, procesní lhůta pro úkon procesní. K povaze lhůty dojdeme zkoumáním povahy úkonu. Ten je jako právní skutečnost definován následky, které působí. Hmotněprávní úkon působí následky hmotněprávní (utváří hmotná práva a povinnosti), procesní úkon působí následky procesní (utváří procesní právo a povinnosti). Obdobně účinkuje neuskutečnění úkonu ve lhůtě pro něj stanovené čili marné uplynutí lhůty.” </w:t>
      </w:r>
      <w:r w:rsidRPr="00D845BD">
        <w:rPr>
          <w:rFonts w:eastAsia="Aptos"/>
          <w:i/>
          <w:sz w:val="24"/>
          <w:szCs w:val="24"/>
          <w:vertAlign w:val="superscript"/>
        </w:rPr>
        <w:footnoteReference w:id="184"/>
      </w:r>
      <w:r w:rsidRPr="00D845BD">
        <w:rPr>
          <w:rFonts w:eastAsia="Aptos"/>
          <w:i/>
          <w:sz w:val="24"/>
          <w:szCs w:val="24"/>
        </w:rPr>
        <w:t xml:space="preserve"> </w:t>
      </w:r>
      <w:r w:rsidRPr="00D845BD">
        <w:rPr>
          <w:rFonts w:eastAsia="Aptos"/>
          <w:sz w:val="24"/>
          <w:szCs w:val="24"/>
        </w:rPr>
        <w:t xml:space="preserve">Pulkrábek se ve svém článku zabývá povahou lhůty pro podání žaloby dle § 247 odst. 1 OSŘ a dochází zde k závěru, že se jedná o lhůtu procesní. Tento závěr podpírá tím, že podání žaloby ve lhůtě je podmínkou pro vznik procesního vztahu. Toto tvrzení dokládá tím, že v opačném případě soud žalobu odmítne </w:t>
      </w:r>
      <w:r w:rsidRPr="00D845BD">
        <w:rPr>
          <w:rFonts w:eastAsia="Aptos"/>
          <w:sz w:val="24"/>
          <w:szCs w:val="24"/>
        </w:rPr>
        <w:lastRenderedPageBreak/>
        <w:t>bez projednání. Z toho dovozuje procesní účinky lhůty, jejíž marné uplynutí nemá žádný vliv na hmotněprávní sféru účastníků.</w:t>
      </w:r>
      <w:r w:rsidRPr="00D845BD">
        <w:rPr>
          <w:rFonts w:eastAsia="Aptos"/>
          <w:sz w:val="24"/>
          <w:szCs w:val="24"/>
          <w:vertAlign w:val="superscript"/>
        </w:rPr>
        <w:footnoteReference w:id="185"/>
      </w:r>
      <w:r w:rsidRPr="00D845BD">
        <w:rPr>
          <w:rFonts w:eastAsia="Aptos"/>
          <w:sz w:val="24"/>
          <w:szCs w:val="24"/>
        </w:rPr>
        <w:t xml:space="preserve"> Za prekluzivní jsou podle něj považovány </w:t>
      </w:r>
      <w:r w:rsidRPr="00D845BD">
        <w:rPr>
          <w:rFonts w:eastAsia="Aptos"/>
          <w:i/>
          <w:sz w:val="24"/>
          <w:szCs w:val="24"/>
        </w:rPr>
        <w:t>“lhůty, jejichž marným uplynutím je spojen zánik určitého hmotného práva, příp. jiný či další hmotněprávní následek a k jeho odvrácení je zapotřebí “uplatnit právo”. “</w:t>
      </w:r>
      <w:r w:rsidRPr="00D845BD">
        <w:rPr>
          <w:rFonts w:eastAsia="Aptos"/>
          <w:i/>
          <w:sz w:val="24"/>
          <w:szCs w:val="24"/>
          <w:vertAlign w:val="superscript"/>
        </w:rPr>
        <w:footnoteReference w:id="186"/>
      </w:r>
      <w:r w:rsidR="007A76F9">
        <w:rPr>
          <w:rFonts w:eastAsia="Aptos"/>
          <w:i/>
          <w:sz w:val="24"/>
          <w:szCs w:val="24"/>
        </w:rPr>
        <w:t xml:space="preserve"> </w:t>
      </w:r>
    </w:p>
    <w:p w:rsidR="00941C55" w:rsidRDefault="00B425CE" w:rsidP="005833E8">
      <w:pPr>
        <w:spacing w:after="160" w:line="360" w:lineRule="auto"/>
        <w:ind w:right="567" w:firstLine="720"/>
        <w:jc w:val="both"/>
        <w:rPr>
          <w:rFonts w:eastAsia="Aptos"/>
          <w:i/>
          <w:sz w:val="24"/>
          <w:szCs w:val="24"/>
        </w:rPr>
      </w:pPr>
      <w:r w:rsidRPr="00D845BD">
        <w:rPr>
          <w:rFonts w:eastAsia="Aptos"/>
          <w:sz w:val="24"/>
          <w:szCs w:val="24"/>
        </w:rPr>
        <w:t xml:space="preserve">Pulkrábek dále uvádí: </w:t>
      </w:r>
      <w:r w:rsidRPr="00D845BD">
        <w:rPr>
          <w:rFonts w:eastAsia="Aptos"/>
          <w:i/>
          <w:sz w:val="24"/>
          <w:szCs w:val="24"/>
        </w:rPr>
        <w:t>“Když procesní předpis stanoví bez dalšího lhůtu k podání žaloby, znamená to implicité, že jejím využitím podmiňuje vznik právě toho procesního následku, který je žalobě vlastní, totiž onoho procesního vztahu (a podmiňuje zároveň i aplikaci následujících ustanovení o meritorním projednání žaloby). Její marné uplynutí proto musí znamenat, že onen procesní vztah nevznikne, že žalobci nevznikne právo, aby se soud jeho věcí meritorně zabýval.,...,platná úprava ukládá soudu opožděnou žalobu odmítnout.”</w:t>
      </w:r>
      <w:r w:rsidRPr="00D845BD">
        <w:rPr>
          <w:rFonts w:eastAsia="Aptos"/>
          <w:i/>
          <w:sz w:val="24"/>
          <w:szCs w:val="24"/>
          <w:vertAlign w:val="superscript"/>
        </w:rPr>
        <w:footnoteReference w:id="187"/>
      </w:r>
      <w:r w:rsidRPr="00D845BD">
        <w:rPr>
          <w:rFonts w:eastAsia="Aptos"/>
          <w:i/>
          <w:sz w:val="24"/>
          <w:szCs w:val="24"/>
        </w:rPr>
        <w:t xml:space="preserve">  </w:t>
      </w:r>
      <w:r w:rsidRPr="00D845BD">
        <w:rPr>
          <w:rFonts w:eastAsia="Aptos"/>
          <w:sz w:val="24"/>
          <w:szCs w:val="24"/>
        </w:rPr>
        <w:t>Co se týče ustanovení § 247 OSŘ a lhůty k uplatnění žaloby dle něj, nezasahuje nijak do hmotněprávní sféry potencionálních stran, nejedná se tedy o prekluzivní lhůtu, jejíž marné uplynutí by mělo za následek zánik nějakého hmotněprávního práva. Tím pádem lze hmotné právo uplatňovat případně v obnoveném správním řízení.</w:t>
      </w:r>
      <w:r w:rsidRPr="00D845BD">
        <w:rPr>
          <w:rFonts w:eastAsia="Aptos"/>
          <w:sz w:val="24"/>
          <w:szCs w:val="24"/>
          <w:vertAlign w:val="superscript"/>
        </w:rPr>
        <w:footnoteReference w:id="188"/>
      </w:r>
      <w:r w:rsidRPr="00D845BD">
        <w:rPr>
          <w:rFonts w:eastAsia="Aptos"/>
          <w:sz w:val="24"/>
          <w:szCs w:val="24"/>
        </w:rPr>
        <w:t xml:space="preserve"> </w:t>
      </w:r>
    </w:p>
    <w:p w:rsidR="005833E8" w:rsidRDefault="00B425CE" w:rsidP="005833E8">
      <w:pPr>
        <w:spacing w:line="360" w:lineRule="auto"/>
        <w:ind w:right="567" w:firstLine="720"/>
        <w:jc w:val="both"/>
        <w:rPr>
          <w:rFonts w:eastAsia="Aptos"/>
          <w:sz w:val="24"/>
          <w:szCs w:val="24"/>
        </w:rPr>
      </w:pPr>
      <w:r w:rsidRPr="00941C55">
        <w:rPr>
          <w:rFonts w:eastAsia="Aptos"/>
          <w:sz w:val="24"/>
          <w:szCs w:val="24"/>
        </w:rPr>
        <w:t>Mám za to, že výše zmíněné Pulkrábkovi úvahy ohledně kritérií pro určení povahy lhůt jsou správné. Pokud přiřadíme k těmto jeho předpokladům pro posouzení povahy lhůt lhůtu k uplatnění nároku osobou poškozenou dle § 70 PřesZ, tak se domnívám, že je třeba dojít k závěru, že se jedná o lhůtu procesní, neboť jejím marným uplynutím nijak nezaniká hmotněp</w:t>
      </w:r>
      <w:r w:rsidR="00941C55" w:rsidRPr="00941C55">
        <w:rPr>
          <w:rFonts w:eastAsia="Aptos"/>
          <w:sz w:val="24"/>
          <w:szCs w:val="24"/>
        </w:rPr>
        <w:t>rávní nárok osoby poškozeného a</w:t>
      </w:r>
      <w:r w:rsidRPr="00941C55">
        <w:rPr>
          <w:rFonts w:eastAsia="Aptos"/>
          <w:sz w:val="24"/>
          <w:szCs w:val="24"/>
        </w:rPr>
        <w:t xml:space="preserve">ta má tak nadále možnost domoci se jej ve sféře civilního práva. Je tak po mém soudu nutné odmítnout stanovisko Práškové o hmotněprávní povaze této lhůty a to i přes to, že </w:t>
      </w:r>
      <w:r w:rsidRPr="00D845BD">
        <w:rPr>
          <w:rFonts w:eastAsia="Aptos"/>
          <w:sz w:val="24"/>
          <w:szCs w:val="24"/>
        </w:rPr>
        <w:t xml:space="preserve">Prášková zmiňuje “významnými hmotněprávními účinky“ uplatnění nároku v adhezním řízení v podobě stavění promlčecí lhůty dle OZ. </w:t>
      </w:r>
      <w:r w:rsidRPr="00D845BD">
        <w:rPr>
          <w:rFonts w:eastAsia="Aptos"/>
          <w:sz w:val="24"/>
          <w:szCs w:val="24"/>
          <w:vertAlign w:val="superscript"/>
        </w:rPr>
        <w:footnoteReference w:id="189"/>
      </w:r>
      <w:r w:rsidRPr="00D845BD">
        <w:rPr>
          <w:rFonts w:eastAsia="Aptos"/>
          <w:sz w:val="24"/>
          <w:szCs w:val="24"/>
        </w:rPr>
        <w:t xml:space="preserve"> </w:t>
      </w:r>
    </w:p>
    <w:p w:rsidR="00941C55" w:rsidRPr="005833E8" w:rsidRDefault="00B425CE" w:rsidP="005833E8">
      <w:pPr>
        <w:spacing w:line="360" w:lineRule="auto"/>
        <w:ind w:right="567" w:firstLine="720"/>
        <w:jc w:val="both"/>
        <w:rPr>
          <w:rFonts w:eastAsia="Aptos"/>
          <w:sz w:val="24"/>
          <w:szCs w:val="24"/>
        </w:rPr>
      </w:pPr>
      <w:r w:rsidRPr="00D845BD">
        <w:rPr>
          <w:rFonts w:eastAsia="Aptos"/>
          <w:sz w:val="24"/>
          <w:szCs w:val="24"/>
        </w:rPr>
        <w:br/>
      </w:r>
      <w:r w:rsidRPr="00D845BD">
        <w:rPr>
          <w:rFonts w:eastAsia="Aptos"/>
          <w:sz w:val="24"/>
          <w:szCs w:val="24"/>
        </w:rPr>
        <w:tab/>
        <w:t>Již</w:t>
      </w:r>
      <w:r w:rsidR="007A76F9">
        <w:rPr>
          <w:rFonts w:eastAsia="Aptos"/>
          <w:sz w:val="24"/>
          <w:szCs w:val="24"/>
        </w:rPr>
        <w:t xml:space="preserve"> tedy</w:t>
      </w:r>
      <w:r w:rsidRPr="00D845BD">
        <w:rPr>
          <w:rFonts w:eastAsia="Aptos"/>
          <w:sz w:val="24"/>
          <w:szCs w:val="24"/>
        </w:rPr>
        <w:t xml:space="preserve"> bylo dovozeno, že daná lhůta v ustanovení § 70 PřestZ je procesní povahy. Ustanovení § 41 SŘ pak povoluje prominutí zmeškání úkonu vázaného na první ústní jednání lhůtu stanovenou správním orgánem, a to do 15 dnů ode dne, kdy pominula překážka, která žadateli bránila úkon učinit.</w:t>
      </w:r>
      <w:r w:rsidRPr="00D845BD">
        <w:rPr>
          <w:rFonts w:eastAsia="Aptos"/>
          <w:sz w:val="24"/>
          <w:szCs w:val="24"/>
          <w:vertAlign w:val="superscript"/>
        </w:rPr>
        <w:footnoteReference w:id="190"/>
      </w:r>
      <w:r w:rsidRPr="00D845BD">
        <w:rPr>
          <w:rFonts w:eastAsia="Aptos"/>
          <w:sz w:val="24"/>
          <w:szCs w:val="24"/>
        </w:rPr>
        <w:t xml:space="preserve">  Vzhledem k subsidiárnímu použití SŘ </w:t>
      </w:r>
      <w:r w:rsidRPr="00D845BD">
        <w:rPr>
          <w:rFonts w:eastAsia="Aptos"/>
          <w:sz w:val="24"/>
          <w:szCs w:val="24"/>
        </w:rPr>
        <w:lastRenderedPageBreak/>
        <w:t>jakožto zákona obecného pro správní řízení</w:t>
      </w:r>
      <w:r w:rsidRPr="00D845BD">
        <w:rPr>
          <w:rFonts w:eastAsia="Aptos"/>
          <w:sz w:val="24"/>
          <w:szCs w:val="24"/>
          <w:vertAlign w:val="superscript"/>
        </w:rPr>
        <w:footnoteReference w:id="191"/>
      </w:r>
      <w:r w:rsidRPr="00D845BD">
        <w:rPr>
          <w:rFonts w:eastAsia="Aptos"/>
          <w:sz w:val="24"/>
          <w:szCs w:val="24"/>
        </w:rPr>
        <w:t xml:space="preserve"> by toto řešení dávalo smysl. Je však třeba připomenout, že předmětné ustanovení hovoří o možnosti </w:t>
      </w:r>
      <w:r w:rsidRPr="00D845BD">
        <w:rPr>
          <w:rFonts w:eastAsia="Aptos"/>
          <w:i/>
          <w:sz w:val="24"/>
          <w:szCs w:val="24"/>
        </w:rPr>
        <w:t>účastníka</w:t>
      </w:r>
      <w:r w:rsidRPr="00D845BD">
        <w:rPr>
          <w:rFonts w:eastAsia="Aptos"/>
          <w:sz w:val="24"/>
          <w:szCs w:val="24"/>
        </w:rPr>
        <w:t xml:space="preserve"> požádat o prominutí zmeškání úkonu. V přestupkovém řízení se ale poškozený stává účastníkem řízení okamžikem uplatnění svého nároku a do té doby jím není.</w:t>
      </w:r>
      <w:r w:rsidRPr="00D845BD">
        <w:rPr>
          <w:rFonts w:eastAsia="Aptos"/>
          <w:sz w:val="24"/>
          <w:szCs w:val="24"/>
          <w:vertAlign w:val="superscript"/>
        </w:rPr>
        <w:footnoteReference w:id="192"/>
      </w:r>
      <w:r w:rsidRPr="00D845BD">
        <w:rPr>
          <w:rFonts w:eastAsia="Aptos"/>
          <w:sz w:val="24"/>
          <w:szCs w:val="24"/>
        </w:rPr>
        <w:t xml:space="preserve"> Je tak na místě klást si otázku, zda se na něj vztahuje ustanovení § 41 SŘ v případě, kdy svůj nárok do skončení prvního ústního jednání neuplatnil a nestal se tedy formálně účastníkem řízení. Jak je již uvedeno výše, ustanovení § 43 TŘ obsahuje pravidlo, podle něhož poškozený může uplatnit svůj nárok nejpozději při hlavním líčení před začátkem dokazování.</w:t>
      </w:r>
      <w:r w:rsidRPr="00D845BD">
        <w:rPr>
          <w:rFonts w:eastAsia="Aptos"/>
          <w:sz w:val="24"/>
          <w:szCs w:val="24"/>
          <w:vertAlign w:val="superscript"/>
        </w:rPr>
        <w:footnoteReference w:id="193"/>
      </w:r>
      <w:r w:rsidRPr="00D845BD">
        <w:rPr>
          <w:rFonts w:eastAsia="Aptos"/>
          <w:sz w:val="24"/>
          <w:szCs w:val="24"/>
        </w:rPr>
        <w:t xml:space="preserve"> Odborná literatura se zde shoduje sice na procesní povaze lhůty, avšak současně s tím na nemožnosti jejího prodloužení.</w:t>
      </w:r>
      <w:r w:rsidRPr="00D845BD">
        <w:rPr>
          <w:rFonts w:eastAsia="Aptos"/>
          <w:sz w:val="24"/>
          <w:szCs w:val="24"/>
          <w:vertAlign w:val="superscript"/>
        </w:rPr>
        <w:footnoteReference w:id="194"/>
      </w:r>
      <w:r w:rsidRPr="00D845BD">
        <w:rPr>
          <w:rFonts w:eastAsia="Aptos"/>
          <w:sz w:val="24"/>
          <w:szCs w:val="24"/>
        </w:rPr>
        <w:t xml:space="preserve"> Toto deklaroval i krajský soud v Plzni. </w:t>
      </w:r>
      <w:r w:rsidRPr="00D845BD">
        <w:rPr>
          <w:rFonts w:eastAsia="Aptos"/>
          <w:sz w:val="24"/>
          <w:szCs w:val="24"/>
          <w:vertAlign w:val="superscript"/>
        </w:rPr>
        <w:footnoteReference w:id="195"/>
      </w:r>
      <w:r w:rsidRPr="00D845BD">
        <w:rPr>
          <w:rFonts w:eastAsia="Aptos"/>
          <w:sz w:val="24"/>
          <w:szCs w:val="24"/>
        </w:rPr>
        <w:t xml:space="preserve"> </w:t>
      </w:r>
    </w:p>
    <w:p w:rsidR="00941C55" w:rsidRDefault="00B425CE" w:rsidP="005833E8">
      <w:pPr>
        <w:spacing w:after="160" w:line="360" w:lineRule="auto"/>
        <w:ind w:right="567" w:firstLine="720"/>
        <w:jc w:val="both"/>
        <w:rPr>
          <w:rFonts w:eastAsia="Aptos"/>
          <w:i/>
          <w:sz w:val="24"/>
          <w:szCs w:val="24"/>
        </w:rPr>
      </w:pPr>
      <w:r w:rsidRPr="00D845BD">
        <w:rPr>
          <w:rFonts w:eastAsia="Aptos"/>
          <w:sz w:val="24"/>
          <w:szCs w:val="24"/>
        </w:rPr>
        <w:t>Abych vš</w:t>
      </w:r>
      <w:r w:rsidR="007A76F9">
        <w:rPr>
          <w:rFonts w:eastAsia="Aptos"/>
          <w:sz w:val="24"/>
          <w:szCs w:val="24"/>
        </w:rPr>
        <w:t>ak tento názor</w:t>
      </w:r>
      <w:r w:rsidRPr="00D845BD">
        <w:rPr>
          <w:rFonts w:eastAsia="Aptos"/>
          <w:sz w:val="24"/>
          <w:szCs w:val="24"/>
        </w:rPr>
        <w:t xml:space="preserve"> podpořil argumenty a potvrdil jej právně</w:t>
      </w:r>
      <w:r w:rsidR="00941C55">
        <w:rPr>
          <w:rFonts w:eastAsia="Aptos"/>
          <w:sz w:val="24"/>
          <w:szCs w:val="24"/>
        </w:rPr>
        <w:t>–</w:t>
      </w:r>
      <w:r w:rsidRPr="00D845BD">
        <w:rPr>
          <w:rFonts w:eastAsia="Aptos"/>
          <w:sz w:val="24"/>
          <w:szCs w:val="24"/>
        </w:rPr>
        <w:t>metodologicky, je třeba vyjít z nějakého korektního postupu. Důvodová zpráva hovoří o procesní povaze lhůty a možnosti jejího prodloužení formou prominutí zmeškání úkonu.</w:t>
      </w:r>
      <w:r w:rsidRPr="00D845BD">
        <w:rPr>
          <w:rFonts w:eastAsia="Aptos"/>
          <w:sz w:val="24"/>
          <w:szCs w:val="24"/>
          <w:vertAlign w:val="superscript"/>
        </w:rPr>
        <w:footnoteReference w:id="196"/>
      </w:r>
      <w:r w:rsidRPr="00D845BD">
        <w:rPr>
          <w:rFonts w:eastAsia="Aptos"/>
          <w:sz w:val="24"/>
          <w:szCs w:val="24"/>
        </w:rPr>
        <w:t xml:space="preserve"> PřesZ takové ustanovení nezná, ale jeho subsidiární povaha</w:t>
      </w:r>
      <w:r w:rsidRPr="00D845BD">
        <w:rPr>
          <w:rFonts w:eastAsia="Aptos"/>
          <w:sz w:val="24"/>
          <w:szCs w:val="24"/>
          <w:vertAlign w:val="superscript"/>
        </w:rPr>
        <w:footnoteReference w:id="197"/>
      </w:r>
      <w:r w:rsidRPr="00D845BD">
        <w:rPr>
          <w:rFonts w:eastAsia="Aptos"/>
          <w:sz w:val="24"/>
          <w:szCs w:val="24"/>
        </w:rPr>
        <w:t xml:space="preserve"> znamená použití SŘ, konkrétně jeho ustanovení § 41, které má o obecné za následek možnost účastníka žádat o prominutí zmeškání úkonu do 15 dnů od pominutí překážky.</w:t>
      </w:r>
      <w:r w:rsidRPr="00D845BD">
        <w:rPr>
          <w:rFonts w:eastAsia="Aptos"/>
          <w:sz w:val="24"/>
          <w:szCs w:val="24"/>
          <w:vertAlign w:val="superscript"/>
        </w:rPr>
        <w:footnoteReference w:id="198"/>
      </w:r>
      <w:r w:rsidRPr="00D845BD">
        <w:rPr>
          <w:rFonts w:eastAsia="Aptos"/>
          <w:sz w:val="24"/>
          <w:szCs w:val="24"/>
        </w:rPr>
        <w:t xml:space="preserve"> Potíž spočívá v tom, že toto ustanovení výslovně hovoří o “účastníkovi” správního řízení, kterým osoba poškozená ve fázi před korektním připojením se svým nárokem formálně stále není, nepřipadá tu tedy v úvahu doslovná aplikace ustanovení § 41 SŘ. Je tedy třeba zvolit jinou právně metodologickou cestu.</w:t>
      </w:r>
    </w:p>
    <w:p w:rsidR="004257C9" w:rsidRDefault="00B425CE" w:rsidP="005833E8">
      <w:pPr>
        <w:spacing w:after="160" w:line="360" w:lineRule="auto"/>
        <w:ind w:right="567" w:firstLine="720"/>
        <w:jc w:val="both"/>
        <w:rPr>
          <w:rFonts w:eastAsia="Aptos"/>
          <w:i/>
          <w:sz w:val="24"/>
          <w:szCs w:val="24"/>
        </w:rPr>
      </w:pPr>
      <w:r w:rsidRPr="00D845BD">
        <w:rPr>
          <w:rFonts w:eastAsia="Aptos"/>
          <w:sz w:val="24"/>
          <w:szCs w:val="24"/>
        </w:rPr>
        <w:t>Svou povahou je navrácení v předešlý stav dle ustanovení § 41 SŘ podobný jako institut navrácení lhůty v trestním řízení. Spočívá v možnosti obviněného, či jeho obhájce požádat o navrácení lhůty k podání opravného prostředku, pokud tato lhůta uplynula.</w:t>
      </w:r>
      <w:r w:rsidRPr="00D845BD">
        <w:rPr>
          <w:rFonts w:eastAsia="Aptos"/>
          <w:sz w:val="24"/>
          <w:szCs w:val="24"/>
          <w:vertAlign w:val="superscript"/>
        </w:rPr>
        <w:footnoteReference w:id="199"/>
      </w:r>
      <w:r w:rsidRPr="00D845BD">
        <w:rPr>
          <w:rFonts w:eastAsia="Aptos"/>
          <w:sz w:val="24"/>
          <w:szCs w:val="24"/>
        </w:rPr>
        <w:t xml:space="preserve"> </w:t>
      </w:r>
      <w:r w:rsidRPr="00D845BD">
        <w:rPr>
          <w:sz w:val="24"/>
          <w:szCs w:val="24"/>
          <w:highlight w:val="white"/>
        </w:rPr>
        <w:t xml:space="preserve">Tento institut je označován jako jeden z tzv. </w:t>
      </w:r>
      <w:r w:rsidRPr="00D845BD">
        <w:rPr>
          <w:i/>
          <w:sz w:val="24"/>
          <w:szCs w:val="24"/>
          <w:highlight w:val="white"/>
        </w:rPr>
        <w:t>favor defensionis</w:t>
      </w:r>
      <w:r w:rsidRPr="00D845BD">
        <w:rPr>
          <w:sz w:val="24"/>
          <w:szCs w:val="24"/>
          <w:highlight w:val="white"/>
        </w:rPr>
        <w:t xml:space="preserve"> a smyslem je dát obviněnému jakousi výhodu navíc oproti justičnímu aparátu, a byla tím kompenzovaná jistá </w:t>
      </w:r>
      <w:r w:rsidRPr="00D845BD">
        <w:rPr>
          <w:sz w:val="24"/>
          <w:szCs w:val="24"/>
          <w:highlight w:val="white"/>
        </w:rPr>
        <w:lastRenderedPageBreak/>
        <w:t>nerovnost.</w:t>
      </w:r>
      <w:r w:rsidRPr="00D845BD">
        <w:rPr>
          <w:sz w:val="24"/>
          <w:szCs w:val="24"/>
          <w:highlight w:val="white"/>
          <w:vertAlign w:val="superscript"/>
        </w:rPr>
        <w:footnoteReference w:id="200"/>
      </w:r>
      <w:r w:rsidRPr="00D845BD">
        <w:rPr>
          <w:sz w:val="24"/>
          <w:szCs w:val="24"/>
          <w:highlight w:val="white"/>
        </w:rPr>
        <w:t xml:space="preserve"> Dalším smyslem je předejít možné tvrdosti zákona, pokud ji oprávněná osoba zmeškala z vážných důvodů.</w:t>
      </w:r>
      <w:r w:rsidRPr="00D845BD">
        <w:rPr>
          <w:rFonts w:eastAsia="Aptos"/>
          <w:sz w:val="24"/>
          <w:szCs w:val="24"/>
          <w:vertAlign w:val="superscript"/>
        </w:rPr>
        <w:footnoteReference w:id="201"/>
      </w:r>
      <w:r w:rsidRPr="00D845BD">
        <w:rPr>
          <w:rFonts w:eastAsia="Aptos"/>
          <w:sz w:val="24"/>
          <w:szCs w:val="24"/>
        </w:rPr>
        <w:t xml:space="preserve">  Velmi podobný smysl spatřuji </w:t>
      </w:r>
      <w:r w:rsidR="00941C55">
        <w:rPr>
          <w:rFonts w:eastAsia="Aptos"/>
          <w:sz w:val="24"/>
          <w:szCs w:val="24"/>
        </w:rPr>
        <w:t xml:space="preserve">také </w:t>
      </w:r>
      <w:r w:rsidRPr="00D845BD">
        <w:rPr>
          <w:rFonts w:eastAsia="Aptos"/>
          <w:sz w:val="24"/>
          <w:szCs w:val="24"/>
        </w:rPr>
        <w:t>v institutu navrácení v předešlý stav dle</w:t>
      </w:r>
      <w:r w:rsidR="00941C55">
        <w:rPr>
          <w:rFonts w:eastAsia="Aptos"/>
          <w:sz w:val="24"/>
          <w:szCs w:val="24"/>
        </w:rPr>
        <w:t xml:space="preserve"> ustanovení §</w:t>
      </w:r>
      <w:r w:rsidRPr="00D845BD">
        <w:rPr>
          <w:rFonts w:eastAsia="Aptos"/>
          <w:sz w:val="24"/>
          <w:szCs w:val="24"/>
        </w:rPr>
        <w:t xml:space="preserve"> 41 SŘ. Pokud zákon dává takovou možnost dává účastníku řízení, není proti smyslu a účelu, aby jej měla i osoba, která ze stejných důvodů zmeškala úkon, aniž by se jednalo o úkon účastníka, ale “jen” o úkon podmiňující účastenství. Smysl a účel ustanovení sám o sobě tím podle mě neutrpí. Existuje zde tedy  - </w:t>
      </w:r>
      <w:r w:rsidR="004257C9">
        <w:rPr>
          <w:rFonts w:eastAsia="Aptos"/>
          <w:sz w:val="24"/>
          <w:szCs w:val="24"/>
        </w:rPr>
        <w:t xml:space="preserve">“pevný bod” ve smyslu </w:t>
      </w:r>
      <w:r w:rsidRPr="00D845BD">
        <w:rPr>
          <w:rFonts w:eastAsia="Aptos"/>
          <w:sz w:val="24"/>
          <w:szCs w:val="24"/>
        </w:rPr>
        <w:t>ustanovení § 41 SŘ, teleologické pozadí i mezera v zákoně</w:t>
      </w:r>
      <w:r w:rsidR="004257C9">
        <w:rPr>
          <w:rStyle w:val="Znakapoznpodarou"/>
          <w:rFonts w:eastAsia="Aptos"/>
          <w:sz w:val="24"/>
          <w:szCs w:val="24"/>
        </w:rPr>
        <w:footnoteReference w:id="202"/>
      </w:r>
      <w:r w:rsidRPr="00D845BD">
        <w:rPr>
          <w:rFonts w:eastAsia="Aptos"/>
          <w:sz w:val="24"/>
          <w:szCs w:val="24"/>
        </w:rPr>
        <w:t>. To vše je navíc zjevně předpokládáno vůli zákonodárce v důvodové zprávě k PřesZ.</w:t>
      </w:r>
      <w:r w:rsidRPr="00D845BD">
        <w:rPr>
          <w:rFonts w:eastAsia="Aptos"/>
          <w:sz w:val="24"/>
          <w:szCs w:val="24"/>
          <w:vertAlign w:val="superscript"/>
        </w:rPr>
        <w:footnoteReference w:id="203"/>
      </w:r>
      <w:r w:rsidRPr="00D845BD">
        <w:rPr>
          <w:rFonts w:eastAsia="Aptos"/>
          <w:sz w:val="24"/>
          <w:szCs w:val="24"/>
        </w:rPr>
        <w:t xml:space="preserve"> Je tedy dovozen právní podklad k možnosti osoby poškozeného domoci se prominutí zmeškání úkonu a tedy aplikace ustanovení § 41 SŘ pomocí </w:t>
      </w:r>
      <w:r w:rsidRPr="004257C9">
        <w:rPr>
          <w:rFonts w:eastAsia="Aptos"/>
          <w:i/>
          <w:sz w:val="24"/>
          <w:szCs w:val="24"/>
        </w:rPr>
        <w:t>analogie legis</w:t>
      </w:r>
      <w:r w:rsidRPr="00D845BD">
        <w:rPr>
          <w:rFonts w:eastAsia="Aptos"/>
          <w:sz w:val="24"/>
          <w:szCs w:val="24"/>
        </w:rPr>
        <w:t xml:space="preserve">. </w:t>
      </w:r>
    </w:p>
    <w:p w:rsidR="009D574D" w:rsidRDefault="00B425CE" w:rsidP="005833E8">
      <w:pPr>
        <w:spacing w:after="160" w:line="360" w:lineRule="auto"/>
        <w:ind w:right="567" w:firstLine="720"/>
        <w:jc w:val="both"/>
        <w:rPr>
          <w:rFonts w:eastAsia="Aptos"/>
          <w:sz w:val="24"/>
          <w:szCs w:val="24"/>
        </w:rPr>
      </w:pPr>
      <w:r w:rsidRPr="00D845BD">
        <w:rPr>
          <w:rFonts w:eastAsia="Aptos"/>
          <w:sz w:val="24"/>
          <w:szCs w:val="24"/>
        </w:rPr>
        <w:t>Současně je třeba brát v potaz limity aplikace ustanovení § 41 SŘ. Předně, samotné ustanovení tyto limity zmiňuje ve svém odstavci pátém (neprominutí zmeškání z důvodu nabytí práv v dobré víře jiných účastníků a nebo ochrany veřejného zájmu).</w:t>
      </w:r>
      <w:r w:rsidRPr="00D845BD">
        <w:rPr>
          <w:rFonts w:eastAsia="Aptos"/>
          <w:sz w:val="24"/>
          <w:szCs w:val="24"/>
          <w:vertAlign w:val="superscript"/>
        </w:rPr>
        <w:footnoteReference w:id="204"/>
      </w:r>
      <w:r w:rsidRPr="00D845BD">
        <w:rPr>
          <w:rFonts w:eastAsia="Aptos"/>
          <w:sz w:val="24"/>
          <w:szCs w:val="24"/>
        </w:rPr>
        <w:t xml:space="preserve">  Veřejný zájem existuje jistě i na rychlém, efektivním řízení o deliktu a naplnění jeho účelu, což je koneckonců vyjádřeno zakotvením zásady rychlosti do trestního</w:t>
      </w:r>
      <w:r w:rsidRPr="00D845BD">
        <w:rPr>
          <w:rFonts w:eastAsia="Aptos"/>
          <w:sz w:val="24"/>
          <w:szCs w:val="24"/>
          <w:vertAlign w:val="superscript"/>
        </w:rPr>
        <w:footnoteReference w:id="205"/>
      </w:r>
      <w:r w:rsidRPr="00D845BD">
        <w:rPr>
          <w:rFonts w:eastAsia="Aptos"/>
          <w:sz w:val="24"/>
          <w:szCs w:val="24"/>
        </w:rPr>
        <w:t xml:space="preserve"> i správního řádu.</w:t>
      </w:r>
      <w:r w:rsidRPr="00D845BD">
        <w:rPr>
          <w:rFonts w:eastAsia="Aptos"/>
          <w:sz w:val="24"/>
          <w:szCs w:val="24"/>
          <w:vertAlign w:val="superscript"/>
        </w:rPr>
        <w:footnoteReference w:id="206"/>
      </w:r>
      <w:r w:rsidRPr="00D845BD">
        <w:rPr>
          <w:rFonts w:eastAsia="Aptos"/>
          <w:sz w:val="24"/>
          <w:szCs w:val="24"/>
        </w:rPr>
        <w:t xml:space="preserve"> Mám tedy za to, že možnost aplikace ustanovení § 41 odst. 1 SŘ by měla být redukována na situace, kdy </w:t>
      </w:r>
      <w:r w:rsidR="004257C9">
        <w:rPr>
          <w:rFonts w:eastAsia="Aptos"/>
          <w:sz w:val="24"/>
          <w:szCs w:val="24"/>
        </w:rPr>
        <w:t xml:space="preserve">teoreticky správní orgán </w:t>
      </w:r>
      <w:r w:rsidRPr="00D845BD">
        <w:rPr>
          <w:rFonts w:eastAsia="Aptos"/>
          <w:sz w:val="24"/>
          <w:szCs w:val="24"/>
        </w:rPr>
        <w:t>nebude z nějakých důvodů prozatím vydávat rozhodnutí ve věci, tedy případné “přibrání” osoby poškozeného se jejím nárokem nebude důvodem pro zdržení se s vydáním rozhodnutí o vině. Jinými slovy vyhovění s prodloužením lhůty aplikací institut navrácení v předešlý stav by nemělo být na újmu rychlosti řízení a vydání rozhodnutí, které by tak</w:t>
      </w:r>
      <w:r w:rsidR="009D574D">
        <w:rPr>
          <w:rFonts w:eastAsia="Aptos"/>
          <w:sz w:val="24"/>
          <w:szCs w:val="24"/>
        </w:rPr>
        <w:t xml:space="preserve"> v dané situaci již šlo učinit.</w:t>
      </w:r>
    </w:p>
    <w:p w:rsidR="004257C9" w:rsidRDefault="00B425CE" w:rsidP="005833E8">
      <w:pPr>
        <w:spacing w:after="160" w:line="360" w:lineRule="auto"/>
        <w:ind w:right="567" w:firstLine="720"/>
        <w:jc w:val="both"/>
        <w:rPr>
          <w:rFonts w:eastAsia="Aptos"/>
          <w:i/>
          <w:sz w:val="24"/>
          <w:szCs w:val="24"/>
        </w:rPr>
      </w:pPr>
      <w:r w:rsidRPr="00D845BD">
        <w:rPr>
          <w:sz w:val="24"/>
          <w:szCs w:val="24"/>
          <w:highlight w:val="white"/>
        </w:rPr>
        <w:t xml:space="preserve">V minulosti byla projednána ústavní </w:t>
      </w:r>
      <w:r w:rsidR="004257C9">
        <w:rPr>
          <w:sz w:val="24"/>
          <w:szCs w:val="24"/>
          <w:highlight w:val="white"/>
        </w:rPr>
        <w:t xml:space="preserve">stížnost, v níž se stěžovatelé </w:t>
      </w:r>
      <w:r w:rsidRPr="00D845BD">
        <w:rPr>
          <w:sz w:val="24"/>
          <w:szCs w:val="24"/>
          <w:highlight w:val="white"/>
        </w:rPr>
        <w:t xml:space="preserve">domáhali zrušení tohoto ustanovení, neboť podle nich zasahovalo do jejich ústavně zaručeného práva na soudní a jinou ochranu. V daném sporu zmocněnec poškozených v trestním řízení ze zdravotních důvodů zmeškal třídenní lhůtu pro podání stížnosti proti rozhodnutí, jímž krajský soud zamítl jeho právo na náhradu nákladů. Argumentoval velmi krátkou třídenní lhůtou, která je podle nich disproporční v kontextu délky trestního řízení a také diskriminací ustanovení, které navrácení lhůty přiznává pouze obviněnému a to i když je adhezní řízení </w:t>
      </w:r>
      <w:r w:rsidRPr="00D845BD">
        <w:rPr>
          <w:sz w:val="24"/>
          <w:szCs w:val="24"/>
          <w:highlight w:val="white"/>
        </w:rPr>
        <w:lastRenderedPageBreak/>
        <w:t>v podstatě povahou civilní spor, který je postaven na zásadě rovnosti stran. Ústavní soud konstatoval, že v daném případě došlo k zásahu do práva na soudní a jinou ochranu a připustil analogicky rozšířit výčet osob oprávněných v ustanovení § 61 TŘ i na poškozeného, avšak pouze v případech, kdy je z omluvitelných důvodů zmeškána lhůta pro uplatnění práva, které nelze uplatnit jinde než v trestním řízení. Jednak je tedy tento institut vázán výhradně na opravný prostředek, o který se v ustanovení § 43 TŘ nejedná a jednak došlo k rozšíření pouze na případy, kdy se nelze práva domáhat jinde než v trestním řízení</w:t>
      </w:r>
      <w:r w:rsidRPr="004257C9">
        <w:rPr>
          <w:sz w:val="24"/>
          <w:szCs w:val="24"/>
          <w:highlight w:val="white"/>
        </w:rPr>
        <w:t>.</w:t>
      </w:r>
      <w:r w:rsidRPr="004257C9">
        <w:rPr>
          <w:sz w:val="24"/>
          <w:szCs w:val="24"/>
          <w:highlight w:val="white"/>
          <w:vertAlign w:val="superscript"/>
        </w:rPr>
        <w:footnoteReference w:id="207"/>
      </w:r>
      <w:r w:rsidRPr="004257C9">
        <w:rPr>
          <w:sz w:val="24"/>
          <w:szCs w:val="24"/>
          <w:highlight w:val="white"/>
        </w:rPr>
        <w:t xml:space="preserve"> Ačkoli toto rozhodnutí neřeší zcela stejný předmět, lze si všimnout jisté úvahy ústavního soudu v této problematice, tedy nepřiznání práva na navrácení lhůty tam, kde se práva lze domáhat i jinde než v trestním řízení. Nárok poškozeného, jak je několikrát uvedeno výše, takovým, jinde vymahatelným právem je a proto je z tohoto hlediska obhajitelné tvrzení, že navrácení lhůty mu příslušet nemá.</w:t>
      </w:r>
    </w:p>
    <w:p w:rsidR="00C07033" w:rsidRPr="00D420AB" w:rsidRDefault="00B425CE" w:rsidP="005833E8">
      <w:pPr>
        <w:spacing w:after="160" w:line="360" w:lineRule="auto"/>
        <w:ind w:right="567" w:firstLine="720"/>
        <w:jc w:val="both"/>
        <w:rPr>
          <w:rFonts w:eastAsia="Aptos"/>
          <w:sz w:val="24"/>
          <w:szCs w:val="24"/>
        </w:rPr>
      </w:pPr>
      <w:r w:rsidRPr="00D845BD">
        <w:rPr>
          <w:rFonts w:eastAsia="Aptos"/>
          <w:sz w:val="24"/>
          <w:szCs w:val="24"/>
        </w:rPr>
        <w:t xml:space="preserve">Osobně si však dovolím kritiku nesystematičnosti právní úpravy spočívající v rozdílnosti úpravy přestupkové a trestní, pro kterou nevidím rozumné opodstatnění. Rozpor mezi úpravou časového okamžiku pro uplatnění nároku a možností prodloužení lhůty pro jeho uplatnění v adhezním řízení v přestupkovém a v trestním řízení jde podle mého názoru proti obecnému </w:t>
      </w:r>
      <w:r w:rsidRPr="009D574D">
        <w:rPr>
          <w:rFonts w:eastAsia="Aptos"/>
          <w:sz w:val="24"/>
          <w:szCs w:val="24"/>
        </w:rPr>
        <w:t xml:space="preserve">principu formální rovnosti. Ten spočívá v tom, že </w:t>
      </w:r>
      <w:r w:rsidRPr="00D845BD">
        <w:rPr>
          <w:rFonts w:eastAsia="Aptos"/>
          <w:sz w:val="24"/>
          <w:szCs w:val="24"/>
        </w:rPr>
        <w:t>“</w:t>
      </w:r>
      <w:r w:rsidRPr="00D845BD">
        <w:rPr>
          <w:rFonts w:eastAsia="Aptos"/>
          <w:i/>
          <w:sz w:val="24"/>
          <w:szCs w:val="24"/>
        </w:rPr>
        <w:t>učinil-li zákonodárce v jednom případě určité hodnotové rozhodnutí, je vyloučeno, aby v podobném případě učinil hodnotové rozhodnutí opačné</w:t>
      </w:r>
      <w:r w:rsidRPr="00D845BD">
        <w:rPr>
          <w:rFonts w:eastAsia="Aptos"/>
          <w:sz w:val="24"/>
          <w:szCs w:val="24"/>
        </w:rPr>
        <w:t>.”</w:t>
      </w:r>
      <w:r w:rsidRPr="00D845BD">
        <w:rPr>
          <w:rFonts w:eastAsia="Aptos"/>
          <w:sz w:val="24"/>
          <w:szCs w:val="24"/>
          <w:vertAlign w:val="superscript"/>
        </w:rPr>
        <w:footnoteReference w:id="208"/>
      </w:r>
      <w:r w:rsidRPr="00D845BD">
        <w:rPr>
          <w:rFonts w:eastAsia="Aptos"/>
          <w:color w:val="FF0000"/>
          <w:sz w:val="24"/>
          <w:szCs w:val="24"/>
        </w:rPr>
        <w:t xml:space="preserve"> </w:t>
      </w:r>
      <w:r w:rsidRPr="009D574D">
        <w:rPr>
          <w:rFonts w:eastAsia="Aptos"/>
          <w:sz w:val="24"/>
          <w:szCs w:val="24"/>
        </w:rPr>
        <w:t>V daném případě lze proti sobě postavit hodnotu (snadnějšího) uspokojení soukromého zájmu poškozeného, zmírnění tvrdosti zákona v jeho prospěch a hodnotu rychlosti a hladkého průběhu řízení o deliktu. Můžeme konstatovat, že účel ustanovení, totiž požadavek uplatnění nároku poškozeným do určitého časového momentu, je v obou typech řízení stejný.</w:t>
      </w:r>
      <w:r w:rsidR="004257C9" w:rsidRPr="009D574D">
        <w:rPr>
          <w:rFonts w:eastAsia="Aptos"/>
          <w:sz w:val="24"/>
          <w:szCs w:val="24"/>
        </w:rPr>
        <w:t xml:space="preserve"> </w:t>
      </w:r>
      <w:r w:rsidRPr="009D574D">
        <w:rPr>
          <w:rFonts w:eastAsia="Aptos"/>
          <w:sz w:val="24"/>
          <w:szCs w:val="24"/>
        </w:rPr>
        <w:t xml:space="preserve">Po mém soudu nedává dobrý smysl, aby poškozený v řízení o přestupku byl zvýhodněn oproti poškozenému v trestním řízení a měl možnost navrácení lhůty pro uplatnění svého nároku oproti poškozenému v řízením trestním. Tím spíš, když lze předpokládat, že v typických případech (ačkoli to jistě neplatí absolutně) bude spíše větší zásah do práv poškozeného deliktem v případě trestných činů než přestupků. Byť je přestupkové řízení řazeno do práva správního, a nikoli trestního, je podle mě svou povahou natolik podobné, že pojetí řešení možnosti uplatnit nárok poškozeného mají být principielně stejná, a odlišovat se tam, kde pro to existuje dobrý smysl. Posuzovaná záležitost je pak principiálně fakticky stejná jako v řízení trestním </w:t>
      </w:r>
      <w:r w:rsidRPr="009D574D">
        <w:rPr>
          <w:rFonts w:eastAsia="Aptos"/>
          <w:sz w:val="24"/>
          <w:szCs w:val="24"/>
        </w:rPr>
        <w:lastRenderedPageBreak/>
        <w:t xml:space="preserve">a proto si myslím, že v tomto případě je žádoucí právně-politicky inklinovat ke stejnému řešení. Není však vyloučeno, že zákonodárce posílí postavení poškozeného v řízení trestním </w:t>
      </w:r>
      <w:r w:rsidR="00C46201" w:rsidRPr="009D574D">
        <w:rPr>
          <w:rFonts w:eastAsia="Aptos"/>
          <w:sz w:val="24"/>
          <w:szCs w:val="24"/>
        </w:rPr>
        <w:t xml:space="preserve">po vzoru přestupkového, dokonce </w:t>
      </w:r>
      <w:r w:rsidRPr="009D574D">
        <w:rPr>
          <w:rFonts w:eastAsia="Aptos"/>
          <w:sz w:val="24"/>
          <w:szCs w:val="24"/>
        </w:rPr>
        <w:t>je to</w:t>
      </w:r>
      <w:r w:rsidR="00C46201" w:rsidRPr="009D574D">
        <w:rPr>
          <w:rFonts w:eastAsia="Aptos"/>
          <w:sz w:val="24"/>
          <w:szCs w:val="24"/>
        </w:rPr>
        <w:t xml:space="preserve"> možná</w:t>
      </w:r>
      <w:r w:rsidRPr="009D574D">
        <w:rPr>
          <w:rFonts w:eastAsia="Aptos"/>
          <w:sz w:val="24"/>
          <w:szCs w:val="24"/>
        </w:rPr>
        <w:t xml:space="preserve"> dobře představitelné. Obecně však mám za to, že by mělo být pro obě řízení stejné a </w:t>
      </w:r>
      <w:r w:rsidRPr="009D574D">
        <w:rPr>
          <w:rFonts w:eastAsia="Aptos"/>
          <w:i/>
          <w:sz w:val="24"/>
          <w:szCs w:val="24"/>
        </w:rPr>
        <w:t>de lege ferenda</w:t>
      </w:r>
      <w:r w:rsidRPr="009D574D">
        <w:rPr>
          <w:rFonts w:eastAsia="Aptos"/>
          <w:sz w:val="24"/>
          <w:szCs w:val="24"/>
        </w:rPr>
        <w:t xml:space="preserve"> proto navrhuji tento rozpor odstranit a to ve prospěch úpravy v trestním řízení. </w:t>
      </w:r>
    </w:p>
    <w:p w:rsidR="00B425CE" w:rsidRPr="00C85A10" w:rsidRDefault="00D420AB" w:rsidP="005833E8">
      <w:pPr>
        <w:pStyle w:val="Nadpis1"/>
        <w:spacing w:line="360" w:lineRule="auto"/>
      </w:pPr>
      <w:bookmarkStart w:id="55" w:name="_Toc190464515"/>
      <w:bookmarkStart w:id="56" w:name="_Toc190466554"/>
      <w:bookmarkStart w:id="57" w:name="_Toc190468802"/>
      <w:bookmarkStart w:id="58" w:name="_Toc190476387"/>
      <w:r>
        <w:t xml:space="preserve">4. </w:t>
      </w:r>
      <w:r w:rsidR="009D574D" w:rsidRPr="00C85A10">
        <w:t xml:space="preserve"> </w:t>
      </w:r>
      <w:r w:rsidR="00B425CE" w:rsidRPr="00C85A10">
        <w:t>Práva poškozeného</w:t>
      </w:r>
      <w:bookmarkEnd w:id="55"/>
      <w:bookmarkEnd w:id="56"/>
      <w:bookmarkEnd w:id="57"/>
      <w:bookmarkEnd w:id="58"/>
    </w:p>
    <w:p w:rsidR="009D574D" w:rsidRPr="009C3EB0" w:rsidRDefault="00B425CE" w:rsidP="005833E8">
      <w:pPr>
        <w:pStyle w:val="Nadpis2"/>
        <w:spacing w:line="360" w:lineRule="auto"/>
      </w:pPr>
      <w:r w:rsidRPr="00D845BD">
        <w:rPr>
          <w:sz w:val="24"/>
          <w:szCs w:val="24"/>
        </w:rPr>
        <w:br/>
      </w:r>
      <w:bookmarkStart w:id="59" w:name="_Toc190464516"/>
      <w:bookmarkStart w:id="60" w:name="_Toc190466555"/>
      <w:bookmarkStart w:id="61" w:name="_Toc190468803"/>
      <w:bookmarkStart w:id="62" w:name="_Toc190476388"/>
      <w:r w:rsidR="00D420AB">
        <w:t>4.</w:t>
      </w:r>
      <w:r w:rsidR="009D574D" w:rsidRPr="009C3EB0">
        <w:t>1</w:t>
      </w:r>
      <w:r w:rsidR="009C3EB0">
        <w:t>.</w:t>
      </w:r>
      <w:r w:rsidR="009D574D" w:rsidRPr="009C3EB0">
        <w:t xml:space="preserve"> </w:t>
      </w:r>
      <w:r w:rsidRPr="009C3EB0">
        <w:t>Právo poškozeného být vyrozuměn o možnost</w:t>
      </w:r>
      <w:r w:rsidR="009D574D" w:rsidRPr="009C3EB0">
        <w:t>i uplatnit nárok na náhradu újmy</w:t>
      </w:r>
      <w:bookmarkEnd w:id="59"/>
      <w:bookmarkEnd w:id="60"/>
      <w:bookmarkEnd w:id="61"/>
      <w:bookmarkEnd w:id="62"/>
      <w:r w:rsidR="009D574D" w:rsidRPr="009C3EB0">
        <w:t xml:space="preserve"> </w:t>
      </w:r>
    </w:p>
    <w:p w:rsidR="009D574D" w:rsidRDefault="00B425CE" w:rsidP="005833E8">
      <w:pPr>
        <w:spacing w:after="160" w:line="360" w:lineRule="auto"/>
        <w:ind w:right="567" w:firstLine="720"/>
        <w:jc w:val="both"/>
        <w:rPr>
          <w:rFonts w:eastAsia="Aptos"/>
          <w:sz w:val="28"/>
          <w:szCs w:val="28"/>
        </w:rPr>
      </w:pPr>
      <w:r w:rsidRPr="00053D38">
        <w:rPr>
          <w:rFonts w:eastAsia="Aptos"/>
          <w:sz w:val="24"/>
          <w:szCs w:val="24"/>
        </w:rPr>
        <w:t>Práva poškozeného plynou jak z PřesZ, jakožto zákona speciálního, tak část z nich také ze SŘ.</w:t>
      </w:r>
      <w:r w:rsidRPr="00053D38">
        <w:rPr>
          <w:rFonts w:eastAsia="Aptos"/>
          <w:sz w:val="24"/>
          <w:szCs w:val="24"/>
          <w:vertAlign w:val="superscript"/>
        </w:rPr>
        <w:footnoteReference w:id="209"/>
      </w:r>
      <w:r w:rsidRPr="00053D38">
        <w:rPr>
          <w:rFonts w:eastAsia="Aptos"/>
          <w:sz w:val="24"/>
          <w:szCs w:val="24"/>
        </w:rPr>
        <w:t xml:space="preserve"> </w:t>
      </w:r>
      <w:r w:rsidRPr="00D845BD">
        <w:rPr>
          <w:rFonts w:eastAsia="Aptos"/>
          <w:sz w:val="24"/>
          <w:szCs w:val="24"/>
        </w:rPr>
        <w:t>Nejspíš prvním právem, které je vhodné analyzovat, je právo být vyrozuměn o možnosti uplatnit nárok na náhradu škody a o termínu ústního jednání, které plyne z ustanovení § 70 odst. 1 PřesZ. To stanoví, že je-li správnímu orgánu známa totožnost osoby, které byla způsobena škoda, nebo na jejíž úkor se obviněný bezdůvodně obohatil, má povinnost ji vyrozumět o možnosti uplatnit nárok na náhradu této újmy a o nařízeném ústním jednání. Spolu s tím má povinnost poučit osobu o lhůtě, do které lze nárok uplatnit.</w:t>
      </w:r>
      <w:r w:rsidRPr="00D845BD">
        <w:rPr>
          <w:rFonts w:eastAsia="Aptos"/>
          <w:sz w:val="24"/>
          <w:szCs w:val="24"/>
          <w:vertAlign w:val="superscript"/>
        </w:rPr>
        <w:footnoteReference w:id="210"/>
      </w:r>
      <w:r w:rsidRPr="00D845BD">
        <w:rPr>
          <w:rFonts w:eastAsia="Aptos"/>
          <w:sz w:val="24"/>
          <w:szCs w:val="24"/>
        </w:rPr>
        <w:t xml:space="preserve">  Učelem je, aby měla tato osoba vůbec možnost řádně uplatnit nárok.</w:t>
      </w:r>
      <w:r w:rsidRPr="00D845BD">
        <w:rPr>
          <w:rFonts w:eastAsia="Aptos"/>
          <w:sz w:val="24"/>
          <w:szCs w:val="24"/>
          <w:vertAlign w:val="superscript"/>
        </w:rPr>
        <w:footnoteReference w:id="211"/>
      </w:r>
      <w:r w:rsidRPr="00D845BD">
        <w:rPr>
          <w:rFonts w:eastAsia="Aptos"/>
          <w:sz w:val="24"/>
          <w:szCs w:val="24"/>
        </w:rPr>
        <w:t xml:space="preserve"> Zákon nestanovuje formu, typickou variantou je však písemné doručení do vlastních rukou.</w:t>
      </w:r>
      <w:r w:rsidRPr="00D845BD">
        <w:rPr>
          <w:rFonts w:eastAsia="Aptos"/>
          <w:sz w:val="24"/>
          <w:szCs w:val="24"/>
          <w:vertAlign w:val="superscript"/>
        </w:rPr>
        <w:footnoteReference w:id="212"/>
      </w:r>
      <w:r w:rsidRPr="00D845BD">
        <w:rPr>
          <w:rFonts w:eastAsia="Aptos"/>
          <w:sz w:val="24"/>
          <w:szCs w:val="24"/>
        </w:rPr>
        <w:t xml:space="preserve"> V případě nutnosti je však přípustné i např. telefonické vyrozumění, přičemž správní orgán by měl toto zdokumentovat,</w:t>
      </w:r>
      <w:r w:rsidRPr="00D845BD">
        <w:rPr>
          <w:rFonts w:eastAsia="Aptos"/>
          <w:sz w:val="24"/>
          <w:szCs w:val="24"/>
          <w:vertAlign w:val="superscript"/>
        </w:rPr>
        <w:footnoteReference w:id="213"/>
      </w:r>
      <w:r w:rsidRPr="00D845BD">
        <w:rPr>
          <w:rFonts w:eastAsia="Aptos"/>
          <w:sz w:val="24"/>
          <w:szCs w:val="24"/>
        </w:rPr>
        <w:t xml:space="preserve"> neboť nese důkazní břemeno ohledně vyrozumění osoby poškozeného.</w:t>
      </w:r>
      <w:r w:rsidRPr="00D845BD">
        <w:rPr>
          <w:rFonts w:eastAsia="Aptos"/>
          <w:sz w:val="24"/>
          <w:szCs w:val="24"/>
          <w:vertAlign w:val="superscript"/>
        </w:rPr>
        <w:footnoteReference w:id="214"/>
      </w:r>
      <w:r w:rsidRPr="00D845BD">
        <w:rPr>
          <w:rFonts w:eastAsia="Aptos"/>
          <w:sz w:val="24"/>
          <w:szCs w:val="24"/>
        </w:rPr>
        <w:t xml:space="preserve"> Zákon ohledně vyrozumění poškozeného stanovuje požadavek bezodkladnosti.</w:t>
      </w:r>
      <w:r w:rsidRPr="00D845BD">
        <w:rPr>
          <w:rFonts w:eastAsia="Aptos"/>
          <w:sz w:val="24"/>
          <w:szCs w:val="24"/>
          <w:vertAlign w:val="superscript"/>
        </w:rPr>
        <w:footnoteReference w:id="215"/>
      </w:r>
      <w:r w:rsidRPr="00D845BD">
        <w:rPr>
          <w:rFonts w:eastAsia="Aptos"/>
          <w:sz w:val="24"/>
          <w:szCs w:val="24"/>
        </w:rPr>
        <w:t xml:space="preserve"> Na to, co přesně se míní “bezodkladností” ve smyslu tohoto ustanovení, se názory různí. Podle některých se jedná o následující pracovní den po stanovení ústního </w:t>
      </w:r>
      <w:r w:rsidRPr="00D845BD">
        <w:rPr>
          <w:rFonts w:eastAsia="Aptos"/>
          <w:sz w:val="24"/>
          <w:szCs w:val="24"/>
        </w:rPr>
        <w:lastRenderedPageBreak/>
        <w:t>jednání</w:t>
      </w:r>
      <w:r w:rsidRPr="00D845BD">
        <w:rPr>
          <w:rFonts w:eastAsia="Aptos"/>
          <w:sz w:val="24"/>
          <w:szCs w:val="24"/>
          <w:vertAlign w:val="superscript"/>
        </w:rPr>
        <w:footnoteReference w:id="216"/>
      </w:r>
      <w:r w:rsidRPr="00D845BD">
        <w:rPr>
          <w:rFonts w:eastAsia="Aptos"/>
          <w:sz w:val="24"/>
          <w:szCs w:val="24"/>
        </w:rPr>
        <w:t xml:space="preserve">, podle jiných je to dní několik. </w:t>
      </w:r>
      <w:r w:rsidRPr="00D845BD">
        <w:rPr>
          <w:rFonts w:eastAsia="Aptos"/>
          <w:sz w:val="24"/>
          <w:szCs w:val="24"/>
          <w:vertAlign w:val="superscript"/>
        </w:rPr>
        <w:footnoteReference w:id="217"/>
      </w:r>
      <w:r w:rsidRPr="00D845BD">
        <w:rPr>
          <w:rFonts w:eastAsia="Aptos"/>
          <w:sz w:val="24"/>
          <w:szCs w:val="24"/>
        </w:rPr>
        <w:t xml:space="preserve">  Jistě lze konstatovat, že čím dříve tak správní orgán učiní, tím lépe, nicméně si myslím, že i kdyby toto vyrozumění trvalo několik dní, tak může být účel vyrozumění naplněn a poškozený ve svém právu zkrácen nebude, pokud bude mít na přípravu alespoň několik dní a nebude mu tak fakticky znemožněno uplatnit tam své právo a obstarat si veškeré potřebné podklady. </w:t>
      </w:r>
    </w:p>
    <w:p w:rsidR="00D536D8" w:rsidRPr="009D574D" w:rsidRDefault="00B425CE" w:rsidP="005833E8">
      <w:pPr>
        <w:spacing w:after="160" w:line="360" w:lineRule="auto"/>
        <w:ind w:right="567" w:firstLine="720"/>
        <w:jc w:val="both"/>
        <w:rPr>
          <w:rFonts w:eastAsia="Aptos"/>
          <w:sz w:val="28"/>
          <w:szCs w:val="28"/>
        </w:rPr>
      </w:pPr>
      <w:r w:rsidRPr="00D845BD">
        <w:rPr>
          <w:rFonts w:eastAsia="Aptos"/>
          <w:sz w:val="24"/>
          <w:szCs w:val="24"/>
        </w:rPr>
        <w:t xml:space="preserve">  Vyrozumění je úkonem podle části IV. </w:t>
      </w:r>
      <w:r w:rsidR="009D574D">
        <w:rPr>
          <w:rFonts w:eastAsia="Aptos"/>
          <w:sz w:val="24"/>
          <w:szCs w:val="24"/>
        </w:rPr>
        <w:t>SŘ</w:t>
      </w:r>
      <w:r w:rsidRPr="00D845BD">
        <w:rPr>
          <w:rFonts w:eastAsia="Aptos"/>
          <w:sz w:val="24"/>
          <w:szCs w:val="24"/>
        </w:rPr>
        <w:t>.</w:t>
      </w:r>
      <w:r w:rsidRPr="00D845BD">
        <w:rPr>
          <w:rFonts w:eastAsia="Aptos"/>
          <w:sz w:val="24"/>
          <w:szCs w:val="24"/>
          <w:vertAlign w:val="superscript"/>
        </w:rPr>
        <w:footnoteReference w:id="218"/>
      </w:r>
      <w:r w:rsidRPr="00D845BD">
        <w:rPr>
          <w:rFonts w:eastAsia="Aptos"/>
          <w:color w:val="FF0000"/>
          <w:sz w:val="24"/>
          <w:szCs w:val="24"/>
        </w:rPr>
        <w:t xml:space="preserve"> </w:t>
      </w:r>
      <w:r w:rsidRPr="00D845BD">
        <w:rPr>
          <w:rFonts w:eastAsia="Aptos"/>
          <w:sz w:val="24"/>
          <w:szCs w:val="24"/>
        </w:rPr>
        <w:t xml:space="preserve">Podle Práškové: </w:t>
      </w:r>
      <w:r w:rsidRPr="00D845BD">
        <w:rPr>
          <w:rFonts w:eastAsia="Aptos"/>
          <w:i/>
          <w:sz w:val="24"/>
          <w:szCs w:val="24"/>
        </w:rPr>
        <w:t xml:space="preserve">“Lze soudit, že jestliže správní orgán nevyrozumí osobu, které mohla být způsobena škoda, ačkoli její identitu nepochybně a prokazatelně zná, mohlo by se jednat o procesní vadu, která má vliv na zákonnost rozhodnutí o přestupku.” </w:t>
      </w:r>
      <w:r w:rsidRPr="00D845BD">
        <w:rPr>
          <w:rFonts w:eastAsia="Aptos"/>
          <w:sz w:val="24"/>
          <w:szCs w:val="24"/>
        </w:rPr>
        <w:t xml:space="preserve">V souvislosti s tím klade otázky, jak postupovat dále ohledně případného zrušení rozhodnutí, a pokud se tak stane, tak ohledně rozsahu zjišťování skutkového stavu v novém řízení. </w:t>
      </w:r>
      <w:r w:rsidRPr="00D845BD">
        <w:rPr>
          <w:rFonts w:eastAsia="Aptos"/>
          <w:i/>
          <w:sz w:val="24"/>
          <w:szCs w:val="24"/>
          <w:vertAlign w:val="superscript"/>
        </w:rPr>
        <w:footnoteReference w:id="219"/>
      </w:r>
      <w:r w:rsidRPr="00D845BD">
        <w:rPr>
          <w:rFonts w:eastAsia="Aptos"/>
          <w:i/>
          <w:sz w:val="24"/>
          <w:szCs w:val="24"/>
        </w:rPr>
        <w:t xml:space="preserve"> </w:t>
      </w:r>
      <w:r w:rsidRPr="009D574D">
        <w:rPr>
          <w:rFonts w:eastAsia="Aptos"/>
          <w:sz w:val="24"/>
          <w:szCs w:val="24"/>
        </w:rPr>
        <w:t>Pro odpověď je třeba zkoumat postup při nápravě úkonů podle části IV. Správního řádu.  V praxi si lze představit několik variant. První z nich může být ta, že osoba poškozeného bude vědět, že již bylo zahájeno přestupkové řízení, ale stále nebyla vyrozuměna, tedy, že správní orgán s vyrozuměním čeká. Druhou variantou, nejspíš mnohem více typickou bude taková, že poškozená osoba o probíhajícím řízení ani neví. V prvním případě se jedná nepochybně o nesprávný postup správního orgánu, protože ten nepostupuje podle předpisů procesního práva, tedy v souladu s ustanovním § 70 odst. 1 PřesZ</w:t>
      </w:r>
      <w:r w:rsidRPr="00D845BD">
        <w:rPr>
          <w:rFonts w:eastAsia="Aptos"/>
          <w:color w:val="FF0000"/>
          <w:sz w:val="24"/>
          <w:szCs w:val="24"/>
        </w:rPr>
        <w:t xml:space="preserve">. </w:t>
      </w:r>
      <w:r w:rsidRPr="00D845BD">
        <w:rPr>
          <w:rFonts w:eastAsia="Aptos"/>
          <w:sz w:val="24"/>
          <w:szCs w:val="24"/>
        </w:rPr>
        <w:t>V takovém případě je správní orgán nečinný a lze přiměřeně podniknout kroky proti nečinnosti, neboť i tyto se dotýkají právní sféry dotčené osoby.</w:t>
      </w:r>
      <w:r w:rsidRPr="00D845BD">
        <w:rPr>
          <w:rFonts w:eastAsia="Aptos"/>
          <w:sz w:val="24"/>
          <w:szCs w:val="24"/>
          <w:vertAlign w:val="superscript"/>
        </w:rPr>
        <w:footnoteReference w:id="220"/>
      </w:r>
      <w:r w:rsidRPr="00D845BD">
        <w:rPr>
          <w:rFonts w:eastAsia="Aptos"/>
          <w:sz w:val="24"/>
          <w:szCs w:val="24"/>
        </w:rPr>
        <w:t xml:space="preserve"> V úvahu by tedy mohla připadat žádost o uplatnění opatření proti nečinnosti ze strany osoby poškozené, tedy žádost o vydání vyrozumění. Nadřízený správní orgán by pak nejspíš přikázal nižšímu, aby provedl vyrozumění osoby poškozeného dodatečně.</w:t>
      </w:r>
      <w:r w:rsidRPr="00D845BD">
        <w:rPr>
          <w:rFonts w:eastAsia="Aptos"/>
          <w:sz w:val="24"/>
          <w:szCs w:val="24"/>
          <w:vertAlign w:val="superscript"/>
        </w:rPr>
        <w:footnoteReference w:id="221"/>
      </w:r>
      <w:r w:rsidRPr="00D845BD">
        <w:rPr>
          <w:rFonts w:eastAsia="Aptos"/>
          <w:sz w:val="24"/>
          <w:szCs w:val="24"/>
        </w:rPr>
        <w:tab/>
      </w:r>
    </w:p>
    <w:p w:rsidR="004456B9" w:rsidRPr="00BE6E49" w:rsidRDefault="00B425CE" w:rsidP="005833E8">
      <w:pPr>
        <w:spacing w:line="360" w:lineRule="auto"/>
        <w:ind w:right="567" w:firstLine="720"/>
        <w:jc w:val="both"/>
        <w:rPr>
          <w:rFonts w:eastAsia="Aptos"/>
          <w:sz w:val="24"/>
          <w:szCs w:val="24"/>
        </w:rPr>
      </w:pPr>
      <w:r w:rsidRPr="009D574D">
        <w:rPr>
          <w:rFonts w:eastAsia="Aptos"/>
          <w:sz w:val="24"/>
          <w:szCs w:val="24"/>
        </w:rPr>
        <w:t>Lze si však představit i pochybení, které podle mého názoru bude</w:t>
      </w:r>
      <w:r w:rsidR="009D574D" w:rsidRPr="009D574D">
        <w:rPr>
          <w:rFonts w:eastAsia="Aptos"/>
          <w:sz w:val="24"/>
          <w:szCs w:val="24"/>
        </w:rPr>
        <w:t xml:space="preserve"> nejspíš výrazně</w:t>
      </w:r>
      <w:r w:rsidRPr="009D574D">
        <w:rPr>
          <w:rFonts w:eastAsia="Aptos"/>
          <w:sz w:val="24"/>
          <w:szCs w:val="24"/>
        </w:rPr>
        <w:t xml:space="preserve"> častější. Osoba poškozeného nebude o probíhajícím přestupkovém řízení vědět, a to právě z důvodu, že nebude vyrozuměna správním orgánem a nebude tak moci uplatnit v </w:t>
      </w:r>
      <w:r w:rsidRPr="009D574D">
        <w:rPr>
          <w:rFonts w:eastAsia="Aptos"/>
          <w:sz w:val="24"/>
          <w:szCs w:val="24"/>
        </w:rPr>
        <w:lastRenderedPageBreak/>
        <w:t xml:space="preserve">řízení svůj nárok. Postupně bude v řízení vydáno pravomocné rozhodnutí. Je třeba klást si otázku, jaké má osoba poškozeného k dispozici právní nástroje pro ochranu svých práv. Jako první se nabízí institut opomenutého účastenství. </w:t>
      </w:r>
      <w:r w:rsidRPr="00D845BD">
        <w:rPr>
          <w:rFonts w:eastAsia="Aptos"/>
          <w:sz w:val="24"/>
          <w:szCs w:val="24"/>
        </w:rPr>
        <w:t>Jeden z komentář ke SŘ uvádí,</w:t>
      </w:r>
      <w:r w:rsidRPr="00D845BD">
        <w:rPr>
          <w:rFonts w:eastAsia="Aptos"/>
          <w:i/>
          <w:sz w:val="24"/>
          <w:szCs w:val="24"/>
        </w:rPr>
        <w:t xml:space="preserve"> že: “Správní řád vychází z materiálního pojetí účastenství, to znamená, že účastníkem řízení je každá osoba, která má postavení účastníka podle § 27 správního řádu.”</w:t>
      </w:r>
      <w:r w:rsidRPr="00D845BD">
        <w:rPr>
          <w:rFonts w:eastAsia="Aptos"/>
          <w:sz w:val="24"/>
          <w:szCs w:val="24"/>
          <w:vertAlign w:val="superscript"/>
        </w:rPr>
        <w:footnoteReference w:id="222"/>
      </w:r>
      <w:r w:rsidRPr="00D845BD">
        <w:rPr>
          <w:rFonts w:eastAsia="Aptos"/>
          <w:color w:val="FF0000"/>
          <w:sz w:val="24"/>
          <w:szCs w:val="24"/>
        </w:rPr>
        <w:t xml:space="preserve"> </w:t>
      </w:r>
      <w:r w:rsidRPr="00D845BD">
        <w:rPr>
          <w:rFonts w:eastAsia="Aptos"/>
          <w:sz w:val="24"/>
          <w:szCs w:val="24"/>
        </w:rPr>
        <w:t>Ve vztahu k řízení o nároku na náhradu újmy je poškozený účastníkem hlavním.</w:t>
      </w:r>
      <w:r w:rsidRPr="00D845BD">
        <w:rPr>
          <w:rFonts w:eastAsia="Aptos"/>
          <w:sz w:val="24"/>
          <w:szCs w:val="24"/>
          <w:vertAlign w:val="superscript"/>
        </w:rPr>
        <w:footnoteReference w:id="223"/>
      </w:r>
      <w:r w:rsidRPr="00D845BD">
        <w:rPr>
          <w:rFonts w:eastAsia="Aptos"/>
          <w:color w:val="FF0000"/>
          <w:sz w:val="24"/>
          <w:szCs w:val="24"/>
        </w:rPr>
        <w:t xml:space="preserve"> </w:t>
      </w:r>
      <w:r w:rsidRPr="00BE6E49">
        <w:rPr>
          <w:rFonts w:eastAsia="Aptos"/>
          <w:sz w:val="24"/>
          <w:szCs w:val="24"/>
        </w:rPr>
        <w:t>Mám však za to, že o účastenství poškozeného v řízení o přestupcích nelze hovořit ve smyslu ryze materiálním. Podstata účastenství poškozeného tomuto podle mě neodpovídá. Naopak, účastenství poškozeného v řízení o přestupcích je podle mého spíše formální povahy, resp. si dovoluji ho nazvat jako formální s materiálním prvkem, nikoli však ryze materiální. Opak by totiž znamenal, že každý, komu byla způsobena majetková škoda, nebo na jehož úkor se obviněný obohatil, je poškozený (ve smyslu procesního účastníka) a automaticky je (či by měl být) účastníkem řízení. Dikce zákona, ale ani podstata adhezního řízení, které nahrazuje civilní řízení a stojí na zásadě dispoziční</w:t>
      </w:r>
      <w:r w:rsidRPr="00BE6E49">
        <w:rPr>
          <w:rFonts w:eastAsia="Aptos"/>
          <w:sz w:val="24"/>
          <w:szCs w:val="24"/>
          <w:vertAlign w:val="superscript"/>
        </w:rPr>
        <w:footnoteReference w:id="224"/>
      </w:r>
      <w:r w:rsidRPr="00BE6E49">
        <w:rPr>
          <w:rFonts w:eastAsia="Aptos"/>
          <w:sz w:val="24"/>
          <w:szCs w:val="24"/>
        </w:rPr>
        <w:t xml:space="preserve"> tomuto neodpovídá. Účastenství poškozeného je</w:t>
      </w:r>
      <w:r w:rsidR="009D574D" w:rsidRPr="00BE6E49">
        <w:rPr>
          <w:rFonts w:eastAsia="Aptos"/>
          <w:sz w:val="24"/>
          <w:szCs w:val="24"/>
        </w:rPr>
        <w:t xml:space="preserve"> nepochybně</w:t>
      </w:r>
      <w:r w:rsidRPr="00BE6E49">
        <w:rPr>
          <w:rFonts w:eastAsia="Aptos"/>
          <w:sz w:val="24"/>
          <w:szCs w:val="24"/>
        </w:rPr>
        <w:t xml:space="preserve"> formální v tom smyslu, že pouze učiněným procesním úkonem se osoba stane poškozeným. Současně spatřuji materiální prvek v tom, že tímto nemá být kdokoli, ale skutečně pouze ten, komu byla tato újma přestupkem způsobena.</w:t>
      </w:r>
      <w:r w:rsidRPr="00BE6E49">
        <w:rPr>
          <w:rFonts w:eastAsia="Aptos"/>
          <w:sz w:val="24"/>
          <w:szCs w:val="24"/>
          <w:vertAlign w:val="superscript"/>
        </w:rPr>
        <w:footnoteReference w:id="225"/>
      </w:r>
      <w:r w:rsidRPr="00BE6E49">
        <w:rPr>
          <w:rFonts w:eastAsia="Aptos"/>
          <w:sz w:val="24"/>
          <w:szCs w:val="24"/>
        </w:rPr>
        <w:t xml:space="preserve"> Činit z osoby, která nebyla vyrozuměna správním orgánem o možnosti uplatnit nárok na náhradu újmy opomenutého účastníka by podle mě šlo proti tomuto formálnímu pojetí a obecně pojetí adhezního řízení, které je součástí řízení o přestupku.</w:t>
      </w:r>
      <w:r w:rsidRPr="00BE6E49">
        <w:rPr>
          <w:rFonts w:eastAsia="Aptos"/>
          <w:sz w:val="24"/>
          <w:szCs w:val="24"/>
          <w:vertAlign w:val="superscript"/>
        </w:rPr>
        <w:footnoteReference w:id="226"/>
      </w:r>
      <w:r w:rsidRPr="00BE6E49">
        <w:rPr>
          <w:rFonts w:eastAsia="Aptos"/>
          <w:sz w:val="24"/>
          <w:szCs w:val="24"/>
        </w:rPr>
        <w:t xml:space="preserve"> Opačné řešení by znamenalo, že osoba poškozeného, která se formálně účastníkem nestala (byť i nikoli svojí vinou) je neopomenutelný účastník a není-li mu oznámeno rozhodnutí ve věci, nemůže nabýt právní moci,</w:t>
      </w:r>
      <w:r w:rsidRPr="00BE6E49">
        <w:rPr>
          <w:rFonts w:eastAsia="Aptos"/>
          <w:sz w:val="24"/>
          <w:szCs w:val="24"/>
          <w:vertAlign w:val="superscript"/>
        </w:rPr>
        <w:footnoteReference w:id="227"/>
      </w:r>
      <w:r w:rsidRPr="00BE6E49">
        <w:rPr>
          <w:rFonts w:eastAsia="Aptos"/>
          <w:sz w:val="24"/>
          <w:szCs w:val="24"/>
        </w:rPr>
        <w:t xml:space="preserve"> ačkoli (a současně protože) v něm absentuje výrok o náhradě škody</w:t>
      </w:r>
      <w:r w:rsidR="00BE6E49" w:rsidRPr="00BE6E49">
        <w:rPr>
          <w:rFonts w:eastAsia="Aptos"/>
          <w:sz w:val="24"/>
          <w:szCs w:val="24"/>
        </w:rPr>
        <w:t>, která nebyla (nemohla) být ani uplatněna</w:t>
      </w:r>
      <w:r w:rsidRPr="00BE6E49">
        <w:rPr>
          <w:rFonts w:eastAsia="Aptos"/>
          <w:sz w:val="24"/>
          <w:szCs w:val="24"/>
        </w:rPr>
        <w:t xml:space="preserve">. Takové řešení při současném </w:t>
      </w:r>
      <w:r w:rsidR="004456B9" w:rsidRPr="00BE6E49">
        <w:rPr>
          <w:rFonts w:eastAsia="Aptos"/>
          <w:sz w:val="24"/>
          <w:szCs w:val="24"/>
        </w:rPr>
        <w:t xml:space="preserve">pojetí adhezního řízení a pojetí </w:t>
      </w:r>
      <w:r w:rsidRPr="00BE6E49">
        <w:rPr>
          <w:rFonts w:eastAsia="Aptos"/>
          <w:sz w:val="24"/>
          <w:szCs w:val="24"/>
        </w:rPr>
        <w:t>poškozeného nedává dobrý smysl. Připouštím, že toto řešení se může někomu jevit jako velmi přísné ve vztahu k osobě poškozeného, protože ta nikoli svou vinou přichází o možnost být účastníkem řízení a jednoznačně pochybí správní orgán</w:t>
      </w:r>
      <w:r w:rsidRPr="00053D38">
        <w:rPr>
          <w:rFonts w:eastAsia="Aptos"/>
          <w:sz w:val="24"/>
          <w:szCs w:val="24"/>
        </w:rPr>
        <w:t xml:space="preserve">. </w:t>
      </w:r>
      <w:r w:rsidR="004456B9" w:rsidRPr="00053D38">
        <w:rPr>
          <w:rFonts w:eastAsia="Aptos"/>
          <w:sz w:val="24"/>
          <w:szCs w:val="24"/>
        </w:rPr>
        <w:lastRenderedPageBreak/>
        <w:t>Pořád má však možnost domáhat se nároku cestou civilního práva.</w:t>
      </w:r>
      <w:r w:rsidR="00BE6E49" w:rsidRPr="00053D38">
        <w:rPr>
          <w:rStyle w:val="Znakapoznpodarou"/>
          <w:rFonts w:eastAsia="Aptos"/>
          <w:sz w:val="24"/>
          <w:szCs w:val="24"/>
        </w:rPr>
        <w:footnoteReference w:id="228"/>
      </w:r>
      <w:r w:rsidR="004456B9" w:rsidRPr="004456B9">
        <w:rPr>
          <w:rFonts w:eastAsia="Aptos"/>
          <w:color w:val="9BBB59" w:themeColor="accent3"/>
          <w:sz w:val="24"/>
          <w:szCs w:val="24"/>
        </w:rPr>
        <w:t xml:space="preserve"> </w:t>
      </w:r>
      <w:r w:rsidRPr="00BE6E49">
        <w:rPr>
          <w:rFonts w:eastAsia="Aptos"/>
          <w:sz w:val="24"/>
          <w:szCs w:val="24"/>
        </w:rPr>
        <w:t>Připomínám také znovu, že ani nesprávné poučení či nepoučení soudem poškozeného v trestním řízení, neprolamuje koncentrační okamžik možnosti uplatnění nároku.</w:t>
      </w:r>
      <w:r w:rsidRPr="00BE6E49">
        <w:rPr>
          <w:rFonts w:eastAsia="Aptos"/>
          <w:sz w:val="24"/>
          <w:szCs w:val="24"/>
          <w:vertAlign w:val="superscript"/>
        </w:rPr>
        <w:footnoteReference w:id="229"/>
      </w:r>
      <w:r w:rsidRPr="00BE6E49">
        <w:rPr>
          <w:rFonts w:eastAsia="Aptos"/>
          <w:sz w:val="24"/>
          <w:szCs w:val="24"/>
        </w:rPr>
        <w:t xml:space="preserve"> Svou povahou je nevyrozumění v podstatě nepoučení. Bylo by zvláštní, kdyby poškozený v trestním řízení nemohl svůj nárok uplatnit třeba v rámci své svědecké výpovědi (tedy po onom okamžiku zahájení dokazování v hlavním líčení), zatímco v řízení o přestupku by kvůli nevyrozumění osoby poškozeného bylo třeba i po delší době rušeno pravomocné rozhodnutí.</w:t>
      </w:r>
      <w:r w:rsidR="004456B9" w:rsidRPr="00BE6E49">
        <w:rPr>
          <w:rFonts w:eastAsia="Aptos"/>
          <w:sz w:val="24"/>
          <w:szCs w:val="24"/>
        </w:rPr>
        <w:t xml:space="preserve"> </w:t>
      </w:r>
      <w:r w:rsidR="004456B9" w:rsidRPr="00BE6E49">
        <w:rPr>
          <w:rFonts w:eastAsia="Aptos"/>
          <w:sz w:val="24"/>
          <w:szCs w:val="24"/>
        </w:rPr>
        <w:tab/>
      </w:r>
    </w:p>
    <w:p w:rsidR="006A3693" w:rsidRDefault="00B425CE" w:rsidP="005833E8">
      <w:pPr>
        <w:spacing w:line="360" w:lineRule="auto"/>
        <w:ind w:right="567" w:firstLine="720"/>
        <w:jc w:val="both"/>
        <w:rPr>
          <w:rFonts w:eastAsia="Aptos"/>
          <w:sz w:val="24"/>
          <w:szCs w:val="24"/>
        </w:rPr>
      </w:pPr>
      <w:r w:rsidRPr="00BE6E49">
        <w:rPr>
          <w:rFonts w:eastAsia="Aptos"/>
          <w:sz w:val="24"/>
          <w:szCs w:val="24"/>
        </w:rPr>
        <w:t xml:space="preserve">Dále se nabízí otázka opravných prostředků. </w:t>
      </w:r>
      <w:r w:rsidRPr="00D845BD">
        <w:rPr>
          <w:rFonts w:eastAsia="Aptos"/>
          <w:sz w:val="24"/>
          <w:szCs w:val="24"/>
        </w:rPr>
        <w:t>Vzhledem k tomu, že nebude poškozený účastníkem řízení, nelze se domáhat nápravy opravným prostředkem v podobě odvolání</w:t>
      </w:r>
      <w:r w:rsidRPr="00D845BD">
        <w:rPr>
          <w:rFonts w:eastAsia="Aptos"/>
          <w:sz w:val="24"/>
          <w:szCs w:val="24"/>
          <w:vertAlign w:val="superscript"/>
        </w:rPr>
        <w:footnoteReference w:id="230"/>
      </w:r>
      <w:r w:rsidRPr="00D845BD">
        <w:rPr>
          <w:rFonts w:eastAsia="Aptos"/>
          <w:sz w:val="24"/>
          <w:szCs w:val="24"/>
        </w:rPr>
        <w:t>. Nabízí se tak jiný prostředek nápravy. V úvahu připadá přezkumné řízení podle ustanovení § 94 SŘ. To je dozorčím prostředkem, ke kterému může dát nevyrozuměný poškozený podnět, avšak právní nárok na něj nemá. Může tak dojít k nápravě pravomocných rozhodnutí, která trpí vadou nezákonnosti.</w:t>
      </w:r>
      <w:r w:rsidRPr="00D845BD">
        <w:rPr>
          <w:rFonts w:eastAsia="Aptos"/>
          <w:sz w:val="24"/>
          <w:szCs w:val="24"/>
          <w:vertAlign w:val="superscript"/>
        </w:rPr>
        <w:footnoteReference w:id="231"/>
      </w:r>
      <w:r w:rsidRPr="00D845BD">
        <w:rPr>
          <w:rFonts w:eastAsia="Aptos"/>
          <w:sz w:val="24"/>
          <w:szCs w:val="24"/>
        </w:rPr>
        <w:t xml:space="preserve"> Správní orgán může rozhodnutí trpící vadou nezákonnosti zrušit.</w:t>
      </w:r>
      <w:r w:rsidRPr="00D845BD">
        <w:rPr>
          <w:rFonts w:eastAsia="Aptos"/>
          <w:sz w:val="24"/>
          <w:szCs w:val="24"/>
          <w:vertAlign w:val="superscript"/>
        </w:rPr>
        <w:footnoteReference w:id="232"/>
      </w:r>
      <w:r w:rsidRPr="00D845BD">
        <w:rPr>
          <w:rFonts w:eastAsia="Aptos"/>
          <w:sz w:val="24"/>
          <w:szCs w:val="24"/>
        </w:rPr>
        <w:t xml:space="preserve"> Podmínkou však je, že dospěje k závěru, že zrušením rozhodnutí nedojde k nepoměrnému zásahu do práv nabytých v dobré víře jiného účastníka a nebo veřejného zájmu. </w:t>
      </w:r>
      <w:r w:rsidRPr="00D845BD">
        <w:rPr>
          <w:rFonts w:eastAsia="Aptos"/>
          <w:sz w:val="24"/>
          <w:szCs w:val="24"/>
          <w:vertAlign w:val="superscript"/>
        </w:rPr>
        <w:footnoteReference w:id="233"/>
      </w:r>
      <w:r w:rsidRPr="00D845BD">
        <w:rPr>
          <w:rFonts w:eastAsia="Aptos"/>
          <w:sz w:val="24"/>
          <w:szCs w:val="24"/>
        </w:rPr>
        <w:t xml:space="preserve"> Zájem na zrušení či změně vadného rozhodnutí tak musí být větší, než zájem na nezměnitelnosti již pravomocného rozhodnutí, což formou diskrece rozhoduje správní orgán.</w:t>
      </w:r>
      <w:r w:rsidRPr="00D845BD">
        <w:rPr>
          <w:rFonts w:eastAsia="Aptos"/>
          <w:sz w:val="24"/>
          <w:szCs w:val="24"/>
          <w:vertAlign w:val="superscript"/>
        </w:rPr>
        <w:footnoteReference w:id="234"/>
      </w:r>
      <w:r w:rsidRPr="00D845BD">
        <w:rPr>
          <w:rFonts w:eastAsia="Aptos"/>
          <w:sz w:val="24"/>
          <w:szCs w:val="24"/>
        </w:rPr>
        <w:t xml:space="preserve"> </w:t>
      </w:r>
    </w:p>
    <w:p w:rsidR="00BE6E49" w:rsidRDefault="00B425CE" w:rsidP="005833E8">
      <w:pPr>
        <w:spacing w:line="360" w:lineRule="auto"/>
        <w:ind w:right="567" w:firstLine="720"/>
        <w:jc w:val="both"/>
        <w:rPr>
          <w:rFonts w:eastAsia="Aptos"/>
          <w:sz w:val="24"/>
          <w:szCs w:val="24"/>
        </w:rPr>
      </w:pPr>
      <w:r w:rsidRPr="00D845BD">
        <w:rPr>
          <w:rFonts w:eastAsia="Aptos"/>
          <w:sz w:val="24"/>
          <w:szCs w:val="24"/>
        </w:rPr>
        <w:br/>
        <w:t>Správní orgán musí porovnat konkrétní újmy a odůvodnit, jakými kritérii a důvody byl veden při svém rozhodnutí.</w:t>
      </w:r>
      <w:r w:rsidRPr="00D845BD">
        <w:rPr>
          <w:rFonts w:eastAsia="Aptos"/>
          <w:sz w:val="24"/>
          <w:szCs w:val="24"/>
          <w:vertAlign w:val="superscript"/>
        </w:rPr>
        <w:footnoteReference w:id="235"/>
      </w:r>
      <w:r w:rsidRPr="00D845BD">
        <w:rPr>
          <w:rFonts w:eastAsia="Aptos"/>
          <w:sz w:val="24"/>
          <w:szCs w:val="24"/>
        </w:rPr>
        <w:t xml:space="preserve"> V daném případě může přijít do konfrontace jednak zájem na zákonnosti vedení přestupkového řízení, konkrétně tedy zájem na dodržení povinnosti vyrozumět poškozeného a také, aby správní orgán dostál své povinnosti, která plyne z ustanovení § 2 odst. 1 SŘ. Naproti tomu ale stejné ustanovení v odst. 3 obsahuje zásadu ochranu práv nabytých v dobré víře.</w:t>
      </w:r>
      <w:r w:rsidRPr="00D845BD">
        <w:rPr>
          <w:rFonts w:eastAsia="Aptos"/>
          <w:sz w:val="24"/>
          <w:szCs w:val="24"/>
          <w:vertAlign w:val="superscript"/>
        </w:rPr>
        <w:footnoteReference w:id="236"/>
      </w:r>
      <w:r w:rsidRPr="00D845BD">
        <w:rPr>
          <w:rFonts w:eastAsia="Aptos"/>
          <w:sz w:val="24"/>
          <w:szCs w:val="24"/>
        </w:rPr>
        <w:t xml:space="preserve"> </w:t>
      </w:r>
    </w:p>
    <w:p w:rsidR="004456B9" w:rsidRDefault="00B425CE" w:rsidP="005833E8">
      <w:pPr>
        <w:spacing w:line="360" w:lineRule="auto"/>
        <w:ind w:right="567" w:firstLine="720"/>
        <w:jc w:val="both"/>
        <w:rPr>
          <w:rFonts w:eastAsia="Aptos"/>
          <w:sz w:val="24"/>
          <w:szCs w:val="24"/>
        </w:rPr>
      </w:pPr>
      <w:r w:rsidRPr="00BE6E49">
        <w:rPr>
          <w:rFonts w:eastAsia="Aptos"/>
          <w:sz w:val="24"/>
          <w:szCs w:val="24"/>
        </w:rPr>
        <w:lastRenderedPageBreak/>
        <w:t xml:space="preserve">Mám za to, že lze tvrdit, že bylo-li vydáno rozhodnutí, které později nabylo právní moci, byla založena dobrá víra obviněného, že toto rozhodnutí je konečné, jeho přestupkové řízení je u konce a v jeho rámci mu nebyla uložena povinnost nahradit vzniklou újmu. Veřejný </w:t>
      </w:r>
      <w:r w:rsidRPr="00D845BD">
        <w:rPr>
          <w:rFonts w:eastAsia="Aptos"/>
          <w:sz w:val="24"/>
          <w:szCs w:val="24"/>
        </w:rPr>
        <w:t>zájem na zákonnosti přestupkového řízení a zákonného postupu správních orgánů je jistě nezpochybnitelný, avšak nemyslím si, že překoná zájem na dobré víře jiné osoby, v tomto případě obviněného. Troufám si tvrdit, že lze konstatovat, že tímto zrušením pravomocného rozhodnutí v rámci přezkumného řízení by došlo k nepoměrnému zásahu do práv účastníka (obviněného). Je důležité vycházet i z toho, že hlavní účel přestupkového řízení</w:t>
      </w:r>
      <w:r w:rsidRPr="00D845BD">
        <w:rPr>
          <w:rFonts w:eastAsia="Aptos"/>
          <w:sz w:val="24"/>
          <w:szCs w:val="24"/>
          <w:vertAlign w:val="superscript"/>
        </w:rPr>
        <w:footnoteReference w:id="237"/>
      </w:r>
      <w:r w:rsidRPr="00D845BD">
        <w:rPr>
          <w:rFonts w:eastAsia="Aptos"/>
          <w:sz w:val="24"/>
          <w:szCs w:val="24"/>
        </w:rPr>
        <w:t xml:space="preserve"> byl naplněn. Není zde podle mého naplněn veřejný zájem na zrušení pravomocných rozhodnutí o deliktu z důvodu nemožnosti uplatnit tam svůj soukromoprávní nárok, existuje - li ještě k tomuto uplatnění alternativní cesta. </w:t>
      </w:r>
    </w:p>
    <w:p w:rsidR="004456B9" w:rsidRPr="004456B9" w:rsidRDefault="00B425CE" w:rsidP="005833E8">
      <w:pPr>
        <w:spacing w:line="360" w:lineRule="auto"/>
        <w:ind w:right="567" w:firstLine="720"/>
        <w:jc w:val="both"/>
        <w:rPr>
          <w:rFonts w:eastAsia="Aptos"/>
          <w:color w:val="FF0000"/>
          <w:sz w:val="24"/>
          <w:szCs w:val="24"/>
        </w:rPr>
      </w:pPr>
      <w:r w:rsidRPr="00D845BD">
        <w:rPr>
          <w:rFonts w:eastAsia="Aptos"/>
          <w:sz w:val="24"/>
          <w:szCs w:val="24"/>
        </w:rPr>
        <w:t>Logická se taková cesta jeví i v kontextu toho, že správní orgán musí odkázat poškozeného se svým nárokem na soud nebo jiný orgán, pakliže došlo k odvolání poškozeného proti výroku o náhradě škody a výroky o trestu a vině již nabyly právní moci, a správní orgán druhého stupně zrušil tento výrok. Samostatně tedy nelze v přestupkovém řízení vést pouze řízení o náhradě škody.</w:t>
      </w:r>
      <w:r w:rsidRPr="00D845BD">
        <w:rPr>
          <w:rFonts w:eastAsia="Aptos"/>
          <w:sz w:val="24"/>
          <w:szCs w:val="24"/>
          <w:vertAlign w:val="superscript"/>
        </w:rPr>
        <w:footnoteReference w:id="238"/>
      </w:r>
      <w:r w:rsidRPr="00D845BD">
        <w:rPr>
          <w:rFonts w:eastAsia="Aptos"/>
          <w:sz w:val="24"/>
          <w:szCs w:val="24"/>
        </w:rPr>
        <w:t xml:space="preserve"> V tom případě nedává smysl, aby bylo postupováno v případě nevyrozumění poškozeného.</w:t>
      </w:r>
    </w:p>
    <w:p w:rsidR="004456B9" w:rsidRDefault="00B425CE" w:rsidP="005833E8">
      <w:pPr>
        <w:spacing w:line="360" w:lineRule="auto"/>
        <w:ind w:right="567" w:firstLine="720"/>
        <w:jc w:val="both"/>
        <w:rPr>
          <w:rFonts w:eastAsia="Aptos"/>
          <w:sz w:val="24"/>
          <w:szCs w:val="24"/>
        </w:rPr>
      </w:pPr>
      <w:r w:rsidRPr="00D845BD">
        <w:rPr>
          <w:rFonts w:eastAsia="Aptos"/>
          <w:sz w:val="24"/>
          <w:szCs w:val="24"/>
        </w:rPr>
        <w:t xml:space="preserve">Jako další podpůrný argument svého tvrzení nabízím určitou podobnost, kterou lze spatřit v úpravě trestněprocesních mimořádných opravných prostředků. Učebnice trestního práva procesního pod autorským vedením Fenyka a Císařové obecně k mimořádným prostředkům uvádí, že </w:t>
      </w:r>
      <w:r w:rsidRPr="00D845BD">
        <w:rPr>
          <w:rFonts w:eastAsia="Aptos"/>
          <w:i/>
          <w:sz w:val="24"/>
          <w:szCs w:val="24"/>
        </w:rPr>
        <w:t>“jsou vyjímečnými opatřeními, protože dodatečnou změnou pravomocného rozhodnutí se zasahuje do jeho závaznosti, nezměnitelnosti a vykonatelnosti. To má zároveň negativní vliv na právní jistotu a stabilitu společenských vztahů, které jsou dotčeny pravomocným rozhodnutí. Zásah do právní moci je tedy namístě jen tam, kde zájem na dosažení naprostého souladu vydaného rozhodnutí a řízení mu předcházejícího se zákonem převažuje nad požadavky stability a nezměnitelnosti pravomocného rozhodnutí.”</w:t>
      </w:r>
      <w:r w:rsidRPr="00D845BD">
        <w:rPr>
          <w:rFonts w:eastAsia="Aptos"/>
          <w:sz w:val="24"/>
          <w:szCs w:val="24"/>
          <w:vertAlign w:val="superscript"/>
        </w:rPr>
        <w:footnoteReference w:id="239"/>
      </w:r>
      <w:r w:rsidRPr="00D845BD">
        <w:rPr>
          <w:rFonts w:eastAsia="Aptos"/>
          <w:sz w:val="24"/>
          <w:szCs w:val="24"/>
        </w:rPr>
        <w:t xml:space="preserve"> </w:t>
      </w:r>
    </w:p>
    <w:p w:rsidR="004456B9" w:rsidRPr="00A3474F" w:rsidRDefault="00B425CE" w:rsidP="005833E8">
      <w:pPr>
        <w:spacing w:line="360" w:lineRule="auto"/>
        <w:ind w:right="567" w:firstLine="720"/>
        <w:jc w:val="both"/>
        <w:rPr>
          <w:rFonts w:eastAsia="Aptos"/>
          <w:sz w:val="24"/>
          <w:szCs w:val="24"/>
        </w:rPr>
      </w:pPr>
      <w:r w:rsidRPr="00D845BD">
        <w:rPr>
          <w:rFonts w:eastAsia="Aptos"/>
          <w:sz w:val="24"/>
          <w:szCs w:val="24"/>
        </w:rPr>
        <w:t>Pokud jde o trestní řízení, státní zástupce může užít všech mimořádných opravných prostředků a to i proti výroku o náhradě škody,</w:t>
      </w:r>
      <w:r w:rsidRPr="00D845BD">
        <w:rPr>
          <w:rFonts w:eastAsia="Aptos"/>
          <w:sz w:val="24"/>
          <w:szCs w:val="24"/>
          <w:vertAlign w:val="superscript"/>
        </w:rPr>
        <w:footnoteReference w:id="240"/>
      </w:r>
      <w:r w:rsidRPr="00D845BD">
        <w:rPr>
          <w:rFonts w:eastAsia="Aptos"/>
          <w:sz w:val="24"/>
          <w:szCs w:val="24"/>
        </w:rPr>
        <w:t xml:space="preserve"> narozdíl od poškozeného.</w:t>
      </w:r>
      <w:r w:rsidRPr="00D845BD">
        <w:rPr>
          <w:rFonts w:eastAsia="Aptos"/>
          <w:sz w:val="24"/>
          <w:szCs w:val="24"/>
          <w:vertAlign w:val="superscript"/>
        </w:rPr>
        <w:footnoteReference w:id="241"/>
      </w:r>
      <w:r w:rsidRPr="00D845BD">
        <w:rPr>
          <w:rFonts w:eastAsia="Aptos"/>
          <w:sz w:val="24"/>
          <w:szCs w:val="24"/>
        </w:rPr>
        <w:t xml:space="preserve"> Zasáhnout </w:t>
      </w:r>
      <w:r w:rsidRPr="00D845BD">
        <w:rPr>
          <w:rFonts w:eastAsia="Aptos"/>
          <w:sz w:val="24"/>
          <w:szCs w:val="24"/>
        </w:rPr>
        <w:lastRenderedPageBreak/>
        <w:t>do náhrady újmy může i ministr spravedlnosti formou stížnosti pro porušení zákona.</w:t>
      </w:r>
      <w:r w:rsidRPr="00D845BD">
        <w:rPr>
          <w:rFonts w:eastAsia="Aptos"/>
          <w:sz w:val="24"/>
          <w:szCs w:val="24"/>
          <w:vertAlign w:val="superscript"/>
        </w:rPr>
        <w:footnoteReference w:id="242"/>
      </w:r>
      <w:r w:rsidRPr="00D845BD">
        <w:rPr>
          <w:rFonts w:eastAsia="Aptos"/>
          <w:sz w:val="24"/>
          <w:szCs w:val="24"/>
        </w:rPr>
        <w:t xml:space="preserve"> Pakliže však nedojde k vydání výroku o náhradě újmy, a byl řádně a včas uplatněn nárok, jedná se sice o porušení zákona a tedy je založena nezákonnost rozhodnutí, avšak ve prospěch pachatele,</w:t>
      </w:r>
      <w:r w:rsidRPr="00D845BD">
        <w:rPr>
          <w:rFonts w:eastAsia="Aptos"/>
          <w:sz w:val="24"/>
          <w:szCs w:val="24"/>
          <w:vertAlign w:val="superscript"/>
        </w:rPr>
        <w:footnoteReference w:id="243"/>
      </w:r>
      <w:r w:rsidRPr="00D845BD">
        <w:rPr>
          <w:rFonts w:eastAsia="Aptos"/>
          <w:sz w:val="24"/>
          <w:szCs w:val="24"/>
        </w:rPr>
        <w:t xml:space="preserve"> tedy se jedná o tzv. akademický výrok, jež nemá za následek změnu právní moci v daném rozhodnutí.</w:t>
      </w:r>
      <w:r w:rsidRPr="00D845BD">
        <w:rPr>
          <w:rFonts w:eastAsia="Aptos"/>
          <w:sz w:val="24"/>
          <w:szCs w:val="24"/>
          <w:vertAlign w:val="superscript"/>
        </w:rPr>
        <w:footnoteReference w:id="244"/>
      </w:r>
      <w:r w:rsidRPr="00D845BD">
        <w:rPr>
          <w:rFonts w:eastAsia="Aptos"/>
          <w:sz w:val="24"/>
          <w:szCs w:val="24"/>
        </w:rPr>
        <w:t xml:space="preserve"> </w:t>
      </w:r>
      <w:r w:rsidRPr="00A3474F">
        <w:rPr>
          <w:rFonts w:eastAsia="Aptos"/>
          <w:sz w:val="24"/>
          <w:szCs w:val="24"/>
        </w:rPr>
        <w:t>Uvedený příklad má demonstrovat dobrou víru obviněného, v jehož neprospěch by se pak pravomocné rozhodnutí o přestupku rušilo a opět by se tedy jednalo o jakýsi nesystematický prvek v právním řádu, když ani trestní řízení v případě nevyrozumění poškozeného důvodem pro rušení již pravomocného rozhodnutí.</w:t>
      </w:r>
      <w:r w:rsidR="00A3474F" w:rsidRPr="00A3474F">
        <w:rPr>
          <w:rStyle w:val="Znakapoznpodarou"/>
          <w:rFonts w:eastAsia="Aptos"/>
          <w:sz w:val="24"/>
          <w:szCs w:val="24"/>
        </w:rPr>
        <w:footnoteReference w:id="245"/>
      </w:r>
      <w:r w:rsidRPr="00A3474F">
        <w:rPr>
          <w:rFonts w:eastAsia="Aptos"/>
          <w:sz w:val="24"/>
          <w:szCs w:val="24"/>
        </w:rPr>
        <w:t xml:space="preserve">  </w:t>
      </w:r>
    </w:p>
    <w:p w:rsidR="00D845BD" w:rsidRDefault="00B425CE" w:rsidP="005833E8">
      <w:pPr>
        <w:spacing w:line="360" w:lineRule="auto"/>
        <w:ind w:right="567" w:firstLine="720"/>
        <w:jc w:val="both"/>
        <w:rPr>
          <w:rFonts w:eastAsia="Aptos"/>
          <w:sz w:val="24"/>
          <w:szCs w:val="24"/>
        </w:rPr>
      </w:pPr>
      <w:r w:rsidRPr="00BE6E49">
        <w:rPr>
          <w:rFonts w:eastAsia="Aptos"/>
          <w:sz w:val="24"/>
          <w:szCs w:val="24"/>
        </w:rPr>
        <w:t xml:space="preserve">V tomto ohledu tedy uzavírám, že takové přezkumné řízení by nemělo skončit zrušením rozhodnutí o přestupku a jeho novým projednáváním pouze proto, aby měl poškozený snadnější a levnější cestu k uspokojení svého nároku, než které mu stále nabízí civilní právo, jakkoli o ni byl nesprávným postupem správního orgánu ochuzen v přestupkovém řízení. Opačný závěr by po mém soudu vedl k rozpornému řešení podobného problému, jaký byl řešen výše, tedy kdy osoba poškozeného nestihne uplatnit svůj nárok do prvního ústního jednání či do lhůty stanovené správním orgánem v důsledku nesprávného poučení nebo nepoučení (srov. předchozí podkapitoly), pokud již správní orgán dospěl tak daleko, že může rozhodnout a dodatečné přibrání poškozeného do řízení by způsobilo průtahy </w:t>
      </w:r>
      <w:r w:rsidR="00BE6E49" w:rsidRPr="00BE6E49">
        <w:rPr>
          <w:rFonts w:eastAsia="Aptos"/>
          <w:sz w:val="24"/>
          <w:szCs w:val="24"/>
        </w:rPr>
        <w:t>ohledně rozhodnutí</w:t>
      </w:r>
      <w:r w:rsidRPr="00BE6E49">
        <w:rPr>
          <w:rFonts w:eastAsia="Aptos"/>
          <w:sz w:val="24"/>
          <w:szCs w:val="24"/>
        </w:rPr>
        <w:t>. Připustíme-li, že je moje stanovisko výše správné, pak nedává smysl, aby nebylo přípustné navrátit lhůtu k uplatnění nároku třeba jen o pár dní (jsou-li současně dány předpoklady pro vydání rozhodnutí) a naproti tomu by právní řád umožňoval třeba i po</w:t>
      </w:r>
      <w:r w:rsidR="00BE6E49" w:rsidRPr="00BE6E49">
        <w:rPr>
          <w:rFonts w:eastAsia="Aptos"/>
          <w:sz w:val="24"/>
          <w:szCs w:val="24"/>
        </w:rPr>
        <w:t xml:space="preserve"> dlouhé</w:t>
      </w:r>
      <w:r w:rsidRPr="00BE6E49">
        <w:rPr>
          <w:rFonts w:eastAsia="Aptos"/>
          <w:sz w:val="24"/>
          <w:szCs w:val="24"/>
        </w:rPr>
        <w:t xml:space="preserve"> rušit rozhodnutí, které nabylo právní moci, protože nebyla osoba poškozeného vyrozuměna a vést jej znovu, jen aby jí byla dána možnost uplatnit nárok na náhradu újmy. V obou případech je třeba znovu připomenout, že nedochází k odepření spravedlnosti v pravém slova smyslu, neboť poškozená osoba má stále možnost podat civilní žalobu k soudu</w:t>
      </w:r>
      <w:r w:rsidR="00222FDD">
        <w:rPr>
          <w:rFonts w:eastAsia="Aptos"/>
          <w:sz w:val="24"/>
          <w:szCs w:val="24"/>
        </w:rPr>
        <w:t>.</w:t>
      </w:r>
      <w:r w:rsidR="00222FDD">
        <w:rPr>
          <w:rStyle w:val="Znakapoznpodarou"/>
          <w:rFonts w:eastAsia="Aptos"/>
          <w:sz w:val="24"/>
          <w:szCs w:val="24"/>
        </w:rPr>
        <w:footnoteReference w:id="246"/>
      </w:r>
    </w:p>
    <w:p w:rsidR="00BE6E49" w:rsidRPr="005833E8" w:rsidRDefault="00B425CE" w:rsidP="005833E8">
      <w:pPr>
        <w:pStyle w:val="Nadpis2"/>
        <w:spacing w:line="360" w:lineRule="auto"/>
      </w:pPr>
      <w:r w:rsidRPr="00D845BD">
        <w:rPr>
          <w:color w:val="00FF00"/>
          <w:sz w:val="24"/>
          <w:szCs w:val="24"/>
        </w:rPr>
        <w:lastRenderedPageBreak/>
        <w:br/>
      </w:r>
      <w:bookmarkStart w:id="63" w:name="_Toc190464517"/>
      <w:bookmarkStart w:id="64" w:name="_Toc190466556"/>
      <w:bookmarkStart w:id="65" w:name="_Toc190468804"/>
      <w:bookmarkStart w:id="66" w:name="_Toc190476389"/>
      <w:r w:rsidR="00C85A10">
        <w:t>4</w:t>
      </w:r>
      <w:r w:rsidR="00BE6E49">
        <w:t xml:space="preserve">.2. </w:t>
      </w:r>
      <w:r w:rsidRPr="00D845BD">
        <w:t>Další práva poškozeného</w:t>
      </w:r>
      <w:bookmarkEnd w:id="63"/>
      <w:bookmarkEnd w:id="64"/>
      <w:bookmarkEnd w:id="65"/>
      <w:bookmarkEnd w:id="66"/>
    </w:p>
    <w:p w:rsidR="004456B9" w:rsidRPr="00BE6E49" w:rsidRDefault="00B425CE" w:rsidP="005833E8">
      <w:pPr>
        <w:spacing w:line="360" w:lineRule="auto"/>
        <w:ind w:right="567" w:firstLine="720"/>
        <w:jc w:val="both"/>
        <w:rPr>
          <w:rFonts w:eastAsia="Aptos"/>
          <w:b/>
          <w:sz w:val="28"/>
          <w:szCs w:val="28"/>
        </w:rPr>
      </w:pPr>
      <w:r w:rsidRPr="00D845BD">
        <w:rPr>
          <w:rFonts w:eastAsia="Aptos"/>
          <w:sz w:val="24"/>
          <w:szCs w:val="24"/>
        </w:rPr>
        <w:t>Dalším právem vyplývajícím z PřesZ je právo žádat nařízení ústního jednání, pokud je to zapotřebí k rozhodnutí o nároku poškozeného.</w:t>
      </w:r>
      <w:r w:rsidRPr="00D845BD">
        <w:rPr>
          <w:rFonts w:eastAsia="Aptos"/>
          <w:sz w:val="24"/>
          <w:szCs w:val="24"/>
          <w:vertAlign w:val="superscript"/>
        </w:rPr>
        <w:footnoteReference w:id="247"/>
      </w:r>
      <w:r w:rsidRPr="00D845BD">
        <w:rPr>
          <w:rFonts w:eastAsia="Aptos"/>
          <w:sz w:val="24"/>
          <w:szCs w:val="24"/>
        </w:rPr>
        <w:t xml:space="preserve"> </w:t>
      </w:r>
      <w:r w:rsidRPr="00260B89">
        <w:rPr>
          <w:rFonts w:eastAsia="Aptos"/>
          <w:sz w:val="24"/>
          <w:szCs w:val="24"/>
        </w:rPr>
        <w:t xml:space="preserve">Toto právo je jistě důležité a to zejména vzhledem k tomu, že poškozený bude muset při tomto jednání </w:t>
      </w:r>
      <w:r w:rsidR="00BE6E49" w:rsidRPr="00260B89">
        <w:rPr>
          <w:rFonts w:eastAsia="Aptos"/>
          <w:sz w:val="24"/>
          <w:szCs w:val="24"/>
        </w:rPr>
        <w:t>svůj nárok uplatnit</w:t>
      </w:r>
      <w:r w:rsidRPr="00260B89">
        <w:rPr>
          <w:rFonts w:eastAsia="Aptos"/>
          <w:sz w:val="24"/>
          <w:szCs w:val="24"/>
        </w:rPr>
        <w:t xml:space="preserve">. </w:t>
      </w:r>
      <w:r w:rsidR="00BE6E49">
        <w:rPr>
          <w:rStyle w:val="Znakapoznpodarou"/>
          <w:rFonts w:eastAsia="Aptos"/>
          <w:sz w:val="24"/>
          <w:szCs w:val="24"/>
        </w:rPr>
        <w:footnoteReference w:id="248"/>
      </w:r>
      <w:r w:rsidR="00A3474F">
        <w:rPr>
          <w:rFonts w:eastAsia="Aptos"/>
          <w:color w:val="FF9900"/>
          <w:sz w:val="24"/>
          <w:szCs w:val="24"/>
        </w:rPr>
        <w:t xml:space="preserve"> </w:t>
      </w:r>
      <w:r w:rsidRPr="00D845BD">
        <w:rPr>
          <w:rFonts w:eastAsia="Aptos"/>
          <w:sz w:val="24"/>
          <w:szCs w:val="24"/>
        </w:rPr>
        <w:t>Právě tam pak bude mít také nejlepší možnost realizovat svoje další práva - klást otázky obviněnému, svědkům a znalcům.</w:t>
      </w:r>
      <w:r w:rsidRPr="00D845BD">
        <w:rPr>
          <w:rFonts w:eastAsia="Aptos"/>
          <w:sz w:val="24"/>
          <w:szCs w:val="24"/>
          <w:vertAlign w:val="superscript"/>
        </w:rPr>
        <w:footnoteReference w:id="249"/>
      </w:r>
    </w:p>
    <w:p w:rsidR="004456B9" w:rsidRDefault="00B425CE" w:rsidP="005833E8">
      <w:pPr>
        <w:spacing w:after="160" w:line="360" w:lineRule="auto"/>
        <w:ind w:right="567" w:firstLine="720"/>
        <w:jc w:val="both"/>
        <w:rPr>
          <w:rFonts w:eastAsia="Aptos"/>
          <w:sz w:val="24"/>
          <w:szCs w:val="24"/>
        </w:rPr>
      </w:pPr>
      <w:r w:rsidRPr="00D845BD">
        <w:rPr>
          <w:rFonts w:eastAsia="Aptos"/>
          <w:sz w:val="24"/>
          <w:szCs w:val="24"/>
        </w:rPr>
        <w:t>Značná část práv je pak na základě subsidiarity SŘ upravena tam.</w:t>
      </w:r>
      <w:r w:rsidRPr="00D845BD">
        <w:rPr>
          <w:rFonts w:eastAsia="Aptos"/>
          <w:sz w:val="24"/>
          <w:szCs w:val="24"/>
          <w:vertAlign w:val="superscript"/>
        </w:rPr>
        <w:footnoteReference w:id="250"/>
      </w:r>
      <w:r w:rsidRPr="00D845BD">
        <w:rPr>
          <w:rFonts w:eastAsia="Aptos"/>
          <w:sz w:val="24"/>
          <w:szCs w:val="24"/>
        </w:rPr>
        <w:t xml:space="preserve"> Jedná o práva: navrhovat důkazy</w:t>
      </w:r>
      <w:r w:rsidRPr="00D845BD">
        <w:rPr>
          <w:rFonts w:eastAsia="Aptos"/>
          <w:sz w:val="24"/>
          <w:szCs w:val="24"/>
          <w:vertAlign w:val="superscript"/>
        </w:rPr>
        <w:footnoteReference w:id="251"/>
      </w:r>
      <w:r w:rsidRPr="00D845BD">
        <w:rPr>
          <w:rFonts w:eastAsia="Aptos"/>
          <w:sz w:val="24"/>
          <w:szCs w:val="24"/>
        </w:rPr>
        <w:t xml:space="preserve"> a činit návrhy</w:t>
      </w:r>
      <w:r w:rsidRPr="00D845BD">
        <w:rPr>
          <w:rFonts w:eastAsia="Aptos"/>
          <w:sz w:val="24"/>
          <w:szCs w:val="24"/>
          <w:vertAlign w:val="superscript"/>
        </w:rPr>
        <w:footnoteReference w:id="252"/>
      </w:r>
      <w:r w:rsidRPr="00D845BD">
        <w:rPr>
          <w:rFonts w:eastAsia="Aptos"/>
          <w:sz w:val="24"/>
          <w:szCs w:val="24"/>
        </w:rPr>
        <w:t>, právo na informace o řízení, vyjádřit své stanovisko, zejména k dalším procesním úkonům.</w:t>
      </w:r>
      <w:r w:rsidRPr="00D845BD">
        <w:rPr>
          <w:rFonts w:eastAsia="Aptos"/>
          <w:sz w:val="24"/>
          <w:szCs w:val="24"/>
          <w:vertAlign w:val="superscript"/>
        </w:rPr>
        <w:footnoteReference w:id="253"/>
      </w:r>
      <w:r w:rsidRPr="00D845BD">
        <w:rPr>
          <w:rFonts w:eastAsia="Aptos"/>
          <w:sz w:val="24"/>
          <w:szCs w:val="24"/>
        </w:rPr>
        <w:t xml:space="preserve"> Myslím, že součástí tohoto práva vyjádřit se, které je součástí práva na spravedlivý proces</w:t>
      </w:r>
      <w:r w:rsidRPr="00D845BD">
        <w:rPr>
          <w:rFonts w:eastAsia="Aptos"/>
          <w:sz w:val="24"/>
          <w:szCs w:val="24"/>
          <w:vertAlign w:val="superscript"/>
        </w:rPr>
        <w:footnoteReference w:id="254"/>
      </w:r>
      <w:r w:rsidRPr="00D845BD">
        <w:rPr>
          <w:rFonts w:eastAsia="Aptos"/>
          <w:sz w:val="24"/>
          <w:szCs w:val="24"/>
        </w:rPr>
        <w:t>, by mohlo být i prohlášení poškozeného, které by mohlo simulovat jakousi “závěrečnou řeč” kterou dává k dispozici v trestním řízení ustanovení § 216 T</w:t>
      </w:r>
      <w:r w:rsidR="00260B89">
        <w:rPr>
          <w:rFonts w:eastAsia="Aptos"/>
          <w:sz w:val="24"/>
          <w:szCs w:val="24"/>
        </w:rPr>
        <w:t>Ř</w:t>
      </w:r>
      <w:r w:rsidRPr="00D845BD">
        <w:rPr>
          <w:rFonts w:eastAsia="Aptos"/>
          <w:sz w:val="24"/>
          <w:szCs w:val="24"/>
        </w:rPr>
        <w:t xml:space="preserve">, popřípadě učinit prohlášení, jaký dopad měl </w:t>
      </w:r>
      <w:r w:rsidRPr="00A3474F">
        <w:rPr>
          <w:rFonts w:eastAsia="Aptos"/>
          <w:sz w:val="24"/>
          <w:szCs w:val="24"/>
        </w:rPr>
        <w:t>spáchaný přestupek na dosavadní život poškozeného po vzoru tohoto práva dle § 43 odst. 4 TŘ. Tím, bylo by dáno najevo, že tato osoba není jen nositelem důkazu, ale, že je vyslyšena a orgán bere toto prohlášení v potaz při svém rozhodování. Ostatně toto lze podepřít argumenty Hepové, která správně poukázala na některé kontroverzní prvky současné úpravy, zejména v souvislosti s tím, že některým poškozeným pokračujícím trestným činem by tato možnost učinit prohlášení dána byla, ačkoli jim byla způsobená stejná, nebo třeba i nižší škoda, než pokud by byl pouze jediným dílčím útokem spáchán přestupek.</w:t>
      </w:r>
      <w:r w:rsidRPr="00A3474F">
        <w:rPr>
          <w:rFonts w:eastAsia="Aptos"/>
          <w:sz w:val="24"/>
          <w:szCs w:val="24"/>
          <w:vertAlign w:val="superscript"/>
        </w:rPr>
        <w:footnoteReference w:id="255"/>
      </w:r>
      <w:r w:rsidRPr="00A3474F">
        <w:rPr>
          <w:rFonts w:eastAsia="Aptos"/>
          <w:sz w:val="24"/>
          <w:szCs w:val="24"/>
        </w:rPr>
        <w:t xml:space="preserve"> </w:t>
      </w:r>
      <w:r w:rsidRPr="00D845BD">
        <w:rPr>
          <w:rFonts w:eastAsia="Aptos"/>
          <w:sz w:val="24"/>
          <w:szCs w:val="24"/>
        </w:rPr>
        <w:t>Poškozený má rovněž právo nahlížet do spisu a činit si vypisky či žádat kopie z něj.</w:t>
      </w:r>
      <w:r w:rsidRPr="00D845BD">
        <w:rPr>
          <w:rFonts w:eastAsia="Aptos"/>
          <w:sz w:val="24"/>
          <w:szCs w:val="24"/>
          <w:vertAlign w:val="superscript"/>
        </w:rPr>
        <w:footnoteReference w:id="256"/>
      </w:r>
      <w:r w:rsidRPr="00D845BD">
        <w:rPr>
          <w:rFonts w:eastAsia="Aptos"/>
          <w:sz w:val="24"/>
          <w:szCs w:val="24"/>
        </w:rPr>
        <w:t xml:space="preserve"> </w:t>
      </w:r>
    </w:p>
    <w:p w:rsidR="00260B89" w:rsidRDefault="00B425CE" w:rsidP="005833E8">
      <w:pPr>
        <w:spacing w:after="160" w:line="360" w:lineRule="auto"/>
        <w:ind w:right="567" w:firstLine="720"/>
        <w:jc w:val="both"/>
        <w:rPr>
          <w:rFonts w:eastAsia="Aptos"/>
          <w:sz w:val="24"/>
          <w:szCs w:val="24"/>
        </w:rPr>
      </w:pPr>
      <w:r w:rsidRPr="00D845BD">
        <w:rPr>
          <w:rFonts w:eastAsia="Aptos"/>
          <w:sz w:val="24"/>
          <w:szCs w:val="24"/>
        </w:rPr>
        <w:t xml:space="preserve">Velmi důležitým právem je pak právo vyjádřit se k podkladům rozhodnutí, které plyne z ustanovení § 36 odst. 3 SŘ, přičemž spolu s tímto může poškozený učinit další </w:t>
      </w:r>
      <w:r w:rsidRPr="00D845BD">
        <w:rPr>
          <w:rFonts w:eastAsia="Aptos"/>
          <w:sz w:val="24"/>
          <w:szCs w:val="24"/>
        </w:rPr>
        <w:lastRenderedPageBreak/>
        <w:t>návrhy, např. návrh na provedení dalších důkazních prostředků.</w:t>
      </w:r>
      <w:r w:rsidRPr="00D845BD">
        <w:rPr>
          <w:rFonts w:eastAsia="Aptos"/>
          <w:sz w:val="24"/>
          <w:szCs w:val="24"/>
          <w:vertAlign w:val="superscript"/>
        </w:rPr>
        <w:footnoteReference w:id="257"/>
      </w:r>
      <w:r w:rsidRPr="00D845BD">
        <w:rPr>
          <w:rFonts w:eastAsia="Aptos"/>
          <w:sz w:val="24"/>
          <w:szCs w:val="24"/>
        </w:rPr>
        <w:t xml:space="preserve"> V případě zletilých osob trpící duševní poruchou má poškozený právo na pomoc podpůrce.</w:t>
      </w:r>
      <w:r w:rsidRPr="00D845BD">
        <w:rPr>
          <w:rFonts w:eastAsia="Aptos"/>
          <w:sz w:val="24"/>
          <w:szCs w:val="24"/>
          <w:vertAlign w:val="superscript"/>
        </w:rPr>
        <w:footnoteReference w:id="258"/>
      </w:r>
      <w:r w:rsidR="004456B9" w:rsidRPr="00D845BD">
        <w:rPr>
          <w:rFonts w:eastAsia="Aptos"/>
          <w:sz w:val="24"/>
          <w:szCs w:val="24"/>
        </w:rPr>
        <w:t xml:space="preserve"> </w:t>
      </w:r>
    </w:p>
    <w:p w:rsidR="00260B89" w:rsidRDefault="00260B89" w:rsidP="005833E8">
      <w:pPr>
        <w:spacing w:after="160" w:line="360" w:lineRule="auto"/>
        <w:ind w:right="567" w:firstLine="720"/>
        <w:jc w:val="both"/>
        <w:rPr>
          <w:sz w:val="24"/>
          <w:szCs w:val="24"/>
          <w:highlight w:val="white"/>
        </w:rPr>
      </w:pPr>
      <w:r w:rsidRPr="00D845BD">
        <w:rPr>
          <w:rFonts w:eastAsia="Aptos"/>
          <w:sz w:val="24"/>
          <w:szCs w:val="24"/>
        </w:rPr>
        <w:t>Poškozený je dále vybaven odvolacím právem proti rozhodnutí správního orgánu, a to proti výroku o náhradě škody či vydání bezdůvodného obohacení a o nákladech řízení.</w:t>
      </w:r>
      <w:r w:rsidRPr="00D845BD">
        <w:rPr>
          <w:rFonts w:eastAsia="Aptos"/>
          <w:sz w:val="24"/>
          <w:szCs w:val="24"/>
          <w:vertAlign w:val="superscript"/>
        </w:rPr>
        <w:footnoteReference w:id="259"/>
      </w:r>
      <w:r w:rsidRPr="00D845BD">
        <w:rPr>
          <w:rFonts w:eastAsia="Aptos"/>
          <w:sz w:val="24"/>
          <w:szCs w:val="24"/>
        </w:rPr>
        <w:t xml:space="preserve"> Poškozený tedy nemá odvolací právo ohledně výroku o vině, popř. výše sankce.</w:t>
      </w:r>
      <w:r w:rsidRPr="00D845BD">
        <w:rPr>
          <w:rFonts w:eastAsia="Aptos"/>
          <w:sz w:val="24"/>
          <w:szCs w:val="24"/>
          <w:vertAlign w:val="superscript"/>
        </w:rPr>
        <w:footnoteReference w:id="260"/>
      </w:r>
      <w:r w:rsidRPr="00D845BD">
        <w:rPr>
          <w:rFonts w:eastAsia="Aptos"/>
          <w:sz w:val="24"/>
          <w:szCs w:val="24"/>
        </w:rPr>
        <w:t xml:space="preserve"> NSS v již zmíněném rozhodnutí ze dne 31.10. 2007, sp. zn. 2 AS 46/2007, konstatoval, že:</w:t>
      </w:r>
      <w:r w:rsidRPr="00D845BD">
        <w:rPr>
          <w:rFonts w:eastAsia="Aptos"/>
          <w:sz w:val="20"/>
          <w:szCs w:val="20"/>
        </w:rPr>
        <w:t xml:space="preserve"> </w:t>
      </w:r>
      <w:r w:rsidRPr="00D845BD">
        <w:rPr>
          <w:rFonts w:eastAsia="Aptos"/>
          <w:i/>
          <w:sz w:val="24"/>
          <w:szCs w:val="24"/>
        </w:rPr>
        <w:t>…</w:t>
      </w:r>
      <w:r w:rsidRPr="00D845BD">
        <w:rPr>
          <w:i/>
          <w:sz w:val="24"/>
          <w:szCs w:val="24"/>
          <w:highlight w:val="white"/>
        </w:rPr>
        <w:t>zákona o přestupcích tedy nezakládá univerzální účastenství poškozeného v řízení o přestupku, nýbrž účastenství toliko v rozsahu, v jakém se projednává jeho nárok, přičemž poškozený nemá jako účastník řízení možnost zasahovat do posuzování otázek viny a sankce, nýbrž pouze do otázky náhrady majetkové škody v užším slova smyslu, tj. do toho, zda správní orgán rozhodující ve věci přestupku na základě závěru o vině obviněného z přestupku (a tento závěr je mimo procesní dispozici poškozeného) správně posoudil otázky přímo související s náhradou škody, zejména kauzalitu mezi jednáním pachatele přestupku a majetkovou újmou poškozeného, zavinění pachatele přestupku a výši škody. V tomto smyslu nutno rovněž interpretovat ustanovení § 81 odst. 2 zákona o přestupcích, podle něhož poškozený se může odvolat jen ve věci náhrady škody.”, … ,”Jádrovým obsahem přestupkového řízení je posuzování viny obviněného z přestupku a případné ukládání sankce. Toto posuzování se děje výlučně ve vztahu státu a obviněného z přestupku a má čistě veřejnoprávní povahu – stát zde (až na nečetné výjimky z úřední povinnosti) ve veřejném zájmu stíhá jednání naplňující znaky skutkových podstat přestupků, tj. specifických deliktů.”</w:t>
      </w:r>
      <w:r>
        <w:rPr>
          <w:i/>
          <w:sz w:val="24"/>
          <w:szCs w:val="24"/>
          <w:highlight w:val="white"/>
        </w:rPr>
        <w:t xml:space="preserve"> </w:t>
      </w:r>
      <w:r w:rsidRPr="00D845BD">
        <w:rPr>
          <w:sz w:val="24"/>
          <w:szCs w:val="24"/>
          <w:highlight w:val="white"/>
        </w:rPr>
        <w:t>Tento přístup přetrvává a je stejný i v trestním řízení</w:t>
      </w:r>
      <w:r w:rsidRPr="00D845BD">
        <w:rPr>
          <w:sz w:val="24"/>
          <w:szCs w:val="24"/>
          <w:highlight w:val="white"/>
          <w:vertAlign w:val="superscript"/>
        </w:rPr>
        <w:footnoteReference w:id="261"/>
      </w:r>
      <w:r w:rsidRPr="00D845BD">
        <w:rPr>
          <w:sz w:val="24"/>
          <w:szCs w:val="24"/>
          <w:highlight w:val="white"/>
        </w:rPr>
        <w:t>, jak dlouho ještě vydrží, protože dlouhodobě dochází k posilování pozice poškozeného.</w:t>
      </w:r>
      <w:r w:rsidRPr="00D845BD">
        <w:rPr>
          <w:sz w:val="24"/>
          <w:szCs w:val="24"/>
          <w:highlight w:val="white"/>
          <w:vertAlign w:val="superscript"/>
        </w:rPr>
        <w:footnoteReference w:id="262"/>
      </w:r>
      <w:r w:rsidRPr="00D845BD">
        <w:rPr>
          <w:sz w:val="24"/>
          <w:szCs w:val="24"/>
          <w:highlight w:val="white"/>
        </w:rPr>
        <w:t xml:space="preserve"> </w:t>
      </w:r>
      <w:r w:rsidRPr="00A3474F">
        <w:rPr>
          <w:sz w:val="24"/>
          <w:szCs w:val="24"/>
          <w:highlight w:val="white"/>
        </w:rPr>
        <w:t xml:space="preserve">V obecné rovině tohle pojetí považuji za správné. Pokud vycházíme z veřejnoprávní povahy řízení o deliktu, neměl by poškozený mít právo na opravný prostředek proti rozhodnutí správního orgánu či soudu ohledně viny a trestu. Nelze však vyloučit, že do budoucna bude tento koncept přehodnocen. </w:t>
      </w:r>
    </w:p>
    <w:p w:rsidR="00260B89" w:rsidRPr="00A3474F" w:rsidRDefault="00260B89" w:rsidP="005833E8">
      <w:pPr>
        <w:spacing w:after="160" w:line="360" w:lineRule="auto"/>
        <w:ind w:right="567" w:firstLine="720"/>
        <w:jc w:val="both"/>
        <w:rPr>
          <w:rFonts w:eastAsia="Aptos"/>
          <w:color w:val="FF0000"/>
          <w:sz w:val="24"/>
          <w:szCs w:val="24"/>
        </w:rPr>
      </w:pPr>
      <w:r w:rsidRPr="00D845BD">
        <w:rPr>
          <w:sz w:val="24"/>
          <w:szCs w:val="24"/>
          <w:highlight w:val="white"/>
        </w:rPr>
        <w:t xml:space="preserve">Přece jen je třeba zmínit, že v trestním řízení z tohoto pojetí existuje jakási vyjímka. TŘ totiž nabízí poškozenému právo podat opravný prostředek proti rozhodnutím, jímž </w:t>
      </w:r>
      <w:r w:rsidRPr="00D845BD">
        <w:rPr>
          <w:sz w:val="24"/>
          <w:szCs w:val="24"/>
          <w:highlight w:val="white"/>
        </w:rPr>
        <w:lastRenderedPageBreak/>
        <w:t>trestní řízení končí ve fázi přípravného řízení, konkrétně zastavením řízení dle ustanovení § 172 TŘ, postoupením jinému orgánu dle ustanovení § 171 odst. 2 TŘ  a odložení věci ustanovení § 159a odst. 7 TŘ, a z to z důvodu, že daná věc končí, aniž by prošla řízením před soudem.</w:t>
      </w:r>
      <w:r w:rsidRPr="00D845BD">
        <w:rPr>
          <w:sz w:val="24"/>
          <w:szCs w:val="24"/>
          <w:highlight w:val="white"/>
          <w:vertAlign w:val="superscript"/>
        </w:rPr>
        <w:footnoteReference w:id="263"/>
      </w:r>
      <w:r w:rsidRPr="00D845BD">
        <w:rPr>
          <w:sz w:val="24"/>
          <w:szCs w:val="24"/>
          <w:highlight w:val="white"/>
        </w:rPr>
        <w:t xml:space="preserve"> Svým způsobem se tedy toto dá označit za výjimku z nemožnosti poškozeného podat opravné prostředky proti rozhodnutí o vině. Ústavní soud dokonce dovodil právo podat proti těmto rozhodnutím ústavní stížnost.</w:t>
      </w:r>
      <w:r w:rsidRPr="00D845BD">
        <w:rPr>
          <w:sz w:val="24"/>
          <w:szCs w:val="24"/>
          <w:highlight w:val="white"/>
          <w:vertAlign w:val="superscript"/>
        </w:rPr>
        <w:footnoteReference w:id="264"/>
      </w:r>
      <w:r w:rsidRPr="00D845BD">
        <w:rPr>
          <w:sz w:val="24"/>
          <w:szCs w:val="24"/>
          <w:highlight w:val="white"/>
        </w:rPr>
        <w:t xml:space="preserve"> Toto dovozuje z práva na efektivní trestní řízení v rámci ochrany svých práv a svobod.</w:t>
      </w:r>
      <w:r w:rsidRPr="00D845BD">
        <w:rPr>
          <w:sz w:val="24"/>
          <w:szCs w:val="24"/>
          <w:highlight w:val="white"/>
          <w:vertAlign w:val="superscript"/>
        </w:rPr>
        <w:footnoteReference w:id="265"/>
      </w:r>
      <w:r w:rsidRPr="00D845BD">
        <w:rPr>
          <w:sz w:val="24"/>
          <w:szCs w:val="24"/>
          <w:highlight w:val="white"/>
        </w:rPr>
        <w:t xml:space="preserve"> Ve zmíněném nálezu také dodává: </w:t>
      </w:r>
      <w:r w:rsidRPr="00D845BD">
        <w:rPr>
          <w:i/>
          <w:sz w:val="24"/>
          <w:szCs w:val="24"/>
          <w:highlight w:val="white"/>
        </w:rPr>
        <w:t>“Na postup orgánů činných v trestním řízení je tak třeba klást různé nároky podle závažnosti daného zásahu do práv a svobod poškozeného, respektive vůči němu spáchaného trestného činu. V případě zásahů méně závažných, kterým bude v rovině obecného práva zpravidla odpovídat kategorie „pouhých“ přečinů (ve smyslu § 14 odst. 2 trestního zákoníku) by zásah Ústavního soudu byl možný jen ve zcela mimořádných situacích, totiž u extrémních případů flagrantních pochybení s intenzivními přetrvávajícími následky pro poškozeného. V těchto souvislostech je zároveň na místě přihlížet k tomu, zda poškozený má možnost podání občanskoprávní žaloby vůči domnělým pachatelům, která by měla reálnou šanci na úspěch vedoucí k ochránění jeho práv.”</w:t>
      </w:r>
      <w:r w:rsidRPr="00D845BD">
        <w:rPr>
          <w:i/>
          <w:sz w:val="24"/>
          <w:szCs w:val="24"/>
          <w:highlight w:val="white"/>
          <w:vertAlign w:val="superscript"/>
        </w:rPr>
        <w:footnoteReference w:id="266"/>
      </w:r>
      <w:r w:rsidRPr="00D845BD">
        <w:rPr>
          <w:sz w:val="24"/>
          <w:szCs w:val="24"/>
          <w:highlight w:val="white"/>
        </w:rPr>
        <w:t xml:space="preserve"> </w:t>
      </w:r>
    </w:p>
    <w:p w:rsidR="006A3693" w:rsidRDefault="00260B89" w:rsidP="005833E8">
      <w:pPr>
        <w:spacing w:after="160" w:line="360" w:lineRule="auto"/>
        <w:ind w:right="567" w:firstLine="720"/>
        <w:jc w:val="both"/>
        <w:rPr>
          <w:sz w:val="24"/>
          <w:szCs w:val="24"/>
          <w:highlight w:val="white"/>
        </w:rPr>
      </w:pPr>
      <w:r w:rsidRPr="00D845BD">
        <w:rPr>
          <w:sz w:val="24"/>
          <w:szCs w:val="24"/>
          <w:highlight w:val="white"/>
        </w:rPr>
        <w:t>Přichází v úvahu otázka, zda by čistě teoreticky nešlo konstruovat i právo na účinné vyšetřování přestupku. Samozřejmě z dikce tohoto odůvodnění je pak patrné, že u přestupků něco takového v úvahu nepřipadá, když požadavek extrému a intenzivních přetrvávajících následků je vyžadován i u jednání trestných, mající charakter přečinů</w:t>
      </w:r>
      <w:r>
        <w:rPr>
          <w:sz w:val="24"/>
          <w:szCs w:val="24"/>
          <w:highlight w:val="white"/>
        </w:rPr>
        <w:t xml:space="preserve"> ve smyslu TZ</w:t>
      </w:r>
      <w:r w:rsidRPr="00D845BD">
        <w:rPr>
          <w:sz w:val="24"/>
          <w:szCs w:val="24"/>
          <w:highlight w:val="white"/>
        </w:rPr>
        <w:t>, těžko pak bude tento předpoklad splněn u “jen” přestupkových jednání. Pokud jde o možnosti podání opravného prostředku proti rozhodnutím uvedeným výše, pak u přestupků tyto nedávají smysl, neboť přestupkové řízení je ovládáno zásadou vyšetřovací, kde funkci žalobce i soudce vykonává správní orgán,</w:t>
      </w:r>
      <w:r w:rsidRPr="00D845BD">
        <w:rPr>
          <w:sz w:val="24"/>
          <w:szCs w:val="24"/>
          <w:highlight w:val="white"/>
          <w:vertAlign w:val="superscript"/>
        </w:rPr>
        <w:footnoteReference w:id="267"/>
      </w:r>
      <w:r w:rsidRPr="00D845BD">
        <w:rPr>
          <w:sz w:val="24"/>
          <w:szCs w:val="24"/>
          <w:highlight w:val="white"/>
        </w:rPr>
        <w:t xml:space="preserve"> a tedy zde nenajdeme různé fáze řízení ve kterých rozhodují odlišné orgány a které by odůvodňovaly odlišné právo poškozeného zasahovat do rozhodnutí. </w:t>
      </w:r>
    </w:p>
    <w:p w:rsidR="00C07033" w:rsidRPr="00C07033" w:rsidRDefault="00C07033" w:rsidP="005833E8">
      <w:pPr>
        <w:spacing w:after="160" w:line="360" w:lineRule="auto"/>
        <w:ind w:right="567" w:firstLine="720"/>
        <w:jc w:val="both"/>
        <w:rPr>
          <w:sz w:val="24"/>
          <w:szCs w:val="24"/>
          <w:highlight w:val="white"/>
        </w:rPr>
      </w:pPr>
    </w:p>
    <w:p w:rsidR="00D420AB" w:rsidRPr="00260B89" w:rsidRDefault="00C85A10" w:rsidP="005833E8">
      <w:pPr>
        <w:pStyle w:val="Nadpis2"/>
        <w:spacing w:line="360" w:lineRule="auto"/>
      </w:pPr>
      <w:bookmarkStart w:id="67" w:name="_Toc190464518"/>
      <w:bookmarkStart w:id="68" w:name="_Toc190466557"/>
      <w:bookmarkStart w:id="69" w:name="_Toc190468805"/>
      <w:bookmarkStart w:id="70" w:name="_Toc190476390"/>
      <w:r>
        <w:lastRenderedPageBreak/>
        <w:t>4</w:t>
      </w:r>
      <w:r w:rsidR="00260B89" w:rsidRPr="00A3474F">
        <w:t>.3. Právo poškozeného vzít nárok zpět</w:t>
      </w:r>
      <w:bookmarkEnd w:id="67"/>
      <w:bookmarkEnd w:id="68"/>
      <w:bookmarkEnd w:id="69"/>
      <w:bookmarkEnd w:id="70"/>
    </w:p>
    <w:p w:rsidR="00284190" w:rsidRPr="006A3693" w:rsidRDefault="00B425CE" w:rsidP="005833E8">
      <w:pPr>
        <w:spacing w:after="160" w:line="360" w:lineRule="auto"/>
        <w:ind w:right="567" w:firstLine="720"/>
        <w:jc w:val="both"/>
        <w:rPr>
          <w:rFonts w:eastAsia="Aptos"/>
          <w:sz w:val="24"/>
          <w:szCs w:val="24"/>
        </w:rPr>
      </w:pPr>
      <w:r w:rsidRPr="00D845BD">
        <w:rPr>
          <w:rFonts w:eastAsia="Aptos"/>
          <w:sz w:val="24"/>
          <w:szCs w:val="24"/>
        </w:rPr>
        <w:t>I v přestupkovém řízení přichází v úvahu (byť v zákoně přímo nezakotvené) zpětvzetí nároku poškozeného.</w:t>
      </w:r>
      <w:r w:rsidRPr="00D845BD">
        <w:rPr>
          <w:rFonts w:eastAsia="Aptos"/>
          <w:sz w:val="24"/>
          <w:szCs w:val="24"/>
          <w:vertAlign w:val="superscript"/>
        </w:rPr>
        <w:footnoteReference w:id="268"/>
      </w:r>
      <w:r w:rsidRPr="00D845BD">
        <w:rPr>
          <w:rFonts w:eastAsia="Aptos"/>
          <w:sz w:val="24"/>
          <w:szCs w:val="24"/>
        </w:rPr>
        <w:t xml:space="preserve"> Podle některých názorů pak v reakci na to správní orgán vydá rozhodnutí, kterým vyloučí poškozeného z účastenství dle ustanovení § 28 SŘ.</w:t>
      </w:r>
      <w:r w:rsidRPr="00D845BD">
        <w:rPr>
          <w:rFonts w:eastAsia="Aptos"/>
          <w:sz w:val="24"/>
          <w:szCs w:val="24"/>
          <w:vertAlign w:val="superscript"/>
        </w:rPr>
        <w:footnoteReference w:id="269"/>
      </w:r>
      <w:r w:rsidRPr="00D845BD">
        <w:rPr>
          <w:rFonts w:eastAsia="Aptos"/>
          <w:sz w:val="24"/>
          <w:szCs w:val="24"/>
        </w:rPr>
        <w:t xml:space="preserve"> Podle jiného k tomuto může dojít jen neformálním sdělením a není potřeba vydávat usnesení.</w:t>
      </w:r>
      <w:r w:rsidRPr="00D845BD">
        <w:rPr>
          <w:rFonts w:eastAsia="Aptos"/>
          <w:sz w:val="24"/>
          <w:szCs w:val="24"/>
          <w:vertAlign w:val="superscript"/>
        </w:rPr>
        <w:footnoteReference w:id="270"/>
      </w:r>
      <w:r w:rsidRPr="00D845BD">
        <w:rPr>
          <w:rFonts w:eastAsia="Aptos"/>
          <w:sz w:val="24"/>
          <w:szCs w:val="24"/>
        </w:rPr>
        <w:t xml:space="preserve"> Osobně se mi druhá varianta jeví býti vhodnější.</w:t>
      </w:r>
      <w:r w:rsidR="00260B89">
        <w:rPr>
          <w:rFonts w:eastAsia="Aptos"/>
          <w:b/>
          <w:sz w:val="28"/>
          <w:szCs w:val="28"/>
        </w:rPr>
        <w:t xml:space="preserve"> </w:t>
      </w:r>
      <w:r w:rsidR="00260B89">
        <w:rPr>
          <w:rFonts w:eastAsia="Aptos"/>
          <w:sz w:val="24"/>
          <w:szCs w:val="24"/>
        </w:rPr>
        <w:t xml:space="preserve">S možností učinit zpětvzetí souhlasíi </w:t>
      </w:r>
      <w:r w:rsidR="00260B89" w:rsidRPr="00D845BD">
        <w:rPr>
          <w:rFonts w:eastAsia="Aptos"/>
          <w:sz w:val="24"/>
          <w:szCs w:val="24"/>
        </w:rPr>
        <w:t>Madleňáková a Mičkalová</w:t>
      </w:r>
      <w:r w:rsidRPr="00D845BD">
        <w:rPr>
          <w:rFonts w:eastAsia="Aptos"/>
          <w:sz w:val="24"/>
          <w:szCs w:val="24"/>
        </w:rPr>
        <w:t>.</w:t>
      </w:r>
      <w:r w:rsidR="00260B89">
        <w:rPr>
          <w:rFonts w:eastAsia="Aptos"/>
          <w:sz w:val="24"/>
          <w:szCs w:val="24"/>
        </w:rPr>
        <w:t xml:space="preserve"> Obě </w:t>
      </w:r>
      <w:r w:rsidRPr="00D845BD">
        <w:rPr>
          <w:rFonts w:eastAsia="Aptos"/>
          <w:sz w:val="24"/>
          <w:szCs w:val="24"/>
        </w:rPr>
        <w:t>v citovaném článku řešily otázku, zda lze tento nárok znovu uplatnit a dospěly k závěru, že tomuto nic nebrání.</w:t>
      </w:r>
      <w:r w:rsidRPr="00D845BD">
        <w:rPr>
          <w:rFonts w:eastAsia="Aptos"/>
          <w:sz w:val="24"/>
          <w:szCs w:val="24"/>
          <w:vertAlign w:val="superscript"/>
        </w:rPr>
        <w:footnoteReference w:id="271"/>
      </w:r>
      <w:r w:rsidRPr="00D845BD">
        <w:rPr>
          <w:rFonts w:eastAsia="Aptos"/>
          <w:sz w:val="24"/>
          <w:szCs w:val="24"/>
        </w:rPr>
        <w:t xml:space="preserve"> Osobně s daným tvrzením souhlasím, avšak samozřejmě s dodatkem, že při aktuální právní úpravě je tento postup možný pouze za předpokladu, že znovuuplatnění nároku bude učiněno do lhůt v ustanovení § 70 PřesZ se vším, co bylo dovozeno výše. Tento závěr podporuje i trestněprocesní úprava, která na rozdíl od přestupkové zakotvuje možnost vzdání se procesních práv poškozeného.</w:t>
      </w:r>
      <w:r w:rsidRPr="00D845BD">
        <w:rPr>
          <w:rFonts w:eastAsia="Aptos"/>
          <w:sz w:val="24"/>
          <w:szCs w:val="24"/>
          <w:vertAlign w:val="superscript"/>
        </w:rPr>
        <w:footnoteReference w:id="272"/>
      </w:r>
      <w:r w:rsidRPr="00D845BD">
        <w:rPr>
          <w:rFonts w:eastAsia="Aptos"/>
          <w:sz w:val="24"/>
          <w:szCs w:val="24"/>
        </w:rPr>
        <w:t xml:space="preserve"> Toto vzdání se práv lze vzít zpět, a tedy procesní práva znovu nabýt, avšak časovým limitem pro právo uplatnit nárok v adhezním řízení je počátek dokazování v hlavním líčení.</w:t>
      </w:r>
      <w:r w:rsidRPr="00D845BD">
        <w:rPr>
          <w:rFonts w:eastAsia="Aptos"/>
          <w:sz w:val="24"/>
          <w:szCs w:val="24"/>
          <w:vertAlign w:val="superscript"/>
        </w:rPr>
        <w:footnoteReference w:id="273"/>
      </w:r>
      <w:r w:rsidRPr="00D845BD">
        <w:rPr>
          <w:rFonts w:eastAsia="Aptos"/>
          <w:sz w:val="24"/>
          <w:szCs w:val="24"/>
        </w:rPr>
        <w:t xml:space="preserve"> Do tohoto okamžiku tedy v trestním řízení tento nárok znovu uplatnit lze.</w:t>
      </w:r>
      <w:r w:rsidRPr="00D845BD">
        <w:rPr>
          <w:rFonts w:eastAsia="Aptos"/>
          <w:sz w:val="24"/>
          <w:szCs w:val="24"/>
          <w:vertAlign w:val="superscript"/>
        </w:rPr>
        <w:footnoteReference w:id="274"/>
      </w:r>
      <w:r w:rsidRPr="00D845BD">
        <w:rPr>
          <w:rFonts w:eastAsia="Aptos"/>
          <w:sz w:val="24"/>
          <w:szCs w:val="24"/>
        </w:rPr>
        <w:t xml:space="preserve"> </w:t>
      </w:r>
      <w:r w:rsidR="00260B89">
        <w:rPr>
          <w:rFonts w:eastAsia="Aptos"/>
          <w:sz w:val="24"/>
          <w:szCs w:val="24"/>
        </w:rPr>
        <w:t>Osobně nevidím</w:t>
      </w:r>
      <w:r w:rsidRPr="00A3474F">
        <w:rPr>
          <w:rFonts w:eastAsia="Aptos"/>
          <w:sz w:val="24"/>
          <w:szCs w:val="24"/>
        </w:rPr>
        <w:t xml:space="preserve"> žádný rozumný důvod, aby v přestupkovém řízení bylo řešení odlišné. Na rozdíl od TŘ neupravuje PřesZ ani SŘ možnost vzdání se procesních práv poškozeného. Formálně taková možnost tedy nejspíš není, avšak </w:t>
      </w:r>
      <w:r w:rsidR="00260B89">
        <w:rPr>
          <w:rFonts w:eastAsia="Aptos"/>
          <w:sz w:val="24"/>
          <w:szCs w:val="24"/>
        </w:rPr>
        <w:t xml:space="preserve">jistě </w:t>
      </w:r>
      <w:r w:rsidRPr="00A3474F">
        <w:rPr>
          <w:rFonts w:eastAsia="Aptos"/>
          <w:sz w:val="24"/>
          <w:szCs w:val="24"/>
        </w:rPr>
        <w:t>nic nebrání poškozenému, aby svoje práva aktivně nevykonával.</w:t>
      </w:r>
    </w:p>
    <w:p w:rsidR="006A3693" w:rsidRDefault="006A3693" w:rsidP="005833E8">
      <w:pPr>
        <w:spacing w:line="360" w:lineRule="auto"/>
        <w:ind w:right="567"/>
        <w:jc w:val="both"/>
      </w:pPr>
    </w:p>
    <w:p w:rsidR="005833E8" w:rsidRDefault="00B425CE" w:rsidP="005833E8">
      <w:pPr>
        <w:pStyle w:val="Nadpis1"/>
        <w:spacing w:line="360" w:lineRule="auto"/>
      </w:pPr>
      <w:r w:rsidRPr="00D845BD">
        <w:lastRenderedPageBreak/>
        <w:br/>
      </w:r>
      <w:bookmarkStart w:id="71" w:name="_Toc190464519"/>
      <w:bookmarkStart w:id="72" w:name="_Toc190466558"/>
      <w:bookmarkStart w:id="73" w:name="_Toc190468806"/>
      <w:bookmarkStart w:id="74" w:name="_Toc190476391"/>
      <w:r w:rsidR="005178F6">
        <w:t>5.</w:t>
      </w:r>
      <w:r w:rsidRPr="00284190">
        <w:t xml:space="preserve"> Postavení osoby nemajetkově poškozené spácháním přestupku</w:t>
      </w:r>
      <w:bookmarkEnd w:id="71"/>
      <w:bookmarkEnd w:id="72"/>
      <w:bookmarkEnd w:id="73"/>
      <w:bookmarkEnd w:id="74"/>
    </w:p>
    <w:p w:rsidR="00B425CE" w:rsidRPr="00284190" w:rsidRDefault="00284190" w:rsidP="005833E8">
      <w:pPr>
        <w:pStyle w:val="Nadpis1"/>
        <w:spacing w:line="360" w:lineRule="auto"/>
      </w:pPr>
      <w:r>
        <w:br/>
      </w:r>
      <w:bookmarkStart w:id="75" w:name="_Toc190464520"/>
      <w:bookmarkStart w:id="76" w:name="_Toc190466559"/>
      <w:bookmarkStart w:id="77" w:name="_Toc190468807"/>
      <w:bookmarkStart w:id="78" w:name="_Toc190476392"/>
      <w:r w:rsidR="005178F6">
        <w:t>5</w:t>
      </w:r>
      <w:r w:rsidR="00B425CE" w:rsidRPr="00284190">
        <w:t xml:space="preserve">.1. </w:t>
      </w:r>
      <w:bookmarkEnd w:id="75"/>
      <w:bookmarkEnd w:id="76"/>
      <w:r w:rsidR="003629BC">
        <w:t>Postavení osoby nemajetkově poškozené v předchozí právní úpravě</w:t>
      </w:r>
      <w:bookmarkEnd w:id="77"/>
      <w:bookmarkEnd w:id="78"/>
    </w:p>
    <w:p w:rsidR="00260B89" w:rsidRDefault="00B425CE" w:rsidP="005833E8">
      <w:pPr>
        <w:spacing w:line="360" w:lineRule="auto"/>
        <w:ind w:right="567"/>
        <w:jc w:val="both"/>
        <w:rPr>
          <w:sz w:val="24"/>
          <w:szCs w:val="24"/>
        </w:rPr>
      </w:pPr>
      <w:r w:rsidRPr="00D845BD">
        <w:br/>
      </w:r>
      <w:r w:rsidR="00260B89">
        <w:rPr>
          <w:sz w:val="24"/>
          <w:szCs w:val="24"/>
        </w:rPr>
        <w:t xml:space="preserve"> </w:t>
      </w:r>
      <w:r w:rsidR="00260B89">
        <w:rPr>
          <w:sz w:val="24"/>
          <w:szCs w:val="24"/>
        </w:rPr>
        <w:tab/>
      </w:r>
      <w:r w:rsidRPr="00284190">
        <w:rPr>
          <w:sz w:val="24"/>
          <w:szCs w:val="24"/>
        </w:rPr>
        <w:t>Spácháním přestupku může být přirozeně způsobena nejen majetková, ale také nemajetková újma. Jedná se o újmu, kterou lze popsat jako výsledek změny nemajetkových statků poškozeného</w:t>
      </w:r>
      <w:r w:rsidRPr="00284190">
        <w:rPr>
          <w:sz w:val="24"/>
          <w:szCs w:val="24"/>
          <w:vertAlign w:val="superscript"/>
        </w:rPr>
        <w:footnoteReference w:id="275"/>
      </w:r>
      <w:r w:rsidRPr="00284190">
        <w:rPr>
          <w:sz w:val="24"/>
          <w:szCs w:val="24"/>
        </w:rPr>
        <w:t>, a to výsledek pro něj nepříznivý.</w:t>
      </w:r>
      <w:r w:rsidRPr="00284190">
        <w:rPr>
          <w:sz w:val="24"/>
          <w:szCs w:val="24"/>
          <w:vertAlign w:val="superscript"/>
        </w:rPr>
        <w:footnoteReference w:id="276"/>
      </w:r>
      <w:r w:rsidRPr="00284190">
        <w:rPr>
          <w:sz w:val="24"/>
          <w:szCs w:val="24"/>
        </w:rPr>
        <w:t xml:space="preserve"> České civilní právo však koriguje toto vymezení objektivizujícím prvkem, který má za následek, že je k náhradě tohoto druhu újmy vyžadována vyšší intenzita zásahu.</w:t>
      </w:r>
      <w:r w:rsidRPr="00284190">
        <w:rPr>
          <w:sz w:val="24"/>
          <w:szCs w:val="24"/>
          <w:vertAlign w:val="superscript"/>
        </w:rPr>
        <w:footnoteReference w:id="277"/>
      </w:r>
      <w:r w:rsidRPr="00284190">
        <w:rPr>
          <w:sz w:val="24"/>
          <w:szCs w:val="24"/>
        </w:rPr>
        <w:t xml:space="preserve"> Obecně ji lze označit jako zásah do osobnostních práv člověka, který osoba vnímá důvodně jako osobní neštěstí.</w:t>
      </w:r>
      <w:r w:rsidRPr="00284190">
        <w:rPr>
          <w:sz w:val="24"/>
          <w:szCs w:val="24"/>
          <w:vertAlign w:val="superscript"/>
        </w:rPr>
        <w:footnoteReference w:id="278"/>
      </w:r>
      <w:r w:rsidRPr="00284190">
        <w:rPr>
          <w:sz w:val="24"/>
          <w:szCs w:val="24"/>
        </w:rPr>
        <w:t xml:space="preserve"> Je zásadně nenahraditelná, ledaže byla její náhrada ujednána nebo povinnost k náhradě ukládá zvláštní ustanovení.</w:t>
      </w:r>
      <w:r w:rsidRPr="00284190">
        <w:rPr>
          <w:sz w:val="24"/>
          <w:szCs w:val="24"/>
          <w:vertAlign w:val="superscript"/>
        </w:rPr>
        <w:footnoteReference w:id="279"/>
      </w:r>
    </w:p>
    <w:p w:rsidR="00D536D8" w:rsidRPr="00260B89" w:rsidRDefault="00B425CE" w:rsidP="005833E8">
      <w:pPr>
        <w:spacing w:line="360" w:lineRule="auto"/>
        <w:ind w:right="567" w:firstLine="720"/>
        <w:jc w:val="both"/>
        <w:rPr>
          <w:sz w:val="24"/>
          <w:szCs w:val="24"/>
        </w:rPr>
      </w:pPr>
      <w:r w:rsidRPr="00284190">
        <w:rPr>
          <w:sz w:val="24"/>
          <w:szCs w:val="24"/>
        </w:rPr>
        <w:t>Aktuálně platný a účinný PřesZ neumožňuje osobě, které byla způsobena nemajetková újma, domáhat se její náhrady v adhezním řízení.</w:t>
      </w:r>
      <w:r w:rsidRPr="00284190">
        <w:rPr>
          <w:sz w:val="24"/>
          <w:szCs w:val="24"/>
          <w:vertAlign w:val="superscript"/>
        </w:rPr>
        <w:footnoteReference w:id="280"/>
      </w:r>
      <w:r w:rsidRPr="00284190">
        <w:rPr>
          <w:sz w:val="24"/>
          <w:szCs w:val="24"/>
        </w:rPr>
        <w:t xml:space="preserve"> Tento přístup byl v zásadě stejný ve všech moderních zákonech upravujících přestupkové řízení, především toho z roku 1990.</w:t>
      </w:r>
      <w:r w:rsidRPr="00284190">
        <w:rPr>
          <w:sz w:val="24"/>
          <w:szCs w:val="24"/>
          <w:vertAlign w:val="superscript"/>
        </w:rPr>
        <w:footnoteReference w:id="281"/>
      </w:r>
      <w:r w:rsidRPr="00284190">
        <w:rPr>
          <w:sz w:val="24"/>
          <w:szCs w:val="24"/>
        </w:rPr>
        <w:t xml:space="preserve"> Novelou č. 204/2015 tohoto zákona však došlo k úpravě ustanovení § 68, který vymezoval účastníky řízení o přestupku, přičemž u písm. b) tohoto ustanovení, kde byl jako účastník vymezen </w:t>
      </w:r>
      <w:r w:rsidRPr="00284190">
        <w:rPr>
          <w:i/>
          <w:sz w:val="24"/>
          <w:szCs w:val="24"/>
        </w:rPr>
        <w:t>“poškozený, který uplatňoval nárok na náhradu majetkové škod</w:t>
      </w:r>
      <w:r w:rsidRPr="00284190">
        <w:rPr>
          <w:sz w:val="24"/>
          <w:szCs w:val="24"/>
        </w:rPr>
        <w:t>y”, přibyla navíc</w:t>
      </w:r>
      <w:r w:rsidRPr="00284190">
        <w:rPr>
          <w:i/>
          <w:sz w:val="24"/>
          <w:szCs w:val="24"/>
        </w:rPr>
        <w:t xml:space="preserve"> “osoba, které byla způsobena nemajetková újma.” </w:t>
      </w:r>
      <w:r w:rsidRPr="00284190">
        <w:rPr>
          <w:i/>
          <w:sz w:val="24"/>
          <w:szCs w:val="24"/>
          <w:vertAlign w:val="superscript"/>
        </w:rPr>
        <w:footnoteReference w:id="282"/>
      </w:r>
      <w:r w:rsidRPr="00284190">
        <w:rPr>
          <w:i/>
          <w:sz w:val="24"/>
          <w:szCs w:val="24"/>
        </w:rPr>
        <w:t xml:space="preserve"> </w:t>
      </w:r>
    </w:p>
    <w:p w:rsidR="00260B89" w:rsidRDefault="00B425CE" w:rsidP="005833E8">
      <w:pPr>
        <w:spacing w:line="360" w:lineRule="auto"/>
        <w:ind w:right="567" w:firstLine="720"/>
        <w:jc w:val="both"/>
        <w:rPr>
          <w:sz w:val="24"/>
          <w:szCs w:val="24"/>
        </w:rPr>
      </w:pPr>
      <w:r w:rsidRPr="00284190">
        <w:rPr>
          <w:sz w:val="24"/>
          <w:szCs w:val="24"/>
        </w:rPr>
        <w:t xml:space="preserve">Předmětné ustanovení nebylo napsáno příliš vhodně, neboť nejenže vzbuzovalo pochybnosti o rozsahu a povaze účastenství osoby nemajetkově poškozené, ale navíc </w:t>
      </w:r>
      <w:r w:rsidRPr="00284190">
        <w:rPr>
          <w:sz w:val="24"/>
          <w:szCs w:val="24"/>
        </w:rPr>
        <w:lastRenderedPageBreak/>
        <w:t>neupravovalo (ani žádné jiné) ani způsob, jakým se tato osoba stane účastníkem, což mohlo vzbuzovat pochybnosti.</w:t>
      </w:r>
      <w:r w:rsidRPr="00284190">
        <w:rPr>
          <w:sz w:val="24"/>
          <w:szCs w:val="24"/>
          <w:vertAlign w:val="superscript"/>
        </w:rPr>
        <w:footnoteReference w:id="283"/>
      </w:r>
      <w:r w:rsidRPr="00284190">
        <w:rPr>
          <w:sz w:val="24"/>
          <w:szCs w:val="24"/>
        </w:rPr>
        <w:t xml:space="preserve"> Za správný považuji názor Práškové, která dovozovala nutnost přihlásit se jako účastník a tvrdit i prokazovat, že došlo k nemajetkové újmě, alternativně tento nárok dříve řádně uplatnit v trestním řízení.</w:t>
      </w:r>
      <w:r w:rsidRPr="00284190">
        <w:rPr>
          <w:sz w:val="24"/>
          <w:szCs w:val="24"/>
          <w:vertAlign w:val="superscript"/>
        </w:rPr>
        <w:footnoteReference w:id="284"/>
      </w:r>
      <w:r w:rsidR="00260B89">
        <w:rPr>
          <w:sz w:val="24"/>
          <w:szCs w:val="24"/>
        </w:rPr>
        <w:t xml:space="preserve"> </w:t>
      </w:r>
      <w:r w:rsidRPr="00284190">
        <w:rPr>
          <w:sz w:val="24"/>
          <w:szCs w:val="24"/>
        </w:rPr>
        <w:t>Osoba nemajetkově poškozená se tak stala účastníkem řízení o přestupku s procesními právy, avšak ani tato novela, navzdory návrhům garančního ústavněprávního výboru, nezakotvila možnost domáhat se v adhezním řízení náhrady nemajetkové újmy.</w:t>
      </w:r>
      <w:r w:rsidRPr="00284190">
        <w:rPr>
          <w:sz w:val="24"/>
          <w:szCs w:val="24"/>
          <w:vertAlign w:val="superscript"/>
        </w:rPr>
        <w:footnoteReference w:id="285"/>
      </w:r>
      <w:r w:rsidRPr="00284190">
        <w:rPr>
          <w:sz w:val="24"/>
          <w:szCs w:val="24"/>
        </w:rPr>
        <w:t xml:space="preserve"> </w:t>
      </w:r>
      <w:r w:rsidRPr="00260B89">
        <w:rPr>
          <w:sz w:val="24"/>
          <w:szCs w:val="24"/>
        </w:rPr>
        <w:t>Toto pojetí mělo být původně zachováno i v novém</w:t>
      </w:r>
      <w:r w:rsidR="00260B89">
        <w:rPr>
          <w:sz w:val="24"/>
          <w:szCs w:val="24"/>
        </w:rPr>
        <w:t xml:space="preserve"> PřesZ</w:t>
      </w:r>
      <w:r w:rsidRPr="00260B89">
        <w:rPr>
          <w:sz w:val="24"/>
          <w:szCs w:val="24"/>
        </w:rPr>
        <w:t>, konk</w:t>
      </w:r>
      <w:r w:rsidR="00D62E64" w:rsidRPr="00260B89">
        <w:rPr>
          <w:sz w:val="24"/>
          <w:szCs w:val="24"/>
        </w:rPr>
        <w:t>rétně s ní počítal vládní návrh</w:t>
      </w:r>
      <w:r w:rsidRPr="00260B89">
        <w:rPr>
          <w:sz w:val="24"/>
          <w:szCs w:val="24"/>
        </w:rPr>
        <w:t xml:space="preserve"> a to na doporučení garančního ústavněprávního výboru.</w:t>
      </w:r>
      <w:r w:rsidRPr="00260B89">
        <w:rPr>
          <w:sz w:val="24"/>
          <w:szCs w:val="24"/>
          <w:vertAlign w:val="superscript"/>
        </w:rPr>
        <w:footnoteReference w:id="286"/>
      </w:r>
    </w:p>
    <w:p w:rsidR="00284190" w:rsidRPr="00260B89" w:rsidRDefault="00B425CE" w:rsidP="005833E8">
      <w:pPr>
        <w:spacing w:line="360" w:lineRule="auto"/>
        <w:ind w:right="567" w:firstLine="720"/>
        <w:jc w:val="both"/>
        <w:rPr>
          <w:sz w:val="24"/>
          <w:szCs w:val="24"/>
        </w:rPr>
      </w:pPr>
      <w:r w:rsidRPr="00284190">
        <w:rPr>
          <w:sz w:val="24"/>
          <w:szCs w:val="24"/>
        </w:rPr>
        <w:t>Na toto pojetí poškozeného, kterému byla způsobena nemajetková újma, byly zveřejněny různé názory. Prášková dovozovala procesní postavení ze smyslu a účelu ustanovení.</w:t>
      </w:r>
      <w:r w:rsidRPr="00284190">
        <w:rPr>
          <w:sz w:val="24"/>
          <w:szCs w:val="24"/>
          <w:vertAlign w:val="superscript"/>
        </w:rPr>
        <w:footnoteReference w:id="287"/>
      </w:r>
      <w:r w:rsidRPr="00284190">
        <w:rPr>
          <w:sz w:val="24"/>
          <w:szCs w:val="24"/>
        </w:rPr>
        <w:t xml:space="preserve"> Odmítala protinázory, které připouštěly možnost uplatňovat nárok na náhradu nemajetkové újmy a další procesní práva daná PřesZ. Již z jazykového výkladu bylo podle ní zjevné, že zákonodárce takový úmysl neměl, naopak obě kategorie osob odlišoval a vytvořil tu dvě jiné kategorie osob poškozených přestupkem, přičemž stejně jako v trestním řízení se jedna může domáhat nároku na náhradu, a druhá nikoli. </w:t>
      </w:r>
      <w:r w:rsidRPr="00284190">
        <w:rPr>
          <w:sz w:val="24"/>
          <w:szCs w:val="24"/>
          <w:vertAlign w:val="superscript"/>
        </w:rPr>
        <w:footnoteReference w:id="288"/>
      </w:r>
      <w:r w:rsidRPr="00284190">
        <w:rPr>
          <w:sz w:val="24"/>
          <w:szCs w:val="24"/>
        </w:rPr>
        <w:t xml:space="preserve"> Její procesní práva měla být podle ní omezena na procesní práva poškozeného, vyjma uplatnění svého nároku v adhezním řízení, neboť takhle to odpovídalo smyslu a účelu (morální satisfakce, upevňování zákonnosti, zlepšení svého postavení v případném civilním řízení) jejího zakotvení do ustanovení § 68 PřesZ 1990.</w:t>
      </w:r>
      <w:r w:rsidRPr="00284190">
        <w:rPr>
          <w:sz w:val="24"/>
          <w:szCs w:val="24"/>
          <w:vertAlign w:val="superscript"/>
        </w:rPr>
        <w:footnoteReference w:id="289"/>
      </w:r>
      <w:r w:rsidRPr="00284190">
        <w:rPr>
          <w:sz w:val="24"/>
          <w:szCs w:val="24"/>
        </w:rPr>
        <w:t xml:space="preserve"> Mám za to, že její pojetí neaplikovat některá práva účastníka plynoucí z ustanovení SŘ, pokud šla proti smyslu a účelu účastenství, se dá označit za tzv. teleologickou redukci, neboť jsou splněny její předpoklady, jak je vymezuje Melzer.</w:t>
      </w:r>
      <w:r w:rsidRPr="00284190">
        <w:rPr>
          <w:sz w:val="24"/>
          <w:szCs w:val="24"/>
          <w:vertAlign w:val="superscript"/>
        </w:rPr>
        <w:footnoteReference w:id="290"/>
      </w:r>
      <w:r w:rsidR="00D62E64" w:rsidRPr="00284190">
        <w:rPr>
          <w:sz w:val="24"/>
          <w:szCs w:val="24"/>
        </w:rPr>
        <w:t xml:space="preserve"> </w:t>
      </w:r>
      <w:r w:rsidRPr="00284190">
        <w:rPr>
          <w:sz w:val="24"/>
          <w:szCs w:val="24"/>
        </w:rPr>
        <w:t>Potměšil se k zmíněné novele vyjádřil mimojiné tak, že konstatoval:</w:t>
      </w:r>
      <w:r w:rsidRPr="00284190">
        <w:rPr>
          <w:i/>
          <w:sz w:val="24"/>
          <w:szCs w:val="24"/>
        </w:rPr>
        <w:t xml:space="preserve"> “S ohledem na absenci podrobnější úpravy v zákoně o přestupcích bude mít zřejmě plný rozsah účastnických, včetně odvolacích, práv (jakkoliv bez nároku </w:t>
      </w:r>
      <w:r w:rsidRPr="00284190">
        <w:rPr>
          <w:i/>
          <w:sz w:val="24"/>
          <w:szCs w:val="24"/>
        </w:rPr>
        <w:lastRenderedPageBreak/>
        <w:t>na vyhovění odvolání, resp. na uznání viny pachatele), v důsledku čehož lze očekávat min. nárůst odvolací agendy.”</w:t>
      </w:r>
      <w:r w:rsidRPr="00284190">
        <w:rPr>
          <w:sz w:val="24"/>
          <w:szCs w:val="24"/>
        </w:rPr>
        <w:t xml:space="preserve"> Takovou změnu označil za nepromyšlenou.</w:t>
      </w:r>
      <w:r w:rsidRPr="00284190">
        <w:rPr>
          <w:sz w:val="24"/>
          <w:szCs w:val="24"/>
          <w:vertAlign w:val="superscript"/>
        </w:rPr>
        <w:footnoteReference w:id="291"/>
      </w:r>
    </w:p>
    <w:p w:rsidR="00D536D8" w:rsidRPr="00284190" w:rsidRDefault="00B425CE" w:rsidP="005833E8">
      <w:pPr>
        <w:spacing w:line="360" w:lineRule="auto"/>
        <w:ind w:right="567" w:firstLine="720"/>
        <w:jc w:val="both"/>
        <w:rPr>
          <w:color w:val="00FF00"/>
          <w:sz w:val="24"/>
          <w:szCs w:val="24"/>
        </w:rPr>
      </w:pPr>
      <w:r w:rsidRPr="00284190">
        <w:rPr>
          <w:sz w:val="24"/>
          <w:szCs w:val="24"/>
        </w:rPr>
        <w:t>Další protinázor vyjádřil i Strakoš, který nastínil dvě v úvahu připadající varianty, jak s nemajetkově poškozenou osobou “zacházet”. Jednou z variant byla aplikace práv účastníka ze SŘ, avšak to by mělo za následek také odvolací právo ve všech výrocích rozhodnutí, tedy včetně tom o vině, což zřejmě nepokládal za racionální. Za vhodnější považoval analogicky rozšířit možnost vést adhezní řízení o nároku na náhradu majetkové škody i o nárok na náhradu nemajetkové újmy. Sám však vyjádřil nejistotu nad schopností správního orgánu o tomto druhu újmy rozhodnout.</w:t>
      </w:r>
      <w:r w:rsidRPr="00284190">
        <w:rPr>
          <w:sz w:val="24"/>
          <w:szCs w:val="24"/>
          <w:vertAlign w:val="superscript"/>
        </w:rPr>
        <w:footnoteReference w:id="292"/>
      </w:r>
      <w:r w:rsidRPr="00284190">
        <w:rPr>
          <w:sz w:val="24"/>
          <w:szCs w:val="24"/>
        </w:rPr>
        <w:t xml:space="preserve"> Mně osobně připadá nejlepší řešení Práškové, s kterým souhlasím. Její neaplikování některých práv formou teleologické redukce pokládám za nejlépe konvenující tehdejší vůli zákonodárce, jakož i smyslu a účelu za</w:t>
      </w:r>
      <w:r w:rsidR="00D62E64" w:rsidRPr="00284190">
        <w:rPr>
          <w:sz w:val="24"/>
          <w:szCs w:val="24"/>
        </w:rPr>
        <w:t xml:space="preserve">kotvení tohoto typu účastníka. </w:t>
      </w:r>
    </w:p>
    <w:p w:rsidR="006A3693" w:rsidRPr="00284190" w:rsidRDefault="006A3693" w:rsidP="005833E8">
      <w:pPr>
        <w:spacing w:line="360" w:lineRule="auto"/>
        <w:ind w:right="567"/>
        <w:jc w:val="both"/>
        <w:rPr>
          <w:sz w:val="24"/>
          <w:szCs w:val="24"/>
        </w:rPr>
      </w:pPr>
    </w:p>
    <w:p w:rsidR="00284190" w:rsidRDefault="005178F6" w:rsidP="005833E8">
      <w:pPr>
        <w:pStyle w:val="Nadpis2"/>
        <w:spacing w:line="360" w:lineRule="auto"/>
      </w:pPr>
      <w:bookmarkStart w:id="79" w:name="_Toc190464521"/>
      <w:bookmarkStart w:id="80" w:name="_Toc190466560"/>
      <w:bookmarkStart w:id="81" w:name="_Toc190468808"/>
      <w:bookmarkStart w:id="82" w:name="_Toc190476393"/>
      <w:r>
        <w:t>5</w:t>
      </w:r>
      <w:r w:rsidR="00284190">
        <w:t>.2. Současnost a budoucnost</w:t>
      </w:r>
      <w:bookmarkEnd w:id="79"/>
      <w:bookmarkEnd w:id="80"/>
      <w:bookmarkEnd w:id="81"/>
      <w:bookmarkEnd w:id="82"/>
    </w:p>
    <w:p w:rsidR="00284190" w:rsidRDefault="00284190" w:rsidP="005833E8">
      <w:pPr>
        <w:spacing w:line="360" w:lineRule="auto"/>
        <w:ind w:right="567"/>
        <w:jc w:val="both"/>
        <w:rPr>
          <w:b/>
          <w:sz w:val="28"/>
          <w:szCs w:val="28"/>
        </w:rPr>
      </w:pPr>
    </w:p>
    <w:p w:rsidR="00260B89" w:rsidRDefault="00B425CE" w:rsidP="005833E8">
      <w:pPr>
        <w:spacing w:line="360" w:lineRule="auto"/>
        <w:ind w:right="567" w:firstLine="720"/>
        <w:jc w:val="both"/>
        <w:rPr>
          <w:sz w:val="24"/>
          <w:szCs w:val="24"/>
        </w:rPr>
      </w:pPr>
      <w:r w:rsidRPr="00284190">
        <w:rPr>
          <w:sz w:val="24"/>
          <w:szCs w:val="24"/>
        </w:rPr>
        <w:t xml:space="preserve">Současný PřesZ toto pojetí osoby nemajetkově poškozené neobsahuje. Důvodová zpráva k němu  uvádí, že: </w:t>
      </w:r>
      <w:r w:rsidRPr="00284190">
        <w:rPr>
          <w:i/>
          <w:sz w:val="24"/>
          <w:szCs w:val="24"/>
        </w:rPr>
        <w:t>“...bude možné uplatnit pouze škodu, nikoliv nemajetkovou újmu, a bezdůvodné obohacení získané spácháním přestupku pachatelem na úkor poškozeného. Přitom lze vycházet z toho, že i v případě škody může být nad možnosti správního orgánu (odborné i kapacitní) rozhodnout o uplatněném nároku. Tím spíše by se tento nedostatek projevoval v případě, že by v adhezním řízení bylo možné rozhodnout i o nemajetkové újmě, neboť toto rozhodování často vyžaduje řešení složitých skutkových a právních otázek.“</w:t>
      </w:r>
      <w:r w:rsidRPr="00284190">
        <w:rPr>
          <w:sz w:val="24"/>
          <w:szCs w:val="24"/>
          <w:vertAlign w:val="superscript"/>
        </w:rPr>
        <w:footnoteReference w:id="293"/>
      </w:r>
    </w:p>
    <w:p w:rsidR="00631789" w:rsidRDefault="00B425CE" w:rsidP="005833E8">
      <w:pPr>
        <w:spacing w:line="360" w:lineRule="auto"/>
        <w:ind w:right="567" w:firstLine="720"/>
        <w:jc w:val="both"/>
        <w:rPr>
          <w:sz w:val="24"/>
          <w:szCs w:val="24"/>
        </w:rPr>
      </w:pPr>
      <w:r w:rsidRPr="00284190">
        <w:rPr>
          <w:sz w:val="24"/>
          <w:szCs w:val="24"/>
        </w:rPr>
        <w:t>Mates vyjádřil myšlenku, která svým způsobem podporuje Strakošův tehdejší pohled</w:t>
      </w:r>
      <w:r w:rsidRPr="00284190">
        <w:rPr>
          <w:sz w:val="24"/>
          <w:szCs w:val="24"/>
          <w:vertAlign w:val="superscript"/>
        </w:rPr>
        <w:footnoteReference w:id="294"/>
      </w:r>
      <w:r w:rsidRPr="00284190">
        <w:rPr>
          <w:sz w:val="24"/>
          <w:szCs w:val="24"/>
        </w:rPr>
        <w:t>, konkrétně zmínil, že:</w:t>
      </w:r>
      <w:r w:rsidRPr="00284190">
        <w:rPr>
          <w:i/>
          <w:sz w:val="24"/>
          <w:szCs w:val="24"/>
        </w:rPr>
        <w:t xml:space="preserve"> “Může být ovšem jen otázkou času, kdy soudy, s odkazem na práva poškozeného v trestním řízení, přiznají oprávnění uplatnit nemateriální újmu v </w:t>
      </w:r>
      <w:r w:rsidRPr="00284190">
        <w:rPr>
          <w:i/>
          <w:sz w:val="24"/>
          <w:szCs w:val="24"/>
        </w:rPr>
        <w:lastRenderedPageBreak/>
        <w:t>řízení o přestupcích.”</w:t>
      </w:r>
      <w:r w:rsidRPr="00284190">
        <w:rPr>
          <w:sz w:val="24"/>
          <w:szCs w:val="24"/>
          <w:vertAlign w:val="superscript"/>
        </w:rPr>
        <w:footnoteReference w:id="295"/>
      </w:r>
      <w:r w:rsidRPr="00284190">
        <w:rPr>
          <w:sz w:val="24"/>
          <w:szCs w:val="24"/>
        </w:rPr>
        <w:t xml:space="preserve"> Podle Práškové Mates mínil analogické rozšíření uplatnitelného nároku v řízení o přestupcích. Sama toto odmítá s tím, že takové rozhodnutí by bylo z nedostatku pravomoci správního orgánu nicotné, neboť se jedná o soukromoprávní nárok.</w:t>
      </w:r>
      <w:r w:rsidRPr="00284190">
        <w:rPr>
          <w:sz w:val="24"/>
          <w:szCs w:val="24"/>
          <w:vertAlign w:val="superscript"/>
        </w:rPr>
        <w:footnoteReference w:id="296"/>
      </w:r>
      <w:r w:rsidRPr="00284190">
        <w:rPr>
          <w:sz w:val="24"/>
          <w:szCs w:val="24"/>
        </w:rPr>
        <w:t xml:space="preserve"> Mám za to, že není splněn ani základní předpoklad pro případné použití analogie, a to předpoklad otevřené mezery v zákoně,</w:t>
      </w:r>
      <w:r w:rsidRPr="00284190">
        <w:rPr>
          <w:sz w:val="24"/>
          <w:szCs w:val="24"/>
          <w:vertAlign w:val="superscript"/>
        </w:rPr>
        <w:footnoteReference w:id="297"/>
      </w:r>
      <w:r w:rsidRPr="00284190">
        <w:rPr>
          <w:sz w:val="24"/>
          <w:szCs w:val="24"/>
        </w:rPr>
        <w:t xml:space="preserve"> kterou by bylo třeba vyplnit analogií. Vede mne k tomu přesvědčení, že smyslem a účelem ustanovení § 70 odst. 1 PřesZ je právě vyhovět rychlosti a efektivnosti průběhu řízení, a to s ohledem na kompetenci správních orgánů, jak to koneckonců zmiňuje citovaná důvodová zpráva</w:t>
      </w:r>
      <w:r w:rsidR="00260B89">
        <w:rPr>
          <w:sz w:val="24"/>
          <w:szCs w:val="24"/>
        </w:rPr>
        <w:t>,</w:t>
      </w:r>
      <w:r w:rsidRPr="00284190">
        <w:rPr>
          <w:sz w:val="24"/>
          <w:szCs w:val="24"/>
          <w:vertAlign w:val="superscript"/>
        </w:rPr>
        <w:footnoteReference w:id="298"/>
      </w:r>
      <w:r w:rsidR="00260B89">
        <w:rPr>
          <w:sz w:val="24"/>
          <w:szCs w:val="24"/>
        </w:rPr>
        <w:t xml:space="preserve"> </w:t>
      </w:r>
      <w:r w:rsidRPr="00284190">
        <w:rPr>
          <w:sz w:val="24"/>
          <w:szCs w:val="24"/>
        </w:rPr>
        <w:t xml:space="preserve">a která zcela jednoznačně vyjadřuje vůli zákonodárce nekonstruovat možnost náhrady nemajetkové újmy v adhezním řízení v přestupkovém řízení. Rychlost a hladký průběh řízení je zde podle mě před možností domáhat se náhrady nemajetkové újmy upřednostněn zcela záměrně. Aplikace </w:t>
      </w:r>
      <w:r w:rsidRPr="00284190">
        <w:rPr>
          <w:i/>
          <w:sz w:val="24"/>
          <w:szCs w:val="24"/>
        </w:rPr>
        <w:t>argumentu a simili</w:t>
      </w:r>
      <w:r w:rsidRPr="00284190">
        <w:rPr>
          <w:sz w:val="24"/>
          <w:szCs w:val="24"/>
          <w:vertAlign w:val="superscript"/>
        </w:rPr>
        <w:footnoteReference w:id="299"/>
      </w:r>
      <w:r w:rsidRPr="00284190">
        <w:rPr>
          <w:sz w:val="24"/>
          <w:szCs w:val="24"/>
        </w:rPr>
        <w:t xml:space="preserve"> zde podle mě není na místě, neboť ustanovení § 43 odst. 3 TŘ, které </w:t>
      </w:r>
      <w:r w:rsidR="00631789">
        <w:rPr>
          <w:sz w:val="24"/>
          <w:szCs w:val="24"/>
        </w:rPr>
        <w:t xml:space="preserve">explicitně </w:t>
      </w:r>
      <w:r w:rsidRPr="00284190">
        <w:rPr>
          <w:sz w:val="24"/>
          <w:szCs w:val="24"/>
        </w:rPr>
        <w:t>umožňuje uplatnit nárok na náhradu nemajetkové újmy, má</w:t>
      </w:r>
      <w:r w:rsidR="00631789">
        <w:rPr>
          <w:sz w:val="24"/>
          <w:szCs w:val="24"/>
        </w:rPr>
        <w:t xml:space="preserve"> zcela zjevně</w:t>
      </w:r>
      <w:r w:rsidRPr="00284190">
        <w:rPr>
          <w:sz w:val="24"/>
          <w:szCs w:val="24"/>
        </w:rPr>
        <w:t xml:space="preserve"> jiné teleologické pozadí </w:t>
      </w:r>
      <w:r w:rsidR="00631789">
        <w:rPr>
          <w:sz w:val="24"/>
          <w:szCs w:val="24"/>
        </w:rPr>
        <w:t xml:space="preserve">zamýšlené zákonodárcem </w:t>
      </w:r>
      <w:r w:rsidRPr="00284190">
        <w:rPr>
          <w:sz w:val="24"/>
          <w:szCs w:val="24"/>
        </w:rPr>
        <w:t xml:space="preserve">než předmětné ustanovení PřesZ. </w:t>
      </w:r>
      <w:r w:rsidRPr="00284190">
        <w:rPr>
          <w:sz w:val="24"/>
          <w:szCs w:val="24"/>
        </w:rPr>
        <w:tab/>
      </w:r>
    </w:p>
    <w:p w:rsidR="00284190" w:rsidRPr="00260B89" w:rsidRDefault="00B425CE" w:rsidP="005833E8">
      <w:pPr>
        <w:spacing w:line="360" w:lineRule="auto"/>
        <w:ind w:right="567" w:firstLine="720"/>
        <w:jc w:val="both"/>
        <w:rPr>
          <w:b/>
          <w:sz w:val="28"/>
          <w:szCs w:val="28"/>
        </w:rPr>
      </w:pPr>
      <w:r w:rsidRPr="00284190">
        <w:rPr>
          <w:sz w:val="24"/>
          <w:szCs w:val="24"/>
        </w:rPr>
        <w:t>Je tedy zřejmé, že současný právní řád nepočítá s uplatňováním nároku na náhradu nemajetkové újmy v řízení o přestupku, ani jinak nezakládá účastenství osoby nemajetkově poškozené. Přirozeně však může vzniknout právně politická debata, zda je to správně, či nikoli. Odborná veřejnost zastává názor, že je soudobá úprava nastavená správně.</w:t>
      </w:r>
      <w:r w:rsidRPr="00284190">
        <w:rPr>
          <w:sz w:val="24"/>
          <w:szCs w:val="24"/>
          <w:vertAlign w:val="superscript"/>
        </w:rPr>
        <w:footnoteReference w:id="300"/>
      </w:r>
      <w:r w:rsidR="00D62E64" w:rsidRPr="00284190">
        <w:rPr>
          <w:sz w:val="24"/>
          <w:szCs w:val="24"/>
        </w:rPr>
        <w:t xml:space="preserve"> </w:t>
      </w:r>
      <w:r w:rsidRPr="00284190">
        <w:rPr>
          <w:sz w:val="24"/>
          <w:szCs w:val="24"/>
        </w:rPr>
        <w:t xml:space="preserve">Hlavní argumenty nastínila již citovaná pasáž důvodové zprávy, tedy zejména složitost posuzování nároků a kapacita správních orgánů. </w:t>
      </w:r>
      <w:r w:rsidRPr="00284190">
        <w:rPr>
          <w:sz w:val="24"/>
          <w:szCs w:val="24"/>
          <w:vertAlign w:val="superscript"/>
        </w:rPr>
        <w:footnoteReference w:id="301"/>
      </w:r>
      <w:r w:rsidRPr="00284190">
        <w:rPr>
          <w:sz w:val="24"/>
          <w:szCs w:val="24"/>
        </w:rPr>
        <w:t xml:space="preserve"> Obecným argumentem proti účasti osoby nemajetkově poškozené je pak limit řízení o deliktu – jeho hlavní účel, tedy rozhodnout o vině a trestu, a to pokud možno rychle.</w:t>
      </w:r>
      <w:r w:rsidRPr="00284190">
        <w:rPr>
          <w:sz w:val="24"/>
          <w:szCs w:val="24"/>
          <w:vertAlign w:val="superscript"/>
        </w:rPr>
        <w:footnoteReference w:id="302"/>
      </w:r>
      <w:r w:rsidRPr="00284190">
        <w:rPr>
          <w:color w:val="00FF00"/>
          <w:sz w:val="24"/>
          <w:szCs w:val="24"/>
        </w:rPr>
        <w:t xml:space="preserve"> </w:t>
      </w:r>
      <w:r w:rsidRPr="00284190">
        <w:rPr>
          <w:sz w:val="24"/>
          <w:szCs w:val="24"/>
        </w:rPr>
        <w:t xml:space="preserve">Zejména v řízení o náhradě nemajetkové újmy lze očekávat složitost právní i skutkovou, která by protahovala celé </w:t>
      </w:r>
      <w:r w:rsidRPr="00284190">
        <w:rPr>
          <w:sz w:val="24"/>
          <w:szCs w:val="24"/>
        </w:rPr>
        <w:lastRenderedPageBreak/>
        <w:t>řízení, což navíc ještě znásobuje požadavek na odůvodnění rozhodnutí.</w:t>
      </w:r>
      <w:r w:rsidRPr="00284190">
        <w:rPr>
          <w:sz w:val="24"/>
          <w:szCs w:val="24"/>
          <w:vertAlign w:val="superscript"/>
        </w:rPr>
        <w:footnoteReference w:id="303"/>
      </w:r>
      <w:r w:rsidRPr="00284190">
        <w:rPr>
          <w:sz w:val="24"/>
          <w:szCs w:val="24"/>
        </w:rPr>
        <w:t xml:space="preserve"> Časové stránce řízení o přestupku by jistě neprospěla ani případná</w:t>
      </w:r>
    </w:p>
    <w:p w:rsidR="00284190" w:rsidRDefault="00B425CE" w:rsidP="005833E8">
      <w:pPr>
        <w:spacing w:line="360" w:lineRule="auto"/>
        <w:ind w:right="567"/>
        <w:jc w:val="both"/>
        <w:rPr>
          <w:sz w:val="24"/>
          <w:szCs w:val="24"/>
        </w:rPr>
      </w:pPr>
      <w:r w:rsidRPr="00284190">
        <w:rPr>
          <w:sz w:val="24"/>
          <w:szCs w:val="24"/>
        </w:rPr>
        <w:t>odvolání těchto poškozených osob, pokud by jejich nárok nebyl uspokojen.</w:t>
      </w:r>
      <w:r w:rsidRPr="00284190">
        <w:rPr>
          <w:sz w:val="24"/>
          <w:szCs w:val="24"/>
          <w:vertAlign w:val="superscript"/>
        </w:rPr>
        <w:footnoteReference w:id="304"/>
      </w:r>
      <w:r w:rsidRPr="00284190">
        <w:rPr>
          <w:sz w:val="24"/>
          <w:szCs w:val="24"/>
        </w:rPr>
        <w:t xml:space="preserve"> Lze namítnout, že správní orgán by měl stále možnost v takovém případě odkázat na civilní soud a mám za to, aniž bych chtěl obviňovat správní orgány z toho, že by si chtěly usnadnit práci, že by se tak dělo často.</w:t>
      </w:r>
      <w:r w:rsidRPr="00284190">
        <w:rPr>
          <w:sz w:val="24"/>
          <w:szCs w:val="24"/>
          <w:vertAlign w:val="superscript"/>
        </w:rPr>
        <w:footnoteReference w:id="305"/>
      </w:r>
      <w:r w:rsidRPr="00284190">
        <w:rPr>
          <w:sz w:val="24"/>
          <w:szCs w:val="24"/>
        </w:rPr>
        <w:t xml:space="preserve"> Souhlasím totiž s tvrzeními, že na správní orgán by byly kladeny vysoké nároky při posuzování nemajetkové újmy. Lze si představit, že může být vcelku snadné rozhodovat o nárocích z bolestného, které se řídí metodikou N</w:t>
      </w:r>
      <w:r w:rsidR="00FF419E">
        <w:rPr>
          <w:sz w:val="24"/>
          <w:szCs w:val="24"/>
        </w:rPr>
        <w:t>S.</w:t>
      </w:r>
      <w:r w:rsidRPr="00284190">
        <w:rPr>
          <w:sz w:val="24"/>
          <w:szCs w:val="24"/>
          <w:vertAlign w:val="superscript"/>
        </w:rPr>
        <w:footnoteReference w:id="306"/>
      </w:r>
      <w:r w:rsidRPr="00284190">
        <w:rPr>
          <w:sz w:val="24"/>
          <w:szCs w:val="24"/>
        </w:rPr>
        <w:t xml:space="preserve"> Otázky ztížení společenského uplatnění již výrazně hůř, jakkoli by šlo v přestupku asi o ojedinělé případy a stejné podle mě platí v případě dalších újem, zásahu do osobnostních práv atd. Dalším důvodem, proč řízení nárokem na nemajetkovou újmu “nezatěžovat”, by pak mohl být fakt, že nemajetková újma často nemá neměnný charakter, ale nežádoucí stav, který osoba pociťuje, se mění v čase, a nemuselo by tedy během řízení dojít k reálnému zadostiučinění.</w:t>
      </w:r>
      <w:r w:rsidRPr="00284190">
        <w:rPr>
          <w:sz w:val="24"/>
          <w:szCs w:val="24"/>
          <w:vertAlign w:val="superscript"/>
        </w:rPr>
        <w:footnoteReference w:id="307"/>
      </w:r>
      <w:r w:rsidRPr="00284190">
        <w:rPr>
          <w:sz w:val="24"/>
          <w:szCs w:val="24"/>
        </w:rPr>
        <w:t xml:space="preserve"> Pokud jde o argument jakési morální satisfakce, podle Visingera by jím mohlo být i samotné odsouzení pachatele, které v sobě zahrnuje společenské odsouzení činu. </w:t>
      </w:r>
      <w:r w:rsidRPr="00284190">
        <w:rPr>
          <w:sz w:val="24"/>
          <w:szCs w:val="24"/>
          <w:vertAlign w:val="superscript"/>
        </w:rPr>
        <w:footnoteReference w:id="308"/>
      </w:r>
    </w:p>
    <w:p w:rsidR="00284190" w:rsidRDefault="00B425CE" w:rsidP="005833E8">
      <w:pPr>
        <w:spacing w:line="360" w:lineRule="auto"/>
        <w:ind w:right="567"/>
        <w:jc w:val="both"/>
        <w:rPr>
          <w:sz w:val="24"/>
          <w:szCs w:val="24"/>
        </w:rPr>
      </w:pPr>
      <w:r w:rsidRPr="00284190">
        <w:rPr>
          <w:sz w:val="24"/>
          <w:szCs w:val="24"/>
        </w:rPr>
        <w:tab/>
        <w:t>Dalším možným přístupem je “návrat” k situaci před nabytím účinnosti současného zákona. Tedy založit nemajetkově poškozené osobě účastenství, ale nikoli s nárokem na náhradu této újmy.  Hepová nabízí i další argumenty pro toto pojetí. Kritizuje to stávající, neboť podle ní nedochází k naplnění závazků České republiky plynoucí ze Směrnice. Zejména kritizuje hodnotovou dysbalanci, kdy současný stav straní osobám, kterým byla způsobena újma na majetku oproti újmě nemajetkové, tedy i té na zdraví. Podle Hepové zákonodárce tímto pojetím upřednostňuje hmotné statky přeÁd nehmotnými.</w:t>
      </w:r>
      <w:r w:rsidRPr="00284190">
        <w:rPr>
          <w:sz w:val="24"/>
          <w:szCs w:val="24"/>
          <w:vertAlign w:val="superscript"/>
        </w:rPr>
        <w:footnoteReference w:id="309"/>
      </w:r>
      <w:r w:rsidRPr="00284190">
        <w:rPr>
          <w:sz w:val="24"/>
          <w:szCs w:val="24"/>
        </w:rPr>
        <w:t xml:space="preserve">  Toto pojetí pak kritizuje i v situaci, kde dojde orgán činný v trestním řízení k závěru, že předmětný </w:t>
      </w:r>
      <w:r w:rsidRPr="00284190">
        <w:rPr>
          <w:sz w:val="24"/>
          <w:szCs w:val="24"/>
        </w:rPr>
        <w:lastRenderedPageBreak/>
        <w:t>skutek nemá být právně posouzen jako trestný čin, ale pouze jako přestupek, a věc je postoupena k přestupkovému řízení dle ustanovení § 222 odst. 2 TŘ. Osoba poškozená nemajetkově pak fakticky ztrácí pozici účastníka a nemůže uplatňovat práva, která ji ještě v trestním řízení náležela, resp. o kterých byla poučena, a zůstává maximálně svědkem.</w:t>
      </w:r>
      <w:r w:rsidRPr="00284190">
        <w:rPr>
          <w:sz w:val="24"/>
          <w:szCs w:val="24"/>
          <w:vertAlign w:val="superscript"/>
        </w:rPr>
        <w:footnoteReference w:id="310"/>
      </w:r>
      <w:r w:rsidRPr="00284190">
        <w:rPr>
          <w:sz w:val="24"/>
          <w:szCs w:val="24"/>
        </w:rPr>
        <w:t xml:space="preserve"> Také zmiňuje nemožnost </w:t>
      </w:r>
      <w:r w:rsidR="00D845BD" w:rsidRPr="00284190">
        <w:rPr>
          <w:sz w:val="24"/>
          <w:szCs w:val="24"/>
        </w:rPr>
        <w:t xml:space="preserve">těchto </w:t>
      </w:r>
      <w:r w:rsidRPr="00284190">
        <w:rPr>
          <w:sz w:val="24"/>
          <w:szCs w:val="24"/>
        </w:rPr>
        <w:t>nahlédnutí do spisu.</w:t>
      </w:r>
      <w:r w:rsidRPr="00284190">
        <w:rPr>
          <w:sz w:val="24"/>
          <w:szCs w:val="24"/>
          <w:vertAlign w:val="superscript"/>
        </w:rPr>
        <w:footnoteReference w:id="311"/>
      </w:r>
      <w:r w:rsidRPr="00284190">
        <w:rPr>
          <w:sz w:val="24"/>
          <w:szCs w:val="24"/>
        </w:rPr>
        <w:t xml:space="preserve"> </w:t>
      </w:r>
    </w:p>
    <w:p w:rsidR="00284190" w:rsidRDefault="00B425CE" w:rsidP="005833E8">
      <w:pPr>
        <w:spacing w:line="360" w:lineRule="auto"/>
        <w:ind w:right="567" w:firstLine="720"/>
        <w:jc w:val="both"/>
        <w:rPr>
          <w:sz w:val="24"/>
          <w:szCs w:val="24"/>
        </w:rPr>
      </w:pPr>
      <w:r w:rsidRPr="00284190">
        <w:rPr>
          <w:sz w:val="24"/>
          <w:szCs w:val="24"/>
        </w:rPr>
        <w:t>Abych vyjádřil (ne)souhlas s tímto konstatování, je třeba ptát se, co by přineslo navrácení se k účastenství osoby nemajetkově poškozené.  Vycházejíc z toho, co bylo dovozeno výše ve vztahu k právnímu postavení osoby nemajetkově poškozené za účinnosti PřesZ 1990, nepožívala by všechna práva, jaká má poškozený, kterému byla způsobena majetková škoda, ale pouze práva některá. Osobně se, jak jsem uvedl výše, kloním k závěru Práškové, tedy že tato osoba by měla práva poškozeného, avšak bez možnosti uplatňovat svůj nárok v adhezním řízení a práva s ním související (např. odvolací právo).</w:t>
      </w:r>
      <w:r w:rsidRPr="00284190">
        <w:rPr>
          <w:sz w:val="24"/>
          <w:szCs w:val="24"/>
          <w:vertAlign w:val="superscript"/>
        </w:rPr>
        <w:footnoteReference w:id="312"/>
      </w:r>
      <w:r w:rsidRPr="00284190">
        <w:rPr>
          <w:sz w:val="24"/>
          <w:szCs w:val="24"/>
        </w:rPr>
        <w:t xml:space="preserve"> Tímto pojetím by tedy došlo k odstranění onoho hodnotového rozporu, který zmiňuje Hepová,</w:t>
      </w:r>
      <w:r w:rsidRPr="00284190">
        <w:rPr>
          <w:sz w:val="24"/>
          <w:szCs w:val="24"/>
          <w:vertAlign w:val="superscript"/>
        </w:rPr>
        <w:footnoteReference w:id="313"/>
      </w:r>
      <w:r w:rsidRPr="00284190">
        <w:rPr>
          <w:sz w:val="24"/>
          <w:szCs w:val="24"/>
        </w:rPr>
        <w:t xml:space="preserve"> dojde k možnosti vzít v potaz stanovisko osoby, její návrhy a vyjádření, bude jí tedy dána možnost “být slyšet”. Zakotvením jejího účastenství také dojde k určité morální satisfakci, protože tato osoba bude i formálně považována za osobu poškozenou.</w:t>
      </w:r>
      <w:r w:rsidRPr="00284190">
        <w:rPr>
          <w:sz w:val="24"/>
          <w:szCs w:val="24"/>
          <w:vertAlign w:val="superscript"/>
        </w:rPr>
        <w:footnoteReference w:id="314"/>
      </w:r>
      <w:r w:rsidRPr="00284190">
        <w:rPr>
          <w:color w:val="00FF00"/>
          <w:sz w:val="24"/>
          <w:szCs w:val="24"/>
        </w:rPr>
        <w:t xml:space="preserve"> </w:t>
      </w:r>
    </w:p>
    <w:p w:rsidR="00284190" w:rsidRPr="00284190" w:rsidRDefault="00B425CE" w:rsidP="005833E8">
      <w:pPr>
        <w:spacing w:line="360" w:lineRule="auto"/>
        <w:ind w:right="567" w:firstLine="720"/>
        <w:jc w:val="both"/>
        <w:rPr>
          <w:sz w:val="24"/>
          <w:szCs w:val="24"/>
        </w:rPr>
      </w:pPr>
      <w:r w:rsidRPr="00284190">
        <w:rPr>
          <w:sz w:val="24"/>
          <w:szCs w:val="24"/>
        </w:rPr>
        <w:t>Současně je však třeba zmínit i nevýhody, které by toto pojetí přineslo. Správní orgán by byl zatížen povinností, které má ve vztahu k poškozeným a účastníkům – vyrozumět další osobu, jak to ukládá § 70 odst. 1 PřesZ</w:t>
      </w:r>
      <w:r w:rsidRPr="00284190">
        <w:rPr>
          <w:sz w:val="24"/>
          <w:szCs w:val="24"/>
          <w:vertAlign w:val="superscript"/>
        </w:rPr>
        <w:footnoteReference w:id="315"/>
      </w:r>
      <w:r w:rsidRPr="00284190">
        <w:rPr>
          <w:sz w:val="24"/>
          <w:szCs w:val="24"/>
        </w:rPr>
        <w:t>, poučovat ji o jejich právech ve smyslu ustanovení § 4 odst. 2 Sř</w:t>
      </w:r>
      <w:r w:rsidRPr="00284190">
        <w:rPr>
          <w:sz w:val="24"/>
          <w:szCs w:val="24"/>
          <w:vertAlign w:val="superscript"/>
        </w:rPr>
        <w:footnoteReference w:id="316"/>
      </w:r>
      <w:r w:rsidRPr="00284190">
        <w:rPr>
          <w:sz w:val="24"/>
          <w:szCs w:val="24"/>
        </w:rPr>
        <w:t xml:space="preserve"> , vypořádat se s jejími návrhy v odůvodněních, jak to zmiňuje Visinger</w:t>
      </w:r>
      <w:r w:rsidRPr="00284190">
        <w:rPr>
          <w:sz w:val="24"/>
          <w:szCs w:val="24"/>
          <w:vertAlign w:val="superscript"/>
        </w:rPr>
        <w:footnoteReference w:id="317"/>
      </w:r>
      <w:r w:rsidR="00631789">
        <w:rPr>
          <w:sz w:val="24"/>
          <w:szCs w:val="24"/>
        </w:rPr>
        <w:t xml:space="preserve">, a </w:t>
      </w:r>
      <w:r w:rsidRPr="00284190">
        <w:rPr>
          <w:sz w:val="24"/>
          <w:szCs w:val="24"/>
        </w:rPr>
        <w:t xml:space="preserve">to by řízení o přestupku nepochybně časově prodloužilo a zkomplikovalo, což jistě není žádoucí, zejména v kontextu zásady rychlosti. Pokud by k tomuto zakotvení “staronového” účastníka došlo, bylo by po mém soudu třeba současně s tím rozšířit účastenství osoby, které byla způsobena majetková škoda (a té, na jejíž úkor se pachatel bezdůvodně obohatil), nad rámec případů, kdy tato osoba uplatňuje nárok na </w:t>
      </w:r>
      <w:r w:rsidRPr="00284190">
        <w:rPr>
          <w:sz w:val="24"/>
          <w:szCs w:val="24"/>
        </w:rPr>
        <w:lastRenderedPageBreak/>
        <w:t>náhradu v přestupkovém řízení. Nedává totiž smysl konstruovat jakéhosi zvláštního poškozeného s procesními právy výše uvedenými, který ale nemá nárok na náhradu této újmy v adhezním řízení, zatímco osoba, které byla způsobena škoda majetková, by tato práva měla pouze v případě, že by tento nárok uplatnila, jinak nikoli. Fakticky by tak došlo opět k hodnotové dysbalanci, jen opačné.</w:t>
      </w:r>
      <w:r w:rsidRPr="00284190">
        <w:rPr>
          <w:color w:val="00FF00"/>
          <w:sz w:val="24"/>
          <w:szCs w:val="24"/>
        </w:rPr>
        <w:t xml:space="preserve"> </w:t>
      </w:r>
      <w:r w:rsidR="00D55337" w:rsidRPr="00D55337">
        <w:rPr>
          <w:sz w:val="24"/>
          <w:szCs w:val="24"/>
        </w:rPr>
        <w:t>Například v případě, kdy zaniká účastenství (majetkově) poškozeného, protože škoda byla nahrzena</w:t>
      </w:r>
      <w:r w:rsidR="00D55337" w:rsidRPr="00D55337">
        <w:rPr>
          <w:rStyle w:val="Znakapoznpodarou"/>
          <w:sz w:val="24"/>
          <w:szCs w:val="24"/>
        </w:rPr>
        <w:footnoteReference w:id="318"/>
      </w:r>
      <w:r w:rsidR="00D55337" w:rsidRPr="00D55337">
        <w:rPr>
          <w:sz w:val="24"/>
          <w:szCs w:val="24"/>
        </w:rPr>
        <w:t xml:space="preserve">. Taková osoba by pak nepožívala žádná další práva účastníka, zatímco účastníkem by byla osoba, která nárok na náhradu nemajetkové újmy nemá, ale paradoxně jiná práva účastníka požívá </w:t>
      </w:r>
      <w:r w:rsidRPr="00284190">
        <w:rPr>
          <w:sz w:val="24"/>
          <w:szCs w:val="24"/>
        </w:rPr>
        <w:t>Jsou k tomu rozumné důvody? Žádné mne nenapadají. Pokud by došlo k tomuto rozšíření, následovala by jakési eroze současného pojetí poškozeného v řízení o přestupku, respektive k jeho značnému rozšíření. Spolu s tím by správnímu orgánu by přibyly další povinnosti.</w:t>
      </w:r>
      <w:r w:rsidR="00284190" w:rsidRPr="00284190">
        <w:rPr>
          <w:sz w:val="24"/>
          <w:szCs w:val="24"/>
        </w:rPr>
        <w:t xml:space="preserve"> </w:t>
      </w:r>
    </w:p>
    <w:p w:rsidR="00284190" w:rsidRPr="00284190" w:rsidRDefault="00B425CE" w:rsidP="005833E8">
      <w:pPr>
        <w:spacing w:line="360" w:lineRule="auto"/>
        <w:ind w:right="567" w:firstLine="720"/>
        <w:jc w:val="both"/>
        <w:rPr>
          <w:sz w:val="24"/>
          <w:szCs w:val="24"/>
        </w:rPr>
      </w:pPr>
      <w:r w:rsidRPr="00284190">
        <w:rPr>
          <w:sz w:val="24"/>
          <w:szCs w:val="24"/>
        </w:rPr>
        <w:t xml:space="preserve">Abych byl upřímný, nemám na tuto problematiku vyhraněný právně-politický názor.  Se zmíněnými argumenty “pro” zakotvení této osoby, vesměs souhlasím. Na druhou stranu, vědom si hlavního účelu řízení o přestupku, konstatuji, že nové pojetí by tento účel nezřídka zkomplikovalo. Osobě tedy zastanu opatrný názor, že než zcela “překopat” současné pojetí poškozeného (příjmeme-li tezi, že by muselo dojít i k rozšíření účastnických práv i osobám majetkově poškozeným, které nárok neuplatňují), pak je lepší stávající stav ponechat. Netvrdím však, že bych pod vlivem dalších pádných argumentů svůj názor nezměnil. </w:t>
      </w:r>
    </w:p>
    <w:p w:rsidR="00D845BD" w:rsidRPr="00C07033" w:rsidRDefault="00B425CE" w:rsidP="005833E8">
      <w:pPr>
        <w:pStyle w:val="Nadpis1"/>
        <w:spacing w:line="360" w:lineRule="auto"/>
      </w:pPr>
      <w:r w:rsidRPr="00D845BD">
        <w:rPr>
          <w:sz w:val="24"/>
          <w:szCs w:val="24"/>
        </w:rPr>
        <w:br/>
      </w:r>
      <w:bookmarkStart w:id="83" w:name="_Toc190464522"/>
      <w:bookmarkStart w:id="84" w:name="_Toc190466561"/>
      <w:bookmarkStart w:id="85" w:name="_Toc190468809"/>
      <w:bookmarkStart w:id="86" w:name="_Toc190476394"/>
      <w:r w:rsidR="005178F6">
        <w:t>6</w:t>
      </w:r>
      <w:r w:rsidRPr="00284190">
        <w:t>. Rozhodování o nároku poškozeného</w:t>
      </w:r>
      <w:bookmarkEnd w:id="83"/>
      <w:bookmarkEnd w:id="84"/>
      <w:bookmarkEnd w:id="85"/>
      <w:bookmarkEnd w:id="86"/>
    </w:p>
    <w:p w:rsidR="00D536D8" w:rsidRPr="00284190" w:rsidRDefault="00D420AB" w:rsidP="005833E8">
      <w:pPr>
        <w:pStyle w:val="Nadpis2"/>
        <w:spacing w:line="360" w:lineRule="auto"/>
        <w:rPr>
          <w:color w:val="FF0000"/>
        </w:rPr>
      </w:pPr>
      <w:bookmarkStart w:id="87" w:name="_Toc190464523"/>
      <w:bookmarkStart w:id="88" w:name="_Toc190466562"/>
      <w:bookmarkStart w:id="89" w:name="_Toc190468810"/>
      <w:bookmarkStart w:id="90" w:name="_Toc190476395"/>
      <w:r>
        <w:t>6.</w:t>
      </w:r>
      <w:r w:rsidR="00B425CE" w:rsidRPr="00284190">
        <w:t>1. Nepřipuštění osoby do adhezního řízení</w:t>
      </w:r>
      <w:bookmarkEnd w:id="87"/>
      <w:bookmarkEnd w:id="88"/>
      <w:bookmarkEnd w:id="89"/>
      <w:bookmarkEnd w:id="90"/>
      <w:r w:rsidR="00B425CE" w:rsidRPr="00284190">
        <w:t xml:space="preserve"> </w:t>
      </w:r>
      <w:r w:rsidR="00284190" w:rsidRPr="00284190">
        <w:rPr>
          <w:color w:val="FF0000"/>
        </w:rPr>
        <w:br/>
      </w:r>
    </w:p>
    <w:p w:rsidR="00D845BD" w:rsidRDefault="00284190" w:rsidP="005833E8">
      <w:pPr>
        <w:spacing w:line="360" w:lineRule="auto"/>
        <w:ind w:right="567" w:firstLine="720"/>
        <w:jc w:val="both"/>
        <w:rPr>
          <w:rFonts w:eastAsia="Aptos"/>
          <w:color w:val="FF0000"/>
          <w:sz w:val="24"/>
          <w:szCs w:val="24"/>
        </w:rPr>
      </w:pPr>
      <w:r w:rsidRPr="00631789">
        <w:rPr>
          <w:rFonts w:eastAsia="Aptos"/>
          <w:sz w:val="24"/>
          <w:szCs w:val="24"/>
        </w:rPr>
        <w:t>Z PřesZ lze identifikovat několik způsobů rozhodnutí o nároku poškozeného. Mezi ně započítám i nepřipuštění poškozeného se svým nárokem do řízení z důvodu, že podle správního orgánu taková osoba není poškozeným, byť se samozřejmě nejedná o rozhodnutí o nároku v pravém slova smyslu</w:t>
      </w:r>
      <w:r w:rsidRPr="00D845BD">
        <w:rPr>
          <w:rFonts w:eastAsia="Aptos"/>
          <w:color w:val="FF0000"/>
          <w:sz w:val="24"/>
          <w:szCs w:val="24"/>
        </w:rPr>
        <w:t xml:space="preserve">. </w:t>
      </w:r>
      <w:r>
        <w:rPr>
          <w:rFonts w:eastAsia="Aptos"/>
          <w:color w:val="FF0000"/>
          <w:sz w:val="24"/>
          <w:szCs w:val="24"/>
        </w:rPr>
        <w:t xml:space="preserve"> </w:t>
      </w:r>
      <w:r w:rsidR="00B425CE" w:rsidRPr="00D845BD">
        <w:rPr>
          <w:rFonts w:eastAsia="Aptos"/>
          <w:sz w:val="24"/>
          <w:szCs w:val="24"/>
        </w:rPr>
        <w:t xml:space="preserve">Jako první rozhodnutí (bráno v širším slova </w:t>
      </w:r>
      <w:r w:rsidR="00B425CE" w:rsidRPr="00D845BD">
        <w:rPr>
          <w:rFonts w:eastAsia="Aptos"/>
          <w:sz w:val="24"/>
          <w:szCs w:val="24"/>
        </w:rPr>
        <w:lastRenderedPageBreak/>
        <w:t>smyslu), které může v souvislosti s pokusem osoby</w:t>
      </w:r>
      <w:r w:rsidR="00B425CE" w:rsidRPr="00D845BD">
        <w:rPr>
          <w:rFonts w:eastAsia="Aptos"/>
          <w:sz w:val="24"/>
          <w:szCs w:val="24"/>
          <w:vertAlign w:val="superscript"/>
        </w:rPr>
        <w:footnoteReference w:id="319"/>
      </w:r>
      <w:r w:rsidR="00B425CE" w:rsidRPr="00D845BD">
        <w:rPr>
          <w:rFonts w:eastAsia="Aptos"/>
          <w:sz w:val="24"/>
          <w:szCs w:val="24"/>
        </w:rPr>
        <w:t xml:space="preserve"> uplatnit nárok správní orgán učinit, je jeho nepřipuštění do adhezního řízení, neboť podle správního orgánu takové osobě </w:t>
      </w:r>
      <w:r w:rsidR="00B425CE" w:rsidRPr="00D845BD">
        <w:rPr>
          <w:rFonts w:eastAsia="Aptos"/>
          <w:i/>
          <w:sz w:val="24"/>
          <w:szCs w:val="24"/>
        </w:rPr>
        <w:t xml:space="preserve">zjevně nepřísluší </w:t>
      </w:r>
      <w:r w:rsidR="00B425CE" w:rsidRPr="00D845BD">
        <w:rPr>
          <w:rFonts w:eastAsia="Aptos"/>
          <w:sz w:val="24"/>
          <w:szCs w:val="24"/>
        </w:rPr>
        <w:t>být v postavení poškozeného.</w:t>
      </w:r>
      <w:r w:rsidR="00B425CE" w:rsidRPr="00D845BD">
        <w:rPr>
          <w:rFonts w:eastAsia="Aptos"/>
          <w:sz w:val="24"/>
          <w:szCs w:val="24"/>
          <w:vertAlign w:val="superscript"/>
        </w:rPr>
        <w:footnoteReference w:id="320"/>
      </w:r>
      <w:r w:rsidR="00B425CE" w:rsidRPr="00D845BD">
        <w:rPr>
          <w:rFonts w:eastAsia="Aptos"/>
          <w:sz w:val="24"/>
          <w:szCs w:val="24"/>
        </w:rPr>
        <w:t xml:space="preserve"> Osoba může uplatňovat nárok, třeba i v dobré víře, že jí přísluší a stejně tak z důvodů “škodolibých”, např. snahou zkomplikovat řízení.</w:t>
      </w:r>
      <w:r w:rsidR="00B425CE" w:rsidRPr="00D845BD">
        <w:rPr>
          <w:rFonts w:eastAsia="Aptos"/>
          <w:sz w:val="24"/>
          <w:szCs w:val="24"/>
          <w:vertAlign w:val="superscript"/>
        </w:rPr>
        <w:footnoteReference w:id="321"/>
      </w:r>
      <w:r w:rsidR="00B425CE" w:rsidRPr="00D845BD">
        <w:rPr>
          <w:rFonts w:eastAsia="Aptos"/>
          <w:sz w:val="24"/>
          <w:szCs w:val="24"/>
        </w:rPr>
        <w:t xml:space="preserve"> Souhlasím s názorem Práškové, že v případech zjevných může správní orgán neformálně sdělit, že tato osoba účastníkem není.</w:t>
      </w:r>
      <w:r w:rsidR="00B425CE" w:rsidRPr="00D845BD">
        <w:rPr>
          <w:rFonts w:eastAsia="Aptos"/>
          <w:sz w:val="24"/>
          <w:szCs w:val="24"/>
          <w:vertAlign w:val="superscript"/>
        </w:rPr>
        <w:footnoteReference w:id="322"/>
      </w:r>
      <w:r w:rsidR="00B425CE" w:rsidRPr="00D845BD">
        <w:rPr>
          <w:rFonts w:eastAsia="Aptos"/>
          <w:sz w:val="24"/>
          <w:szCs w:val="24"/>
        </w:rPr>
        <w:t xml:space="preserve"> Pakliže jsou o jejím účastenství pochybnosti, lze postupovat podle ustanovení § 28 SŘ. Tato osoba tedy bude mít pozici tvrzeného účastníka a správní orgán, veden povinností určovat okruh účastníků řízení, pak rozhodne deklaratorně o tom, zda účastníkem je, či není.  Do té doby této osobě náleží práva účastníka.</w:t>
      </w:r>
      <w:r w:rsidR="00B425CE" w:rsidRPr="00D845BD">
        <w:rPr>
          <w:rFonts w:eastAsia="Aptos"/>
          <w:sz w:val="24"/>
          <w:szCs w:val="24"/>
          <w:vertAlign w:val="superscript"/>
        </w:rPr>
        <w:footnoteReference w:id="323"/>
      </w:r>
      <w:r w:rsidR="00B425CE" w:rsidRPr="00D845BD">
        <w:rPr>
          <w:rFonts w:eastAsia="Aptos"/>
          <w:sz w:val="24"/>
          <w:szCs w:val="24"/>
        </w:rPr>
        <w:t xml:space="preserve"> SŘ zde dává správnímu orgánu “do rukou” nástroj, kterým může efektivně řešit případné pochybnosti o postavení účastníka, který např. neprokázal žádné skutečnosti</w:t>
      </w:r>
      <w:r w:rsidR="00B425CE" w:rsidRPr="00D845BD">
        <w:rPr>
          <w:rFonts w:eastAsia="Aptos"/>
          <w:color w:val="00FF00"/>
          <w:sz w:val="24"/>
          <w:szCs w:val="24"/>
        </w:rPr>
        <w:t xml:space="preserve"> </w:t>
      </w:r>
      <w:r w:rsidR="00B425CE" w:rsidRPr="00D845BD">
        <w:rPr>
          <w:rFonts w:eastAsia="Aptos"/>
          <w:sz w:val="24"/>
          <w:szCs w:val="24"/>
        </w:rPr>
        <w:t>zakládající důvodnost účastenství, přičemž z dosavadního průběhu řízení o této osobě není nic známo, a je tedy na místě účastenství takové osoby postupem podle tohoto ustanovení včas vyjasnit, nikoli tedy až v případném rozhodnutí ve věci samé.</w:t>
      </w:r>
      <w:r w:rsidR="00B425CE" w:rsidRPr="00D845BD">
        <w:rPr>
          <w:rFonts w:eastAsia="Aptos"/>
          <w:sz w:val="24"/>
          <w:szCs w:val="24"/>
          <w:vertAlign w:val="superscript"/>
        </w:rPr>
        <w:footnoteReference w:id="324"/>
      </w:r>
      <w:r w:rsidR="00B425CE" w:rsidRPr="00D845BD">
        <w:rPr>
          <w:rFonts w:eastAsia="Aptos"/>
          <w:sz w:val="24"/>
          <w:szCs w:val="24"/>
        </w:rPr>
        <w:t xml:space="preserve"> V trestním řízení je řešení v důsledku podobné, ačkoli zde neexistuje žádný institut tvrzeného účastenství, jak jej zná SŘ. Pakliže pochybnosti o tom, že poškozenému právo (či všechna práva) nenáleží, nejsou, soud poškozeného k hlavnímu líčení nepřipustí, a za tímto účelem vydá usnesení. Pokud pochybnosti existují, pak osoba připuštěna do hlavního líčení bude.</w:t>
      </w:r>
      <w:r w:rsidR="00B425CE" w:rsidRPr="00D845BD">
        <w:rPr>
          <w:rFonts w:eastAsia="Aptos"/>
          <w:sz w:val="24"/>
          <w:szCs w:val="24"/>
          <w:vertAlign w:val="superscript"/>
        </w:rPr>
        <w:footnoteReference w:id="325"/>
      </w:r>
      <w:r w:rsidR="00B425CE" w:rsidRPr="00D845BD">
        <w:rPr>
          <w:rFonts w:eastAsia="Aptos"/>
          <w:color w:val="FF0000"/>
          <w:sz w:val="24"/>
          <w:szCs w:val="24"/>
        </w:rPr>
        <w:t xml:space="preserve"> </w:t>
      </w:r>
    </w:p>
    <w:p w:rsidR="00D845BD" w:rsidRPr="005178F6" w:rsidRDefault="00B425CE" w:rsidP="005833E8">
      <w:pPr>
        <w:pStyle w:val="Nadpis2"/>
        <w:spacing w:line="360" w:lineRule="auto"/>
      </w:pPr>
      <w:r w:rsidRPr="00D845BD">
        <w:rPr>
          <w:color w:val="FF0000"/>
          <w:sz w:val="24"/>
          <w:szCs w:val="24"/>
        </w:rPr>
        <w:br/>
      </w:r>
      <w:bookmarkStart w:id="91" w:name="_Toc190464524"/>
      <w:bookmarkStart w:id="92" w:name="_Toc190466563"/>
      <w:bookmarkStart w:id="93" w:name="_Toc190468811"/>
      <w:bookmarkStart w:id="94" w:name="_Toc190476396"/>
      <w:r w:rsidR="005178F6">
        <w:t>6</w:t>
      </w:r>
      <w:r w:rsidRPr="005178F6">
        <w:t>.2. Přiznání nároku na náhradu újmy poškozenému</w:t>
      </w:r>
      <w:bookmarkEnd w:id="91"/>
      <w:bookmarkEnd w:id="92"/>
      <w:bookmarkEnd w:id="93"/>
      <w:bookmarkEnd w:id="94"/>
    </w:p>
    <w:p w:rsidR="00284190" w:rsidRPr="00631789" w:rsidRDefault="00284190" w:rsidP="005833E8">
      <w:pPr>
        <w:spacing w:line="360" w:lineRule="auto"/>
        <w:ind w:right="567"/>
        <w:jc w:val="both"/>
        <w:rPr>
          <w:rFonts w:eastAsia="Aptos"/>
          <w:sz w:val="24"/>
          <w:szCs w:val="24"/>
        </w:rPr>
      </w:pPr>
    </w:p>
    <w:p w:rsidR="00284190" w:rsidRDefault="00B425CE" w:rsidP="005833E8">
      <w:pPr>
        <w:spacing w:line="360" w:lineRule="auto"/>
        <w:ind w:right="567" w:firstLine="720"/>
        <w:jc w:val="both"/>
        <w:rPr>
          <w:rFonts w:eastAsia="Aptos"/>
          <w:sz w:val="24"/>
          <w:szCs w:val="24"/>
        </w:rPr>
      </w:pPr>
      <w:r w:rsidRPr="00631789">
        <w:rPr>
          <w:rFonts w:eastAsia="Aptos"/>
          <w:sz w:val="24"/>
          <w:szCs w:val="24"/>
        </w:rPr>
        <w:t xml:space="preserve">Kýženou variantou rozhodnutí je z pohledu poškozeného plné přiznání jeho požadovaného nároku na náhradu škody, nebo vydání bezdůvodného obohacení. </w:t>
      </w:r>
      <w:r w:rsidRPr="00D845BD">
        <w:rPr>
          <w:rFonts w:eastAsia="Aptos"/>
          <w:sz w:val="24"/>
          <w:szCs w:val="24"/>
        </w:rPr>
        <w:t>Toto je v přestupkovém řízení možné pouze za předpokladu, že obviněný byl uznán vinným.</w:t>
      </w:r>
      <w:r w:rsidRPr="00D845BD">
        <w:rPr>
          <w:rFonts w:eastAsia="Aptos"/>
          <w:sz w:val="24"/>
          <w:szCs w:val="24"/>
          <w:vertAlign w:val="superscript"/>
        </w:rPr>
        <w:footnoteReference w:id="326"/>
      </w:r>
      <w:r w:rsidRPr="00D845BD">
        <w:rPr>
          <w:rFonts w:eastAsia="Aptos"/>
          <w:sz w:val="24"/>
          <w:szCs w:val="24"/>
        </w:rPr>
        <w:t xml:space="preserve"> </w:t>
      </w:r>
      <w:r w:rsidRPr="00D845BD">
        <w:rPr>
          <w:rFonts w:eastAsia="Aptos"/>
          <w:sz w:val="24"/>
          <w:szCs w:val="24"/>
        </w:rPr>
        <w:lastRenderedPageBreak/>
        <w:t>Pro účely adhezního řízení je relevantní pouze rozhodnutí v nezkráceném řízením, neboť v příkazním řízení rozhodnout o nároku poškozeného nelze.</w:t>
      </w:r>
      <w:r w:rsidRPr="00D845BD">
        <w:rPr>
          <w:rFonts w:eastAsia="Aptos"/>
          <w:sz w:val="24"/>
          <w:szCs w:val="24"/>
          <w:vertAlign w:val="superscript"/>
        </w:rPr>
        <w:footnoteReference w:id="327"/>
      </w:r>
    </w:p>
    <w:p w:rsidR="00284190" w:rsidRDefault="00B425CE" w:rsidP="005833E8">
      <w:pPr>
        <w:spacing w:line="360" w:lineRule="auto"/>
        <w:ind w:right="567" w:firstLine="720"/>
        <w:jc w:val="both"/>
        <w:rPr>
          <w:rFonts w:eastAsia="Aptos"/>
          <w:sz w:val="24"/>
          <w:szCs w:val="24"/>
        </w:rPr>
      </w:pPr>
      <w:r w:rsidRPr="00D845BD">
        <w:rPr>
          <w:rFonts w:eastAsia="Aptos"/>
          <w:sz w:val="24"/>
          <w:szCs w:val="24"/>
        </w:rPr>
        <w:t>Aby bylo možné přiznat nárok, je zapotřebí, aby byly splněny veškeré předpoklady. Těmi jsou uznání obviněného vinným, příčinná souvislost mezi spáchaným přestupkem a vznikem újmy, hmotněprávní podklad,  dostatečné zjištění důvodu a výše nároku, neexistence překážek, které by tomuto bránily a samozřejmě existence řádně a včas uplatněného nároku.</w:t>
      </w:r>
      <w:r w:rsidRPr="00D845BD">
        <w:rPr>
          <w:rFonts w:eastAsia="Aptos"/>
          <w:sz w:val="24"/>
          <w:szCs w:val="24"/>
          <w:vertAlign w:val="superscript"/>
        </w:rPr>
        <w:footnoteReference w:id="328"/>
      </w:r>
      <w:r w:rsidRPr="00D845BD">
        <w:rPr>
          <w:rFonts w:eastAsia="Aptos"/>
          <w:sz w:val="24"/>
          <w:szCs w:val="24"/>
        </w:rPr>
        <w:t xml:space="preserve"> Dospěje-li správní orgán k závěru, že je dána odpovědnost obviněného za spáchání přestupku, rozhodne o vině obviněného.</w:t>
      </w:r>
      <w:r w:rsidRPr="00D845BD">
        <w:rPr>
          <w:rFonts w:eastAsia="Aptos"/>
          <w:sz w:val="24"/>
          <w:szCs w:val="24"/>
          <w:vertAlign w:val="superscript"/>
        </w:rPr>
        <w:footnoteReference w:id="329"/>
      </w:r>
      <w:r w:rsidRPr="00D845BD">
        <w:rPr>
          <w:rFonts w:eastAsia="Aptos"/>
          <w:sz w:val="24"/>
          <w:szCs w:val="24"/>
        </w:rPr>
        <w:tab/>
      </w:r>
      <w:r w:rsidRPr="00D845BD">
        <w:rPr>
          <w:rFonts w:eastAsia="Aptos"/>
          <w:sz w:val="24"/>
          <w:szCs w:val="24"/>
        </w:rPr>
        <w:tab/>
      </w:r>
      <w:r w:rsidRPr="00D845BD">
        <w:rPr>
          <w:rFonts w:eastAsia="Aptos"/>
          <w:sz w:val="24"/>
          <w:szCs w:val="24"/>
        </w:rPr>
        <w:tab/>
        <w:t xml:space="preserve">    </w:t>
      </w:r>
    </w:p>
    <w:p w:rsidR="00284190" w:rsidRDefault="00B425CE" w:rsidP="005833E8">
      <w:pPr>
        <w:spacing w:line="360" w:lineRule="auto"/>
        <w:ind w:right="567" w:firstLine="720"/>
        <w:jc w:val="both"/>
        <w:rPr>
          <w:rFonts w:eastAsia="Aptos"/>
          <w:sz w:val="24"/>
          <w:szCs w:val="24"/>
        </w:rPr>
      </w:pPr>
      <w:r w:rsidRPr="00D845BD">
        <w:rPr>
          <w:rFonts w:eastAsia="Aptos"/>
          <w:sz w:val="24"/>
          <w:szCs w:val="24"/>
        </w:rPr>
        <w:t xml:space="preserve">Překážky mohou být různé povahy. Vzhledem k tomu, že ustanovení § 89 odst. 1 PřesZ stanoví, že </w:t>
      </w:r>
      <w:r w:rsidRPr="00D845BD">
        <w:rPr>
          <w:rFonts w:eastAsia="Aptos"/>
          <w:i/>
          <w:sz w:val="24"/>
          <w:szCs w:val="24"/>
        </w:rPr>
        <w:t xml:space="preserve">“správní orgán působí na obviněného, aby dobrovolně nahradil škodu způsobenou spácháním přestupku nebo vydal bezdůvodné obohacení získané na úkor poškozeného spácháním přestupku, pokud takový nárok poškozený uplatnil v řízení o přestupku nebo předcházejícím trestním řízení.” </w:t>
      </w:r>
      <w:r w:rsidRPr="00631789">
        <w:rPr>
          <w:rFonts w:eastAsia="Aptos"/>
          <w:sz w:val="24"/>
          <w:szCs w:val="24"/>
        </w:rPr>
        <w:t>Toto ustanovení je napsáno poněkud zvláštně, protože na první pohled nekoresponduje se zásadou presumpce neviny, tedy, že na obviněného se hledí jako na nevinného, není - li pravomocným rozhodnutím vyslovena vina.</w:t>
      </w:r>
      <w:r w:rsidRPr="00631789">
        <w:rPr>
          <w:rFonts w:eastAsia="Aptos"/>
          <w:sz w:val="24"/>
          <w:szCs w:val="24"/>
          <w:vertAlign w:val="superscript"/>
        </w:rPr>
        <w:footnoteReference w:id="330"/>
      </w:r>
      <w:r w:rsidRPr="00631789">
        <w:rPr>
          <w:rFonts w:eastAsia="Aptos"/>
          <w:sz w:val="24"/>
          <w:szCs w:val="24"/>
        </w:rPr>
        <w:t xml:space="preserve"> Svoje opodstatnění nejspíše najde v případech, kdy se skutkový stav jeví vcelku jasně prokázaný a vše nasvědčuje tomu, že obviněný bude uznán vinným a svoji vinu nepopírá</w:t>
      </w:r>
      <w:r w:rsidRPr="00D845BD">
        <w:rPr>
          <w:rFonts w:eastAsia="Aptos"/>
          <w:color w:val="FF0000"/>
          <w:sz w:val="24"/>
          <w:szCs w:val="24"/>
        </w:rPr>
        <w:t>.</w:t>
      </w:r>
      <w:r w:rsidRPr="00D845BD">
        <w:rPr>
          <w:rFonts w:eastAsia="Aptos"/>
          <w:sz w:val="24"/>
          <w:szCs w:val="24"/>
        </w:rPr>
        <w:t xml:space="preserve"> Tato povinnost správního orgánu je pak jakýmsi apelem, aby tak obviněný napravil škodní stav,</w:t>
      </w:r>
      <w:r w:rsidRPr="00D845BD">
        <w:rPr>
          <w:rFonts w:eastAsia="Aptos"/>
          <w:sz w:val="24"/>
          <w:szCs w:val="24"/>
          <w:vertAlign w:val="superscript"/>
        </w:rPr>
        <w:footnoteReference w:id="331"/>
      </w:r>
      <w:r w:rsidRPr="00D845BD">
        <w:rPr>
          <w:rFonts w:eastAsia="Aptos"/>
          <w:sz w:val="24"/>
          <w:szCs w:val="24"/>
        </w:rPr>
        <w:t xml:space="preserve"> přičemž se jeho případné splnění či nesplnění se může odrazit v následné výměře či druhu sankce.</w:t>
      </w:r>
      <w:r w:rsidRPr="00D845BD">
        <w:rPr>
          <w:rFonts w:eastAsia="Aptos"/>
          <w:sz w:val="24"/>
          <w:szCs w:val="24"/>
          <w:vertAlign w:val="superscript"/>
        </w:rPr>
        <w:footnoteReference w:id="332"/>
      </w:r>
      <w:r w:rsidRPr="00D845BD">
        <w:rPr>
          <w:rFonts w:eastAsia="Aptos"/>
          <w:sz w:val="24"/>
          <w:szCs w:val="24"/>
        </w:rPr>
        <w:t xml:space="preserve"> Pokud je újma nahrazena, pak o ní již správní orgán nerozhoduje a vyrozumí o tom poškozeného,</w:t>
      </w:r>
      <w:r w:rsidRPr="00D845BD">
        <w:rPr>
          <w:rFonts w:eastAsia="Aptos"/>
          <w:sz w:val="24"/>
          <w:szCs w:val="24"/>
          <w:vertAlign w:val="superscript"/>
        </w:rPr>
        <w:footnoteReference w:id="333"/>
      </w:r>
      <w:r w:rsidRPr="00D845BD">
        <w:rPr>
          <w:rFonts w:eastAsia="Aptos"/>
          <w:sz w:val="24"/>
          <w:szCs w:val="24"/>
        </w:rPr>
        <w:t xml:space="preserve"> přičemž toto vyrozumění má povahu sdělení podle § 154 SŘ.</w:t>
      </w:r>
      <w:r w:rsidRPr="00D845BD">
        <w:rPr>
          <w:rFonts w:eastAsia="Aptos"/>
          <w:sz w:val="24"/>
          <w:szCs w:val="24"/>
          <w:vertAlign w:val="superscript"/>
        </w:rPr>
        <w:footnoteReference w:id="334"/>
      </w:r>
      <w:r w:rsidR="00284190" w:rsidRPr="00D845BD">
        <w:rPr>
          <w:rFonts w:eastAsia="Aptos"/>
          <w:sz w:val="24"/>
          <w:szCs w:val="24"/>
        </w:rPr>
        <w:t xml:space="preserve"> </w:t>
      </w:r>
      <w:r w:rsidRPr="00D845BD">
        <w:rPr>
          <w:rFonts w:eastAsia="Aptos"/>
          <w:sz w:val="24"/>
          <w:szCs w:val="24"/>
        </w:rPr>
        <w:t>Aby nedošlo k jiné překážce v možnosti správního orgánu přiznat nárok, poškozený nesmí vzít v průběhu řízení svůj nárok zpět (tímto ztrácí procesní postavení)</w:t>
      </w:r>
      <w:r w:rsidRPr="00D845BD">
        <w:rPr>
          <w:rFonts w:eastAsia="Aptos"/>
          <w:sz w:val="24"/>
          <w:szCs w:val="24"/>
          <w:vertAlign w:val="superscript"/>
        </w:rPr>
        <w:footnoteReference w:id="335"/>
      </w:r>
      <w:r w:rsidRPr="00D845BD">
        <w:rPr>
          <w:rFonts w:eastAsia="Aptos"/>
          <w:sz w:val="24"/>
          <w:szCs w:val="24"/>
        </w:rPr>
        <w:t xml:space="preserve"> </w:t>
      </w:r>
      <w:r w:rsidR="00284190">
        <w:rPr>
          <w:rFonts w:eastAsia="Aptos"/>
          <w:sz w:val="24"/>
          <w:szCs w:val="24"/>
        </w:rPr>
        <w:t xml:space="preserve">Správní </w:t>
      </w:r>
      <w:r w:rsidRPr="00D845BD">
        <w:rPr>
          <w:rFonts w:eastAsia="Aptos"/>
          <w:sz w:val="24"/>
          <w:szCs w:val="24"/>
        </w:rPr>
        <w:t>orgán o nároku nerozhoduje</w:t>
      </w:r>
      <w:r w:rsidR="00284190">
        <w:rPr>
          <w:rFonts w:eastAsia="Aptos"/>
          <w:sz w:val="24"/>
          <w:szCs w:val="24"/>
        </w:rPr>
        <w:t xml:space="preserve"> a</w:t>
      </w:r>
      <w:r w:rsidRPr="00D845BD">
        <w:rPr>
          <w:rFonts w:eastAsia="Aptos"/>
          <w:sz w:val="24"/>
          <w:szCs w:val="24"/>
        </w:rPr>
        <w:t xml:space="preserve"> skutečnost pouze zmíní v odůvodnění </w:t>
      </w:r>
      <w:r w:rsidRPr="00D845BD">
        <w:rPr>
          <w:rFonts w:eastAsia="Aptos"/>
          <w:sz w:val="24"/>
          <w:szCs w:val="24"/>
        </w:rPr>
        <w:lastRenderedPageBreak/>
        <w:t>rozhodnutí.</w:t>
      </w:r>
      <w:r w:rsidRPr="00D845BD">
        <w:rPr>
          <w:rFonts w:eastAsia="Aptos"/>
          <w:sz w:val="24"/>
          <w:szCs w:val="24"/>
          <w:vertAlign w:val="superscript"/>
        </w:rPr>
        <w:footnoteReference w:id="336"/>
      </w:r>
      <w:r w:rsidRPr="00D845BD">
        <w:rPr>
          <w:rFonts w:eastAsia="Aptos"/>
          <w:sz w:val="24"/>
          <w:szCs w:val="24"/>
        </w:rPr>
        <w:t xml:space="preserve"> Vzít svůj nárok zpět je jedním z práv poškozeného, které sice není zmíněno v PřesZ, nicméně vyplývá ze zásady dispoziční.</w:t>
      </w:r>
      <w:r w:rsidRPr="00D845BD">
        <w:rPr>
          <w:rFonts w:eastAsia="Aptos"/>
          <w:sz w:val="24"/>
          <w:szCs w:val="24"/>
          <w:vertAlign w:val="superscript"/>
        </w:rPr>
        <w:footnoteReference w:id="337"/>
      </w:r>
    </w:p>
    <w:p w:rsidR="005178F6" w:rsidRDefault="00B425CE" w:rsidP="005833E8">
      <w:pPr>
        <w:spacing w:line="360" w:lineRule="auto"/>
        <w:ind w:right="567" w:firstLine="720"/>
        <w:jc w:val="both"/>
        <w:rPr>
          <w:rFonts w:eastAsia="Aptos"/>
          <w:sz w:val="24"/>
          <w:szCs w:val="24"/>
        </w:rPr>
      </w:pPr>
      <w:r w:rsidRPr="00D845BD">
        <w:rPr>
          <w:rFonts w:eastAsia="Aptos"/>
          <w:sz w:val="24"/>
          <w:szCs w:val="24"/>
        </w:rPr>
        <w:t xml:space="preserve">Škoda, její důvod, výše a příčinná souvislost musí být zjištěna </w:t>
      </w:r>
      <w:r w:rsidRPr="00D845BD">
        <w:rPr>
          <w:rFonts w:eastAsia="Aptos"/>
          <w:i/>
          <w:sz w:val="24"/>
          <w:szCs w:val="24"/>
        </w:rPr>
        <w:t>spolehlivě.</w:t>
      </w:r>
      <w:r w:rsidRPr="00D845BD">
        <w:rPr>
          <w:rFonts w:eastAsia="Aptos"/>
          <w:i/>
          <w:sz w:val="24"/>
          <w:szCs w:val="24"/>
          <w:vertAlign w:val="superscript"/>
        </w:rPr>
        <w:footnoteReference w:id="338"/>
      </w:r>
      <w:r w:rsidRPr="00D845BD">
        <w:rPr>
          <w:rFonts w:eastAsia="Aptos"/>
          <w:sz w:val="24"/>
          <w:szCs w:val="24"/>
        </w:rPr>
        <w:t xml:space="preserve"> Překážkou pro přiznání nároku je situace, kdy by bylo nutné škodu, její vznik, důvod či příčinnou souvislost se spácháním skutku dlouze a složitě dokazovat.</w:t>
      </w:r>
      <w:r w:rsidRPr="00D845BD">
        <w:rPr>
          <w:rFonts w:eastAsia="Aptos"/>
          <w:sz w:val="24"/>
          <w:szCs w:val="24"/>
          <w:vertAlign w:val="superscript"/>
        </w:rPr>
        <w:footnoteReference w:id="339"/>
      </w:r>
      <w:r w:rsidRPr="00D845BD">
        <w:rPr>
          <w:rFonts w:eastAsia="Aptos"/>
          <w:sz w:val="24"/>
          <w:szCs w:val="24"/>
        </w:rPr>
        <w:t xml:space="preserve"> Zde se projevuje hlavní limit pro vedení adhezního řízení v řízení o přestupku. Jeho hlavní účel je rozhodnutí </w:t>
      </w:r>
      <w:r w:rsidRPr="00631789">
        <w:rPr>
          <w:rFonts w:eastAsia="Aptos"/>
          <w:sz w:val="24"/>
          <w:szCs w:val="24"/>
        </w:rPr>
        <w:t>o vině a případném trestu. V tomto pojetí nemá řízení o náhradě újmy “zdržovat” řízení o vině.</w:t>
      </w:r>
      <w:r w:rsidRPr="00631789">
        <w:rPr>
          <w:rFonts w:eastAsia="Aptos"/>
          <w:sz w:val="24"/>
          <w:szCs w:val="24"/>
          <w:vertAlign w:val="superscript"/>
        </w:rPr>
        <w:footnoteReference w:id="340"/>
      </w:r>
      <w:r w:rsidRPr="00631789">
        <w:rPr>
          <w:rFonts w:eastAsia="Aptos"/>
          <w:sz w:val="24"/>
          <w:szCs w:val="24"/>
        </w:rPr>
        <w:t xml:space="preserve"> Tato hranice samozřejmě není v praxi ostrá a často může být sporné, zda by řízení o náhradě škody zatížilo a zdrželo opravdu neúměrně celé řízení o deliktu. Soud (a mám za to, že to samé se může a má aplikovat na správní orgán v řízení o přestupku) </w:t>
      </w:r>
      <w:r w:rsidRPr="00D845BD">
        <w:rPr>
          <w:rFonts w:eastAsia="Aptos"/>
          <w:sz w:val="24"/>
          <w:szCs w:val="24"/>
        </w:rPr>
        <w:t xml:space="preserve">by měl učinit maximum pro to, aby o nároku poškozeného rozhodl a nesnažil se usnadnit si práci tím, že bude poškozeného odkazovat do civilního řízení. Tohle plyne z relativně nového rozhodnutí </w:t>
      </w:r>
      <w:r w:rsidR="00631789">
        <w:rPr>
          <w:rFonts w:eastAsia="Aptos"/>
          <w:sz w:val="24"/>
          <w:szCs w:val="24"/>
        </w:rPr>
        <w:t>Ú</w:t>
      </w:r>
      <w:r w:rsidRPr="00D845BD">
        <w:rPr>
          <w:rFonts w:eastAsia="Aptos"/>
          <w:sz w:val="24"/>
          <w:szCs w:val="24"/>
        </w:rPr>
        <w:t>stavního soudu z června roku 2024, kde konkrétně soud konstatuje: “</w:t>
      </w:r>
      <w:r w:rsidRPr="00D845BD">
        <w:rPr>
          <w:sz w:val="24"/>
          <w:szCs w:val="24"/>
          <w:highlight w:val="white"/>
        </w:rPr>
        <w:t>Je porušením práva na soudní ochranu podle čl. 36 odst. 1 Listiny základních práv a svobod, odkáže-li trestní soud poškozeného s nárokem na náhradu škody na řízení ve věcech občanskoprávních, byť ke stanovení výše náhrady škody není třeba provádět další dokazování, jež by podstatně protáhlo trestní řízení”</w:t>
      </w:r>
      <w:r w:rsidRPr="00D845BD">
        <w:rPr>
          <w:sz w:val="24"/>
          <w:szCs w:val="24"/>
          <w:highlight w:val="white"/>
          <w:vertAlign w:val="superscript"/>
        </w:rPr>
        <w:footnoteReference w:id="341"/>
      </w:r>
    </w:p>
    <w:p w:rsidR="00D845BD" w:rsidRPr="005178F6" w:rsidRDefault="00B425CE" w:rsidP="005833E8">
      <w:pPr>
        <w:spacing w:line="360" w:lineRule="auto"/>
        <w:ind w:right="567" w:firstLine="720"/>
        <w:jc w:val="both"/>
        <w:rPr>
          <w:rFonts w:eastAsia="Aptos"/>
          <w:sz w:val="24"/>
          <w:szCs w:val="24"/>
        </w:rPr>
      </w:pPr>
      <w:r w:rsidRPr="00D845BD">
        <w:rPr>
          <w:rFonts w:eastAsia="Aptos"/>
          <w:sz w:val="24"/>
          <w:szCs w:val="24"/>
        </w:rPr>
        <w:t>Ústavní soud již dříve judikoval, že</w:t>
      </w:r>
      <w:r w:rsidRPr="00D845BD">
        <w:rPr>
          <w:rFonts w:eastAsia="Aptos"/>
          <w:i/>
          <w:sz w:val="24"/>
          <w:szCs w:val="24"/>
        </w:rPr>
        <w:t xml:space="preserve"> </w:t>
      </w:r>
      <w:r w:rsidRPr="00D845BD">
        <w:rPr>
          <w:rFonts w:eastAsia="Georgia"/>
          <w:i/>
          <w:sz w:val="24"/>
          <w:szCs w:val="24"/>
        </w:rPr>
        <w:t xml:space="preserve">“poškozený je typicky důležitým pramenem důkazů, ale také proto, že v trestním řízení uplatňuje svá (ústavně zaručená) práva. Obecný soud rozhodující o přiznání náhrady škody, nemajetkové újmy či vydání bezdůvodného obohacení v adhezním řízení podle § 228 a § 229 trestního řádu proto postupuje tak, aby mohl o uplatněném nároku poškozeného rozhodnout, respektive mu vyhovět, je-li pro takové rozhodnutí dostatečně zjištěn skutkový stav a jsou-li splněny další zákonné podmínky. Obecný soud má povinnost svým postupem usilovat o naplnění podmínek pro přiznání nároku poškozenému. Povinností obecného soudu je totiž také předcházet sekundární (či až terciární) viktimizaci obětí trestných činů, což může učinit i tím, že sám rozhodne o přiznání adhezního nároku, který tak oběť již nemusí uplatňovat v </w:t>
      </w:r>
      <w:r w:rsidRPr="00D845BD">
        <w:rPr>
          <w:rFonts w:eastAsia="Georgia"/>
          <w:i/>
          <w:sz w:val="24"/>
          <w:szCs w:val="24"/>
        </w:rPr>
        <w:lastRenderedPageBreak/>
        <w:t>občanskoprávním řízení., … , Postup obecného soudu, který svévolně nepřizná uplatněný adhezní nárok, ač jsou pro to splněny zákonné podmínky, je proto porušením ústavně zaručeného práva oběti na soudní ochranu podle čl. 36 odst. 1 Listiny.</w:t>
      </w:r>
      <w:r w:rsidRPr="00D845BD">
        <w:rPr>
          <w:rFonts w:eastAsia="Aptos"/>
          <w:i/>
          <w:sz w:val="24"/>
          <w:szCs w:val="24"/>
        </w:rPr>
        <w:t>”</w:t>
      </w:r>
      <w:r w:rsidRPr="00D845BD">
        <w:rPr>
          <w:rFonts w:eastAsia="Aptos"/>
          <w:i/>
          <w:sz w:val="24"/>
          <w:szCs w:val="24"/>
          <w:vertAlign w:val="superscript"/>
        </w:rPr>
        <w:footnoteReference w:id="342"/>
      </w:r>
    </w:p>
    <w:p w:rsidR="00C07033" w:rsidRDefault="00B425CE" w:rsidP="005833E8">
      <w:pPr>
        <w:spacing w:line="360" w:lineRule="auto"/>
        <w:ind w:right="567" w:firstLine="720"/>
        <w:jc w:val="both"/>
        <w:rPr>
          <w:rFonts w:eastAsia="Aptos"/>
          <w:sz w:val="24"/>
          <w:szCs w:val="24"/>
        </w:rPr>
      </w:pPr>
      <w:r w:rsidRPr="00D845BD">
        <w:rPr>
          <w:rFonts w:eastAsia="Aptos"/>
          <w:sz w:val="24"/>
          <w:szCs w:val="24"/>
        </w:rPr>
        <w:t>Vydané rozhodnutí, kterým se přiznává nárok na náhradu škody nebo vydání bezdůvodného obohacení a které nabyde právní moci je exekučním titulem.</w:t>
      </w:r>
      <w:r w:rsidRPr="00D845BD">
        <w:rPr>
          <w:rFonts w:eastAsia="Aptos"/>
          <w:sz w:val="24"/>
          <w:szCs w:val="24"/>
          <w:vertAlign w:val="superscript"/>
        </w:rPr>
        <w:footnoteReference w:id="343"/>
      </w:r>
      <w:r w:rsidRPr="00D845BD">
        <w:rPr>
          <w:rFonts w:eastAsia="Aptos"/>
          <w:sz w:val="24"/>
          <w:szCs w:val="24"/>
        </w:rPr>
        <w:t xml:space="preserve"> Z tohoto důvodu je nutno, aby byl výrok o náhradě škody přesný, podle Práškové </w:t>
      </w:r>
      <w:r w:rsidRPr="00D845BD">
        <w:rPr>
          <w:rFonts w:eastAsia="Aptos"/>
          <w:i/>
          <w:sz w:val="24"/>
          <w:szCs w:val="24"/>
        </w:rPr>
        <w:t>“musí být řádně uvedena oprávněná osoba, částka náhrady škody v penězích / vše, co obohacený získal, údaje potřebné ke splnění povinností.”</w:t>
      </w:r>
      <w:r w:rsidRPr="00D845BD">
        <w:rPr>
          <w:rFonts w:eastAsia="Aptos"/>
          <w:sz w:val="24"/>
          <w:szCs w:val="24"/>
          <w:vertAlign w:val="superscript"/>
        </w:rPr>
        <w:footnoteReference w:id="344"/>
      </w:r>
      <w:r w:rsidRPr="00D845BD">
        <w:rPr>
          <w:rFonts w:eastAsia="Aptos"/>
          <w:sz w:val="24"/>
          <w:szCs w:val="24"/>
        </w:rPr>
        <w:t xml:space="preserve"> Dalším možným rozhodnutím ohledně nároku je přiznání části nároku spojené s odkázáním na civilní řízení ohledně zbývající částí nároku. </w:t>
      </w:r>
      <w:r w:rsidRPr="00D845BD">
        <w:rPr>
          <w:rFonts w:eastAsia="Aptos"/>
          <w:sz w:val="24"/>
          <w:szCs w:val="24"/>
          <w:vertAlign w:val="superscript"/>
        </w:rPr>
        <w:footnoteReference w:id="345"/>
      </w:r>
      <w:r w:rsidRPr="00D845BD">
        <w:rPr>
          <w:rFonts w:eastAsia="Aptos"/>
          <w:color w:val="00FF00"/>
          <w:sz w:val="24"/>
          <w:szCs w:val="24"/>
        </w:rPr>
        <w:t xml:space="preserve"> </w:t>
      </w:r>
      <w:r w:rsidRPr="00D845BD">
        <w:rPr>
          <w:rFonts w:eastAsia="Aptos"/>
          <w:sz w:val="24"/>
          <w:szCs w:val="24"/>
        </w:rPr>
        <w:t>Zejména tak správní orgán rozhodne tehdy, byla–li spolehlivě zjištěna jen část nároku poškozeného.</w:t>
      </w:r>
      <w:r w:rsidRPr="00D845BD">
        <w:rPr>
          <w:rFonts w:eastAsia="Aptos"/>
          <w:sz w:val="24"/>
          <w:szCs w:val="24"/>
          <w:vertAlign w:val="superscript"/>
        </w:rPr>
        <w:footnoteReference w:id="346"/>
      </w:r>
      <w:r w:rsidRPr="00D845BD">
        <w:rPr>
          <w:rFonts w:eastAsia="Aptos"/>
          <w:sz w:val="24"/>
          <w:szCs w:val="24"/>
        </w:rPr>
        <w:t xml:space="preserve"> V trestním řízení zde panuje povinnost o takové části nároku rozhodnout, nikoli z tohoto důvodu odkazovat na civilní řízení,</w:t>
      </w:r>
      <w:r w:rsidRPr="00D845BD">
        <w:rPr>
          <w:rFonts w:eastAsia="Aptos"/>
          <w:sz w:val="24"/>
          <w:szCs w:val="24"/>
          <w:vertAlign w:val="superscript"/>
        </w:rPr>
        <w:footnoteReference w:id="347"/>
      </w:r>
      <w:r w:rsidRPr="00D845BD">
        <w:rPr>
          <w:rFonts w:eastAsia="Aptos"/>
          <w:sz w:val="24"/>
          <w:szCs w:val="24"/>
        </w:rPr>
        <w:t xml:space="preserve"> přičemž nevidím důvod pro odchýlení se v přestupkovém řízení. </w:t>
      </w:r>
    </w:p>
    <w:p w:rsidR="00D845BD" w:rsidRPr="00C07033" w:rsidRDefault="00B425CE" w:rsidP="005833E8">
      <w:pPr>
        <w:pStyle w:val="Nadpis2"/>
        <w:spacing w:line="360" w:lineRule="auto"/>
        <w:rPr>
          <w:rFonts w:eastAsia="Aptos"/>
          <w:sz w:val="24"/>
          <w:szCs w:val="24"/>
        </w:rPr>
      </w:pPr>
      <w:r w:rsidRPr="00D845BD">
        <w:rPr>
          <w:sz w:val="24"/>
          <w:szCs w:val="24"/>
        </w:rPr>
        <w:br/>
      </w:r>
      <w:bookmarkStart w:id="95" w:name="_Toc190464525"/>
      <w:bookmarkStart w:id="96" w:name="_Toc190466564"/>
      <w:bookmarkStart w:id="97" w:name="_Toc190468812"/>
      <w:bookmarkStart w:id="98" w:name="_Toc190476397"/>
      <w:r w:rsidR="005178F6">
        <w:t>6</w:t>
      </w:r>
      <w:r w:rsidRPr="00284190">
        <w:t>.3. Odkázání poškozeného s nárokem na náhradu újmy do jiného řízení</w:t>
      </w:r>
      <w:bookmarkEnd w:id="95"/>
      <w:bookmarkEnd w:id="96"/>
      <w:bookmarkEnd w:id="97"/>
      <w:bookmarkEnd w:id="98"/>
    </w:p>
    <w:p w:rsidR="00D55337" w:rsidRDefault="00D55337" w:rsidP="005833E8">
      <w:pPr>
        <w:spacing w:line="360" w:lineRule="auto"/>
        <w:ind w:right="567"/>
        <w:jc w:val="both"/>
        <w:rPr>
          <w:rFonts w:eastAsia="Aptos"/>
          <w:sz w:val="24"/>
          <w:szCs w:val="24"/>
        </w:rPr>
      </w:pPr>
    </w:p>
    <w:p w:rsidR="00D845BD" w:rsidRDefault="00B425CE" w:rsidP="005833E8">
      <w:pPr>
        <w:spacing w:line="360" w:lineRule="auto"/>
        <w:ind w:right="567" w:firstLine="720"/>
        <w:jc w:val="both"/>
        <w:rPr>
          <w:rFonts w:eastAsia="Aptos"/>
          <w:sz w:val="24"/>
          <w:szCs w:val="24"/>
        </w:rPr>
      </w:pPr>
      <w:r w:rsidRPr="00631789">
        <w:rPr>
          <w:rFonts w:eastAsia="Aptos"/>
          <w:sz w:val="24"/>
          <w:szCs w:val="24"/>
        </w:rPr>
        <w:t>Posledním způsobem rozhodnutí o nároku je odkázání poškozeného na civilní řízení či jiný orgán.</w:t>
      </w:r>
      <w:r w:rsidRPr="00631789">
        <w:rPr>
          <w:rFonts w:eastAsia="Aptos"/>
          <w:sz w:val="24"/>
          <w:szCs w:val="24"/>
          <w:vertAlign w:val="superscript"/>
        </w:rPr>
        <w:footnoteReference w:id="348"/>
      </w:r>
      <w:r w:rsidRPr="00631789">
        <w:rPr>
          <w:rFonts w:eastAsia="Aptos"/>
          <w:sz w:val="24"/>
          <w:szCs w:val="24"/>
        </w:rPr>
        <w:t xml:space="preserve"> Toto ustanovení stanoví některé předpoklady pro tento způsob rozhodnutí</w:t>
      </w:r>
      <w:r w:rsidRPr="00D845BD">
        <w:rPr>
          <w:rFonts w:eastAsia="Aptos"/>
          <w:color w:val="FF0000"/>
          <w:sz w:val="24"/>
          <w:szCs w:val="24"/>
        </w:rPr>
        <w:t xml:space="preserve">. </w:t>
      </w:r>
      <w:r w:rsidRPr="00D845BD">
        <w:rPr>
          <w:rFonts w:eastAsia="Aptos"/>
          <w:sz w:val="24"/>
          <w:szCs w:val="24"/>
        </w:rPr>
        <w:t>Prvním je situace, kdy škoda nebyla nahrazena či spolehlivě zjištěna. Druhým, pokud by její zjištění výrazně prodloužilo celé řízení.</w:t>
      </w:r>
      <w:r w:rsidRPr="00D845BD">
        <w:rPr>
          <w:rFonts w:eastAsia="Aptos"/>
          <w:sz w:val="24"/>
          <w:szCs w:val="24"/>
          <w:vertAlign w:val="superscript"/>
        </w:rPr>
        <w:footnoteReference w:id="349"/>
      </w:r>
      <w:r w:rsidR="00284190" w:rsidRPr="00D845BD">
        <w:rPr>
          <w:rFonts w:eastAsia="Aptos"/>
          <w:sz w:val="24"/>
          <w:szCs w:val="24"/>
        </w:rPr>
        <w:t xml:space="preserve"> </w:t>
      </w:r>
      <w:r w:rsidRPr="00D845BD">
        <w:rPr>
          <w:rFonts w:eastAsia="Aptos"/>
          <w:sz w:val="24"/>
          <w:szCs w:val="24"/>
        </w:rPr>
        <w:t xml:space="preserve">Může se jevit jako sporné, jak má správní orgán procesně postupovat v případě, že řízení zastavuje, tedy když řízení končí jinak než odsuzujícím rozhodnutím podle ustanovení § 94 odst. 1 PřesZ. V TŘ je v </w:t>
      </w:r>
      <w:r w:rsidRPr="00D845BD">
        <w:rPr>
          <w:rFonts w:eastAsia="Aptos"/>
          <w:sz w:val="24"/>
          <w:szCs w:val="24"/>
        </w:rPr>
        <w:lastRenderedPageBreak/>
        <w:t>ustanovení § 229 odst. 3 explicitně zmíněno odkázání na civilní řízení v případě zproštění obžaloby,</w:t>
      </w:r>
      <w:r w:rsidRPr="00D845BD">
        <w:rPr>
          <w:rFonts w:eastAsia="Aptos"/>
          <w:sz w:val="24"/>
          <w:szCs w:val="24"/>
          <w:vertAlign w:val="superscript"/>
        </w:rPr>
        <w:footnoteReference w:id="350"/>
      </w:r>
      <w:r w:rsidRPr="00D845BD">
        <w:rPr>
          <w:rFonts w:eastAsia="Aptos"/>
          <w:sz w:val="24"/>
          <w:szCs w:val="24"/>
        </w:rPr>
        <w:t xml:space="preserve"> nicméně taková pasáž v PřesZ chybí a podle Práškové je na místě podobný postup.</w:t>
      </w:r>
      <w:r w:rsidRPr="00D845BD">
        <w:rPr>
          <w:rFonts w:eastAsia="Aptos"/>
          <w:sz w:val="24"/>
          <w:szCs w:val="24"/>
          <w:vertAlign w:val="superscript"/>
        </w:rPr>
        <w:footnoteReference w:id="351"/>
      </w:r>
      <w:r w:rsidRPr="00D845BD">
        <w:rPr>
          <w:rFonts w:eastAsia="Aptos"/>
          <w:sz w:val="24"/>
          <w:szCs w:val="24"/>
        </w:rPr>
        <w:t xml:space="preserve"> NSS se vyjádřil v minulosti tak, že “</w:t>
      </w:r>
      <w:r w:rsidRPr="00D845BD">
        <w:rPr>
          <w:rFonts w:eastAsia="Aptos"/>
          <w:i/>
          <w:sz w:val="24"/>
          <w:szCs w:val="24"/>
        </w:rPr>
        <w:t>z žádného ustanovení zákona o přestupcích povinnost rozhodovat (ve výroku rozhodnutí) o uplatněném nároku na náhradu škody nevyplývá (§ 77 přestupkového zákona takový postup váže jen na případy, kdy je obviněný uznán vinným ze spáchání přestupku).”</w:t>
      </w:r>
      <w:r w:rsidRPr="00D845BD">
        <w:rPr>
          <w:rFonts w:eastAsia="Aptos"/>
          <w:sz w:val="24"/>
          <w:szCs w:val="24"/>
        </w:rPr>
        <w:t xml:space="preserve"> Argumentoval analogií s ustanovením § 172 TŘ, které nemá za následek výrok o odkazu na civilní řízení.</w:t>
      </w:r>
      <w:r w:rsidRPr="00D845BD">
        <w:rPr>
          <w:rFonts w:eastAsia="Aptos"/>
          <w:sz w:val="24"/>
          <w:szCs w:val="24"/>
          <w:vertAlign w:val="superscript"/>
        </w:rPr>
        <w:footnoteReference w:id="352"/>
      </w:r>
      <w:r w:rsidRPr="00D845BD">
        <w:rPr>
          <w:rFonts w:eastAsia="Aptos"/>
          <w:sz w:val="24"/>
          <w:szCs w:val="24"/>
        </w:rPr>
        <w:t xml:space="preserve"> Opačný názor vyjádřil Potměšil, který mimojiné tvrdil, že lépe než analogie se zastavením řízení v přípravném trestním řízení odpovídá analogické ustanovení § 229 odst. 3 TŘ, a tedy správní orgán by měl i v případě zastavení řízení o nároku poškozeného rozhodnout odkazem na civilní řízení.</w:t>
      </w:r>
      <w:r w:rsidRPr="00D845BD">
        <w:rPr>
          <w:rFonts w:eastAsia="Aptos"/>
          <w:sz w:val="24"/>
          <w:szCs w:val="24"/>
          <w:vertAlign w:val="superscript"/>
        </w:rPr>
        <w:footnoteReference w:id="353"/>
      </w:r>
      <w:r w:rsidRPr="00D845BD">
        <w:rPr>
          <w:rFonts w:eastAsia="Aptos"/>
          <w:sz w:val="24"/>
          <w:szCs w:val="24"/>
        </w:rPr>
        <w:t xml:space="preserve"> </w:t>
      </w:r>
      <w:r w:rsidRPr="00631789">
        <w:rPr>
          <w:rFonts w:eastAsia="Aptos"/>
          <w:sz w:val="24"/>
          <w:szCs w:val="24"/>
        </w:rPr>
        <w:t>Osobně s tímto Potměšilovým názorem a argumentací obsaženou v citovaném článku souhlasím. Jistě lze poznamenat, že by bylo vhodné převzít z TŘ podobné ustanovení do PřesZ, aby byla posílena právní jistota</w:t>
      </w:r>
      <w:r w:rsidRPr="00D845BD">
        <w:rPr>
          <w:rFonts w:eastAsia="Aptos"/>
          <w:color w:val="FF0000"/>
          <w:sz w:val="24"/>
          <w:szCs w:val="24"/>
        </w:rPr>
        <w:t xml:space="preserve">. </w:t>
      </w:r>
      <w:r w:rsidRPr="00D845BD">
        <w:rPr>
          <w:rFonts w:eastAsia="Aptos"/>
          <w:sz w:val="24"/>
          <w:szCs w:val="24"/>
        </w:rPr>
        <w:t>Je-li poškozený alespoň s částí svého nároku úspěšný, přizná správní orgán náhradu nákladů spojených s uplatněním nároku, či jejich poměrnou část, je-li známa jejich výše a důvod a poškozený o to žádá.</w:t>
      </w:r>
      <w:r w:rsidRPr="00D845BD">
        <w:rPr>
          <w:rFonts w:eastAsia="Aptos"/>
          <w:sz w:val="24"/>
          <w:szCs w:val="24"/>
          <w:vertAlign w:val="superscript"/>
        </w:rPr>
        <w:footnoteReference w:id="354"/>
      </w:r>
      <w:r w:rsidRPr="00D845BD">
        <w:rPr>
          <w:rFonts w:eastAsia="Aptos"/>
          <w:sz w:val="24"/>
          <w:szCs w:val="24"/>
        </w:rPr>
        <w:t xml:space="preserve">  </w:t>
      </w:r>
    </w:p>
    <w:p w:rsidR="00D845BD" w:rsidRPr="00D845BD" w:rsidRDefault="00B425CE" w:rsidP="005833E8">
      <w:pPr>
        <w:spacing w:line="360" w:lineRule="auto"/>
        <w:ind w:right="567" w:firstLine="720"/>
        <w:jc w:val="both"/>
        <w:rPr>
          <w:rFonts w:eastAsia="Aptos"/>
          <w:sz w:val="24"/>
          <w:szCs w:val="24"/>
        </w:rPr>
      </w:pPr>
      <w:r w:rsidRPr="00D845BD">
        <w:rPr>
          <w:rFonts w:eastAsia="Aptos"/>
          <w:sz w:val="24"/>
          <w:szCs w:val="24"/>
        </w:rPr>
        <w:t>Nejen v tomto typu rozhodnutí, ale ve všech zmíněných, je třeba mít na paměti, že i nárok na náhradu škody by měl být řádně odůvodněn.</w:t>
      </w:r>
      <w:r w:rsidRPr="00D845BD">
        <w:rPr>
          <w:rFonts w:eastAsia="Aptos"/>
          <w:color w:val="00FF00"/>
          <w:sz w:val="24"/>
          <w:szCs w:val="24"/>
        </w:rPr>
        <w:t xml:space="preserve"> </w:t>
      </w:r>
      <w:r w:rsidRPr="00D845BD">
        <w:rPr>
          <w:rFonts w:eastAsia="Aptos"/>
          <w:sz w:val="24"/>
          <w:szCs w:val="24"/>
        </w:rPr>
        <w:t>V odůvodnění by mělo být zejména zmíněno, že poškozený se připojil se svým nárokem řádně a včas, o které důkazy soud (správní orgán) opřel svá zjištění o skutkovém stavu, že existuje příčinná souvislost mezi přestupkem a vzniklou újmou, o jaký hmotněprávní předpis je nárok opřen a zda jsou naplněny předpoklady pro jeho aplikaci, zda nárok trvá, nebrání mu zákonná překážka, zda má být o takovém nároku rozhodováno a zda také má být přiznáno příslušenství.</w:t>
      </w:r>
      <w:r w:rsidRPr="00D845BD">
        <w:rPr>
          <w:rFonts w:eastAsia="Aptos"/>
          <w:sz w:val="24"/>
          <w:szCs w:val="24"/>
          <w:vertAlign w:val="superscript"/>
        </w:rPr>
        <w:footnoteReference w:id="355"/>
      </w:r>
    </w:p>
    <w:p w:rsidR="002F0B6C" w:rsidRDefault="002F0B6C" w:rsidP="005833E8">
      <w:pPr>
        <w:pStyle w:val="Nadpis2"/>
        <w:spacing w:line="360" w:lineRule="auto"/>
        <w:rPr>
          <w:sz w:val="24"/>
          <w:szCs w:val="24"/>
        </w:rPr>
      </w:pPr>
      <w:bookmarkStart w:id="99" w:name="_Toc190476398"/>
      <w:r>
        <w:rPr>
          <w:sz w:val="24"/>
          <w:szCs w:val="24"/>
        </w:rPr>
        <w:lastRenderedPageBreak/>
        <w:t>¨</w:t>
      </w:r>
      <w:bookmarkEnd w:id="99"/>
    </w:p>
    <w:p w:rsidR="00631789" w:rsidRDefault="00B425CE" w:rsidP="005833E8">
      <w:pPr>
        <w:pStyle w:val="Nadpis2"/>
        <w:spacing w:line="360" w:lineRule="auto"/>
      </w:pPr>
      <w:r w:rsidRPr="00D845BD">
        <w:rPr>
          <w:sz w:val="24"/>
          <w:szCs w:val="24"/>
        </w:rPr>
        <w:br/>
      </w:r>
      <w:bookmarkStart w:id="100" w:name="_Toc190464526"/>
      <w:bookmarkStart w:id="101" w:name="_Toc190466565"/>
      <w:bookmarkStart w:id="102" w:name="_Toc190468813"/>
      <w:bookmarkStart w:id="103" w:name="_Toc190476399"/>
      <w:r w:rsidR="004F6478">
        <w:t>6</w:t>
      </w:r>
      <w:r w:rsidR="00AC1501" w:rsidRPr="00631789">
        <w:t xml:space="preserve">.4. </w:t>
      </w:r>
      <w:r w:rsidRPr="00631789">
        <w:t>Problematika právního nástupnictví v adhezním řízení</w:t>
      </w:r>
      <w:bookmarkEnd w:id="100"/>
      <w:bookmarkEnd w:id="101"/>
      <w:bookmarkEnd w:id="102"/>
      <w:bookmarkEnd w:id="103"/>
      <w:r w:rsidRPr="00631789">
        <w:t xml:space="preserve"> </w:t>
      </w:r>
    </w:p>
    <w:p w:rsidR="00631789" w:rsidRDefault="00631789" w:rsidP="005833E8">
      <w:pPr>
        <w:spacing w:line="360" w:lineRule="auto"/>
        <w:ind w:right="567"/>
        <w:jc w:val="both"/>
        <w:rPr>
          <w:rFonts w:eastAsia="Aptos"/>
          <w:b/>
          <w:sz w:val="28"/>
          <w:szCs w:val="28"/>
        </w:rPr>
      </w:pPr>
    </w:p>
    <w:p w:rsidR="00631789" w:rsidRDefault="00B425CE" w:rsidP="005833E8">
      <w:pPr>
        <w:spacing w:line="360" w:lineRule="auto"/>
        <w:ind w:right="567" w:firstLine="720"/>
        <w:jc w:val="both"/>
        <w:rPr>
          <w:rFonts w:eastAsia="Aptos"/>
          <w:b/>
          <w:sz w:val="28"/>
          <w:szCs w:val="28"/>
        </w:rPr>
      </w:pPr>
      <w:r w:rsidRPr="00631789">
        <w:rPr>
          <w:rFonts w:eastAsia="Aptos"/>
          <w:sz w:val="24"/>
          <w:szCs w:val="24"/>
        </w:rPr>
        <w:t>Co se týče právního nástupnictví, tak současný PřesZ neobsa</w:t>
      </w:r>
      <w:r w:rsidR="00631789" w:rsidRPr="00631789">
        <w:rPr>
          <w:rFonts w:eastAsia="Aptos"/>
          <w:sz w:val="24"/>
          <w:szCs w:val="24"/>
        </w:rPr>
        <w:t xml:space="preserve">huje žádnou úpravu ohledně ní. </w:t>
      </w:r>
      <w:r w:rsidRPr="00631789">
        <w:rPr>
          <w:rFonts w:eastAsia="Aptos"/>
          <w:sz w:val="24"/>
          <w:szCs w:val="24"/>
        </w:rPr>
        <w:t>Jedná se o případy úmrtí fyzických osob, případně zániku či přechodu a převodu práv právnických osob. Zahrnuje jak případy singulární, tak univerzální sukcese.</w:t>
      </w:r>
      <w:r w:rsidRPr="00631789">
        <w:rPr>
          <w:rFonts w:eastAsia="Aptos"/>
          <w:sz w:val="24"/>
          <w:szCs w:val="24"/>
          <w:vertAlign w:val="superscript"/>
        </w:rPr>
        <w:footnoteReference w:id="356"/>
      </w:r>
      <w:r w:rsidRPr="00631789">
        <w:rPr>
          <w:rFonts w:eastAsia="Aptos"/>
          <w:sz w:val="24"/>
          <w:szCs w:val="24"/>
        </w:rPr>
        <w:t xml:space="preserve"> Tím dochází ke změně oproti minulé úpravě, která toto výslovně neumožňovala.</w:t>
      </w:r>
      <w:r w:rsidRPr="00631789">
        <w:rPr>
          <w:rFonts w:eastAsia="Aptos"/>
          <w:sz w:val="24"/>
          <w:szCs w:val="24"/>
          <w:vertAlign w:val="superscript"/>
        </w:rPr>
        <w:footnoteReference w:id="357"/>
      </w:r>
      <w:r w:rsidRPr="00631789">
        <w:rPr>
          <w:rFonts w:eastAsia="Aptos"/>
          <w:sz w:val="24"/>
          <w:szCs w:val="24"/>
        </w:rPr>
        <w:t xml:space="preserve"> Může se jednat také o případy prohlášení osoby za mrtvou.</w:t>
      </w:r>
      <w:r w:rsidRPr="00631789">
        <w:rPr>
          <w:rFonts w:eastAsia="Aptos"/>
          <w:sz w:val="24"/>
          <w:szCs w:val="24"/>
          <w:vertAlign w:val="superscript"/>
        </w:rPr>
        <w:footnoteReference w:id="358"/>
      </w:r>
      <w:r w:rsidR="00284190" w:rsidRPr="00631789">
        <w:rPr>
          <w:rFonts w:eastAsia="Aptos"/>
          <w:sz w:val="24"/>
          <w:szCs w:val="24"/>
        </w:rPr>
        <w:t xml:space="preserve"> N</w:t>
      </w:r>
      <w:r w:rsidRPr="00631789">
        <w:rPr>
          <w:rFonts w:eastAsia="Aptos"/>
          <w:sz w:val="24"/>
          <w:szCs w:val="24"/>
        </w:rPr>
        <w:t xml:space="preserve">ázory na přípustnost nástupnictví se různí. </w:t>
      </w:r>
      <w:r w:rsidRPr="00D845BD">
        <w:rPr>
          <w:rFonts w:eastAsia="Aptos"/>
          <w:sz w:val="24"/>
          <w:szCs w:val="24"/>
        </w:rPr>
        <w:t>Přechod nároku poškozeného na právní nástupce připouští Prášková, přičemž dovozuje, že přechod nároku možný je, vzhledem k tomu, že současný PřesZ ustanovení 70 odst. 3 PřesZ 1990 nepřevzal.</w:t>
      </w:r>
      <w:r w:rsidRPr="00D845BD">
        <w:rPr>
          <w:rFonts w:eastAsia="Aptos"/>
          <w:sz w:val="24"/>
          <w:szCs w:val="24"/>
          <w:vertAlign w:val="superscript"/>
        </w:rPr>
        <w:footnoteReference w:id="359"/>
      </w:r>
      <w:r w:rsidRPr="00D845BD">
        <w:rPr>
          <w:rFonts w:eastAsia="Aptos"/>
          <w:sz w:val="24"/>
          <w:szCs w:val="24"/>
        </w:rPr>
        <w:t xml:space="preserve"> Komentář pod autorským vedením Bohadla toto také připouští s tím, že v případě absence pochybností není důvod pro opačný postup.</w:t>
      </w:r>
      <w:r w:rsidRPr="00D845BD">
        <w:rPr>
          <w:rFonts w:eastAsia="Aptos"/>
          <w:sz w:val="24"/>
          <w:szCs w:val="24"/>
          <w:vertAlign w:val="superscript"/>
        </w:rPr>
        <w:footnoteReference w:id="360"/>
      </w:r>
      <w:r w:rsidRPr="00D845BD">
        <w:rPr>
          <w:rFonts w:eastAsia="Aptos"/>
          <w:sz w:val="24"/>
          <w:szCs w:val="24"/>
        </w:rPr>
        <w:t xml:space="preserve"> Naopak komentář Horzinkové a Kučerové takový pohled nesdílí</w:t>
      </w:r>
      <w:r w:rsidR="00631789">
        <w:rPr>
          <w:rFonts w:eastAsia="Aptos"/>
          <w:sz w:val="24"/>
          <w:szCs w:val="24"/>
        </w:rPr>
        <w:t xml:space="preserve"> a razí opačný</w:t>
      </w:r>
      <w:r w:rsidRPr="00D845BD">
        <w:rPr>
          <w:rFonts w:eastAsia="Aptos"/>
          <w:sz w:val="24"/>
          <w:szCs w:val="24"/>
        </w:rPr>
        <w:t>.</w:t>
      </w:r>
      <w:r w:rsidRPr="00D845BD">
        <w:rPr>
          <w:rFonts w:eastAsia="Aptos"/>
          <w:sz w:val="24"/>
          <w:szCs w:val="24"/>
          <w:vertAlign w:val="superscript"/>
        </w:rPr>
        <w:footnoteReference w:id="361"/>
      </w:r>
      <w:r w:rsidRPr="00D845BD">
        <w:rPr>
          <w:rFonts w:eastAsia="Aptos"/>
          <w:sz w:val="24"/>
          <w:szCs w:val="24"/>
        </w:rPr>
        <w:t xml:space="preserve"> Ve všech dílech však absentuje detailnější rozbor.</w:t>
      </w:r>
      <w:r w:rsidRPr="00D845BD">
        <w:rPr>
          <w:rFonts w:eastAsia="Aptos"/>
          <w:sz w:val="24"/>
          <w:szCs w:val="24"/>
          <w:vertAlign w:val="superscript"/>
        </w:rPr>
        <w:footnoteReference w:id="362"/>
      </w:r>
      <w:r w:rsidRPr="00D845BD">
        <w:rPr>
          <w:rFonts w:eastAsia="Aptos"/>
          <w:sz w:val="24"/>
          <w:szCs w:val="24"/>
        </w:rPr>
        <w:t xml:space="preserve"> </w:t>
      </w:r>
    </w:p>
    <w:p w:rsidR="006A3693" w:rsidRPr="006A3693" w:rsidRDefault="00B425CE" w:rsidP="005833E8">
      <w:pPr>
        <w:spacing w:line="360" w:lineRule="auto"/>
        <w:ind w:left="-57" w:right="567" w:firstLine="720"/>
        <w:jc w:val="both"/>
        <w:rPr>
          <w:rFonts w:eastAsia="Aptos"/>
          <w:b/>
          <w:sz w:val="28"/>
          <w:szCs w:val="28"/>
        </w:rPr>
      </w:pPr>
      <w:r w:rsidRPr="00D845BD">
        <w:rPr>
          <w:rFonts w:eastAsia="Aptos"/>
          <w:sz w:val="24"/>
          <w:szCs w:val="24"/>
        </w:rPr>
        <w:t>Co se týče trestního řízení, TŘ v ustanovení § 45 odst. 3 (jež mimochodem posledně uvedený komentář zmiňuje</w:t>
      </w:r>
      <w:r w:rsidRPr="00D845BD">
        <w:rPr>
          <w:rFonts w:eastAsia="Aptos"/>
          <w:sz w:val="24"/>
          <w:szCs w:val="24"/>
          <w:vertAlign w:val="superscript"/>
        </w:rPr>
        <w:footnoteReference w:id="363"/>
      </w:r>
      <w:r w:rsidRPr="00D845BD">
        <w:rPr>
          <w:rFonts w:eastAsia="Aptos"/>
          <w:sz w:val="24"/>
          <w:szCs w:val="24"/>
        </w:rPr>
        <w:t>) stanoví, že “</w:t>
      </w:r>
      <w:r w:rsidRPr="00D845BD">
        <w:rPr>
          <w:i/>
          <w:sz w:val="24"/>
          <w:szCs w:val="24"/>
          <w:highlight w:val="white"/>
        </w:rPr>
        <w:t>Jde-li o uplatnění nároku na náhradu škody nebo na vydání bezdůvodného obohacení (§ 43 odst. 3), přecházejí práva, která tento zákon přiznává poškozenému, i na jeho právního nástupce.</w:t>
      </w:r>
      <w:r w:rsidRPr="00D845BD">
        <w:rPr>
          <w:sz w:val="24"/>
          <w:szCs w:val="24"/>
          <w:highlight w:val="white"/>
        </w:rPr>
        <w:t>”</w:t>
      </w:r>
      <w:r w:rsidRPr="00D845BD">
        <w:rPr>
          <w:sz w:val="24"/>
          <w:szCs w:val="24"/>
          <w:highlight w:val="white"/>
          <w:vertAlign w:val="superscript"/>
        </w:rPr>
        <w:footnoteReference w:id="364"/>
      </w:r>
      <w:r w:rsidRPr="00D845BD">
        <w:rPr>
          <w:sz w:val="24"/>
          <w:szCs w:val="24"/>
          <w:highlight w:val="white"/>
        </w:rPr>
        <w:t xml:space="preserve"> Důvodová zpráva k PřesZ k právnímu nástupnictví mlčí, je tedy těžké zjistit vůli zákonodárce. Nabízí se tedy opět </w:t>
      </w:r>
      <w:r w:rsidRPr="00D845BD">
        <w:rPr>
          <w:sz w:val="24"/>
          <w:szCs w:val="24"/>
          <w:highlight w:val="white"/>
        </w:rPr>
        <w:lastRenderedPageBreak/>
        <w:t xml:space="preserve">dotváření práva pomocí </w:t>
      </w:r>
      <w:r w:rsidRPr="00D845BD">
        <w:rPr>
          <w:i/>
          <w:sz w:val="24"/>
          <w:szCs w:val="24"/>
          <w:highlight w:val="white"/>
        </w:rPr>
        <w:t>analogie legis</w:t>
      </w:r>
      <w:r w:rsidRPr="00D845BD">
        <w:rPr>
          <w:sz w:val="24"/>
          <w:szCs w:val="24"/>
          <w:highlight w:val="white"/>
        </w:rPr>
        <w:t>.</w:t>
      </w:r>
      <w:r w:rsidR="00631789">
        <w:rPr>
          <w:rStyle w:val="Znakapoznpodarou"/>
          <w:sz w:val="24"/>
          <w:szCs w:val="24"/>
          <w:highlight w:val="white"/>
        </w:rPr>
        <w:footnoteReference w:id="365"/>
      </w:r>
      <w:r w:rsidRPr="00D845BD">
        <w:rPr>
          <w:sz w:val="24"/>
          <w:szCs w:val="24"/>
          <w:highlight w:val="white"/>
        </w:rPr>
        <w:t xml:space="preserve"> Smyslem a účelem umožnění přechodu práv poškozeného na právní nástupce je jistě usnadnění vymáhání jejich práva.  Argumentem by mohla být povaha, na které stojí adhezní řízení i řízení o přestupcích a jejich principiální podobnost s trestním řízením. Pakliže v případě trestního řízení je přechod nároku na dědice či právní nástupce právnické osoby připuštěn, nenapadá mne jediný racionální důvod, proč by tak nemohlo činěno i v řízení o přestupku. Tím spíše, když přechází pouze právo na uplatnění nároku v adhezním řízení, nikoli další účastnická práva poškozeného, jako například právo udělit souhlas s trestním stíháním dle ustanovení § 160 TŘ, kterými poškozený v přestupkovém řízení ani nedisponuje.</w:t>
      </w:r>
      <w:r w:rsidRPr="00D845BD">
        <w:rPr>
          <w:sz w:val="24"/>
          <w:szCs w:val="24"/>
          <w:highlight w:val="white"/>
          <w:vertAlign w:val="superscript"/>
        </w:rPr>
        <w:footnoteReference w:id="366"/>
      </w:r>
      <w:r w:rsidRPr="00D845BD">
        <w:rPr>
          <w:sz w:val="24"/>
          <w:szCs w:val="24"/>
          <w:highlight w:val="white"/>
        </w:rPr>
        <w:t xml:space="preserve"> Není tedy důvod se domnívat, že úmyslem zákonodárce bylo vázat tento přechod nároku na silnější postavení poškozeného v rámci trestního řízení (což by v otázce přechodu nároku stejně nedávalo smysl). Dalším argumentem by mohlo být právě ono vypuštění tehdejšího ustanovení ¨70 odst. 3 z PřesZ 1990, který přechod výslovně nepřipouštěl, v rámci současného PřesZ. Lze tedy soudit, že pokud zákonodárce tehdejší nemožnost nepřevzal, bylo jeho úmyslem v nové úpravě toto umožnit. Zastánci opačného řešení by však naopak mohli namítat tím, že nebylo ani zavedeno po vzoru TŘ. Případně je možné i to, že zákonodárce tuto otázku prostě během příprav opomněl vyřešit. </w:t>
      </w:r>
    </w:p>
    <w:p w:rsidR="00D536D8" w:rsidRPr="006A3693" w:rsidRDefault="00B425CE" w:rsidP="005833E8">
      <w:pPr>
        <w:spacing w:line="360" w:lineRule="auto"/>
        <w:ind w:right="567" w:firstLine="720"/>
        <w:jc w:val="both"/>
        <w:rPr>
          <w:rFonts w:eastAsia="Aptos"/>
          <w:b/>
          <w:sz w:val="28"/>
          <w:szCs w:val="28"/>
        </w:rPr>
      </w:pPr>
      <w:r w:rsidRPr="00D845BD">
        <w:rPr>
          <w:sz w:val="24"/>
          <w:szCs w:val="24"/>
          <w:highlight w:val="white"/>
        </w:rPr>
        <w:t>Osobně si myslím, že v daném případě je analogie</w:t>
      </w:r>
      <w:r w:rsidRPr="00D845BD">
        <w:rPr>
          <w:sz w:val="24"/>
          <w:szCs w:val="24"/>
          <w:highlight w:val="white"/>
          <w:vertAlign w:val="superscript"/>
        </w:rPr>
        <w:footnoteReference w:id="367"/>
      </w:r>
      <w:r w:rsidRPr="00D845BD">
        <w:rPr>
          <w:sz w:val="24"/>
          <w:szCs w:val="24"/>
          <w:highlight w:val="white"/>
        </w:rPr>
        <w:t xml:space="preserve"> s ustanovením § 45 odst. 3 TŘ jednoznačně na místě, má se jí vyplnit tato nedůvodná mezera v úpravě PřesZ a vlastně i vzniklý hodnotový rozpor. Není důvod, aby v trestním řízení mohla být chráněna hodnota hladkého uplatnění nároku na náhradu škody právním nástupcem v trestním řízení a v přestupkovém řízení toto nebylo dovoleno, a to ani pokud zákonná úprava chybí. Argumentem nemůže být ani ochrana rychlosti a efektivnosti řízení, neboť i zde platí, že přechod právního nástupnictví nemůže být na újmu rychlosti a složitosti řízení, a pokud by byl, je to důvodem pro odkázání nástupce na civilní řízení.</w:t>
      </w:r>
      <w:r w:rsidRPr="00D845BD">
        <w:rPr>
          <w:sz w:val="24"/>
          <w:szCs w:val="24"/>
          <w:highlight w:val="white"/>
          <w:vertAlign w:val="superscript"/>
        </w:rPr>
        <w:footnoteReference w:id="368"/>
      </w:r>
      <w:r w:rsidRPr="00D845BD">
        <w:rPr>
          <w:sz w:val="24"/>
          <w:szCs w:val="24"/>
          <w:highlight w:val="white"/>
        </w:rPr>
        <w:t xml:space="preserve"> Smysl a účel ustanovení § 45 odst. 3 TŘ vyhovuje analogické aplikaci tohoto ustanovení i v řízení o přestupcích. Opačné řešení bych považoval za iracionální, nesystémové a neodůvodněné a zakládající hodnotový rozpor. Absenci výslovné právní úpravy pokládám za deficit současné </w:t>
      </w:r>
      <w:r w:rsidRPr="00D845BD">
        <w:rPr>
          <w:sz w:val="24"/>
          <w:szCs w:val="24"/>
          <w:highlight w:val="white"/>
        </w:rPr>
        <w:lastRenderedPageBreak/>
        <w:t xml:space="preserve">přestupkové úpravy a </w:t>
      </w:r>
      <w:r w:rsidRPr="00D845BD">
        <w:rPr>
          <w:i/>
          <w:sz w:val="24"/>
          <w:szCs w:val="24"/>
          <w:highlight w:val="white"/>
        </w:rPr>
        <w:t>de lege ferenda</w:t>
      </w:r>
      <w:r w:rsidRPr="00D845BD">
        <w:rPr>
          <w:sz w:val="24"/>
          <w:szCs w:val="24"/>
          <w:highlight w:val="white"/>
        </w:rPr>
        <w:t xml:space="preserve"> navrhuji tuto mezeru z důvodu právní jistoty vyplnit přijetím nového ustanovení do PřesZ, a to po vzoru ustanovení § 45 odst. 3 TŘ. </w:t>
      </w:r>
    </w:p>
    <w:p w:rsidR="00D536D8" w:rsidRPr="00D845BD" w:rsidRDefault="00D536D8" w:rsidP="005833E8">
      <w:pPr>
        <w:spacing w:after="160" w:line="360" w:lineRule="auto"/>
        <w:ind w:right="567"/>
        <w:jc w:val="both"/>
        <w:rPr>
          <w:rFonts w:eastAsia="Aptos"/>
          <w:sz w:val="24"/>
          <w:szCs w:val="24"/>
        </w:rPr>
      </w:pPr>
    </w:p>
    <w:p w:rsidR="00D55337" w:rsidRPr="00C07033" w:rsidRDefault="006A3693" w:rsidP="005833E8">
      <w:pPr>
        <w:pStyle w:val="Nadpis1"/>
        <w:spacing w:line="360" w:lineRule="auto"/>
        <w:ind w:right="567"/>
        <w:jc w:val="both"/>
        <w:rPr>
          <w:sz w:val="24"/>
          <w:szCs w:val="24"/>
        </w:rPr>
      </w:pPr>
      <w:bookmarkStart w:id="104" w:name="_Toc190464527"/>
      <w:bookmarkStart w:id="105" w:name="_Toc190466566"/>
      <w:bookmarkStart w:id="106" w:name="_Toc190468814"/>
      <w:bookmarkStart w:id="107" w:name="_Toc190476400"/>
      <w:r w:rsidRPr="00C07033">
        <w:t>Závěr</w:t>
      </w:r>
      <w:r w:rsidR="00B425CE" w:rsidRPr="00C07033">
        <w:br/>
      </w:r>
      <w:r w:rsidR="00B425CE" w:rsidRPr="00D845BD">
        <w:rPr>
          <w:sz w:val="24"/>
          <w:szCs w:val="24"/>
        </w:rPr>
        <w:br/>
        <w:t xml:space="preserve"> </w:t>
      </w:r>
      <w:r w:rsidR="00B425CE" w:rsidRPr="00D845BD">
        <w:rPr>
          <w:sz w:val="24"/>
          <w:szCs w:val="24"/>
        </w:rPr>
        <w:tab/>
      </w:r>
      <w:r w:rsidR="00B425CE" w:rsidRPr="003F1055">
        <w:rPr>
          <w:b w:val="0"/>
          <w:sz w:val="24"/>
          <w:szCs w:val="24"/>
        </w:rPr>
        <w:t xml:space="preserve">Diplomová práce se zabývá adhezním řízením v řízení o přestupcích. Klade si za cíl popsat tento institut a pokusit se dogmaticky analyzovat některé sporné prvky právní úpravy, které dosud nebyly uspokojivě vyřešeny v odborné debatě. Za tímto účelem vyvstaly po rozsáhlé rešerši odborné debaty konkrétní výzkumné otázky, na které se snažím po analýze najít odpověď, tuto odpověď podepřít právní argumentací a tam, kde je to vhodné, nastínit možné řešení </w:t>
      </w:r>
      <w:r w:rsidR="00B425CE" w:rsidRPr="003F1055">
        <w:rPr>
          <w:b w:val="0"/>
          <w:i/>
          <w:sz w:val="24"/>
          <w:szCs w:val="24"/>
        </w:rPr>
        <w:t>de lege ferenda.</w:t>
      </w:r>
      <w:bookmarkEnd w:id="104"/>
      <w:bookmarkEnd w:id="105"/>
      <w:bookmarkEnd w:id="106"/>
      <w:bookmarkEnd w:id="107"/>
      <w:r w:rsidR="00D55337" w:rsidRPr="00C07033">
        <w:rPr>
          <w:sz w:val="24"/>
          <w:szCs w:val="24"/>
        </w:rPr>
        <w:t xml:space="preserve"> </w:t>
      </w:r>
    </w:p>
    <w:p w:rsidR="00D845BD" w:rsidRPr="00C07033" w:rsidRDefault="00B425CE" w:rsidP="005833E8">
      <w:pPr>
        <w:spacing w:after="160" w:line="360" w:lineRule="auto"/>
        <w:ind w:right="567" w:firstLine="720"/>
        <w:jc w:val="both"/>
        <w:rPr>
          <w:rFonts w:eastAsia="Aptos"/>
          <w:sz w:val="24"/>
          <w:szCs w:val="24"/>
        </w:rPr>
      </w:pPr>
      <w:r w:rsidRPr="00C07033">
        <w:rPr>
          <w:rFonts w:eastAsia="Aptos"/>
          <w:sz w:val="24"/>
          <w:szCs w:val="24"/>
        </w:rPr>
        <w:t>Po</w:t>
      </w:r>
      <w:r w:rsidR="000F2959">
        <w:rPr>
          <w:rFonts w:eastAsia="Aptos"/>
          <w:sz w:val="24"/>
          <w:szCs w:val="24"/>
        </w:rPr>
        <w:t>kud jde o výzkumnou otázku č. 1,</w:t>
      </w:r>
      <w:r w:rsidRPr="00C07033">
        <w:rPr>
          <w:rFonts w:eastAsia="Aptos"/>
          <w:sz w:val="24"/>
          <w:szCs w:val="24"/>
        </w:rPr>
        <w:t xml:space="preserve"> </w:t>
      </w:r>
      <w:r w:rsidRPr="00C07033">
        <w:rPr>
          <w:rFonts w:eastAsia="Aptos"/>
          <w:i/>
          <w:sz w:val="24"/>
          <w:szCs w:val="24"/>
        </w:rPr>
        <w:t>“</w:t>
      </w:r>
      <w:r w:rsidRPr="00C07033">
        <w:rPr>
          <w:i/>
          <w:sz w:val="24"/>
          <w:szCs w:val="24"/>
        </w:rPr>
        <w:t xml:space="preserve">Jaká je právní povaha lhůty k uplatnění nároku podle ustanovení § 70 odst. </w:t>
      </w:r>
      <w:r w:rsidR="007010B0" w:rsidRPr="00C07033">
        <w:rPr>
          <w:i/>
          <w:sz w:val="24"/>
          <w:szCs w:val="24"/>
        </w:rPr>
        <w:t>2</w:t>
      </w:r>
      <w:r w:rsidRPr="00C07033">
        <w:rPr>
          <w:i/>
          <w:sz w:val="24"/>
          <w:szCs w:val="24"/>
        </w:rPr>
        <w:t xml:space="preserve"> PřesZ a jaký je následek neuplatnění nároku na náhradu újmy při prvním ústním jednání?”</w:t>
      </w:r>
      <w:r w:rsidR="000F2959">
        <w:rPr>
          <w:i/>
          <w:sz w:val="24"/>
          <w:szCs w:val="24"/>
        </w:rPr>
        <w:t>,</w:t>
      </w:r>
      <w:r w:rsidRPr="00C07033">
        <w:rPr>
          <w:sz w:val="24"/>
          <w:szCs w:val="24"/>
        </w:rPr>
        <w:t xml:space="preserve"> pak konstatuji, že se jedná o lhůtu procesní, neboť </w:t>
      </w:r>
      <w:r w:rsidRPr="00C07033">
        <w:rPr>
          <w:rFonts w:eastAsia="Aptos"/>
          <w:sz w:val="24"/>
          <w:szCs w:val="24"/>
        </w:rPr>
        <w:t>je stanovena k procesnímu úkonu, kterým se utváří procesněprávní vztah. Potenciálnímu zániku práva tento úkon učinit uplynutím této lhůty lze zabránit institutem navrácení v předešlý stav ve smyslu § 41 SŘ a to na základě analogie zákona. Současně však má tento postup limity v případě, že přestupkové řízení již dospělo do takové fáze, že lze ve věci rozhodnout a pak tento postup není možný, neboť zde není veřejný zájem na tom, aby přestupkové řízení bylo prodlužováno pouze kvůli nároku poškozeného na náhradu újmy. Současně pak kritizuji odlišné nastavení právní úpravy v řízení o přestupcích a v řízení trestním.</w:t>
      </w:r>
    </w:p>
    <w:p w:rsidR="00441D68" w:rsidRPr="00C07033" w:rsidRDefault="00B425CE" w:rsidP="005833E8">
      <w:pPr>
        <w:spacing w:after="160" w:line="360" w:lineRule="auto"/>
        <w:ind w:right="567"/>
        <w:jc w:val="both"/>
        <w:rPr>
          <w:sz w:val="24"/>
          <w:szCs w:val="24"/>
        </w:rPr>
      </w:pPr>
      <w:r w:rsidRPr="00C07033">
        <w:rPr>
          <w:rFonts w:eastAsia="Aptos"/>
          <w:sz w:val="24"/>
          <w:szCs w:val="24"/>
        </w:rPr>
        <w:tab/>
        <w:t xml:space="preserve">Druhá výzkumná otázka zní, </w:t>
      </w:r>
      <w:r w:rsidR="00441D68" w:rsidRPr="00C07033">
        <w:rPr>
          <w:rFonts w:eastAsia="Aptos"/>
          <w:sz w:val="24"/>
          <w:szCs w:val="24"/>
        </w:rPr>
        <w:t>“</w:t>
      </w:r>
      <w:r w:rsidRPr="00C07033">
        <w:rPr>
          <w:rFonts w:eastAsia="Aptos"/>
          <w:i/>
          <w:sz w:val="24"/>
          <w:szCs w:val="24"/>
        </w:rPr>
        <w:t>j</w:t>
      </w:r>
      <w:r w:rsidRPr="00C07033">
        <w:rPr>
          <w:i/>
          <w:sz w:val="24"/>
          <w:szCs w:val="24"/>
        </w:rPr>
        <w:t>aký</w:t>
      </w:r>
      <w:r w:rsidRPr="00C07033">
        <w:rPr>
          <w:sz w:val="24"/>
          <w:szCs w:val="24"/>
        </w:rPr>
        <w:t xml:space="preserve"> </w:t>
      </w:r>
      <w:r w:rsidRPr="00C07033">
        <w:rPr>
          <w:i/>
          <w:sz w:val="24"/>
          <w:szCs w:val="24"/>
        </w:rPr>
        <w:t>je následek nesplnění povinnosti správního orgánu vyrozumět osobu poškozeného o možnosti uplatnit její nárok v řízení o přestupcích podle ustanovení § 70 odst. 1 PřesZ</w:t>
      </w:r>
      <w:r w:rsidR="00441D68" w:rsidRPr="00C07033">
        <w:rPr>
          <w:sz w:val="24"/>
          <w:szCs w:val="24"/>
        </w:rPr>
        <w:t>?”</w:t>
      </w:r>
      <w:r w:rsidR="000F2959">
        <w:rPr>
          <w:sz w:val="24"/>
          <w:szCs w:val="24"/>
        </w:rPr>
        <w:t>-</w:t>
      </w:r>
      <w:r w:rsidRPr="00C07033">
        <w:rPr>
          <w:sz w:val="24"/>
          <w:szCs w:val="24"/>
        </w:rPr>
        <w:t xml:space="preserve"> V tomto </w:t>
      </w:r>
      <w:r w:rsidR="000F2959">
        <w:rPr>
          <w:sz w:val="24"/>
          <w:szCs w:val="24"/>
        </w:rPr>
        <w:t>případě je na místě takový</w:t>
      </w:r>
      <w:r w:rsidRPr="00C07033">
        <w:rPr>
          <w:sz w:val="24"/>
          <w:szCs w:val="24"/>
        </w:rPr>
        <w:t xml:space="preserve"> závěr, že v daném případě se sice samozřejmě jedná o procesní pochybení správního orgánu, který v rozporu se zákonem upře poškozenému možnost domáhat se nároku na náhradu újmy, nicméně tato nezákonnost nemá být důvodem pro rušení pravomocného rozhodnutí, neboť případnému zrušení rozhodnutí v rámci přezkumného řízení ve smyslu</w:t>
      </w:r>
      <w:r w:rsidR="004F6478" w:rsidRPr="00C07033">
        <w:rPr>
          <w:sz w:val="24"/>
          <w:szCs w:val="24"/>
        </w:rPr>
        <w:t xml:space="preserve"> ustanovení</w:t>
      </w:r>
      <w:r w:rsidRPr="00C07033">
        <w:rPr>
          <w:sz w:val="24"/>
          <w:szCs w:val="24"/>
        </w:rPr>
        <w:t xml:space="preserve"> § 94 SŘ brání zákonná překážka ve smyslu odst. 4 tohoto ustanovení. </w:t>
      </w:r>
    </w:p>
    <w:p w:rsidR="00441D68" w:rsidRPr="00C07033" w:rsidRDefault="00385452" w:rsidP="005833E8">
      <w:pPr>
        <w:spacing w:after="160" w:line="360" w:lineRule="auto"/>
        <w:ind w:right="567"/>
        <w:jc w:val="both"/>
        <w:rPr>
          <w:sz w:val="24"/>
          <w:szCs w:val="24"/>
        </w:rPr>
      </w:pPr>
      <w:r w:rsidRPr="00C07033">
        <w:rPr>
          <w:sz w:val="24"/>
          <w:szCs w:val="24"/>
        </w:rPr>
        <w:lastRenderedPageBreak/>
        <w:tab/>
        <w:t>Třetí otázka,</w:t>
      </w:r>
      <w:r w:rsidR="00B425CE" w:rsidRPr="00C07033">
        <w:rPr>
          <w:sz w:val="24"/>
          <w:szCs w:val="24"/>
        </w:rPr>
        <w:t xml:space="preserve"> </w:t>
      </w:r>
      <w:r w:rsidR="00441D68" w:rsidRPr="00C07033">
        <w:rPr>
          <w:sz w:val="24"/>
          <w:szCs w:val="24"/>
        </w:rPr>
        <w:t>“</w:t>
      </w:r>
      <w:r w:rsidR="00B425CE" w:rsidRPr="00C07033">
        <w:rPr>
          <w:i/>
          <w:sz w:val="24"/>
          <w:szCs w:val="24"/>
        </w:rPr>
        <w:t>Jaké bylo právní postavení osoby, které byla přestupkem způsobena nemajetková újma a zda bylo by vhodné tento typ poškozenéh</w:t>
      </w:r>
      <w:r w:rsidR="00441D68" w:rsidRPr="00C07033">
        <w:rPr>
          <w:i/>
          <w:sz w:val="24"/>
          <w:szCs w:val="24"/>
        </w:rPr>
        <w:t>o znovu zavést do právní úpravy?”</w:t>
      </w:r>
      <w:r w:rsidR="00B425CE" w:rsidRPr="00C07033">
        <w:rPr>
          <w:sz w:val="24"/>
          <w:szCs w:val="24"/>
        </w:rPr>
        <w:t xml:space="preserve"> byla zodpovězena tak, že tato osoba měla v režimu PřesZ 1990 právní postavení účastníka řízení a požívala </w:t>
      </w:r>
      <w:r w:rsidR="004F6478" w:rsidRPr="00C07033">
        <w:rPr>
          <w:sz w:val="24"/>
          <w:szCs w:val="24"/>
        </w:rPr>
        <w:t xml:space="preserve">taková </w:t>
      </w:r>
      <w:r w:rsidR="00B425CE" w:rsidRPr="00C07033">
        <w:rPr>
          <w:sz w:val="24"/>
          <w:szCs w:val="24"/>
        </w:rPr>
        <w:t>práva d</w:t>
      </w:r>
      <w:r w:rsidR="004F6478" w:rsidRPr="00C07033">
        <w:rPr>
          <w:sz w:val="24"/>
          <w:szCs w:val="24"/>
        </w:rPr>
        <w:t>aná jemu SŘ, která odpovídala</w:t>
      </w:r>
      <w:r w:rsidR="00B425CE" w:rsidRPr="00C07033">
        <w:rPr>
          <w:sz w:val="24"/>
          <w:szCs w:val="24"/>
        </w:rPr>
        <w:t xml:space="preserve"> smyslu a účelu</w:t>
      </w:r>
      <w:r w:rsidR="004F6478" w:rsidRPr="00C07033">
        <w:rPr>
          <w:sz w:val="24"/>
          <w:szCs w:val="24"/>
        </w:rPr>
        <w:t xml:space="preserve"> jejího zakotvení</w:t>
      </w:r>
      <w:r w:rsidR="00B425CE" w:rsidRPr="00C07033">
        <w:rPr>
          <w:sz w:val="24"/>
          <w:szCs w:val="24"/>
        </w:rPr>
        <w:t>. Některá práva jí tedy byla odepřena</w:t>
      </w:r>
      <w:r w:rsidR="00E52CEB">
        <w:rPr>
          <w:sz w:val="24"/>
          <w:szCs w:val="24"/>
        </w:rPr>
        <w:t>,</w:t>
      </w:r>
      <w:r w:rsidR="00B425CE" w:rsidRPr="00C07033">
        <w:rPr>
          <w:sz w:val="24"/>
          <w:szCs w:val="24"/>
        </w:rPr>
        <w:t xml:space="preserve"> a to na základě teleologické redukce. </w:t>
      </w:r>
      <w:r w:rsidR="00E52CEB">
        <w:rPr>
          <w:sz w:val="24"/>
          <w:szCs w:val="24"/>
        </w:rPr>
        <w:t>Současně zastávám právně</w:t>
      </w:r>
      <w:r w:rsidR="00B425CE" w:rsidRPr="00C07033">
        <w:rPr>
          <w:sz w:val="24"/>
          <w:szCs w:val="24"/>
        </w:rPr>
        <w:t>politický názor, že tuto osobu, i přes veškeré argumenty</w:t>
      </w:r>
      <w:r w:rsidR="00E52CEB">
        <w:rPr>
          <w:sz w:val="24"/>
          <w:szCs w:val="24"/>
        </w:rPr>
        <w:t xml:space="preserve"> hovořící “pro”</w:t>
      </w:r>
      <w:r w:rsidR="00B425CE" w:rsidRPr="00C07033">
        <w:rPr>
          <w:sz w:val="24"/>
          <w:szCs w:val="24"/>
        </w:rPr>
        <w:t>, spíše není vhodné znovu začlenit do výčtu účastníků přestupkového řízení, neboť by tím fakticky došlo ke změně koncepce účastenství poškozeného, což by mohlo mít vliv na průběh přestupkového řízení. Zároveň také naprosto vylučuji možnost dotváření účastenství této osoby poškozené formou analogie.</w:t>
      </w:r>
      <w:r w:rsidR="00441D68" w:rsidRPr="00C07033">
        <w:rPr>
          <w:sz w:val="24"/>
          <w:szCs w:val="24"/>
        </w:rPr>
        <w:t xml:space="preserve"> Ohledně </w:t>
      </w:r>
      <w:r w:rsidR="00E52CEB">
        <w:rPr>
          <w:sz w:val="24"/>
          <w:szCs w:val="24"/>
        </w:rPr>
        <w:t>sekundární otázky</w:t>
      </w:r>
      <w:r w:rsidR="00441D68" w:rsidRPr="00C07033">
        <w:rPr>
          <w:sz w:val="24"/>
          <w:szCs w:val="24"/>
        </w:rPr>
        <w:t>, zda je tomu tak správně,</w:t>
      </w:r>
      <w:r w:rsidR="00E52CEB">
        <w:rPr>
          <w:sz w:val="24"/>
          <w:szCs w:val="24"/>
        </w:rPr>
        <w:t xml:space="preserve"> tedy</w:t>
      </w:r>
      <w:r w:rsidR="00441D68" w:rsidRPr="00C07033">
        <w:rPr>
          <w:sz w:val="24"/>
          <w:szCs w:val="24"/>
        </w:rPr>
        <w:t xml:space="preserve"> vyjadřuji názor, že spíše ano, byť názory pro opačné tvrzení jsou také relevantní.</w:t>
      </w:r>
    </w:p>
    <w:p w:rsidR="00D845BD" w:rsidRPr="00441D68" w:rsidRDefault="00B425CE" w:rsidP="005833E8">
      <w:pPr>
        <w:spacing w:after="160" w:line="360" w:lineRule="auto"/>
        <w:ind w:right="567"/>
        <w:jc w:val="both"/>
        <w:rPr>
          <w:sz w:val="24"/>
          <w:szCs w:val="24"/>
        </w:rPr>
      </w:pPr>
      <w:r w:rsidRPr="00C07033">
        <w:rPr>
          <w:rFonts w:eastAsia="Aptos"/>
          <w:sz w:val="24"/>
          <w:szCs w:val="24"/>
        </w:rPr>
        <w:tab/>
        <w:t>Na</w:t>
      </w:r>
      <w:r w:rsidR="00441D68" w:rsidRPr="00C07033">
        <w:rPr>
          <w:rFonts w:eastAsia="Aptos"/>
          <w:sz w:val="24"/>
          <w:szCs w:val="24"/>
        </w:rPr>
        <w:t xml:space="preserve"> čtvrtou výzkumnou otázku, tedy</w:t>
      </w:r>
      <w:r w:rsidRPr="00C07033">
        <w:rPr>
          <w:rFonts w:eastAsia="Aptos"/>
          <w:sz w:val="24"/>
          <w:szCs w:val="24"/>
        </w:rPr>
        <w:t xml:space="preserve"> </w:t>
      </w:r>
      <w:r w:rsidR="00E52CEB" w:rsidRPr="00E52CEB">
        <w:rPr>
          <w:rFonts w:eastAsia="Aptos"/>
          <w:i/>
          <w:sz w:val="24"/>
          <w:szCs w:val="24"/>
        </w:rPr>
        <w:t xml:space="preserve">zda </w:t>
      </w:r>
      <w:r w:rsidR="00441D68" w:rsidRPr="00E52CEB">
        <w:rPr>
          <w:rFonts w:eastAsia="Aptos"/>
          <w:i/>
          <w:sz w:val="24"/>
          <w:szCs w:val="24"/>
        </w:rPr>
        <w:t>p</w:t>
      </w:r>
      <w:r w:rsidRPr="00E52CEB">
        <w:rPr>
          <w:i/>
          <w:sz w:val="24"/>
          <w:szCs w:val="24"/>
        </w:rPr>
        <w:t>řipadá v řízení o přestupcích v úvahu přechod nároku poš</w:t>
      </w:r>
      <w:r w:rsidR="00441D68" w:rsidRPr="00E52CEB">
        <w:rPr>
          <w:i/>
          <w:sz w:val="24"/>
          <w:szCs w:val="24"/>
        </w:rPr>
        <w:t>kozeného na jeho právní nástupce</w:t>
      </w:r>
      <w:r w:rsidRPr="00C07033">
        <w:rPr>
          <w:sz w:val="24"/>
          <w:szCs w:val="24"/>
        </w:rPr>
        <w:t>, odpovídám kladně. Právní podklad pro tento postup existuje a to formou dotváření práva, konkrétně analogie s úpravou obsaženou v TŘ.</w:t>
      </w:r>
      <w:r w:rsidR="00441D68" w:rsidRPr="00C07033">
        <w:rPr>
          <w:sz w:val="24"/>
          <w:szCs w:val="24"/>
        </w:rPr>
        <w:t xml:space="preserve"> </w:t>
      </w:r>
      <w:r w:rsidRPr="00C07033">
        <w:rPr>
          <w:sz w:val="24"/>
          <w:szCs w:val="24"/>
        </w:rPr>
        <w:t xml:space="preserve">Současně se v práci vyjadřuji k některým stávajícím problémům a nejasnostem soudobé úpravy, které však nebyly přetaveny do formy výzkumných otázek, avšak zaslouží si v práci pozornost a určitou analýzu s návrhem řešení </w:t>
      </w:r>
      <w:r w:rsidRPr="00E52CEB">
        <w:rPr>
          <w:i/>
          <w:sz w:val="24"/>
          <w:szCs w:val="24"/>
        </w:rPr>
        <w:t>de lege ferenda</w:t>
      </w:r>
      <w:r w:rsidRPr="00C07033">
        <w:rPr>
          <w:sz w:val="24"/>
          <w:szCs w:val="24"/>
        </w:rPr>
        <w:t>. Tedy</w:t>
      </w:r>
      <w:r w:rsidR="00E52CEB">
        <w:rPr>
          <w:sz w:val="24"/>
          <w:szCs w:val="24"/>
        </w:rPr>
        <w:t xml:space="preserve"> například</w:t>
      </w:r>
      <w:r w:rsidRPr="00C07033">
        <w:rPr>
          <w:sz w:val="24"/>
          <w:szCs w:val="24"/>
        </w:rPr>
        <w:t xml:space="preserve"> byla identifikována mezera právní úpravy v </w:t>
      </w:r>
      <w:r w:rsidR="00E21352" w:rsidRPr="00C07033">
        <w:rPr>
          <w:sz w:val="24"/>
          <w:szCs w:val="24"/>
        </w:rPr>
        <w:t>ZoSP</w:t>
      </w:r>
      <w:r w:rsidRPr="00C07033">
        <w:rPr>
          <w:sz w:val="24"/>
          <w:szCs w:val="24"/>
        </w:rPr>
        <w:t>, kde ve výčtu osob, které jsou osvobozeny od soudního poplatku, absentuje osoba, které byla přestupkem způsobena újma. Tato osoba by měla být od poplatku osvobozena stejně jako osoba poškozeného</w:t>
      </w:r>
      <w:r w:rsidRPr="00D845BD">
        <w:rPr>
          <w:sz w:val="24"/>
          <w:szCs w:val="24"/>
        </w:rPr>
        <w:t xml:space="preserve"> odkázaná na civilní řízení z trestního řízení, neboť teleologie ustanovení je totožná. Opět zde docházím k vhodnosti zaplnění této mezery formou a</w:t>
      </w:r>
      <w:r w:rsidR="00E21352">
        <w:rPr>
          <w:sz w:val="24"/>
          <w:szCs w:val="24"/>
        </w:rPr>
        <w:t xml:space="preserve">nalogie. </w:t>
      </w:r>
      <w:r w:rsidRPr="00D845BD">
        <w:rPr>
          <w:sz w:val="24"/>
          <w:szCs w:val="24"/>
        </w:rPr>
        <w:t xml:space="preserve">Dále pak upozorňuji na možný aplikační problém ustanovení § 70 odst. 3 PřesZ, které může v teoretických situacích spíše zdržovat poškozeného s vymáháním jeho nároku, než naopak. </w:t>
      </w:r>
      <w:r w:rsidRPr="00D845BD">
        <w:rPr>
          <w:i/>
          <w:sz w:val="24"/>
          <w:szCs w:val="24"/>
        </w:rPr>
        <w:t>De lege ferenda</w:t>
      </w:r>
      <w:r w:rsidRPr="00D845BD">
        <w:rPr>
          <w:sz w:val="24"/>
          <w:szCs w:val="24"/>
        </w:rPr>
        <w:t xml:space="preserve"> navrhuji toto ustanovení vypustit a příjmout takové řešení případného souběhu adhezního a civilní řízení, které obsahuje TŘ. Další nejasností, které se v práci dotýkám, je určitá nejasnost ohledně způsobu náhrady újmy, tedy konkrétně, zda může poškozený žádat náhradu újmy formou naturální restituce, či pouze v penězích, jako je tomu v trestním řádu. Docházím k z</w:t>
      </w:r>
      <w:r w:rsidR="00C03402">
        <w:rPr>
          <w:sz w:val="24"/>
          <w:szCs w:val="24"/>
        </w:rPr>
        <w:t>ávěru, že naturální restituci v</w:t>
      </w:r>
      <w:r w:rsidRPr="00D845BD">
        <w:rPr>
          <w:sz w:val="24"/>
          <w:szCs w:val="24"/>
        </w:rPr>
        <w:t xml:space="preserve"> případě přestu</w:t>
      </w:r>
      <w:r w:rsidR="00E52CEB">
        <w:rPr>
          <w:sz w:val="24"/>
          <w:szCs w:val="24"/>
        </w:rPr>
        <w:t>pkového řízení nic nebrání.</w:t>
      </w:r>
      <w:r w:rsidR="00E52CEB">
        <w:rPr>
          <w:rFonts w:eastAsia="Aptos"/>
          <w:sz w:val="24"/>
          <w:szCs w:val="24"/>
        </w:rPr>
        <w:t xml:space="preserve"> </w:t>
      </w:r>
      <w:r w:rsidRPr="00D845BD">
        <w:rPr>
          <w:rFonts w:eastAsia="Aptos"/>
          <w:sz w:val="24"/>
          <w:szCs w:val="24"/>
        </w:rPr>
        <w:t>V obecné rovině považuji soudobou právní úpravu adhezního řízení v řízení o přestupcích za relativně dobře nastavenou,</w:t>
      </w:r>
      <w:r w:rsidR="00E21352">
        <w:rPr>
          <w:rFonts w:eastAsia="Aptos"/>
          <w:sz w:val="24"/>
          <w:szCs w:val="24"/>
        </w:rPr>
        <w:t xml:space="preserve"> byť</w:t>
      </w:r>
      <w:r w:rsidRPr="00D845BD">
        <w:rPr>
          <w:rFonts w:eastAsia="Aptos"/>
          <w:sz w:val="24"/>
          <w:szCs w:val="24"/>
        </w:rPr>
        <w:t xml:space="preserve"> </w:t>
      </w:r>
      <w:r w:rsidRPr="00D845BD">
        <w:rPr>
          <w:rFonts w:eastAsia="Aptos"/>
          <w:i/>
          <w:sz w:val="24"/>
          <w:szCs w:val="24"/>
        </w:rPr>
        <w:t>de lege ferenda</w:t>
      </w:r>
      <w:r w:rsidRPr="00D845BD">
        <w:rPr>
          <w:rFonts w:eastAsia="Aptos"/>
          <w:sz w:val="24"/>
          <w:szCs w:val="24"/>
        </w:rPr>
        <w:t xml:space="preserve"> navrhuji </w:t>
      </w:r>
      <w:r w:rsidRPr="00D845BD">
        <w:rPr>
          <w:rFonts w:eastAsia="Aptos"/>
          <w:sz w:val="24"/>
          <w:szCs w:val="24"/>
        </w:rPr>
        <w:lastRenderedPageBreak/>
        <w:t>zapracovat prvky zmíněné ve výše zmíněných odstavcích</w:t>
      </w:r>
      <w:r w:rsidR="00E21352">
        <w:rPr>
          <w:rFonts w:eastAsia="Aptos"/>
          <w:sz w:val="24"/>
          <w:szCs w:val="24"/>
        </w:rPr>
        <w:t>, které jsou poměrně podrobně rozepsány v celé práci</w:t>
      </w:r>
      <w:r w:rsidRPr="00D845BD">
        <w:rPr>
          <w:rFonts w:eastAsia="Aptos"/>
          <w:sz w:val="24"/>
          <w:szCs w:val="24"/>
        </w:rPr>
        <w:t xml:space="preserve">, či alespoň o </w:t>
      </w:r>
      <w:r w:rsidR="00E21352">
        <w:rPr>
          <w:rFonts w:eastAsia="Aptos"/>
          <w:sz w:val="24"/>
          <w:szCs w:val="24"/>
        </w:rPr>
        <w:t>nich</w:t>
      </w:r>
      <w:r w:rsidRPr="00D845BD">
        <w:rPr>
          <w:rFonts w:eastAsia="Aptos"/>
          <w:sz w:val="24"/>
          <w:szCs w:val="24"/>
        </w:rPr>
        <w:t xml:space="preserve"> otevřít debatu</w:t>
      </w:r>
      <w:r w:rsidR="00E21352">
        <w:rPr>
          <w:rFonts w:eastAsia="Aptos"/>
          <w:sz w:val="24"/>
          <w:szCs w:val="24"/>
        </w:rPr>
        <w:t>, resp. v ní pokračovat</w:t>
      </w:r>
      <w:r w:rsidRPr="00D845BD">
        <w:rPr>
          <w:rFonts w:eastAsia="Aptos"/>
          <w:sz w:val="24"/>
          <w:szCs w:val="24"/>
        </w:rPr>
        <w:t>.</w:t>
      </w:r>
    </w:p>
    <w:p w:rsidR="00CC24F4" w:rsidRDefault="00B425CE" w:rsidP="006A3693">
      <w:pPr>
        <w:spacing w:after="160" w:line="360" w:lineRule="auto"/>
        <w:ind w:right="567"/>
        <w:jc w:val="both"/>
        <w:rPr>
          <w:rFonts w:eastAsia="Aptos"/>
          <w:sz w:val="24"/>
          <w:szCs w:val="24"/>
        </w:rPr>
      </w:pPr>
      <w:r w:rsidRPr="00D845BD">
        <w:rPr>
          <w:rFonts w:eastAsia="Aptos"/>
          <w:sz w:val="24"/>
          <w:szCs w:val="24"/>
        </w:rPr>
        <w:br/>
      </w:r>
    </w:p>
    <w:p w:rsidR="00CC24F4" w:rsidRDefault="00CC24F4" w:rsidP="006A3693">
      <w:pPr>
        <w:spacing w:after="160" w:line="360" w:lineRule="auto"/>
        <w:ind w:right="567"/>
        <w:jc w:val="both"/>
        <w:rPr>
          <w:rFonts w:eastAsia="Aptos"/>
          <w:sz w:val="24"/>
          <w:szCs w:val="24"/>
        </w:rPr>
      </w:pPr>
    </w:p>
    <w:p w:rsidR="002F0B6C" w:rsidRDefault="002F0B6C" w:rsidP="006A3693">
      <w:pPr>
        <w:spacing w:after="160" w:line="360" w:lineRule="auto"/>
        <w:ind w:right="567"/>
        <w:jc w:val="both"/>
        <w:rPr>
          <w:rFonts w:eastAsia="Aptos"/>
          <w:b/>
          <w:sz w:val="32"/>
          <w:szCs w:val="32"/>
        </w:rPr>
      </w:pPr>
    </w:p>
    <w:p w:rsidR="005833E8" w:rsidRDefault="005833E8" w:rsidP="006A3693">
      <w:pPr>
        <w:spacing w:after="160" w:line="360" w:lineRule="auto"/>
        <w:ind w:right="567"/>
        <w:jc w:val="both"/>
        <w:rPr>
          <w:rFonts w:eastAsia="Aptos"/>
          <w:b/>
          <w:sz w:val="32"/>
          <w:szCs w:val="32"/>
        </w:rPr>
      </w:pPr>
    </w:p>
    <w:p w:rsidR="005833E8" w:rsidRDefault="005833E8" w:rsidP="006A3693">
      <w:pPr>
        <w:spacing w:after="160" w:line="360" w:lineRule="auto"/>
        <w:ind w:right="567"/>
        <w:jc w:val="both"/>
        <w:rPr>
          <w:rFonts w:eastAsia="Aptos"/>
          <w:b/>
          <w:sz w:val="32"/>
          <w:szCs w:val="32"/>
        </w:rPr>
      </w:pPr>
    </w:p>
    <w:p w:rsidR="005833E8" w:rsidRDefault="005833E8" w:rsidP="006A3693">
      <w:pPr>
        <w:spacing w:after="160" w:line="360" w:lineRule="auto"/>
        <w:ind w:right="567"/>
        <w:jc w:val="both"/>
        <w:rPr>
          <w:rFonts w:eastAsia="Aptos"/>
          <w:b/>
          <w:sz w:val="32"/>
          <w:szCs w:val="32"/>
        </w:rPr>
      </w:pPr>
    </w:p>
    <w:p w:rsidR="005833E8" w:rsidRDefault="005833E8" w:rsidP="006A3693">
      <w:pPr>
        <w:spacing w:after="160" w:line="360" w:lineRule="auto"/>
        <w:ind w:right="567"/>
        <w:jc w:val="both"/>
        <w:rPr>
          <w:rFonts w:eastAsia="Aptos"/>
          <w:b/>
          <w:sz w:val="32"/>
          <w:szCs w:val="32"/>
        </w:rPr>
      </w:pPr>
    </w:p>
    <w:p w:rsidR="005833E8" w:rsidRDefault="005833E8" w:rsidP="006A3693">
      <w:pPr>
        <w:spacing w:after="160" w:line="360" w:lineRule="auto"/>
        <w:ind w:right="567"/>
        <w:jc w:val="both"/>
        <w:rPr>
          <w:rFonts w:eastAsia="Aptos"/>
          <w:b/>
          <w:sz w:val="32"/>
          <w:szCs w:val="32"/>
        </w:rPr>
      </w:pPr>
    </w:p>
    <w:p w:rsidR="005833E8" w:rsidRDefault="005833E8" w:rsidP="006A3693">
      <w:pPr>
        <w:spacing w:after="160" w:line="360" w:lineRule="auto"/>
        <w:ind w:right="567"/>
        <w:jc w:val="both"/>
        <w:rPr>
          <w:rFonts w:eastAsia="Aptos"/>
          <w:b/>
          <w:sz w:val="32"/>
          <w:szCs w:val="32"/>
        </w:rPr>
      </w:pPr>
    </w:p>
    <w:p w:rsidR="005833E8" w:rsidRDefault="005833E8" w:rsidP="006A3693">
      <w:pPr>
        <w:spacing w:after="160" w:line="360" w:lineRule="auto"/>
        <w:ind w:right="567"/>
        <w:jc w:val="both"/>
        <w:rPr>
          <w:rFonts w:eastAsia="Aptos"/>
          <w:b/>
          <w:sz w:val="32"/>
          <w:szCs w:val="32"/>
        </w:rPr>
      </w:pPr>
    </w:p>
    <w:p w:rsidR="005833E8" w:rsidRDefault="005833E8" w:rsidP="006A3693">
      <w:pPr>
        <w:spacing w:after="160" w:line="360" w:lineRule="auto"/>
        <w:ind w:right="567"/>
        <w:jc w:val="both"/>
        <w:rPr>
          <w:rFonts w:eastAsia="Aptos"/>
          <w:b/>
          <w:sz w:val="32"/>
          <w:szCs w:val="32"/>
        </w:rPr>
      </w:pPr>
    </w:p>
    <w:p w:rsidR="005833E8" w:rsidRDefault="005833E8" w:rsidP="006A3693">
      <w:pPr>
        <w:spacing w:after="160" w:line="360" w:lineRule="auto"/>
        <w:ind w:right="567"/>
        <w:jc w:val="both"/>
        <w:rPr>
          <w:rFonts w:eastAsia="Aptos"/>
          <w:b/>
          <w:sz w:val="32"/>
          <w:szCs w:val="32"/>
        </w:rPr>
      </w:pPr>
    </w:p>
    <w:p w:rsidR="005833E8" w:rsidRDefault="005833E8" w:rsidP="006A3693">
      <w:pPr>
        <w:spacing w:after="160" w:line="360" w:lineRule="auto"/>
        <w:ind w:right="567"/>
        <w:jc w:val="both"/>
        <w:rPr>
          <w:rFonts w:eastAsia="Aptos"/>
          <w:b/>
          <w:sz w:val="32"/>
          <w:szCs w:val="32"/>
        </w:rPr>
      </w:pPr>
    </w:p>
    <w:p w:rsidR="005833E8" w:rsidRDefault="005833E8" w:rsidP="006A3693">
      <w:pPr>
        <w:spacing w:after="160" w:line="360" w:lineRule="auto"/>
        <w:ind w:right="567"/>
        <w:jc w:val="both"/>
        <w:rPr>
          <w:rFonts w:eastAsia="Aptos"/>
          <w:b/>
          <w:sz w:val="32"/>
          <w:szCs w:val="32"/>
        </w:rPr>
      </w:pPr>
    </w:p>
    <w:p w:rsidR="005833E8" w:rsidRDefault="005833E8" w:rsidP="006A3693">
      <w:pPr>
        <w:spacing w:after="160" w:line="360" w:lineRule="auto"/>
        <w:ind w:right="567"/>
        <w:jc w:val="both"/>
        <w:rPr>
          <w:rFonts w:eastAsia="Aptos"/>
          <w:b/>
          <w:sz w:val="32"/>
          <w:szCs w:val="32"/>
        </w:rPr>
      </w:pPr>
    </w:p>
    <w:p w:rsidR="005833E8" w:rsidRDefault="005833E8" w:rsidP="006A3693">
      <w:pPr>
        <w:spacing w:after="160" w:line="360" w:lineRule="auto"/>
        <w:ind w:right="567"/>
        <w:jc w:val="both"/>
        <w:rPr>
          <w:rFonts w:eastAsia="Aptos"/>
          <w:b/>
          <w:sz w:val="32"/>
          <w:szCs w:val="32"/>
        </w:rPr>
      </w:pPr>
    </w:p>
    <w:p w:rsidR="005833E8" w:rsidRDefault="005833E8" w:rsidP="006A3693">
      <w:pPr>
        <w:spacing w:after="160" w:line="360" w:lineRule="auto"/>
        <w:ind w:right="567"/>
        <w:jc w:val="both"/>
        <w:rPr>
          <w:rFonts w:eastAsia="Aptos"/>
          <w:b/>
          <w:sz w:val="32"/>
          <w:szCs w:val="32"/>
        </w:rPr>
      </w:pPr>
    </w:p>
    <w:p w:rsidR="005833E8" w:rsidRDefault="005833E8" w:rsidP="006A3693">
      <w:pPr>
        <w:spacing w:after="160" w:line="360" w:lineRule="auto"/>
        <w:ind w:right="567"/>
        <w:jc w:val="both"/>
        <w:rPr>
          <w:rFonts w:eastAsia="Aptos"/>
          <w:b/>
          <w:sz w:val="32"/>
          <w:szCs w:val="32"/>
        </w:rPr>
      </w:pPr>
    </w:p>
    <w:p w:rsidR="00E21352" w:rsidRDefault="00B425CE" w:rsidP="00C07033">
      <w:pPr>
        <w:pStyle w:val="Nadpis1"/>
      </w:pPr>
      <w:bookmarkStart w:id="108" w:name="_Toc190464528"/>
      <w:bookmarkStart w:id="109" w:name="_Toc190466567"/>
      <w:bookmarkStart w:id="110" w:name="_Toc190468815"/>
      <w:bookmarkStart w:id="111" w:name="_Toc190476401"/>
      <w:r w:rsidRPr="00CC24F4">
        <w:lastRenderedPageBreak/>
        <w:t>Seznam použitých zdrojů</w:t>
      </w:r>
      <w:bookmarkEnd w:id="108"/>
      <w:bookmarkEnd w:id="109"/>
      <w:bookmarkEnd w:id="110"/>
      <w:bookmarkEnd w:id="111"/>
    </w:p>
    <w:p w:rsidR="00E21352" w:rsidRDefault="00B425CE" w:rsidP="00C07033">
      <w:pPr>
        <w:pStyle w:val="Nadpis2"/>
        <w:rPr>
          <w:sz w:val="32"/>
        </w:rPr>
      </w:pPr>
      <w:r w:rsidRPr="00D845BD">
        <w:rPr>
          <w:sz w:val="24"/>
          <w:szCs w:val="24"/>
        </w:rPr>
        <w:br/>
      </w:r>
      <w:bookmarkStart w:id="112" w:name="_Toc190464529"/>
      <w:bookmarkStart w:id="113" w:name="_Toc190466568"/>
      <w:bookmarkStart w:id="114" w:name="_Toc190468816"/>
      <w:bookmarkStart w:id="115" w:name="_Toc190476402"/>
      <w:r w:rsidRPr="00CC24F4">
        <w:t>Monografie, učebnice, komentáře</w:t>
      </w:r>
      <w:bookmarkEnd w:id="112"/>
      <w:bookmarkEnd w:id="113"/>
      <w:bookmarkEnd w:id="114"/>
      <w:bookmarkEnd w:id="115"/>
    </w:p>
    <w:p w:rsidR="00E21352" w:rsidRDefault="00B425CE" w:rsidP="006A3693">
      <w:pPr>
        <w:spacing w:after="160" w:line="360" w:lineRule="auto"/>
        <w:ind w:right="567"/>
        <w:jc w:val="both"/>
        <w:rPr>
          <w:rFonts w:eastAsia="Aptos"/>
          <w:b/>
          <w:sz w:val="32"/>
          <w:szCs w:val="32"/>
        </w:rPr>
      </w:pPr>
      <w:r w:rsidRPr="00D845BD">
        <w:rPr>
          <w:rFonts w:eastAsia="Aptos"/>
          <w:sz w:val="24"/>
          <w:szCs w:val="24"/>
        </w:rPr>
        <w:br/>
        <w:t xml:space="preserve">BOHADLO, David a kol. </w:t>
      </w:r>
      <w:r w:rsidRPr="00D845BD">
        <w:rPr>
          <w:rFonts w:eastAsia="Aptos"/>
          <w:i/>
          <w:sz w:val="24"/>
          <w:szCs w:val="24"/>
        </w:rPr>
        <w:t xml:space="preserve">Správní trestání z hlediska praxe a judikatury. </w:t>
      </w:r>
      <w:r w:rsidRPr="00D845BD">
        <w:rPr>
          <w:rFonts w:eastAsia="Aptos"/>
          <w:sz w:val="24"/>
          <w:szCs w:val="24"/>
        </w:rPr>
        <w:t>Praha: C.H. Beck, 2013, 206 s.</w:t>
      </w:r>
    </w:p>
    <w:p w:rsidR="00D845BD" w:rsidRPr="00E21352" w:rsidRDefault="00B425CE" w:rsidP="006A3693">
      <w:pPr>
        <w:spacing w:after="160" w:line="360" w:lineRule="auto"/>
        <w:ind w:right="567"/>
        <w:jc w:val="both"/>
        <w:rPr>
          <w:rFonts w:eastAsia="Aptos"/>
          <w:b/>
          <w:sz w:val="32"/>
          <w:szCs w:val="32"/>
        </w:rPr>
      </w:pPr>
      <w:r w:rsidRPr="00D845BD">
        <w:rPr>
          <w:sz w:val="24"/>
          <w:szCs w:val="24"/>
        </w:rPr>
        <w:t xml:space="preserve">BOHADLO, David a kol. </w:t>
      </w:r>
      <w:r w:rsidRPr="00D845BD">
        <w:rPr>
          <w:i/>
          <w:sz w:val="24"/>
          <w:szCs w:val="24"/>
        </w:rPr>
        <w:t>Zákon o odpovědnosti za přestupky a řízení o nich. Komentář.</w:t>
      </w:r>
      <w:r w:rsidRPr="00D845BD">
        <w:rPr>
          <w:sz w:val="24"/>
          <w:szCs w:val="24"/>
        </w:rPr>
        <w:t xml:space="preserve"> Praha: Wolters Kluwer, 2018, 596 s.</w:t>
      </w:r>
    </w:p>
    <w:p w:rsidR="00D845BD" w:rsidRPr="00D845BD" w:rsidRDefault="00B425CE" w:rsidP="006A3693">
      <w:pPr>
        <w:spacing w:after="160" w:line="360" w:lineRule="auto"/>
        <w:ind w:right="567"/>
        <w:jc w:val="both"/>
        <w:rPr>
          <w:sz w:val="24"/>
          <w:szCs w:val="24"/>
        </w:rPr>
      </w:pPr>
      <w:r w:rsidRPr="00D845BD">
        <w:rPr>
          <w:sz w:val="24"/>
          <w:szCs w:val="24"/>
        </w:rPr>
        <w:t xml:space="preserve">DRAŠTÍK, Antonín a kol. </w:t>
      </w:r>
      <w:r w:rsidRPr="00D845BD">
        <w:rPr>
          <w:i/>
          <w:sz w:val="24"/>
          <w:szCs w:val="24"/>
        </w:rPr>
        <w:t>Trestní řád. Komentář. I. díl. § 1 až 179h.</w:t>
      </w:r>
      <w:r w:rsidRPr="00D845BD">
        <w:rPr>
          <w:sz w:val="24"/>
          <w:szCs w:val="24"/>
        </w:rPr>
        <w:t xml:space="preserve"> Praha: Wolters Kluwer, 2017, 1383 s. </w:t>
      </w:r>
    </w:p>
    <w:p w:rsidR="00D845BD" w:rsidRPr="00D845BD" w:rsidRDefault="00284190" w:rsidP="006A3693">
      <w:pPr>
        <w:spacing w:after="160" w:line="360" w:lineRule="auto"/>
        <w:ind w:right="567"/>
        <w:jc w:val="both"/>
        <w:rPr>
          <w:sz w:val="24"/>
          <w:szCs w:val="24"/>
        </w:rPr>
      </w:pPr>
      <w:r>
        <w:rPr>
          <w:sz w:val="24"/>
          <w:szCs w:val="24"/>
        </w:rPr>
        <w:t>F</w:t>
      </w:r>
      <w:r w:rsidR="00B425CE" w:rsidRPr="00D845BD">
        <w:rPr>
          <w:sz w:val="24"/>
          <w:szCs w:val="24"/>
        </w:rPr>
        <w:t xml:space="preserve">ENYK, Jaroslav, CÍSAŘOVÁ, Dagmar a kol. </w:t>
      </w:r>
      <w:r w:rsidR="00B425CE" w:rsidRPr="00D845BD">
        <w:rPr>
          <w:i/>
          <w:sz w:val="24"/>
          <w:szCs w:val="24"/>
        </w:rPr>
        <w:t>Trestní právo procesní.</w:t>
      </w:r>
      <w:r w:rsidR="00B425CE" w:rsidRPr="00D845BD">
        <w:rPr>
          <w:sz w:val="24"/>
          <w:szCs w:val="24"/>
        </w:rPr>
        <w:t xml:space="preserve"> 8. Vydání. Praha: Wolters Kluwer a.s., 2024, 880 s.</w:t>
      </w:r>
    </w:p>
    <w:p w:rsidR="00D845BD" w:rsidRPr="00D845BD" w:rsidRDefault="00B425CE" w:rsidP="006A3693">
      <w:pPr>
        <w:spacing w:after="160" w:line="360" w:lineRule="auto"/>
        <w:ind w:right="567"/>
        <w:jc w:val="both"/>
        <w:rPr>
          <w:rFonts w:eastAsia="Aptos"/>
          <w:sz w:val="24"/>
          <w:szCs w:val="24"/>
        </w:rPr>
      </w:pPr>
      <w:r w:rsidRPr="00D845BD">
        <w:rPr>
          <w:rFonts w:eastAsia="Aptos"/>
          <w:sz w:val="24"/>
          <w:szCs w:val="24"/>
        </w:rPr>
        <w:t xml:space="preserve">FIALA, Zdeněk a kol. </w:t>
      </w:r>
      <w:r w:rsidRPr="00D845BD">
        <w:rPr>
          <w:rFonts w:eastAsia="Aptos"/>
          <w:i/>
          <w:sz w:val="24"/>
          <w:szCs w:val="24"/>
        </w:rPr>
        <w:t>Správní právo trestní</w:t>
      </w:r>
      <w:r w:rsidRPr="00D845BD">
        <w:rPr>
          <w:rFonts w:eastAsia="Aptos"/>
          <w:sz w:val="24"/>
          <w:szCs w:val="24"/>
        </w:rPr>
        <w:t>, 2. vydání, Praha: Leges, 2021, 308 s</w:t>
      </w:r>
    </w:p>
    <w:p w:rsidR="00E21352" w:rsidRDefault="00B425CE" w:rsidP="006A3693">
      <w:pPr>
        <w:spacing w:after="160" w:line="360" w:lineRule="auto"/>
        <w:ind w:right="567"/>
        <w:jc w:val="both"/>
        <w:rPr>
          <w:rFonts w:eastAsia="Aptos"/>
          <w:sz w:val="24"/>
          <w:szCs w:val="24"/>
        </w:rPr>
      </w:pPr>
      <w:r w:rsidRPr="00D845BD">
        <w:rPr>
          <w:rFonts w:eastAsia="Aptos"/>
          <w:sz w:val="24"/>
          <w:szCs w:val="24"/>
        </w:rPr>
        <w:t xml:space="preserve">FRUMAROVÁ, Kateřina a kol. </w:t>
      </w:r>
      <w:r w:rsidRPr="00D845BD">
        <w:rPr>
          <w:rFonts w:eastAsia="Aptos"/>
          <w:i/>
          <w:sz w:val="24"/>
          <w:szCs w:val="24"/>
        </w:rPr>
        <w:t xml:space="preserve">Správní právo procesní, </w:t>
      </w:r>
      <w:r w:rsidRPr="00D845BD">
        <w:rPr>
          <w:rFonts w:eastAsia="Aptos"/>
          <w:sz w:val="24"/>
          <w:szCs w:val="24"/>
        </w:rPr>
        <w:t>Praha: Leges, 2021, 544 s</w:t>
      </w:r>
    </w:p>
    <w:p w:rsidR="004456B9" w:rsidRPr="00E21352" w:rsidRDefault="00B425CE" w:rsidP="006A3693">
      <w:pPr>
        <w:spacing w:after="160" w:line="360" w:lineRule="auto"/>
        <w:ind w:right="567"/>
        <w:jc w:val="both"/>
        <w:rPr>
          <w:rFonts w:eastAsia="Aptos"/>
          <w:sz w:val="24"/>
          <w:szCs w:val="24"/>
        </w:rPr>
      </w:pPr>
      <w:r w:rsidRPr="004456B9">
        <w:rPr>
          <w:sz w:val="24"/>
          <w:szCs w:val="24"/>
        </w:rPr>
        <w:t xml:space="preserve">HORZINKOVÁ, Eva, KUČEROVÁ, Helena. </w:t>
      </w:r>
      <w:r w:rsidRPr="004456B9">
        <w:rPr>
          <w:i/>
          <w:sz w:val="24"/>
          <w:szCs w:val="24"/>
        </w:rPr>
        <w:t xml:space="preserve">Zákon o přestupcích s komentářem a judikaturou. </w:t>
      </w:r>
      <w:r w:rsidRPr="004456B9">
        <w:rPr>
          <w:sz w:val="24"/>
          <w:szCs w:val="24"/>
        </w:rPr>
        <w:t>3. vydání. Praha: Leges, 2016</w:t>
      </w:r>
      <w:r w:rsidR="00D845BD" w:rsidRPr="004456B9">
        <w:rPr>
          <w:sz w:val="24"/>
          <w:szCs w:val="24"/>
        </w:rPr>
        <w:t>, s. 576</w:t>
      </w:r>
    </w:p>
    <w:p w:rsidR="00E21352" w:rsidRDefault="004456B9" w:rsidP="006A3693">
      <w:pPr>
        <w:spacing w:line="360" w:lineRule="auto"/>
        <w:ind w:right="567"/>
        <w:rPr>
          <w:sz w:val="24"/>
          <w:szCs w:val="24"/>
        </w:rPr>
      </w:pPr>
      <w:r>
        <w:rPr>
          <w:rFonts w:eastAsia="Aptos"/>
          <w:sz w:val="24"/>
          <w:szCs w:val="24"/>
        </w:rPr>
        <w:t>J</w:t>
      </w:r>
      <w:r w:rsidR="00B425CE" w:rsidRPr="00D845BD">
        <w:rPr>
          <w:sz w:val="24"/>
          <w:szCs w:val="24"/>
        </w:rPr>
        <w:t xml:space="preserve">ELÍNEK, Jiří a kol. </w:t>
      </w:r>
      <w:r w:rsidR="00B425CE" w:rsidRPr="00D845BD">
        <w:rPr>
          <w:i/>
          <w:sz w:val="24"/>
          <w:szCs w:val="24"/>
        </w:rPr>
        <w:t>Trestní právo procesní.</w:t>
      </w:r>
      <w:r w:rsidR="00B425CE" w:rsidRPr="00D845BD">
        <w:rPr>
          <w:sz w:val="24"/>
          <w:szCs w:val="24"/>
        </w:rPr>
        <w:t xml:space="preserve"> 6. Vydání. Praha: Leges, 2021, 942 s.</w:t>
      </w:r>
    </w:p>
    <w:p w:rsidR="00E21352" w:rsidRDefault="00B425CE" w:rsidP="006A3693">
      <w:pPr>
        <w:spacing w:line="360" w:lineRule="auto"/>
        <w:ind w:right="567"/>
        <w:rPr>
          <w:sz w:val="24"/>
          <w:szCs w:val="24"/>
        </w:rPr>
      </w:pPr>
      <w:r w:rsidRPr="00D845BD">
        <w:rPr>
          <w:sz w:val="24"/>
          <w:szCs w:val="24"/>
        </w:rPr>
        <w:t xml:space="preserve">JELÍNEK, Jiří a kol. </w:t>
      </w:r>
      <w:r w:rsidRPr="00D845BD">
        <w:rPr>
          <w:i/>
          <w:sz w:val="24"/>
          <w:szCs w:val="24"/>
        </w:rPr>
        <w:t>Trestní právo procesní</w:t>
      </w:r>
      <w:r w:rsidRPr="00D845BD">
        <w:rPr>
          <w:sz w:val="24"/>
          <w:szCs w:val="24"/>
        </w:rPr>
        <w:t>. 7. Vydání. Praha: Leges, 2023, 956 s.</w:t>
      </w:r>
    </w:p>
    <w:p w:rsidR="00E21352" w:rsidRDefault="00B425CE" w:rsidP="006A3693">
      <w:pPr>
        <w:spacing w:line="360" w:lineRule="auto"/>
        <w:ind w:right="567"/>
        <w:rPr>
          <w:sz w:val="24"/>
          <w:szCs w:val="24"/>
        </w:rPr>
      </w:pPr>
      <w:r w:rsidRPr="00D845BD">
        <w:rPr>
          <w:sz w:val="24"/>
          <w:szCs w:val="24"/>
        </w:rPr>
        <w:t xml:space="preserve">JELÍNEK, Jiří a kol. </w:t>
      </w:r>
      <w:r w:rsidRPr="00D845BD">
        <w:rPr>
          <w:i/>
          <w:sz w:val="24"/>
          <w:szCs w:val="24"/>
        </w:rPr>
        <w:t>Zákon o obětech Tč</w:t>
      </w:r>
      <w:r w:rsidRPr="00D845BD">
        <w:rPr>
          <w:sz w:val="24"/>
          <w:szCs w:val="24"/>
        </w:rPr>
        <w:t xml:space="preserve">. </w:t>
      </w:r>
      <w:r w:rsidRPr="00D845BD">
        <w:rPr>
          <w:i/>
          <w:sz w:val="24"/>
          <w:szCs w:val="24"/>
        </w:rPr>
        <w:t>Komentář s Judikaturou</w:t>
      </w:r>
      <w:r w:rsidRPr="00D845BD">
        <w:rPr>
          <w:sz w:val="24"/>
          <w:szCs w:val="24"/>
        </w:rPr>
        <w:t>. 2. Vydání, Praha: Leges, 2014, 391 s.</w:t>
      </w:r>
    </w:p>
    <w:p w:rsidR="00E21352" w:rsidRDefault="00B425CE" w:rsidP="006A3693">
      <w:pPr>
        <w:spacing w:after="160" w:line="360" w:lineRule="auto"/>
        <w:ind w:right="567"/>
        <w:jc w:val="both"/>
        <w:rPr>
          <w:sz w:val="24"/>
          <w:szCs w:val="24"/>
        </w:rPr>
      </w:pPr>
      <w:r w:rsidRPr="00D845BD">
        <w:rPr>
          <w:sz w:val="24"/>
          <w:szCs w:val="24"/>
        </w:rPr>
        <w:t xml:space="preserve">JELÍNEK, Jiří, ŘÍHA, Jiří, </w:t>
      </w:r>
      <w:r w:rsidRPr="00D845BD">
        <w:rPr>
          <w:i/>
          <w:sz w:val="24"/>
          <w:szCs w:val="24"/>
        </w:rPr>
        <w:t>Rozhodnutí ve věcech trestních se vzory rozhodnutí soudů a podání advokátů</w:t>
      </w:r>
      <w:r w:rsidRPr="00D845BD">
        <w:rPr>
          <w:sz w:val="24"/>
          <w:szCs w:val="24"/>
        </w:rPr>
        <w:t xml:space="preserve">. 5. vydání, PRAHA: Leges, 2023, 624 s. </w:t>
      </w:r>
    </w:p>
    <w:p w:rsidR="00E21352" w:rsidRDefault="00B425CE" w:rsidP="006A3693">
      <w:pPr>
        <w:spacing w:after="160" w:line="360" w:lineRule="auto"/>
        <w:ind w:right="567"/>
        <w:jc w:val="both"/>
        <w:rPr>
          <w:sz w:val="24"/>
          <w:szCs w:val="24"/>
        </w:rPr>
      </w:pPr>
      <w:r w:rsidRPr="00D845BD">
        <w:rPr>
          <w:sz w:val="24"/>
          <w:szCs w:val="24"/>
        </w:rPr>
        <w:t xml:space="preserve">JEMELKA, Luboš a kol. </w:t>
      </w:r>
      <w:r w:rsidRPr="00D845BD">
        <w:rPr>
          <w:i/>
          <w:sz w:val="24"/>
          <w:szCs w:val="24"/>
        </w:rPr>
        <w:t>Správní řád.</w:t>
      </w:r>
      <w:r w:rsidRPr="00D845BD">
        <w:rPr>
          <w:sz w:val="24"/>
          <w:szCs w:val="24"/>
        </w:rPr>
        <w:t xml:space="preserve"> </w:t>
      </w:r>
      <w:r w:rsidRPr="00D845BD">
        <w:rPr>
          <w:i/>
          <w:sz w:val="24"/>
          <w:szCs w:val="24"/>
        </w:rPr>
        <w:t>Komentář. 7. Vydání.</w:t>
      </w:r>
      <w:r w:rsidRPr="00D845BD">
        <w:rPr>
          <w:sz w:val="24"/>
          <w:szCs w:val="24"/>
        </w:rPr>
        <w:t xml:space="preserve"> P</w:t>
      </w:r>
      <w:r w:rsidR="00E21352">
        <w:rPr>
          <w:sz w:val="24"/>
          <w:szCs w:val="24"/>
        </w:rPr>
        <w:t>raha: C.H. Beck, 2023, 1182 s.</w:t>
      </w:r>
    </w:p>
    <w:p w:rsidR="00E21352" w:rsidRDefault="00B425CE" w:rsidP="006A3693">
      <w:pPr>
        <w:spacing w:after="160" w:line="360" w:lineRule="auto"/>
        <w:ind w:right="567"/>
        <w:jc w:val="both"/>
        <w:rPr>
          <w:sz w:val="24"/>
          <w:szCs w:val="24"/>
        </w:rPr>
      </w:pPr>
      <w:r w:rsidRPr="00D845BD">
        <w:rPr>
          <w:sz w:val="24"/>
          <w:szCs w:val="24"/>
        </w:rPr>
        <w:t xml:space="preserve">JEMELKA, Luboš, VETEŠNÍK, Pavel. </w:t>
      </w:r>
      <w:r w:rsidRPr="00D845BD">
        <w:rPr>
          <w:i/>
          <w:sz w:val="24"/>
          <w:szCs w:val="24"/>
        </w:rPr>
        <w:t>Zákon o odpovědnosti za přestupky a řízení o nich. Zákon o některých přestupcích. Komentář.</w:t>
      </w:r>
      <w:r w:rsidRPr="00D845BD">
        <w:rPr>
          <w:sz w:val="24"/>
          <w:szCs w:val="24"/>
        </w:rPr>
        <w:t xml:space="preserve"> 2. vydání. Praha: C.H. Bec</w:t>
      </w:r>
      <w:r w:rsidR="00E21352">
        <w:rPr>
          <w:sz w:val="24"/>
          <w:szCs w:val="24"/>
        </w:rPr>
        <w:t>k, 2020, 1056 s.</w:t>
      </w:r>
    </w:p>
    <w:p w:rsidR="00E21352" w:rsidRDefault="00B425CE" w:rsidP="006A3693">
      <w:pPr>
        <w:spacing w:after="160" w:line="360" w:lineRule="auto"/>
        <w:ind w:right="567"/>
        <w:jc w:val="both"/>
        <w:rPr>
          <w:sz w:val="24"/>
          <w:szCs w:val="24"/>
        </w:rPr>
      </w:pPr>
      <w:r w:rsidRPr="00D845BD">
        <w:rPr>
          <w:sz w:val="24"/>
          <w:szCs w:val="24"/>
        </w:rPr>
        <w:t xml:space="preserve">JIRSA, Lubomír. </w:t>
      </w:r>
      <w:r w:rsidRPr="00D845BD">
        <w:rPr>
          <w:i/>
          <w:sz w:val="24"/>
          <w:szCs w:val="24"/>
        </w:rPr>
        <w:t xml:space="preserve">Občanské soudní řízení. Soudcovský komentář. Kniha I (§ 1 až 250l o. s. ř.). </w:t>
      </w:r>
      <w:r w:rsidRPr="00D845BD">
        <w:rPr>
          <w:sz w:val="24"/>
          <w:szCs w:val="24"/>
        </w:rPr>
        <w:t>4. Vydání. Praha: Wolter Kluwer, 2023, 1447 s.</w:t>
      </w:r>
    </w:p>
    <w:p w:rsidR="00E21352" w:rsidRDefault="00B425CE" w:rsidP="006A3693">
      <w:pPr>
        <w:spacing w:after="160" w:line="360" w:lineRule="auto"/>
        <w:ind w:right="567"/>
        <w:jc w:val="both"/>
        <w:rPr>
          <w:sz w:val="24"/>
          <w:szCs w:val="24"/>
        </w:rPr>
      </w:pPr>
      <w:r w:rsidRPr="00D845BD">
        <w:rPr>
          <w:rFonts w:eastAsia="Aptos"/>
          <w:sz w:val="24"/>
          <w:szCs w:val="24"/>
        </w:rPr>
        <w:lastRenderedPageBreak/>
        <w:t xml:space="preserve">KUČEROVÁ, Helena, HORZINKOVÁ, Eva. </w:t>
      </w:r>
      <w:r w:rsidRPr="00D845BD">
        <w:rPr>
          <w:rFonts w:eastAsia="Aptos"/>
          <w:i/>
          <w:sz w:val="24"/>
          <w:szCs w:val="24"/>
        </w:rPr>
        <w:t xml:space="preserve">Zákon o odpovědnosti za přestupky a řízení o nich a zákon o některých přestupcích s komentářem a judikaturou. </w:t>
      </w:r>
      <w:r w:rsidRPr="00D845BD">
        <w:rPr>
          <w:rFonts w:eastAsia="Aptos"/>
          <w:sz w:val="24"/>
          <w:szCs w:val="24"/>
        </w:rPr>
        <w:t>2. vydání</w:t>
      </w:r>
      <w:r w:rsidRPr="00D845BD">
        <w:rPr>
          <w:rFonts w:eastAsia="Aptos"/>
          <w:i/>
          <w:sz w:val="24"/>
          <w:szCs w:val="24"/>
        </w:rPr>
        <w:t xml:space="preserve">. </w:t>
      </w:r>
      <w:r w:rsidRPr="00D845BD">
        <w:rPr>
          <w:rFonts w:eastAsia="Aptos"/>
          <w:sz w:val="24"/>
          <w:szCs w:val="24"/>
        </w:rPr>
        <w:t>Praha: Leges, 2019, 960 s.</w:t>
      </w:r>
    </w:p>
    <w:p w:rsidR="00E21352" w:rsidRDefault="00B425CE" w:rsidP="006A3693">
      <w:pPr>
        <w:spacing w:after="160" w:line="360" w:lineRule="auto"/>
        <w:ind w:right="567"/>
        <w:jc w:val="both"/>
        <w:rPr>
          <w:sz w:val="24"/>
          <w:szCs w:val="24"/>
        </w:rPr>
      </w:pPr>
      <w:r w:rsidRPr="00D845BD">
        <w:rPr>
          <w:sz w:val="24"/>
          <w:szCs w:val="24"/>
        </w:rPr>
        <w:t xml:space="preserve">MATES, Pavel a kol. </w:t>
      </w:r>
      <w:r w:rsidRPr="00D845BD">
        <w:rPr>
          <w:i/>
          <w:sz w:val="24"/>
          <w:szCs w:val="24"/>
        </w:rPr>
        <w:t>Základy správního práva trestního</w:t>
      </w:r>
      <w:r w:rsidRPr="00D845BD">
        <w:rPr>
          <w:sz w:val="24"/>
          <w:szCs w:val="24"/>
        </w:rPr>
        <w:t xml:space="preserve">. 7. Vydání. </w:t>
      </w:r>
      <w:r w:rsidR="00E21352">
        <w:rPr>
          <w:sz w:val="24"/>
          <w:szCs w:val="24"/>
        </w:rPr>
        <w:t>Praha: C.H. Beck, 2017, 272 s.</w:t>
      </w:r>
    </w:p>
    <w:p w:rsidR="00E21352" w:rsidRDefault="00B425CE" w:rsidP="006A3693">
      <w:pPr>
        <w:spacing w:after="160" w:line="360" w:lineRule="auto"/>
        <w:ind w:right="567"/>
        <w:jc w:val="both"/>
        <w:rPr>
          <w:sz w:val="24"/>
          <w:szCs w:val="24"/>
        </w:rPr>
      </w:pPr>
      <w:r w:rsidRPr="00D845BD">
        <w:rPr>
          <w:sz w:val="24"/>
          <w:szCs w:val="24"/>
        </w:rPr>
        <w:t xml:space="preserve">MELZER, Filip. </w:t>
      </w:r>
      <w:r w:rsidRPr="00D845BD">
        <w:rPr>
          <w:i/>
          <w:sz w:val="24"/>
          <w:szCs w:val="24"/>
        </w:rPr>
        <w:t>Metodologie nalézání práva. Úvod do právní argumentace.</w:t>
      </w:r>
      <w:r w:rsidRPr="00D845BD">
        <w:rPr>
          <w:sz w:val="24"/>
          <w:szCs w:val="24"/>
        </w:rPr>
        <w:t xml:space="preserve"> 2. Vydání. Praha: C.H. Beck, 2011, 269 s.</w:t>
      </w:r>
    </w:p>
    <w:p w:rsidR="00E21352" w:rsidRDefault="00B425CE" w:rsidP="006A3693">
      <w:pPr>
        <w:spacing w:after="160" w:line="360" w:lineRule="auto"/>
        <w:ind w:right="567"/>
        <w:jc w:val="both"/>
        <w:rPr>
          <w:sz w:val="24"/>
          <w:szCs w:val="24"/>
        </w:rPr>
      </w:pPr>
      <w:r w:rsidRPr="00D845BD">
        <w:rPr>
          <w:sz w:val="24"/>
          <w:szCs w:val="24"/>
        </w:rPr>
        <w:t>MELZER, Filip.</w:t>
      </w:r>
      <w:r w:rsidRPr="00D845BD">
        <w:rPr>
          <w:i/>
          <w:sz w:val="24"/>
          <w:szCs w:val="24"/>
        </w:rPr>
        <w:t xml:space="preserve"> Občanský zákoník § 419 - 654. Velký komentář</w:t>
      </w:r>
      <w:r w:rsidRPr="00D845BD">
        <w:rPr>
          <w:sz w:val="24"/>
          <w:szCs w:val="24"/>
        </w:rPr>
        <w:t>. Praha: Leges, 2014, 1264 s</w:t>
      </w:r>
    </w:p>
    <w:p w:rsidR="00E21352" w:rsidRDefault="00B425CE" w:rsidP="006A3693">
      <w:pPr>
        <w:spacing w:after="160" w:line="360" w:lineRule="auto"/>
        <w:ind w:right="567"/>
        <w:jc w:val="both"/>
        <w:rPr>
          <w:sz w:val="24"/>
          <w:szCs w:val="24"/>
        </w:rPr>
      </w:pPr>
      <w:r w:rsidRPr="00D845BD">
        <w:rPr>
          <w:sz w:val="24"/>
          <w:szCs w:val="24"/>
        </w:rPr>
        <w:t xml:space="preserve">MELZER, Filip. </w:t>
      </w:r>
      <w:r w:rsidRPr="00D845BD">
        <w:rPr>
          <w:i/>
          <w:sz w:val="24"/>
          <w:szCs w:val="24"/>
        </w:rPr>
        <w:t xml:space="preserve">Občanský zákoník. § 2894 - 3081. Velký komentář. </w:t>
      </w:r>
      <w:r w:rsidRPr="00D845BD">
        <w:rPr>
          <w:sz w:val="24"/>
          <w:szCs w:val="24"/>
        </w:rPr>
        <w:t>Praha: Leges</w:t>
      </w:r>
      <w:r w:rsidRPr="00D845BD">
        <w:rPr>
          <w:i/>
          <w:sz w:val="24"/>
          <w:szCs w:val="24"/>
        </w:rPr>
        <w:t>, 2018</w:t>
      </w:r>
      <w:r w:rsidRPr="00D845BD">
        <w:rPr>
          <w:sz w:val="24"/>
          <w:szCs w:val="24"/>
        </w:rPr>
        <w:t xml:space="preserve">, 1728 s. </w:t>
      </w:r>
    </w:p>
    <w:p w:rsidR="00E21352" w:rsidRDefault="00B425CE" w:rsidP="006A3693">
      <w:pPr>
        <w:spacing w:after="160" w:line="360" w:lineRule="auto"/>
        <w:ind w:right="567"/>
        <w:jc w:val="both"/>
        <w:rPr>
          <w:sz w:val="24"/>
          <w:szCs w:val="24"/>
        </w:rPr>
      </w:pPr>
      <w:r w:rsidRPr="00D845BD">
        <w:rPr>
          <w:rFonts w:eastAsia="Aptos"/>
          <w:sz w:val="24"/>
          <w:szCs w:val="24"/>
        </w:rPr>
        <w:t xml:space="preserve">PRÁŠKOVÁ, Helena. </w:t>
      </w:r>
      <w:r w:rsidRPr="00D845BD">
        <w:rPr>
          <w:rFonts w:eastAsia="Aptos"/>
          <w:i/>
          <w:sz w:val="24"/>
          <w:szCs w:val="24"/>
        </w:rPr>
        <w:t xml:space="preserve">Přestupkové právo. </w:t>
      </w:r>
      <w:r w:rsidRPr="00D845BD">
        <w:rPr>
          <w:rFonts w:eastAsia="Aptos"/>
          <w:sz w:val="24"/>
          <w:szCs w:val="24"/>
        </w:rPr>
        <w:t>2. vydání</w:t>
      </w:r>
      <w:r w:rsidRPr="00D845BD">
        <w:rPr>
          <w:rFonts w:eastAsia="Aptos"/>
          <w:i/>
          <w:sz w:val="24"/>
          <w:szCs w:val="24"/>
        </w:rPr>
        <w:t xml:space="preserve">. </w:t>
      </w:r>
      <w:r w:rsidRPr="00D845BD">
        <w:rPr>
          <w:rFonts w:eastAsia="Aptos"/>
          <w:sz w:val="24"/>
          <w:szCs w:val="24"/>
        </w:rPr>
        <w:t>Praha: Leges, 2022, 572 s.</w:t>
      </w:r>
    </w:p>
    <w:p w:rsidR="00E21352" w:rsidRDefault="00B425CE" w:rsidP="006A3693">
      <w:pPr>
        <w:spacing w:after="160" w:line="360" w:lineRule="auto"/>
        <w:ind w:right="567"/>
        <w:jc w:val="both"/>
        <w:rPr>
          <w:sz w:val="24"/>
          <w:szCs w:val="24"/>
        </w:rPr>
      </w:pPr>
      <w:r w:rsidRPr="00D845BD">
        <w:rPr>
          <w:rFonts w:eastAsia="Aptos"/>
          <w:sz w:val="24"/>
          <w:szCs w:val="24"/>
        </w:rPr>
        <w:t xml:space="preserve">RUŽIČKA, Miroslav a kol. </w:t>
      </w:r>
      <w:r w:rsidRPr="00D845BD">
        <w:rPr>
          <w:rFonts w:eastAsia="Aptos"/>
          <w:i/>
          <w:sz w:val="24"/>
          <w:szCs w:val="24"/>
        </w:rPr>
        <w:t xml:space="preserve">Poškozený a adhezní řízení v České republice, </w:t>
      </w:r>
      <w:r w:rsidRPr="00D845BD">
        <w:rPr>
          <w:rFonts w:eastAsia="Aptos"/>
          <w:sz w:val="24"/>
          <w:szCs w:val="24"/>
        </w:rPr>
        <w:t xml:space="preserve">Praha: C.H. Beck, 2007, 730 s. </w:t>
      </w:r>
    </w:p>
    <w:p w:rsidR="00E21352" w:rsidRDefault="00B425CE" w:rsidP="006A3693">
      <w:pPr>
        <w:spacing w:after="160" w:line="360" w:lineRule="auto"/>
        <w:ind w:right="567"/>
        <w:jc w:val="both"/>
        <w:rPr>
          <w:sz w:val="24"/>
          <w:szCs w:val="24"/>
        </w:rPr>
      </w:pPr>
      <w:r w:rsidRPr="00D845BD">
        <w:rPr>
          <w:sz w:val="24"/>
          <w:szCs w:val="24"/>
        </w:rPr>
        <w:t xml:space="preserve">SVOBODA, Karel a kol. </w:t>
      </w:r>
      <w:r w:rsidRPr="00D845BD">
        <w:rPr>
          <w:i/>
          <w:sz w:val="24"/>
          <w:szCs w:val="24"/>
        </w:rPr>
        <w:t>Náklady řízení.</w:t>
      </w:r>
      <w:r w:rsidRPr="00D845BD">
        <w:rPr>
          <w:sz w:val="24"/>
          <w:szCs w:val="24"/>
        </w:rPr>
        <w:t xml:space="preserve"> Praha: C.H. Beck, 2017, 272 s.</w:t>
      </w:r>
    </w:p>
    <w:p w:rsidR="00E21352" w:rsidRDefault="00B425CE" w:rsidP="006A3693">
      <w:pPr>
        <w:spacing w:after="160" w:line="360" w:lineRule="auto"/>
        <w:ind w:right="567"/>
        <w:jc w:val="both"/>
        <w:rPr>
          <w:sz w:val="24"/>
          <w:szCs w:val="24"/>
        </w:rPr>
      </w:pPr>
      <w:r w:rsidRPr="00D845BD">
        <w:rPr>
          <w:sz w:val="24"/>
          <w:szCs w:val="24"/>
        </w:rPr>
        <w:t xml:space="preserve">SVOBODA Karel a kol. </w:t>
      </w:r>
      <w:r w:rsidRPr="00D845BD">
        <w:rPr>
          <w:i/>
          <w:sz w:val="24"/>
          <w:szCs w:val="24"/>
        </w:rPr>
        <w:t>Občanský soudní řád.</w:t>
      </w:r>
      <w:r w:rsidRPr="00D845BD">
        <w:rPr>
          <w:sz w:val="24"/>
          <w:szCs w:val="24"/>
        </w:rPr>
        <w:t xml:space="preserve"> </w:t>
      </w:r>
      <w:r w:rsidRPr="00D845BD">
        <w:rPr>
          <w:i/>
          <w:sz w:val="24"/>
          <w:szCs w:val="24"/>
        </w:rPr>
        <w:t>Komentář</w:t>
      </w:r>
      <w:r w:rsidRPr="00D845BD">
        <w:rPr>
          <w:sz w:val="24"/>
          <w:szCs w:val="24"/>
        </w:rPr>
        <w:t>. 3. Vydání. P</w:t>
      </w:r>
      <w:r w:rsidR="00E21352">
        <w:rPr>
          <w:sz w:val="24"/>
          <w:szCs w:val="24"/>
        </w:rPr>
        <w:t>raha: C.H. Beck, 2021, 1840 s.</w:t>
      </w:r>
    </w:p>
    <w:p w:rsidR="00E21352" w:rsidRDefault="00B425CE" w:rsidP="006A3693">
      <w:pPr>
        <w:spacing w:after="160" w:line="360" w:lineRule="auto"/>
        <w:ind w:right="567"/>
        <w:jc w:val="both"/>
        <w:rPr>
          <w:rFonts w:eastAsia="Aptos"/>
          <w:sz w:val="24"/>
          <w:szCs w:val="24"/>
        </w:rPr>
      </w:pPr>
      <w:r w:rsidRPr="00D845BD">
        <w:rPr>
          <w:rFonts w:eastAsia="Aptos"/>
          <w:sz w:val="24"/>
          <w:szCs w:val="24"/>
        </w:rPr>
        <w:t xml:space="preserve">STORCH, František. </w:t>
      </w:r>
      <w:r w:rsidRPr="00D845BD">
        <w:rPr>
          <w:rFonts w:eastAsia="Aptos"/>
          <w:i/>
          <w:sz w:val="24"/>
          <w:szCs w:val="24"/>
        </w:rPr>
        <w:t>Řízení trestní rakouské</w:t>
      </w:r>
      <w:r w:rsidRPr="00D845BD">
        <w:rPr>
          <w:rFonts w:eastAsia="Aptos"/>
          <w:sz w:val="24"/>
          <w:szCs w:val="24"/>
        </w:rPr>
        <w:t>.</w:t>
      </w:r>
      <w:r w:rsidRPr="00D845BD">
        <w:rPr>
          <w:rFonts w:eastAsia="Aptos"/>
          <w:i/>
          <w:sz w:val="24"/>
          <w:szCs w:val="24"/>
        </w:rPr>
        <w:t xml:space="preserve"> I a II. díl</w:t>
      </w:r>
      <w:r w:rsidRPr="00D845BD">
        <w:rPr>
          <w:rFonts w:eastAsia="Aptos"/>
          <w:sz w:val="24"/>
          <w:szCs w:val="24"/>
        </w:rPr>
        <w:t xml:space="preserve">, Praha: Wolters Kluwer, a.s., 2011, 396 s. </w:t>
      </w:r>
      <w:r w:rsidR="00E21352">
        <w:rPr>
          <w:sz w:val="24"/>
          <w:szCs w:val="24"/>
        </w:rPr>
        <w:br/>
      </w:r>
      <w:r w:rsidRPr="00D845BD">
        <w:rPr>
          <w:rFonts w:eastAsia="Aptos"/>
          <w:sz w:val="24"/>
          <w:szCs w:val="24"/>
        </w:rPr>
        <w:t>ŠÁMAL, Pavel a kol.</w:t>
      </w:r>
      <w:r w:rsidRPr="00D845BD">
        <w:rPr>
          <w:rFonts w:eastAsia="Aptos"/>
          <w:i/>
          <w:sz w:val="24"/>
          <w:szCs w:val="24"/>
        </w:rPr>
        <w:t xml:space="preserve"> Trestní řád I. § 1 až 156. Komentář.</w:t>
      </w:r>
      <w:r w:rsidRPr="00D845BD">
        <w:rPr>
          <w:rFonts w:eastAsia="Aptos"/>
          <w:sz w:val="24"/>
          <w:szCs w:val="24"/>
        </w:rPr>
        <w:t xml:space="preserve"> 6. vydání. Praha: C.H. Beck, 2008, 1501 s.</w:t>
      </w:r>
    </w:p>
    <w:p w:rsidR="00E21352" w:rsidRDefault="00B425CE" w:rsidP="006A3693">
      <w:pPr>
        <w:spacing w:after="160" w:line="360" w:lineRule="auto"/>
        <w:ind w:right="567"/>
        <w:jc w:val="both"/>
        <w:rPr>
          <w:rFonts w:eastAsia="Aptos"/>
          <w:sz w:val="24"/>
          <w:szCs w:val="24"/>
        </w:rPr>
      </w:pPr>
      <w:r w:rsidRPr="00D845BD">
        <w:rPr>
          <w:rFonts w:eastAsia="Aptos"/>
          <w:sz w:val="24"/>
          <w:szCs w:val="24"/>
        </w:rPr>
        <w:t>ŠÁMAL, Pavel a kol.</w:t>
      </w:r>
      <w:r w:rsidRPr="00D845BD">
        <w:rPr>
          <w:rFonts w:eastAsia="Aptos"/>
          <w:i/>
          <w:sz w:val="24"/>
          <w:szCs w:val="24"/>
        </w:rPr>
        <w:t xml:space="preserve"> Trestní řád I. § 1 až 156. Komentář.</w:t>
      </w:r>
      <w:r w:rsidRPr="00D845BD">
        <w:rPr>
          <w:rFonts w:eastAsia="Aptos"/>
          <w:sz w:val="24"/>
          <w:szCs w:val="24"/>
        </w:rPr>
        <w:t xml:space="preserve"> 7 vydání. P</w:t>
      </w:r>
      <w:r w:rsidR="00E21352">
        <w:rPr>
          <w:rFonts w:eastAsia="Aptos"/>
          <w:sz w:val="24"/>
          <w:szCs w:val="24"/>
        </w:rPr>
        <w:t>raha: C.H. Beck, 2013, 1898 s.</w:t>
      </w:r>
    </w:p>
    <w:p w:rsidR="00D845BD" w:rsidRPr="00E21352" w:rsidRDefault="00B425CE" w:rsidP="006A3693">
      <w:pPr>
        <w:spacing w:after="160" w:line="360" w:lineRule="auto"/>
        <w:ind w:right="567"/>
        <w:jc w:val="both"/>
        <w:rPr>
          <w:sz w:val="24"/>
          <w:szCs w:val="24"/>
        </w:rPr>
      </w:pPr>
      <w:r w:rsidRPr="00D845BD">
        <w:rPr>
          <w:rFonts w:eastAsia="Aptos"/>
          <w:sz w:val="24"/>
          <w:szCs w:val="24"/>
        </w:rPr>
        <w:t>ŠÁMAL, Pavel a kol.</w:t>
      </w:r>
      <w:r w:rsidRPr="00D845BD">
        <w:rPr>
          <w:rFonts w:eastAsia="Aptos"/>
          <w:i/>
          <w:sz w:val="24"/>
          <w:szCs w:val="24"/>
        </w:rPr>
        <w:t xml:space="preserve"> Trestní řád II. § 157 až 314s. Komentář.</w:t>
      </w:r>
      <w:r w:rsidRPr="00D845BD">
        <w:rPr>
          <w:rFonts w:eastAsia="Aptos"/>
          <w:sz w:val="24"/>
          <w:szCs w:val="24"/>
        </w:rPr>
        <w:t xml:space="preserve"> 7 vydání. Praha: C.H. Beck, 2013, 3 730 s.</w:t>
      </w:r>
    </w:p>
    <w:p w:rsidR="00D845BD" w:rsidRPr="00D845BD" w:rsidRDefault="00B425CE" w:rsidP="006A3693">
      <w:pPr>
        <w:spacing w:after="160" w:line="360" w:lineRule="auto"/>
        <w:ind w:right="567"/>
        <w:jc w:val="both"/>
        <w:rPr>
          <w:sz w:val="24"/>
          <w:szCs w:val="24"/>
        </w:rPr>
      </w:pPr>
      <w:r w:rsidRPr="00D845BD">
        <w:rPr>
          <w:sz w:val="24"/>
          <w:szCs w:val="24"/>
        </w:rPr>
        <w:t xml:space="preserve">ŠÍNOVÁ, Renáta a kol. </w:t>
      </w:r>
      <w:r w:rsidRPr="00D845BD">
        <w:rPr>
          <w:i/>
          <w:sz w:val="24"/>
          <w:szCs w:val="24"/>
        </w:rPr>
        <w:t>Civilní proces. Obecná část a sporné řízení.</w:t>
      </w:r>
      <w:r w:rsidRPr="00D845BD">
        <w:rPr>
          <w:sz w:val="24"/>
          <w:szCs w:val="24"/>
        </w:rPr>
        <w:t xml:space="preserve"> 2. vydání, Praha: C.H. Beck, 2020, 474 s.</w:t>
      </w:r>
    </w:p>
    <w:p w:rsidR="00E21352" w:rsidRDefault="00B425CE" w:rsidP="00C07033">
      <w:pPr>
        <w:pStyle w:val="Nadpis2"/>
      </w:pPr>
      <w:r w:rsidRPr="00D845BD">
        <w:rPr>
          <w:sz w:val="20"/>
          <w:szCs w:val="20"/>
        </w:rPr>
        <w:lastRenderedPageBreak/>
        <w:br/>
      </w:r>
    </w:p>
    <w:p w:rsidR="00E21352" w:rsidRPr="00C07033" w:rsidRDefault="00B425CE" w:rsidP="00C07033">
      <w:pPr>
        <w:pStyle w:val="Nadpis2"/>
      </w:pPr>
      <w:bookmarkStart w:id="116" w:name="_Toc190464530"/>
      <w:bookmarkStart w:id="117" w:name="_Toc190466569"/>
      <w:bookmarkStart w:id="118" w:name="_Toc190468817"/>
      <w:bookmarkStart w:id="119" w:name="_Toc190476403"/>
      <w:r w:rsidRPr="00C07033">
        <w:t>Odborné články</w:t>
      </w:r>
      <w:bookmarkEnd w:id="116"/>
      <w:bookmarkEnd w:id="117"/>
      <w:bookmarkEnd w:id="118"/>
      <w:bookmarkEnd w:id="119"/>
    </w:p>
    <w:p w:rsidR="00CC24F4" w:rsidRPr="00E21352" w:rsidRDefault="00B425CE" w:rsidP="006A3693">
      <w:pPr>
        <w:spacing w:after="160" w:line="360" w:lineRule="auto"/>
        <w:ind w:right="567"/>
        <w:jc w:val="both"/>
        <w:rPr>
          <w:rFonts w:eastAsia="Aptos"/>
          <w:b/>
          <w:sz w:val="28"/>
          <w:szCs w:val="28"/>
        </w:rPr>
      </w:pPr>
      <w:r w:rsidRPr="00D845BD">
        <w:rPr>
          <w:rFonts w:eastAsia="Aptos"/>
          <w:sz w:val="20"/>
          <w:szCs w:val="20"/>
        </w:rPr>
        <w:br/>
      </w:r>
      <w:r w:rsidRPr="00D845BD">
        <w:rPr>
          <w:sz w:val="24"/>
          <w:szCs w:val="24"/>
        </w:rPr>
        <w:t xml:space="preserve">BERANOVÁ, Andrea. </w:t>
      </w:r>
      <w:r w:rsidRPr="00D845BD">
        <w:rPr>
          <w:i/>
          <w:sz w:val="24"/>
          <w:szCs w:val="24"/>
        </w:rPr>
        <w:t>Adhezní řízení de lege ferenda</w:t>
      </w:r>
      <w:r w:rsidRPr="00D845BD">
        <w:rPr>
          <w:sz w:val="24"/>
          <w:szCs w:val="24"/>
        </w:rPr>
        <w:t>. Trestněprávní revue, 2016, roč. 15, č. 10, s. 221-226</w:t>
      </w:r>
    </w:p>
    <w:p w:rsidR="00E21352" w:rsidRDefault="00B425CE" w:rsidP="006A3693">
      <w:pPr>
        <w:spacing w:after="160" w:line="360" w:lineRule="auto"/>
        <w:ind w:right="567"/>
        <w:jc w:val="both"/>
        <w:rPr>
          <w:sz w:val="24"/>
          <w:szCs w:val="24"/>
        </w:rPr>
      </w:pPr>
      <w:r w:rsidRPr="00D845BD">
        <w:rPr>
          <w:sz w:val="24"/>
          <w:szCs w:val="24"/>
        </w:rPr>
        <w:t xml:space="preserve">BERANOVÁ, Andrea. </w:t>
      </w:r>
      <w:r w:rsidRPr="00D845BD">
        <w:rPr>
          <w:i/>
          <w:sz w:val="24"/>
          <w:szCs w:val="24"/>
        </w:rPr>
        <w:t>K přípustnosti opravných prostředků v adhezním řízení.</w:t>
      </w:r>
      <w:r w:rsidRPr="00D845BD">
        <w:rPr>
          <w:sz w:val="24"/>
          <w:szCs w:val="24"/>
        </w:rPr>
        <w:t xml:space="preserve"> Trestněprávní revue, 2024, roč. 23, č. 4, s. 194-198</w:t>
      </w:r>
    </w:p>
    <w:p w:rsidR="00CC24F4" w:rsidRPr="00E21352" w:rsidRDefault="00B425CE" w:rsidP="006A3693">
      <w:pPr>
        <w:spacing w:after="160" w:line="360" w:lineRule="auto"/>
        <w:ind w:right="567"/>
        <w:jc w:val="both"/>
        <w:rPr>
          <w:sz w:val="24"/>
          <w:szCs w:val="24"/>
        </w:rPr>
      </w:pPr>
      <w:r w:rsidRPr="00D845BD">
        <w:rPr>
          <w:rFonts w:eastAsia="Aptos"/>
          <w:sz w:val="24"/>
          <w:szCs w:val="24"/>
        </w:rPr>
        <w:t xml:space="preserve">GLATZOVÁ, Andrea. </w:t>
      </w:r>
      <w:r w:rsidRPr="00D845BD">
        <w:rPr>
          <w:rFonts w:eastAsia="Aptos"/>
          <w:i/>
          <w:sz w:val="24"/>
          <w:szCs w:val="24"/>
        </w:rPr>
        <w:t xml:space="preserve">Předpoklady pro přiznání soukromoprávních nároků v adhezním řízení. </w:t>
      </w:r>
      <w:r w:rsidRPr="00D845BD">
        <w:rPr>
          <w:rFonts w:eastAsia="Aptos"/>
          <w:sz w:val="24"/>
          <w:szCs w:val="24"/>
        </w:rPr>
        <w:t>Trestněprávní rev</w:t>
      </w:r>
      <w:r w:rsidR="00CC24F4">
        <w:rPr>
          <w:rFonts w:eastAsia="Aptos"/>
          <w:sz w:val="24"/>
          <w:szCs w:val="24"/>
        </w:rPr>
        <w:t xml:space="preserve">ue, 2012, roč. 11, č. 1, s. 6-1 </w:t>
      </w:r>
    </w:p>
    <w:p w:rsidR="00E21352" w:rsidRDefault="00CC24F4" w:rsidP="006A3693">
      <w:pPr>
        <w:spacing w:line="360" w:lineRule="auto"/>
        <w:ind w:right="567"/>
        <w:rPr>
          <w:rFonts w:eastAsia="Aptos"/>
          <w:sz w:val="24"/>
          <w:szCs w:val="24"/>
        </w:rPr>
      </w:pPr>
      <w:r>
        <w:rPr>
          <w:rFonts w:eastAsia="Aptos"/>
          <w:sz w:val="24"/>
          <w:szCs w:val="24"/>
        </w:rPr>
        <w:t>G</w:t>
      </w:r>
      <w:r w:rsidR="00B425CE" w:rsidRPr="00D845BD">
        <w:rPr>
          <w:rFonts w:eastAsia="Aptos"/>
          <w:sz w:val="24"/>
          <w:szCs w:val="24"/>
        </w:rPr>
        <w:t xml:space="preserve">RUS, Zdeněk. </w:t>
      </w:r>
      <w:r w:rsidR="00385452">
        <w:rPr>
          <w:rFonts w:eastAsia="Aptos"/>
          <w:i/>
          <w:sz w:val="24"/>
          <w:szCs w:val="24"/>
        </w:rPr>
        <w:t xml:space="preserve">Rozhodování o </w:t>
      </w:r>
      <w:r w:rsidR="00B425CE" w:rsidRPr="00D845BD">
        <w:rPr>
          <w:rFonts w:eastAsia="Aptos"/>
          <w:i/>
          <w:sz w:val="24"/>
          <w:szCs w:val="24"/>
        </w:rPr>
        <w:t>náhradě škody v adhezním řízení</w:t>
      </w:r>
      <w:r w:rsidR="00B425CE" w:rsidRPr="00D845BD">
        <w:rPr>
          <w:rFonts w:eastAsia="Aptos"/>
          <w:sz w:val="24"/>
          <w:szCs w:val="24"/>
        </w:rPr>
        <w:t xml:space="preserve">, Trestněprávní revue, </w:t>
      </w:r>
      <w:r w:rsidR="00E21352">
        <w:rPr>
          <w:rFonts w:eastAsia="Aptos"/>
          <w:sz w:val="24"/>
          <w:szCs w:val="24"/>
        </w:rPr>
        <w:t>2004, roč. 3, č. 7, s. 203-206</w:t>
      </w:r>
      <w:r w:rsidR="00E21352">
        <w:rPr>
          <w:rFonts w:eastAsia="Aptos"/>
          <w:sz w:val="24"/>
          <w:szCs w:val="24"/>
        </w:rPr>
        <w:br/>
      </w:r>
    </w:p>
    <w:p w:rsidR="00E21352" w:rsidRDefault="00B425CE" w:rsidP="006A3693">
      <w:pPr>
        <w:spacing w:line="360" w:lineRule="auto"/>
        <w:ind w:right="567"/>
        <w:rPr>
          <w:rFonts w:eastAsia="Aptos"/>
          <w:color w:val="FF0000"/>
          <w:sz w:val="24"/>
          <w:szCs w:val="24"/>
        </w:rPr>
      </w:pPr>
      <w:r w:rsidRPr="00D845BD">
        <w:rPr>
          <w:sz w:val="24"/>
          <w:szCs w:val="24"/>
        </w:rPr>
        <w:t xml:space="preserve">HEPOVÁ, Adéla. </w:t>
      </w:r>
      <w:r w:rsidRPr="00D845BD">
        <w:rPr>
          <w:i/>
          <w:sz w:val="24"/>
          <w:szCs w:val="24"/>
        </w:rPr>
        <w:t>Není úzké pojetí poškozeného v přestupkovém řízení příliš úzké?.</w:t>
      </w:r>
      <w:r w:rsidRPr="00D845BD">
        <w:rPr>
          <w:sz w:val="24"/>
          <w:szCs w:val="24"/>
        </w:rPr>
        <w:t xml:space="preserve"> Právní rozhledy, 2024, roč. 32, č. 15-16, s. 520-526</w:t>
      </w:r>
      <w:r w:rsidR="00E21352">
        <w:rPr>
          <w:sz w:val="24"/>
          <w:szCs w:val="24"/>
        </w:rPr>
        <w:br/>
      </w:r>
    </w:p>
    <w:p w:rsidR="00E21352" w:rsidRDefault="00B425CE" w:rsidP="006A3693">
      <w:pPr>
        <w:spacing w:line="360" w:lineRule="auto"/>
        <w:ind w:right="567"/>
        <w:rPr>
          <w:rFonts w:eastAsia="Aptos"/>
          <w:sz w:val="24"/>
          <w:szCs w:val="24"/>
        </w:rPr>
      </w:pPr>
      <w:r w:rsidRPr="00D845BD">
        <w:rPr>
          <w:rFonts w:eastAsia="Aptos"/>
          <w:sz w:val="24"/>
          <w:szCs w:val="24"/>
        </w:rPr>
        <w:t xml:space="preserve">KUČERA, Jiří. </w:t>
      </w:r>
      <w:r w:rsidRPr="00D845BD">
        <w:rPr>
          <w:rFonts w:eastAsia="Aptos"/>
          <w:i/>
          <w:sz w:val="24"/>
          <w:szCs w:val="24"/>
        </w:rPr>
        <w:t>Adhezní řízení a jeho vztah k civilnímu procesu</w:t>
      </w:r>
      <w:r w:rsidRPr="00D845BD">
        <w:rPr>
          <w:rFonts w:eastAsia="Aptos"/>
          <w:sz w:val="24"/>
          <w:szCs w:val="24"/>
        </w:rPr>
        <w:t xml:space="preserve">. Trestněprávní revue, 2006, roč. 5, č. 9, s. </w:t>
      </w:r>
      <w:r w:rsidRPr="00D845BD">
        <w:rPr>
          <w:color w:val="474747"/>
          <w:sz w:val="24"/>
          <w:szCs w:val="24"/>
          <w:highlight w:val="white"/>
        </w:rPr>
        <w:t>259-270</w:t>
      </w:r>
      <w:r w:rsidR="00E21352">
        <w:rPr>
          <w:color w:val="474747"/>
          <w:sz w:val="24"/>
          <w:szCs w:val="24"/>
        </w:rPr>
        <w:br/>
      </w:r>
    </w:p>
    <w:p w:rsidR="00E21352" w:rsidRDefault="00B425CE" w:rsidP="006A3693">
      <w:pPr>
        <w:spacing w:line="360" w:lineRule="auto"/>
        <w:ind w:right="567"/>
        <w:rPr>
          <w:rFonts w:eastAsia="Aptos"/>
          <w:sz w:val="24"/>
          <w:szCs w:val="24"/>
        </w:rPr>
      </w:pPr>
      <w:r w:rsidRPr="00D845BD">
        <w:rPr>
          <w:sz w:val="24"/>
          <w:szCs w:val="24"/>
        </w:rPr>
        <w:t xml:space="preserve">KANDOVÁ, Katarina. </w:t>
      </w:r>
      <w:r w:rsidRPr="00D845BD">
        <w:rPr>
          <w:i/>
          <w:sz w:val="24"/>
          <w:szCs w:val="24"/>
        </w:rPr>
        <w:t xml:space="preserve">Trestně procesní zásady legality a oportunity ve světle trestních teorií. </w:t>
      </w:r>
      <w:r w:rsidRPr="00D845BD">
        <w:rPr>
          <w:sz w:val="24"/>
          <w:szCs w:val="24"/>
        </w:rPr>
        <w:t>Právník, 2018. roč. 157, č. 7, s. 582-596</w:t>
      </w:r>
      <w:r w:rsidR="00E21352">
        <w:rPr>
          <w:sz w:val="24"/>
          <w:szCs w:val="24"/>
        </w:rPr>
        <w:br/>
      </w:r>
    </w:p>
    <w:p w:rsidR="00E21352" w:rsidRDefault="00B425CE" w:rsidP="006A3693">
      <w:pPr>
        <w:spacing w:line="360" w:lineRule="auto"/>
        <w:ind w:right="567"/>
        <w:rPr>
          <w:rFonts w:eastAsia="Aptos"/>
          <w:color w:val="FF0000"/>
          <w:sz w:val="24"/>
          <w:szCs w:val="24"/>
        </w:rPr>
      </w:pPr>
      <w:r w:rsidRPr="00D845BD">
        <w:rPr>
          <w:rFonts w:eastAsia="Aptos"/>
          <w:sz w:val="24"/>
          <w:szCs w:val="24"/>
        </w:rPr>
        <w:t xml:space="preserve">LÁTAL, Jaroslav. </w:t>
      </w:r>
      <w:r w:rsidRPr="00D845BD">
        <w:rPr>
          <w:rFonts w:eastAsia="Aptos"/>
          <w:i/>
          <w:sz w:val="24"/>
          <w:szCs w:val="24"/>
        </w:rPr>
        <w:t>K postavení poškozeného v trestním řízení a k rozhodování o náhradě škody v adhezním řízení.</w:t>
      </w:r>
      <w:r w:rsidRPr="00D845BD">
        <w:rPr>
          <w:rFonts w:eastAsia="Aptos"/>
          <w:sz w:val="24"/>
          <w:szCs w:val="24"/>
        </w:rPr>
        <w:t xml:space="preserve"> Socialistická zákonnost, 1982, roč. 30, č. 2, S. 65-76</w:t>
      </w:r>
      <w:r w:rsidR="00E21352">
        <w:rPr>
          <w:rFonts w:eastAsia="Aptos"/>
          <w:sz w:val="24"/>
          <w:szCs w:val="24"/>
        </w:rPr>
        <w:br/>
      </w:r>
    </w:p>
    <w:p w:rsidR="00E21352" w:rsidRDefault="00B425CE" w:rsidP="006A3693">
      <w:pPr>
        <w:spacing w:line="360" w:lineRule="auto"/>
        <w:ind w:right="567"/>
        <w:rPr>
          <w:color w:val="474747"/>
          <w:sz w:val="24"/>
          <w:szCs w:val="24"/>
          <w:highlight w:val="white"/>
        </w:rPr>
      </w:pPr>
      <w:r w:rsidRPr="00D845BD">
        <w:rPr>
          <w:sz w:val="24"/>
          <w:szCs w:val="24"/>
        </w:rPr>
        <w:t xml:space="preserve">MATES, Pavel. </w:t>
      </w:r>
      <w:r w:rsidRPr="00D845BD">
        <w:rPr>
          <w:i/>
          <w:sz w:val="24"/>
          <w:szCs w:val="24"/>
        </w:rPr>
        <w:t>K některým procesním ustanovením zákona o odpovědnosti za přestupky.</w:t>
      </w:r>
      <w:r w:rsidRPr="00D845BD">
        <w:rPr>
          <w:sz w:val="24"/>
          <w:szCs w:val="24"/>
        </w:rPr>
        <w:t xml:space="preserve"> Právní rozhledy. 2017, roč. 25, č. 3, s. </w:t>
      </w:r>
      <w:r w:rsidRPr="00D845BD">
        <w:rPr>
          <w:color w:val="474747"/>
          <w:sz w:val="24"/>
          <w:szCs w:val="24"/>
          <w:highlight w:val="white"/>
        </w:rPr>
        <w:t>77-88</w:t>
      </w:r>
    </w:p>
    <w:p w:rsidR="002F005F" w:rsidRDefault="004F6478" w:rsidP="002F005F">
      <w:pPr>
        <w:ind w:right="567"/>
        <w:jc w:val="both"/>
        <w:rPr>
          <w:sz w:val="24"/>
          <w:szCs w:val="24"/>
        </w:rPr>
      </w:pPr>
      <w:r>
        <w:rPr>
          <w:color w:val="474747"/>
          <w:sz w:val="24"/>
          <w:szCs w:val="24"/>
        </w:rPr>
        <w:br/>
      </w:r>
      <w:r w:rsidR="00B425CE" w:rsidRPr="00D845BD">
        <w:rPr>
          <w:sz w:val="24"/>
          <w:szCs w:val="24"/>
        </w:rPr>
        <w:t xml:space="preserve">MADLEŇÁKOVÁ, Lucia, MIČKALOVA, Lenka. </w:t>
      </w:r>
      <w:r w:rsidR="00B425CE" w:rsidRPr="00D845BD">
        <w:rPr>
          <w:i/>
          <w:sz w:val="24"/>
          <w:szCs w:val="24"/>
        </w:rPr>
        <w:t>Tvrzený účastník - poškozený v řízení o přestupku</w:t>
      </w:r>
      <w:r w:rsidR="00B425CE" w:rsidRPr="00D845BD">
        <w:rPr>
          <w:sz w:val="24"/>
          <w:szCs w:val="24"/>
        </w:rPr>
        <w:t>. Správní právo, 20</w:t>
      </w:r>
      <w:r w:rsidR="00E21352">
        <w:rPr>
          <w:sz w:val="24"/>
          <w:szCs w:val="24"/>
        </w:rPr>
        <w:t xml:space="preserve">16, roč. 49, č. 3, s. 458-471 </w:t>
      </w:r>
    </w:p>
    <w:p w:rsidR="00E21352" w:rsidRPr="004F6478" w:rsidRDefault="00E21352" w:rsidP="002F005F">
      <w:pPr>
        <w:ind w:right="567"/>
        <w:jc w:val="both"/>
        <w:rPr>
          <w:color w:val="474747"/>
          <w:sz w:val="24"/>
          <w:szCs w:val="24"/>
          <w:highlight w:val="white"/>
        </w:rPr>
      </w:pPr>
      <w:r>
        <w:rPr>
          <w:sz w:val="24"/>
          <w:szCs w:val="24"/>
        </w:rPr>
        <w:br/>
      </w:r>
    </w:p>
    <w:p w:rsidR="00E21352" w:rsidRDefault="00B425CE" w:rsidP="006A3693">
      <w:pPr>
        <w:spacing w:line="360" w:lineRule="auto"/>
        <w:ind w:right="567"/>
        <w:rPr>
          <w:rFonts w:eastAsia="Aptos"/>
          <w:color w:val="FF0000"/>
          <w:sz w:val="24"/>
          <w:szCs w:val="24"/>
        </w:rPr>
      </w:pPr>
      <w:r w:rsidRPr="00D845BD">
        <w:rPr>
          <w:sz w:val="24"/>
          <w:szCs w:val="24"/>
        </w:rPr>
        <w:lastRenderedPageBreak/>
        <w:t xml:space="preserve">MIFEK, Jan. </w:t>
      </w:r>
      <w:r w:rsidRPr="00D845BD">
        <w:rPr>
          <w:i/>
          <w:sz w:val="24"/>
          <w:szCs w:val="24"/>
        </w:rPr>
        <w:t xml:space="preserve">Adhezní řízení a sekundární viktimizace. </w:t>
      </w:r>
      <w:r w:rsidRPr="00D845BD">
        <w:rPr>
          <w:sz w:val="24"/>
          <w:szCs w:val="24"/>
        </w:rPr>
        <w:t>Trestněprávní revue, 2024, roč. 23, s. 92-96</w:t>
      </w:r>
      <w:r w:rsidR="00E21352">
        <w:rPr>
          <w:sz w:val="24"/>
          <w:szCs w:val="24"/>
        </w:rPr>
        <w:br/>
      </w:r>
    </w:p>
    <w:p w:rsidR="00E21352" w:rsidRDefault="00B425CE" w:rsidP="006A3693">
      <w:pPr>
        <w:spacing w:line="360" w:lineRule="auto"/>
        <w:ind w:right="567"/>
        <w:rPr>
          <w:rFonts w:eastAsia="Aptos"/>
          <w:color w:val="FF0000"/>
          <w:sz w:val="24"/>
          <w:szCs w:val="24"/>
        </w:rPr>
      </w:pPr>
      <w:r w:rsidRPr="00D845BD">
        <w:rPr>
          <w:sz w:val="24"/>
          <w:szCs w:val="24"/>
        </w:rPr>
        <w:t xml:space="preserve">FUCHS, Jiří. </w:t>
      </w:r>
      <w:r w:rsidRPr="00D845BD">
        <w:rPr>
          <w:i/>
          <w:sz w:val="24"/>
          <w:szCs w:val="24"/>
        </w:rPr>
        <w:t>Adhezní řízení ve vládním návrhu nového zákona o přestupcích,</w:t>
      </w:r>
      <w:r w:rsidRPr="00D845BD">
        <w:rPr>
          <w:sz w:val="24"/>
          <w:szCs w:val="24"/>
        </w:rPr>
        <w:t xml:space="preserve"> Právní rozhledy, 2016, roč. 24, č. 3, s. 104-108</w:t>
      </w:r>
      <w:r w:rsidR="00E21352">
        <w:rPr>
          <w:sz w:val="24"/>
          <w:szCs w:val="24"/>
        </w:rPr>
        <w:br/>
      </w:r>
    </w:p>
    <w:p w:rsidR="00D536D8" w:rsidRPr="00D845BD" w:rsidRDefault="00B425CE" w:rsidP="006A3693">
      <w:pPr>
        <w:spacing w:line="360" w:lineRule="auto"/>
        <w:ind w:right="567"/>
        <w:rPr>
          <w:rFonts w:eastAsia="Aptos"/>
          <w:color w:val="FF0000"/>
          <w:sz w:val="24"/>
          <w:szCs w:val="24"/>
        </w:rPr>
      </w:pPr>
      <w:r w:rsidRPr="00D845BD">
        <w:rPr>
          <w:sz w:val="24"/>
          <w:szCs w:val="24"/>
        </w:rPr>
        <w:t xml:space="preserve">PRÁŠKOVÁ, Helena. </w:t>
      </w:r>
      <w:r w:rsidRPr="00D845BD">
        <w:rPr>
          <w:i/>
          <w:sz w:val="24"/>
          <w:szCs w:val="24"/>
        </w:rPr>
        <w:t>Postavení osoby, které byla přestupkem způsobena nemajetková újma.</w:t>
      </w:r>
      <w:r w:rsidRPr="00D845BD">
        <w:rPr>
          <w:sz w:val="24"/>
          <w:szCs w:val="24"/>
        </w:rPr>
        <w:t xml:space="preserve"> Správní právo, 2016, roč. 49, č. 4, s. 227-240</w:t>
      </w:r>
      <w:r w:rsidR="00E21352">
        <w:rPr>
          <w:sz w:val="24"/>
          <w:szCs w:val="24"/>
        </w:rPr>
        <w:br/>
      </w:r>
    </w:p>
    <w:p w:rsidR="00CC24F4" w:rsidRDefault="00B425CE" w:rsidP="006A3693">
      <w:pPr>
        <w:spacing w:line="360" w:lineRule="auto"/>
        <w:ind w:right="567"/>
        <w:rPr>
          <w:sz w:val="24"/>
          <w:szCs w:val="24"/>
        </w:rPr>
      </w:pPr>
      <w:r w:rsidRPr="00D845BD">
        <w:rPr>
          <w:sz w:val="24"/>
          <w:szCs w:val="24"/>
        </w:rPr>
        <w:t>PULKRÁBEK, Zdeněk.</w:t>
      </w:r>
      <w:r w:rsidRPr="00D845BD">
        <w:rPr>
          <w:i/>
          <w:sz w:val="24"/>
          <w:szCs w:val="24"/>
        </w:rPr>
        <w:t xml:space="preserve"> K povaze lhůty podle § 247 odst. 1. OSŘ - hmotněprávní či procesní?</w:t>
      </w:r>
      <w:r w:rsidRPr="00D845BD">
        <w:rPr>
          <w:sz w:val="24"/>
          <w:szCs w:val="24"/>
        </w:rPr>
        <w:t>. Právní rozhledy, 20</w:t>
      </w:r>
      <w:r w:rsidR="00CC24F4">
        <w:rPr>
          <w:sz w:val="24"/>
          <w:szCs w:val="24"/>
        </w:rPr>
        <w:t>04, roč. 12, č. 13, s. 502-504</w:t>
      </w:r>
      <w:r w:rsidR="00CC24F4">
        <w:rPr>
          <w:sz w:val="24"/>
          <w:szCs w:val="24"/>
        </w:rPr>
        <w:br/>
      </w:r>
    </w:p>
    <w:p w:rsidR="002A46FF" w:rsidRDefault="00B425CE" w:rsidP="006A3693">
      <w:pPr>
        <w:spacing w:line="360" w:lineRule="auto"/>
        <w:ind w:right="567"/>
        <w:rPr>
          <w:sz w:val="24"/>
          <w:szCs w:val="24"/>
        </w:rPr>
      </w:pPr>
      <w:r w:rsidRPr="00D845BD">
        <w:rPr>
          <w:sz w:val="24"/>
          <w:szCs w:val="24"/>
        </w:rPr>
        <w:t xml:space="preserve">SIVÁK, Jakub. </w:t>
      </w:r>
      <w:r w:rsidRPr="00D845BD">
        <w:rPr>
          <w:i/>
          <w:sz w:val="24"/>
          <w:szCs w:val="24"/>
        </w:rPr>
        <w:t>Adhezní řízení de lega ferenda</w:t>
      </w:r>
      <w:r w:rsidRPr="00D845BD">
        <w:rPr>
          <w:sz w:val="24"/>
          <w:szCs w:val="24"/>
        </w:rPr>
        <w:t>. Soukromé právo, 2024, roč. 12, č. 4, s. 17-21</w:t>
      </w:r>
      <w:r w:rsidRPr="00D845BD">
        <w:rPr>
          <w:sz w:val="24"/>
          <w:szCs w:val="24"/>
        </w:rPr>
        <w:br/>
      </w:r>
      <w:r w:rsidRPr="00D845BD">
        <w:rPr>
          <w:sz w:val="24"/>
          <w:szCs w:val="24"/>
        </w:rPr>
        <w:br/>
        <w:t xml:space="preserve">STRAKOŠ, Jan. </w:t>
      </w:r>
      <w:r w:rsidRPr="00D845BD">
        <w:rPr>
          <w:i/>
          <w:sz w:val="24"/>
          <w:szCs w:val="24"/>
        </w:rPr>
        <w:t>Zákon o přestupcích po novele - vybrané problémy (I.)</w:t>
      </w:r>
      <w:r w:rsidRPr="00D845BD">
        <w:rPr>
          <w:sz w:val="24"/>
          <w:szCs w:val="24"/>
        </w:rPr>
        <w:t>, Správní právo, 2016, roč. 49, č. 1, s. 1-12</w:t>
      </w:r>
      <w:r w:rsidRPr="00D845BD">
        <w:rPr>
          <w:sz w:val="24"/>
          <w:szCs w:val="24"/>
        </w:rPr>
        <w:br/>
      </w:r>
      <w:r w:rsidRPr="00D845BD">
        <w:rPr>
          <w:rFonts w:eastAsia="Aptos"/>
          <w:color w:val="00FF00"/>
          <w:sz w:val="24"/>
          <w:szCs w:val="24"/>
        </w:rPr>
        <w:br/>
      </w:r>
      <w:r w:rsidRPr="00D845BD">
        <w:rPr>
          <w:rFonts w:eastAsia="Aptos"/>
          <w:sz w:val="24"/>
          <w:szCs w:val="24"/>
        </w:rPr>
        <w:t xml:space="preserve">SLUNSKÝ, Petr. </w:t>
      </w:r>
      <w:r w:rsidRPr="00D845BD">
        <w:rPr>
          <w:rFonts w:eastAsia="Aptos"/>
          <w:i/>
          <w:sz w:val="24"/>
          <w:szCs w:val="24"/>
        </w:rPr>
        <w:t>Vazba adhezního řízení na občanské právo a civilní proces</w:t>
      </w:r>
      <w:r w:rsidRPr="00D845BD">
        <w:rPr>
          <w:rFonts w:eastAsia="Aptos"/>
          <w:sz w:val="24"/>
          <w:szCs w:val="24"/>
        </w:rPr>
        <w:t>. Bulletin Advokacie. 2001, roč. 8, č. 3, s. 72-77</w:t>
      </w:r>
      <w:r w:rsidRPr="00D845BD">
        <w:rPr>
          <w:sz w:val="24"/>
          <w:szCs w:val="24"/>
        </w:rPr>
        <w:br/>
      </w:r>
      <w:r w:rsidRPr="00D845BD">
        <w:rPr>
          <w:sz w:val="24"/>
          <w:szCs w:val="24"/>
        </w:rPr>
        <w:br/>
        <w:t xml:space="preserve">ŠČERBA, Filip. </w:t>
      </w:r>
      <w:r w:rsidRPr="00D845BD">
        <w:rPr>
          <w:i/>
          <w:sz w:val="24"/>
          <w:szCs w:val="24"/>
        </w:rPr>
        <w:t>Právo na účinné vyšetřování ve světle judikatury ústavního soudu</w:t>
      </w:r>
      <w:r w:rsidRPr="00D845BD">
        <w:rPr>
          <w:sz w:val="24"/>
          <w:szCs w:val="24"/>
        </w:rPr>
        <w:t>. Trestněprávní revue, 2016, roč. 15, č. 7-8, 157-163</w:t>
      </w:r>
      <w:r w:rsidRPr="00D845BD">
        <w:rPr>
          <w:sz w:val="24"/>
          <w:szCs w:val="24"/>
        </w:rPr>
        <w:br/>
      </w:r>
      <w:r w:rsidRPr="00D845BD">
        <w:rPr>
          <w:sz w:val="24"/>
          <w:szCs w:val="24"/>
        </w:rPr>
        <w:br/>
        <w:t xml:space="preserve">ŠPERLING, Jaroslov. </w:t>
      </w:r>
      <w:r w:rsidRPr="00D845BD">
        <w:rPr>
          <w:i/>
          <w:sz w:val="24"/>
          <w:szCs w:val="24"/>
        </w:rPr>
        <w:t>Nad jedním rozhodnutím</w:t>
      </w:r>
      <w:r w:rsidRPr="00D845BD">
        <w:rPr>
          <w:sz w:val="24"/>
          <w:szCs w:val="24"/>
        </w:rPr>
        <w:t>. Socialistická zákonnost, 1978, roč. 26, č. 7, s. 442-443</w:t>
      </w:r>
      <w:r w:rsidRPr="00D845BD">
        <w:rPr>
          <w:sz w:val="24"/>
          <w:szCs w:val="24"/>
        </w:rPr>
        <w:br/>
      </w:r>
      <w:r w:rsidRPr="00D845BD">
        <w:rPr>
          <w:sz w:val="24"/>
          <w:szCs w:val="24"/>
        </w:rPr>
        <w:br/>
        <w:t>VISINGER, Radek.</w:t>
      </w:r>
      <w:r w:rsidRPr="00D845BD">
        <w:rPr>
          <w:i/>
          <w:sz w:val="24"/>
          <w:szCs w:val="24"/>
        </w:rPr>
        <w:t xml:space="preserve"> Náhrada nemajetkové újmy v adhezním řízení</w:t>
      </w:r>
      <w:r w:rsidRPr="00D845BD">
        <w:rPr>
          <w:sz w:val="24"/>
          <w:szCs w:val="24"/>
        </w:rPr>
        <w:t>. Trestněprávní revue,</w:t>
      </w:r>
      <w:r w:rsidR="00385452">
        <w:rPr>
          <w:sz w:val="24"/>
          <w:szCs w:val="24"/>
        </w:rPr>
        <w:t xml:space="preserve"> 2011, roč. 10, č. 3, s. 74-79</w:t>
      </w:r>
      <w:r w:rsidR="00385452">
        <w:rPr>
          <w:sz w:val="24"/>
          <w:szCs w:val="24"/>
        </w:rPr>
        <w:br/>
      </w:r>
    </w:p>
    <w:p w:rsidR="00C07033" w:rsidRDefault="00B425CE" w:rsidP="006A3693">
      <w:pPr>
        <w:spacing w:line="360" w:lineRule="auto"/>
        <w:ind w:right="567"/>
        <w:rPr>
          <w:sz w:val="24"/>
          <w:szCs w:val="24"/>
        </w:rPr>
      </w:pPr>
      <w:r w:rsidRPr="00D845BD">
        <w:rPr>
          <w:sz w:val="24"/>
          <w:szCs w:val="24"/>
        </w:rPr>
        <w:t xml:space="preserve">WINTEROVÁ, Alena. </w:t>
      </w:r>
      <w:r w:rsidRPr="00D845BD">
        <w:rPr>
          <w:i/>
          <w:sz w:val="24"/>
          <w:szCs w:val="24"/>
        </w:rPr>
        <w:t>Konkurence občanskoprávního a adhezního řízení o náhradě škody.</w:t>
      </w:r>
      <w:r w:rsidRPr="00D845BD">
        <w:rPr>
          <w:sz w:val="24"/>
          <w:szCs w:val="24"/>
        </w:rPr>
        <w:t xml:space="preserve"> Socialistická zákonnost. 1987, roč. 34, č. 3, s. 130-134</w:t>
      </w:r>
    </w:p>
    <w:p w:rsidR="00C07033" w:rsidRDefault="00B425CE" w:rsidP="00C07033">
      <w:pPr>
        <w:pStyle w:val="Nadpis2"/>
        <w:jc w:val="both"/>
      </w:pPr>
      <w:r w:rsidRPr="00D845BD">
        <w:rPr>
          <w:sz w:val="20"/>
          <w:szCs w:val="20"/>
        </w:rPr>
        <w:lastRenderedPageBreak/>
        <w:br/>
      </w:r>
      <w:r w:rsidRPr="00D845BD">
        <w:rPr>
          <w:sz w:val="20"/>
          <w:szCs w:val="20"/>
        </w:rPr>
        <w:br/>
      </w:r>
      <w:r w:rsidR="004F6478">
        <w:br/>
      </w:r>
      <w:r w:rsidR="004F6478">
        <w:br/>
      </w:r>
      <w:r w:rsidR="004F6478">
        <w:br/>
      </w:r>
      <w:bookmarkStart w:id="120" w:name="_Toc190464531"/>
      <w:bookmarkStart w:id="121" w:name="_Toc190466570"/>
      <w:bookmarkStart w:id="122" w:name="_Toc190468818"/>
      <w:bookmarkStart w:id="123" w:name="_Toc190476404"/>
      <w:r w:rsidRPr="00D845BD">
        <w:t>Odborné články d</w:t>
      </w:r>
      <w:r w:rsidR="00C07033">
        <w:t>ostupné z elektronických zdrojů</w:t>
      </w:r>
      <w:bookmarkEnd w:id="120"/>
      <w:bookmarkEnd w:id="121"/>
      <w:bookmarkEnd w:id="122"/>
      <w:bookmarkEnd w:id="123"/>
    </w:p>
    <w:p w:rsidR="00D536D8" w:rsidRPr="00C07033" w:rsidRDefault="00B425CE" w:rsidP="002F005F">
      <w:pPr>
        <w:pStyle w:val="Nadpis2"/>
        <w:spacing w:line="360" w:lineRule="auto"/>
        <w:ind w:right="567"/>
        <w:jc w:val="both"/>
      </w:pPr>
      <w:r w:rsidRPr="00D845BD">
        <w:br/>
      </w:r>
      <w:bookmarkStart w:id="124" w:name="_Toc190464498"/>
      <w:bookmarkStart w:id="125" w:name="_Toc190464532"/>
      <w:bookmarkStart w:id="126" w:name="_Toc190466571"/>
      <w:bookmarkStart w:id="127" w:name="_Toc190468819"/>
      <w:bookmarkStart w:id="128" w:name="_Toc190476405"/>
      <w:r w:rsidRPr="00C07033">
        <w:rPr>
          <w:b w:val="0"/>
          <w:sz w:val="24"/>
          <w:szCs w:val="24"/>
        </w:rPr>
        <w:t xml:space="preserve">HEPOVÁ, Adéla. </w:t>
      </w:r>
      <w:r w:rsidRPr="00C07033">
        <w:rPr>
          <w:b w:val="0"/>
          <w:i/>
          <w:sz w:val="24"/>
          <w:szCs w:val="24"/>
        </w:rPr>
        <w:t>Sekundární viktimizace, věrná přítelkyně přestupkového řízení</w:t>
      </w:r>
      <w:r w:rsidRPr="00C07033">
        <w:rPr>
          <w:b w:val="0"/>
          <w:sz w:val="24"/>
          <w:szCs w:val="24"/>
        </w:rPr>
        <w:t>. Iurium, 2024, [o</w:t>
      </w:r>
      <w:r w:rsidR="002A5DFD">
        <w:rPr>
          <w:b w:val="0"/>
          <w:sz w:val="24"/>
          <w:szCs w:val="24"/>
        </w:rPr>
        <w:t xml:space="preserve">nline. 6. 1. 2024]. </w:t>
      </w:r>
      <w:r w:rsidRPr="00C07033">
        <w:rPr>
          <w:b w:val="0"/>
          <w:sz w:val="24"/>
          <w:szCs w:val="24"/>
        </w:rPr>
        <w:t xml:space="preserve">Dostupné z: </w:t>
      </w:r>
      <w:hyperlink r:id="rId8">
        <w:r w:rsidRPr="00C07033">
          <w:rPr>
            <w:b w:val="0"/>
            <w:sz w:val="24"/>
            <w:szCs w:val="24"/>
          </w:rPr>
          <w:t>https://www.iurium.cz/denik/denik-odborne-clanky/sekundarni-viktimizace</w:t>
        </w:r>
      </w:hyperlink>
      <w:r w:rsidRPr="00C07033">
        <w:rPr>
          <w:b w:val="0"/>
          <w:sz w:val="24"/>
          <w:szCs w:val="24"/>
        </w:rPr>
        <w:t xml:space="preserve"> [citováno  7. prosince 2024].</w:t>
      </w:r>
      <w:bookmarkEnd w:id="124"/>
      <w:bookmarkEnd w:id="125"/>
      <w:bookmarkEnd w:id="126"/>
      <w:bookmarkEnd w:id="127"/>
      <w:bookmarkEnd w:id="128"/>
    </w:p>
    <w:p w:rsidR="00D536D8" w:rsidRPr="00385452" w:rsidRDefault="00CC24F4" w:rsidP="006A3693">
      <w:pPr>
        <w:spacing w:line="360" w:lineRule="auto"/>
        <w:ind w:right="567"/>
        <w:rPr>
          <w:rFonts w:eastAsia="Aptos"/>
          <w:sz w:val="24"/>
          <w:szCs w:val="24"/>
          <w:u w:val="single"/>
        </w:rPr>
      </w:pPr>
      <w:r w:rsidRPr="00385452">
        <w:rPr>
          <w:sz w:val="24"/>
          <w:szCs w:val="24"/>
        </w:rPr>
        <w:br/>
      </w:r>
      <w:r w:rsidR="00B425CE" w:rsidRPr="00385452">
        <w:rPr>
          <w:rFonts w:eastAsia="Aptos"/>
          <w:sz w:val="24"/>
          <w:szCs w:val="24"/>
        </w:rPr>
        <w:t xml:space="preserve">STORCH, František. </w:t>
      </w:r>
      <w:r w:rsidR="00B425CE" w:rsidRPr="00385452">
        <w:rPr>
          <w:rFonts w:eastAsia="Aptos"/>
          <w:i/>
          <w:sz w:val="24"/>
          <w:szCs w:val="24"/>
        </w:rPr>
        <w:t>O nárocích soukromoprávních v řízením trestní</w:t>
      </w:r>
      <w:r w:rsidR="00B425CE" w:rsidRPr="00385452">
        <w:rPr>
          <w:rFonts w:eastAsia="Aptos"/>
          <w:sz w:val="24"/>
          <w:szCs w:val="24"/>
        </w:rPr>
        <w:t>. Právník, 1880, roč. 19, s. 78. [online] Dostupné z: digitální databáze České digitální knihovny</w:t>
      </w:r>
      <w:r w:rsidR="00B425CE" w:rsidRPr="00385452">
        <w:rPr>
          <w:rFonts w:eastAsia="Aptos"/>
          <w:sz w:val="24"/>
          <w:szCs w:val="24"/>
        </w:rPr>
        <w:br/>
      </w:r>
      <w:hyperlink r:id="rId9">
        <w:r w:rsidR="00B425CE" w:rsidRPr="00385452">
          <w:rPr>
            <w:rFonts w:eastAsia="Aptos"/>
            <w:sz w:val="24"/>
            <w:szCs w:val="24"/>
            <w:u w:val="single"/>
          </w:rPr>
          <w:t>https://cdk.lib.cas.cz/view/uuid:a53a5663-4eb0-11e1-1872-001143e3f55c?page=uuid:a53a5664-4eb0-11e1-1872-001143e3f55c</w:t>
        </w:r>
      </w:hyperlink>
    </w:p>
    <w:p w:rsidR="00D845BD" w:rsidRPr="00385452" w:rsidRDefault="00D845BD" w:rsidP="006A3693">
      <w:pPr>
        <w:spacing w:line="360" w:lineRule="auto"/>
        <w:ind w:right="567"/>
        <w:rPr>
          <w:rFonts w:eastAsia="Aptos"/>
          <w:sz w:val="24"/>
          <w:szCs w:val="24"/>
        </w:rPr>
      </w:pPr>
    </w:p>
    <w:p w:rsidR="00D845BD" w:rsidRPr="00385452" w:rsidRDefault="00B425CE" w:rsidP="006A3693">
      <w:pPr>
        <w:spacing w:line="360" w:lineRule="auto"/>
        <w:ind w:right="567"/>
        <w:rPr>
          <w:sz w:val="24"/>
          <w:szCs w:val="24"/>
        </w:rPr>
      </w:pPr>
      <w:r w:rsidRPr="00385452">
        <w:rPr>
          <w:sz w:val="24"/>
          <w:szCs w:val="24"/>
        </w:rPr>
        <w:t>JELÍNEK, Jiří a kol.</w:t>
      </w:r>
      <w:r w:rsidRPr="00385452">
        <w:rPr>
          <w:i/>
          <w:sz w:val="24"/>
          <w:szCs w:val="24"/>
        </w:rPr>
        <w:t xml:space="preserve"> Poškozený a oběť trestného činu z trestněprávního a kriminologického pohledu</w:t>
      </w:r>
      <w:r w:rsidRPr="00385452">
        <w:rPr>
          <w:sz w:val="24"/>
          <w:szCs w:val="24"/>
        </w:rPr>
        <w:t>, Praha: Leges, 2012, s. 67-76</w:t>
      </w:r>
    </w:p>
    <w:p w:rsidR="00385452" w:rsidRPr="00385452" w:rsidRDefault="00385452" w:rsidP="00385452">
      <w:pPr>
        <w:spacing w:line="360" w:lineRule="auto"/>
        <w:ind w:right="567"/>
        <w:rPr>
          <w:sz w:val="24"/>
          <w:szCs w:val="24"/>
        </w:rPr>
      </w:pPr>
      <w:r w:rsidRPr="00385452">
        <w:rPr>
          <w:sz w:val="20"/>
          <w:szCs w:val="20"/>
        </w:rPr>
        <w:br/>
      </w:r>
      <w:r w:rsidRPr="00385452">
        <w:rPr>
          <w:sz w:val="20"/>
          <w:szCs w:val="20"/>
        </w:rPr>
        <w:br/>
      </w:r>
      <w:r w:rsidRPr="00385452">
        <w:rPr>
          <w:sz w:val="24"/>
          <w:szCs w:val="24"/>
        </w:rPr>
        <w:t xml:space="preserve">POŠVÁŘ, Jaroslav. Náhrada škody v trestním správním řízení. </w:t>
      </w:r>
      <w:r w:rsidRPr="00385452">
        <w:rPr>
          <w:i/>
          <w:sz w:val="24"/>
          <w:szCs w:val="24"/>
        </w:rPr>
        <w:t xml:space="preserve">Všehrd.  </w:t>
      </w:r>
      <w:r w:rsidRPr="00385452">
        <w:rPr>
          <w:sz w:val="24"/>
          <w:szCs w:val="24"/>
        </w:rPr>
        <w:t xml:space="preserve">[online]. Roč. 66, č. 8. s. 68, [cit. 12. 1. 2025] dostupné z: </w:t>
      </w:r>
      <w:hyperlink r:id="rId10">
        <w:r w:rsidRPr="00385452">
          <w:rPr>
            <w:rFonts w:eastAsia="Roboto"/>
            <w:sz w:val="24"/>
            <w:szCs w:val="24"/>
            <w:u w:val="single"/>
          </w:rPr>
          <w:t>https://kramerius.lib.cas.cz/view/uuid:cae436b3-4eb0-11e1-3052-001143e3f55c?page=uuid:cae4396f-4eb0-11e1-3052-001143e3f55c</w:t>
        </w:r>
      </w:hyperlink>
      <w:r w:rsidRPr="00385452">
        <w:rPr>
          <w:rFonts w:eastAsia="Roboto"/>
          <w:sz w:val="24"/>
          <w:szCs w:val="24"/>
        </w:rPr>
        <w:t xml:space="preserve"> </w:t>
      </w:r>
      <w:r w:rsidRPr="00385452">
        <w:rPr>
          <w:i/>
          <w:sz w:val="24"/>
          <w:szCs w:val="24"/>
        </w:rPr>
        <w:t xml:space="preserve"> </w:t>
      </w:r>
    </w:p>
    <w:p w:rsidR="00D845BD" w:rsidRPr="00CC24F4" w:rsidRDefault="00B425CE" w:rsidP="002F005F">
      <w:pPr>
        <w:pStyle w:val="Nadpis2"/>
      </w:pPr>
      <w:r w:rsidRPr="00D845BD">
        <w:rPr>
          <w:sz w:val="20"/>
          <w:szCs w:val="20"/>
        </w:rPr>
        <w:br/>
      </w:r>
      <w:r w:rsidRPr="00D845BD">
        <w:rPr>
          <w:sz w:val="20"/>
          <w:szCs w:val="20"/>
        </w:rPr>
        <w:br/>
      </w:r>
      <w:bookmarkStart w:id="129" w:name="_Toc190464533"/>
      <w:bookmarkStart w:id="130" w:name="_Toc190466572"/>
      <w:bookmarkStart w:id="131" w:name="_Toc190468820"/>
      <w:bookmarkStart w:id="132" w:name="_Toc190476406"/>
      <w:r w:rsidRPr="00CC24F4">
        <w:t>Právní předpisy a důvodové zprávy k právním předpisům</w:t>
      </w:r>
      <w:bookmarkEnd w:id="129"/>
      <w:bookmarkEnd w:id="130"/>
      <w:bookmarkEnd w:id="131"/>
      <w:bookmarkEnd w:id="132"/>
    </w:p>
    <w:p w:rsidR="00D536D8" w:rsidRPr="00D845BD" w:rsidRDefault="00B425CE" w:rsidP="006A3693">
      <w:pPr>
        <w:spacing w:line="360" w:lineRule="auto"/>
        <w:ind w:right="567"/>
        <w:rPr>
          <w:sz w:val="24"/>
          <w:szCs w:val="24"/>
          <w:highlight w:val="white"/>
        </w:rPr>
      </w:pPr>
      <w:r w:rsidRPr="00D845BD">
        <w:rPr>
          <w:sz w:val="28"/>
          <w:szCs w:val="28"/>
        </w:rPr>
        <w:br/>
      </w:r>
      <w:r w:rsidRPr="00D845BD">
        <w:rPr>
          <w:sz w:val="24"/>
          <w:szCs w:val="24"/>
        </w:rPr>
        <w:t>Zákon č. 89/2012 Sb., občanský zákoník, ve znění pozdějších předpisů</w:t>
      </w:r>
      <w:r w:rsidRPr="00D845BD">
        <w:rPr>
          <w:sz w:val="20"/>
          <w:szCs w:val="20"/>
        </w:rPr>
        <w:br/>
      </w:r>
      <w:r w:rsidRPr="00D845BD">
        <w:rPr>
          <w:sz w:val="20"/>
          <w:szCs w:val="20"/>
        </w:rPr>
        <w:br/>
      </w:r>
      <w:r w:rsidR="00385452">
        <w:rPr>
          <w:sz w:val="24"/>
          <w:szCs w:val="24"/>
        </w:rPr>
        <w:t xml:space="preserve">Zákon č. 141/1961 Sb., zákon o </w:t>
      </w:r>
      <w:r w:rsidRPr="00D845BD">
        <w:rPr>
          <w:sz w:val="24"/>
          <w:szCs w:val="24"/>
        </w:rPr>
        <w:t>trestním řízení soudním, ve znění pozdějších předpisů</w:t>
      </w:r>
      <w:r w:rsidRPr="00D845BD">
        <w:rPr>
          <w:sz w:val="24"/>
          <w:szCs w:val="24"/>
        </w:rPr>
        <w:br/>
      </w:r>
      <w:r w:rsidRPr="00D845BD">
        <w:rPr>
          <w:sz w:val="24"/>
          <w:szCs w:val="24"/>
        </w:rPr>
        <w:br/>
        <w:t xml:space="preserve">Zákon č. </w:t>
      </w:r>
      <w:r w:rsidRPr="00D845BD">
        <w:fldChar w:fldCharType="begin"/>
      </w:r>
      <w:r w:rsidRPr="00D845BD">
        <w:instrText xml:space="preserve"> HYPERLINK "https://www.zakonyprolidi.cz/cs/1963-99" </w:instrText>
      </w:r>
      <w:r w:rsidRPr="00D845BD">
        <w:fldChar w:fldCharType="separate"/>
      </w:r>
      <w:r w:rsidR="00385452">
        <w:rPr>
          <w:sz w:val="24"/>
          <w:szCs w:val="24"/>
          <w:highlight w:val="white"/>
        </w:rPr>
        <w:t>99/1963 Sb. o</w:t>
      </w:r>
      <w:r w:rsidRPr="00D845BD">
        <w:rPr>
          <w:sz w:val="24"/>
          <w:szCs w:val="24"/>
          <w:highlight w:val="white"/>
        </w:rPr>
        <w:t>bčanský soudní řád</w:t>
      </w:r>
      <w:r w:rsidR="00385452">
        <w:rPr>
          <w:sz w:val="24"/>
          <w:szCs w:val="24"/>
          <w:highlight w:val="white"/>
        </w:rPr>
        <w:t>, ve znění pozdějších předpisů</w:t>
      </w:r>
    </w:p>
    <w:p w:rsidR="00D536D8" w:rsidRPr="00D845BD" w:rsidRDefault="00B425CE" w:rsidP="006A3693">
      <w:pPr>
        <w:spacing w:line="360" w:lineRule="auto"/>
        <w:ind w:right="567"/>
        <w:rPr>
          <w:sz w:val="20"/>
          <w:szCs w:val="20"/>
        </w:rPr>
      </w:pPr>
      <w:r w:rsidRPr="00D845BD">
        <w:fldChar w:fldCharType="end"/>
      </w:r>
      <w:r w:rsidRPr="00D845BD">
        <w:rPr>
          <w:sz w:val="24"/>
          <w:szCs w:val="24"/>
        </w:rPr>
        <w:br/>
        <w:t xml:space="preserve">Zákon č. 181/2011 Sb., kterým se mění zákon č. 141/1961 Sb., o trestním řízení soudním </w:t>
      </w:r>
      <w:r w:rsidRPr="00D845BD">
        <w:rPr>
          <w:sz w:val="24"/>
          <w:szCs w:val="24"/>
        </w:rPr>
        <w:lastRenderedPageBreak/>
        <w:t>(trestní řád), ve znění pozdějších předpisů, a některé další zákony</w:t>
      </w:r>
      <w:r w:rsidRPr="00D845BD">
        <w:rPr>
          <w:sz w:val="24"/>
          <w:szCs w:val="24"/>
        </w:rPr>
        <w:br/>
      </w:r>
      <w:r w:rsidRPr="00D845BD">
        <w:rPr>
          <w:sz w:val="24"/>
          <w:szCs w:val="24"/>
        </w:rPr>
        <w:br/>
        <w:t>Zákon č. 200/1990 Sb., zákon o přestupcích, ve znění zákona č. 65/2017</w:t>
      </w:r>
      <w:r w:rsidRPr="00D845BD">
        <w:rPr>
          <w:sz w:val="24"/>
          <w:szCs w:val="24"/>
        </w:rPr>
        <w:br/>
      </w:r>
      <w:r w:rsidRPr="00D845BD">
        <w:rPr>
          <w:sz w:val="24"/>
          <w:szCs w:val="24"/>
        </w:rPr>
        <w:br/>
        <w:t>Zákon č. 250/2016 Sb., zákon o odpovědnosti za přestupky a řízení o nich, ve znění pozdějších předpisů</w:t>
      </w:r>
      <w:r w:rsidRPr="00D845BD">
        <w:rPr>
          <w:sz w:val="24"/>
          <w:szCs w:val="24"/>
        </w:rPr>
        <w:br/>
      </w:r>
      <w:r w:rsidRPr="00D845BD">
        <w:rPr>
          <w:sz w:val="24"/>
          <w:szCs w:val="24"/>
        </w:rPr>
        <w:br/>
      </w:r>
      <w:r w:rsidRPr="00D845BD">
        <w:rPr>
          <w:rFonts w:eastAsia="Aptos"/>
          <w:sz w:val="24"/>
          <w:szCs w:val="24"/>
        </w:rPr>
        <w:t>Zákon č. 500/2004 Sb., správní řád, ve znění pozdějších předpisů.</w:t>
      </w:r>
      <w:r w:rsidRPr="00D845BD">
        <w:rPr>
          <w:sz w:val="24"/>
          <w:szCs w:val="24"/>
        </w:rPr>
        <w:br/>
      </w:r>
      <w:r w:rsidRPr="00D845BD">
        <w:rPr>
          <w:sz w:val="24"/>
          <w:szCs w:val="24"/>
        </w:rPr>
        <w:br/>
        <w:t>Zákon č. 549/1991 Sb. zákon o soudních poplatcích, ve znění pozdějších předpisů</w:t>
      </w:r>
      <w:r w:rsidRPr="00D845BD">
        <w:rPr>
          <w:sz w:val="20"/>
          <w:szCs w:val="20"/>
        </w:rPr>
        <w:br/>
      </w:r>
      <w:r w:rsidRPr="00D845BD">
        <w:rPr>
          <w:sz w:val="20"/>
          <w:szCs w:val="20"/>
        </w:rPr>
        <w:br/>
      </w:r>
      <w:r w:rsidR="002A46FF" w:rsidRPr="00D845BD">
        <w:rPr>
          <w:sz w:val="24"/>
          <w:szCs w:val="24"/>
        </w:rPr>
        <w:t>Směrnice Evropského parlamentu a Rady 2012/29/EU ze dne 25. 10. 2012</w:t>
      </w:r>
      <w:r w:rsidR="002A46FF">
        <w:rPr>
          <w:sz w:val="24"/>
          <w:szCs w:val="24"/>
        </w:rPr>
        <w:t xml:space="preserve">, </w:t>
      </w:r>
      <w:r w:rsidR="002A46FF" w:rsidRPr="00D845BD">
        <w:rPr>
          <w:sz w:val="24"/>
          <w:szCs w:val="24"/>
        </w:rPr>
        <w:t>kterou se zavádí minimální pravidla pro práva, podporu a ochranu obětí trestného činu a kterou se nahrazuje rámcové rozhodnutí Rady 2001/220/SVV</w:t>
      </w:r>
    </w:p>
    <w:tbl>
      <w:tblPr>
        <w:tblStyle w:val="a"/>
        <w:tblW w:w="100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080"/>
      </w:tblGrid>
      <w:tr w:rsidR="00D536D8" w:rsidRPr="00D845BD">
        <w:trPr>
          <w:trHeight w:val="334"/>
        </w:trPr>
        <w:tc>
          <w:tcPr>
            <w:tcW w:w="10080" w:type="dxa"/>
            <w:tcBorders>
              <w:top w:val="nil"/>
              <w:left w:val="nil"/>
              <w:bottom w:val="nil"/>
              <w:right w:val="nil"/>
            </w:tcBorders>
            <w:tcMar>
              <w:top w:w="40" w:type="dxa"/>
              <w:left w:w="60" w:type="dxa"/>
              <w:bottom w:w="40" w:type="dxa"/>
              <w:right w:w="60" w:type="dxa"/>
            </w:tcMar>
          </w:tcPr>
          <w:p w:rsidR="00D536D8" w:rsidRPr="00D845BD" w:rsidRDefault="00D536D8" w:rsidP="006A3693">
            <w:pPr>
              <w:spacing w:line="360" w:lineRule="auto"/>
              <w:ind w:right="567"/>
              <w:rPr>
                <w:sz w:val="20"/>
                <w:szCs w:val="20"/>
              </w:rPr>
            </w:pPr>
          </w:p>
        </w:tc>
      </w:tr>
    </w:tbl>
    <w:p w:rsidR="00D536D8" w:rsidRPr="00D845BD" w:rsidRDefault="00D536D8" w:rsidP="006A3693">
      <w:pPr>
        <w:spacing w:line="360" w:lineRule="auto"/>
        <w:ind w:right="567"/>
        <w:rPr>
          <w:sz w:val="20"/>
          <w:szCs w:val="20"/>
        </w:rPr>
      </w:pPr>
    </w:p>
    <w:p w:rsidR="002F005F" w:rsidRDefault="00B425CE" w:rsidP="002F005F">
      <w:pPr>
        <w:pStyle w:val="Nadpis2"/>
      </w:pPr>
      <w:bookmarkStart w:id="133" w:name="_Toc190464534"/>
      <w:bookmarkStart w:id="134" w:name="_Toc190466573"/>
      <w:bookmarkStart w:id="135" w:name="_Toc190468821"/>
      <w:bookmarkStart w:id="136" w:name="_Toc190476407"/>
      <w:r w:rsidRPr="00D845BD">
        <w:t>Soudní rozhodnutí</w:t>
      </w:r>
      <w:bookmarkEnd w:id="133"/>
      <w:bookmarkEnd w:id="134"/>
      <w:bookmarkEnd w:id="135"/>
      <w:bookmarkEnd w:id="136"/>
    </w:p>
    <w:p w:rsidR="00F024FF" w:rsidRDefault="00B425CE" w:rsidP="006A3693">
      <w:pPr>
        <w:spacing w:line="360" w:lineRule="auto"/>
        <w:ind w:right="567"/>
        <w:rPr>
          <w:sz w:val="28"/>
          <w:szCs w:val="28"/>
        </w:rPr>
      </w:pPr>
      <w:r w:rsidRPr="00D845BD">
        <w:rPr>
          <w:sz w:val="28"/>
          <w:szCs w:val="28"/>
        </w:rPr>
        <w:br/>
      </w:r>
      <w:r w:rsidRPr="002A46FF">
        <w:rPr>
          <w:sz w:val="28"/>
          <w:szCs w:val="28"/>
        </w:rPr>
        <w:t>Nejvyšší správní soud:</w:t>
      </w:r>
      <w:r w:rsidRPr="00D845BD">
        <w:rPr>
          <w:sz w:val="20"/>
          <w:szCs w:val="20"/>
        </w:rPr>
        <w:br/>
      </w:r>
      <w:r w:rsidRPr="00D845BD">
        <w:rPr>
          <w:sz w:val="20"/>
          <w:szCs w:val="20"/>
        </w:rPr>
        <w:br/>
      </w:r>
      <w:r w:rsidRPr="00D845BD">
        <w:rPr>
          <w:sz w:val="24"/>
          <w:szCs w:val="24"/>
        </w:rPr>
        <w:t>Rozsudek Nejvyššího správního soudu ze dne 31. 10. 2007, sp. Zn. 2 As 46/2006 - 100 (2276/2011 Sb. NSS)</w:t>
      </w:r>
      <w:r w:rsidR="002A5DFD">
        <w:rPr>
          <w:sz w:val="24"/>
          <w:szCs w:val="24"/>
        </w:rPr>
        <w:br/>
      </w:r>
      <w:r w:rsidR="002A5DFD" w:rsidRPr="002A5DFD">
        <w:rPr>
          <w:sz w:val="24"/>
          <w:szCs w:val="24"/>
        </w:rPr>
        <w:br/>
        <w:t>Rozsudek Nejvyššího správního soudu ze dne 31. 7. 2009, č. j. 2 As 60/2008 – 111.</w:t>
      </w:r>
      <w:r w:rsidRPr="002A5DFD">
        <w:rPr>
          <w:sz w:val="24"/>
          <w:szCs w:val="24"/>
        </w:rPr>
        <w:br/>
      </w:r>
      <w:r w:rsidRPr="00D845BD">
        <w:rPr>
          <w:sz w:val="24"/>
          <w:szCs w:val="24"/>
        </w:rPr>
        <w:br/>
        <w:t>Rozsudek Nejvyššího správního soudu ze dne 23. 11. 2011, sp. zn. 2 As 83/2010 - 84</w:t>
      </w:r>
      <w:r w:rsidRPr="00D845BD">
        <w:rPr>
          <w:sz w:val="24"/>
          <w:szCs w:val="24"/>
        </w:rPr>
        <w:br/>
      </w:r>
      <w:r w:rsidRPr="00D845BD">
        <w:rPr>
          <w:sz w:val="24"/>
          <w:szCs w:val="24"/>
        </w:rPr>
        <w:br/>
        <w:t>Rozsudek Nejvyššího správního soudu ze dne 11.</w:t>
      </w:r>
      <w:r w:rsidR="00053D38">
        <w:rPr>
          <w:sz w:val="24"/>
          <w:szCs w:val="24"/>
        </w:rPr>
        <w:t xml:space="preserve"> 12. </w:t>
      </w:r>
      <w:r w:rsidRPr="00D845BD">
        <w:rPr>
          <w:sz w:val="24"/>
          <w:szCs w:val="24"/>
        </w:rPr>
        <w:t xml:space="preserve"> 2020, sp. zn. 5 As 27/2020 - 2. (4133/2021 Sb. NSS)</w:t>
      </w:r>
      <w:r w:rsidRPr="00D845BD">
        <w:rPr>
          <w:sz w:val="20"/>
          <w:szCs w:val="20"/>
        </w:rPr>
        <w:br/>
      </w:r>
      <w:r w:rsidRPr="00D845BD">
        <w:rPr>
          <w:sz w:val="20"/>
          <w:szCs w:val="20"/>
        </w:rPr>
        <w:br/>
      </w:r>
    </w:p>
    <w:p w:rsidR="002A5DFD" w:rsidRDefault="002A5DFD" w:rsidP="006A3693">
      <w:pPr>
        <w:spacing w:line="360" w:lineRule="auto"/>
        <w:ind w:right="567"/>
        <w:rPr>
          <w:sz w:val="28"/>
          <w:szCs w:val="28"/>
        </w:rPr>
      </w:pPr>
    </w:p>
    <w:p w:rsidR="00D536D8" w:rsidRPr="00F024FF" w:rsidRDefault="00B425CE" w:rsidP="006A3693">
      <w:pPr>
        <w:spacing w:line="360" w:lineRule="auto"/>
        <w:ind w:right="567"/>
        <w:rPr>
          <w:sz w:val="28"/>
          <w:szCs w:val="28"/>
        </w:rPr>
      </w:pPr>
      <w:r w:rsidRPr="00D845BD">
        <w:rPr>
          <w:sz w:val="28"/>
          <w:szCs w:val="28"/>
        </w:rPr>
        <w:lastRenderedPageBreak/>
        <w:t>Nejvyšší soud:</w:t>
      </w:r>
      <w:r w:rsidRPr="00D845BD">
        <w:rPr>
          <w:sz w:val="28"/>
          <w:szCs w:val="28"/>
        </w:rPr>
        <w:br/>
      </w:r>
      <w:r w:rsidRPr="00D845BD">
        <w:rPr>
          <w:sz w:val="24"/>
          <w:szCs w:val="24"/>
        </w:rPr>
        <w:br/>
        <w:t xml:space="preserve">Rozsudek Nejvyššího soudu ze dne 30.10. 2007, sp. Zn. 33 Odo 1345/2005 </w:t>
      </w:r>
      <w:r w:rsidRPr="00D845BD">
        <w:rPr>
          <w:sz w:val="24"/>
          <w:szCs w:val="24"/>
        </w:rPr>
        <w:br/>
      </w:r>
      <w:r w:rsidRPr="00D845BD">
        <w:rPr>
          <w:sz w:val="24"/>
          <w:szCs w:val="24"/>
        </w:rPr>
        <w:br/>
        <w:t>Rozsudek Nejvyššího soudu ze dne 20. 12. 2011, sp. Zn. 4 Tz 105/2011</w:t>
      </w:r>
      <w:r w:rsidRPr="00D845BD">
        <w:rPr>
          <w:sz w:val="24"/>
          <w:szCs w:val="24"/>
        </w:rPr>
        <w:br/>
      </w:r>
      <w:r w:rsidRPr="00D845BD">
        <w:rPr>
          <w:sz w:val="24"/>
          <w:szCs w:val="24"/>
        </w:rPr>
        <w:br/>
        <w:t>Usnesení Nejvyššího soudu ze dne 27. 7. 2000, sp. Zn. 20 Cdo 723/2000 (46/2001 Sb. rozh. civ)</w:t>
      </w:r>
      <w:r w:rsidR="008C0081">
        <w:rPr>
          <w:sz w:val="24"/>
          <w:szCs w:val="24"/>
        </w:rPr>
        <w:br/>
      </w:r>
      <w:r w:rsidRPr="00D845BD">
        <w:rPr>
          <w:sz w:val="24"/>
          <w:szCs w:val="24"/>
        </w:rPr>
        <w:br/>
        <w:t>Zpráva Nejvyššího soudu ČSR ze dne 24.10.1979, sp. zn. Cpj 35/78 (22/1979 Sb. )</w:t>
      </w:r>
    </w:p>
    <w:p w:rsidR="00053D38" w:rsidRDefault="00053D38" w:rsidP="006A3693">
      <w:pPr>
        <w:spacing w:line="360" w:lineRule="auto"/>
        <w:ind w:right="567"/>
        <w:rPr>
          <w:sz w:val="28"/>
          <w:szCs w:val="28"/>
        </w:rPr>
      </w:pPr>
    </w:p>
    <w:p w:rsidR="00D536D8" w:rsidRPr="00D845BD" w:rsidRDefault="00B425CE" w:rsidP="002F005F">
      <w:pPr>
        <w:rPr>
          <w:sz w:val="24"/>
          <w:szCs w:val="24"/>
        </w:rPr>
      </w:pPr>
      <w:r w:rsidRPr="00F024FF">
        <w:rPr>
          <w:sz w:val="28"/>
          <w:szCs w:val="28"/>
        </w:rPr>
        <w:t>Ústavní soud:</w:t>
      </w:r>
      <w:r w:rsidRPr="002F005F">
        <w:rPr>
          <w:sz w:val="24"/>
          <w:szCs w:val="24"/>
        </w:rPr>
        <w:br/>
      </w:r>
      <w:r w:rsidR="008C0081">
        <w:rPr>
          <w:sz w:val="20"/>
          <w:szCs w:val="20"/>
        </w:rPr>
        <w:br/>
      </w:r>
      <w:r w:rsidR="008C0081" w:rsidRPr="008C0081">
        <w:rPr>
          <w:sz w:val="24"/>
          <w:szCs w:val="24"/>
        </w:rPr>
        <w:t xml:space="preserve">Usnesení Ústavního soudu ze dne 17.5. 2012, sp. Zn. </w:t>
      </w:r>
      <w:r w:rsidR="008C0081" w:rsidRPr="008C0081">
        <w:rPr>
          <w:rFonts w:eastAsia="Georgia"/>
          <w:sz w:val="24"/>
          <w:szCs w:val="24"/>
        </w:rPr>
        <w:t>IV.ÚS 1455/12 (U 3/65 SbNU 669</w:t>
      </w:r>
      <w:r w:rsidR="008C0081" w:rsidRPr="00284190">
        <w:rPr>
          <w:rFonts w:eastAsia="Georgia"/>
          <w:sz w:val="20"/>
          <w:szCs w:val="20"/>
        </w:rPr>
        <w:t>)</w:t>
      </w:r>
      <w:r w:rsidRPr="00D845BD">
        <w:rPr>
          <w:sz w:val="20"/>
          <w:szCs w:val="20"/>
        </w:rPr>
        <w:br/>
      </w:r>
      <w:r w:rsidRPr="00D845BD">
        <w:rPr>
          <w:sz w:val="24"/>
          <w:szCs w:val="24"/>
          <w:highlight w:val="white"/>
        </w:rPr>
        <w:br/>
      </w:r>
      <w:r w:rsidRPr="00D845BD">
        <w:rPr>
          <w:sz w:val="24"/>
          <w:szCs w:val="24"/>
        </w:rPr>
        <w:t>Nález Ústavního soudu ze dne 8.8. 2017 sp. Zn. Pl. ús. 32/16</w:t>
      </w:r>
    </w:p>
    <w:p w:rsidR="00D536D8" w:rsidRPr="00D845BD" w:rsidRDefault="00B425CE" w:rsidP="006A3693">
      <w:pPr>
        <w:spacing w:line="360" w:lineRule="auto"/>
        <w:ind w:right="567"/>
        <w:rPr>
          <w:sz w:val="24"/>
          <w:szCs w:val="24"/>
        </w:rPr>
      </w:pPr>
      <w:r w:rsidRPr="00D845BD">
        <w:rPr>
          <w:sz w:val="24"/>
          <w:szCs w:val="24"/>
          <w:highlight w:val="white"/>
        </w:rPr>
        <w:br/>
      </w:r>
      <w:r w:rsidRPr="00D845BD">
        <w:rPr>
          <w:sz w:val="24"/>
          <w:szCs w:val="24"/>
        </w:rPr>
        <w:t>Nález Ústavního soudu ze dne 14.8. 2014, sp. Zn. 3196/12</w:t>
      </w:r>
      <w:r w:rsidRPr="00D845BD">
        <w:rPr>
          <w:sz w:val="24"/>
          <w:szCs w:val="24"/>
        </w:rPr>
        <w:br/>
      </w:r>
      <w:r w:rsidRPr="00D845BD">
        <w:rPr>
          <w:sz w:val="24"/>
          <w:szCs w:val="24"/>
        </w:rPr>
        <w:br/>
        <w:t xml:space="preserve">Nález Ústavního soudu ze dne 20. </w:t>
      </w:r>
      <w:r w:rsidR="002A46FF">
        <w:rPr>
          <w:sz w:val="24"/>
          <w:szCs w:val="24"/>
        </w:rPr>
        <w:t xml:space="preserve">3. </w:t>
      </w:r>
      <w:r w:rsidRPr="00D845BD">
        <w:rPr>
          <w:sz w:val="24"/>
          <w:szCs w:val="24"/>
        </w:rPr>
        <w:t>2024, sp. zn. IV.ÚS 2637/23</w:t>
      </w:r>
    </w:p>
    <w:p w:rsidR="00F024FF" w:rsidRPr="002A5DFD" w:rsidRDefault="00B425CE" w:rsidP="006A3693">
      <w:pPr>
        <w:spacing w:line="240" w:lineRule="auto"/>
        <w:ind w:right="567"/>
        <w:rPr>
          <w:sz w:val="24"/>
          <w:szCs w:val="24"/>
        </w:rPr>
      </w:pPr>
      <w:r w:rsidRPr="00D845BD">
        <w:rPr>
          <w:sz w:val="24"/>
          <w:szCs w:val="24"/>
        </w:rPr>
        <w:br/>
      </w:r>
      <w:r w:rsidRPr="002A46FF">
        <w:rPr>
          <w:sz w:val="24"/>
          <w:szCs w:val="24"/>
        </w:rPr>
        <w:t>Nález Ústavního soudu ze dne 4 6. 2024, sp. Zn. IV. ÚS 405/24</w:t>
      </w:r>
      <w:r w:rsidR="002A5DFD">
        <w:rPr>
          <w:sz w:val="24"/>
          <w:szCs w:val="24"/>
        </w:rPr>
        <w:br/>
      </w:r>
      <w:r w:rsidR="002A5DFD">
        <w:rPr>
          <w:sz w:val="24"/>
          <w:szCs w:val="24"/>
        </w:rPr>
        <w:br/>
      </w:r>
      <w:r w:rsidR="002A5DFD" w:rsidRPr="002A5DFD">
        <w:rPr>
          <w:sz w:val="24"/>
          <w:szCs w:val="24"/>
        </w:rPr>
        <w:t>Nález Ústavního soudu ze dne 24. 7. 2024 , sp. Zn. IV. ÚS 855/24</w:t>
      </w:r>
    </w:p>
    <w:p w:rsidR="00053D38" w:rsidRDefault="002A46FF" w:rsidP="006A3693">
      <w:pPr>
        <w:spacing w:line="240" w:lineRule="auto"/>
        <w:ind w:right="567"/>
        <w:rPr>
          <w:sz w:val="24"/>
          <w:szCs w:val="24"/>
        </w:rPr>
      </w:pPr>
      <w:r>
        <w:rPr>
          <w:sz w:val="24"/>
          <w:szCs w:val="24"/>
        </w:rPr>
        <w:br/>
      </w:r>
    </w:p>
    <w:p w:rsidR="002A46FF" w:rsidRDefault="002A46FF" w:rsidP="006A3693">
      <w:pPr>
        <w:spacing w:line="240" w:lineRule="auto"/>
        <w:ind w:right="567"/>
        <w:rPr>
          <w:sz w:val="28"/>
          <w:szCs w:val="28"/>
        </w:rPr>
      </w:pPr>
      <w:r w:rsidRPr="002A46FF">
        <w:rPr>
          <w:sz w:val="28"/>
          <w:szCs w:val="28"/>
        </w:rPr>
        <w:t>Evropský soud pro lidská práva:</w:t>
      </w:r>
      <w:r w:rsidRPr="002A46FF">
        <w:rPr>
          <w:sz w:val="28"/>
          <w:szCs w:val="28"/>
        </w:rPr>
        <w:br/>
      </w:r>
      <w:r w:rsidR="00B425CE" w:rsidRPr="002A46FF">
        <w:rPr>
          <w:sz w:val="24"/>
          <w:szCs w:val="24"/>
        </w:rPr>
        <w:br/>
      </w:r>
      <w:r w:rsidRPr="002A46FF">
        <w:rPr>
          <w:sz w:val="24"/>
          <w:szCs w:val="24"/>
        </w:rPr>
        <w:t xml:space="preserve">Rozsudek ESLP ze dne 2. 9. 1998, </w:t>
      </w:r>
      <w:r w:rsidRPr="002A46FF">
        <w:rPr>
          <w:sz w:val="24"/>
          <w:szCs w:val="24"/>
          <w:highlight w:val="white"/>
        </w:rPr>
        <w:t>Kadubec proti Slovensku,</w:t>
      </w:r>
      <w:r w:rsidRPr="002A46FF">
        <w:rPr>
          <w:sz w:val="24"/>
          <w:szCs w:val="24"/>
        </w:rPr>
        <w:t xml:space="preserve"> stížnost č.27061/95;</w:t>
      </w:r>
      <w:r w:rsidRPr="002A46FF">
        <w:rPr>
          <w:sz w:val="24"/>
          <w:szCs w:val="24"/>
        </w:rPr>
        <w:br/>
      </w:r>
      <w:r w:rsidRPr="002A46FF">
        <w:rPr>
          <w:sz w:val="24"/>
          <w:szCs w:val="24"/>
        </w:rPr>
        <w:br/>
        <w:t xml:space="preserve">Rozsudek ESLP ze dne </w:t>
      </w:r>
      <w:r w:rsidRPr="002A46FF">
        <w:rPr>
          <w:sz w:val="24"/>
          <w:szCs w:val="24"/>
          <w:highlight w:val="white"/>
        </w:rPr>
        <w:t xml:space="preserve"> 21. 10. 1996, Lauko proti Slovensku, stížnost č. 26138/95.</w:t>
      </w:r>
      <w:r w:rsidR="008C0081">
        <w:rPr>
          <w:sz w:val="24"/>
          <w:szCs w:val="24"/>
        </w:rPr>
        <w:br/>
      </w:r>
      <w:r w:rsidR="008C0081">
        <w:rPr>
          <w:sz w:val="24"/>
          <w:szCs w:val="24"/>
        </w:rPr>
        <w:br/>
      </w:r>
      <w:r w:rsidR="008C0081" w:rsidRPr="008C0081">
        <w:rPr>
          <w:sz w:val="28"/>
          <w:szCs w:val="28"/>
        </w:rPr>
        <w:t>Další</w:t>
      </w:r>
    </w:p>
    <w:p w:rsidR="008C0081" w:rsidRPr="008C0081" w:rsidRDefault="008C0081" w:rsidP="006A3693">
      <w:pPr>
        <w:spacing w:line="240" w:lineRule="auto"/>
        <w:ind w:right="567"/>
        <w:rPr>
          <w:sz w:val="24"/>
          <w:szCs w:val="24"/>
        </w:rPr>
      </w:pPr>
    </w:p>
    <w:p w:rsidR="008C0081" w:rsidRPr="008C0081" w:rsidRDefault="008C0081" w:rsidP="006A3693">
      <w:pPr>
        <w:spacing w:line="240" w:lineRule="auto"/>
        <w:ind w:right="567"/>
        <w:rPr>
          <w:sz w:val="24"/>
          <w:szCs w:val="24"/>
        </w:rPr>
      </w:pPr>
      <w:r w:rsidRPr="008C0081">
        <w:rPr>
          <w:sz w:val="24"/>
          <w:szCs w:val="24"/>
        </w:rPr>
        <w:t xml:space="preserve">Rozsudek Krajského soudu v Ostravě ze dne 31. Března 2013, sp. Zn. 22 A 160/2010 </w:t>
      </w:r>
      <w:r>
        <w:rPr>
          <w:sz w:val="24"/>
          <w:szCs w:val="24"/>
        </w:rPr>
        <w:t>–</w:t>
      </w:r>
      <w:r w:rsidRPr="008C0081">
        <w:rPr>
          <w:sz w:val="24"/>
          <w:szCs w:val="24"/>
        </w:rPr>
        <w:t xml:space="preserve"> 32</w:t>
      </w:r>
      <w:r>
        <w:rPr>
          <w:sz w:val="24"/>
          <w:szCs w:val="24"/>
        </w:rPr>
        <w:br/>
      </w:r>
      <w:r>
        <w:rPr>
          <w:sz w:val="24"/>
          <w:szCs w:val="24"/>
        </w:rPr>
        <w:br/>
      </w:r>
      <w:r w:rsidRPr="008C0081">
        <w:rPr>
          <w:sz w:val="24"/>
          <w:szCs w:val="24"/>
        </w:rPr>
        <w:t>Usnesení Krajského soudu v Plzni ze dne 06.10.1999, sp. zn. 8 To 335/99</w:t>
      </w:r>
    </w:p>
    <w:p w:rsidR="00D536D8" w:rsidRPr="00284190" w:rsidRDefault="00B425CE" w:rsidP="002F005F">
      <w:pPr>
        <w:pStyle w:val="Nadpis2"/>
        <w:rPr>
          <w:sz w:val="20"/>
          <w:szCs w:val="20"/>
          <w:u w:val="single"/>
        </w:rPr>
      </w:pPr>
      <w:r w:rsidRPr="00D845BD">
        <w:rPr>
          <w:sz w:val="20"/>
          <w:szCs w:val="20"/>
        </w:rPr>
        <w:lastRenderedPageBreak/>
        <w:br/>
      </w:r>
      <w:r w:rsidRPr="00D845BD">
        <w:rPr>
          <w:sz w:val="20"/>
          <w:szCs w:val="20"/>
        </w:rPr>
        <w:br/>
      </w:r>
      <w:bookmarkStart w:id="137" w:name="_Toc190464501"/>
      <w:bookmarkStart w:id="138" w:name="_Toc190464535"/>
      <w:bookmarkStart w:id="139" w:name="_Toc190466574"/>
      <w:bookmarkStart w:id="140" w:name="_Toc190468822"/>
      <w:bookmarkStart w:id="141" w:name="_Toc190476408"/>
      <w:r w:rsidRPr="00D845BD">
        <w:t>Jiná rozhodnutí</w:t>
      </w:r>
      <w:r w:rsidRPr="00D845BD">
        <w:br/>
      </w:r>
      <w:r w:rsidRPr="002F005F">
        <w:rPr>
          <w:b w:val="0"/>
          <w:sz w:val="24"/>
          <w:szCs w:val="24"/>
        </w:rPr>
        <w:br/>
        <w:t xml:space="preserve">Stanovisko Veřejného ochránce práv ze dne 6. 12. 2007,  č. j. 2840/2007/VBG,  Stanovisko Veřejného ochránce práv ze dne 6. 12. 2007  č. j. 2840/2007/VBG., [online] dostupné z: </w:t>
      </w:r>
      <w:hyperlink r:id="rId11">
        <w:r w:rsidRPr="002F005F">
          <w:rPr>
            <w:b w:val="0"/>
            <w:sz w:val="24"/>
            <w:szCs w:val="24"/>
            <w:u w:val="single"/>
          </w:rPr>
          <w:t>https://www.ochrance.cz/vystupy/edice-stanoviska/Prestupky.pdf</w:t>
        </w:r>
      </w:hyperlink>
      <w:r w:rsidRPr="002F005F">
        <w:rPr>
          <w:b w:val="0"/>
          <w:sz w:val="20"/>
          <w:szCs w:val="20"/>
          <w:u w:val="single"/>
        </w:rPr>
        <w:t xml:space="preserve">    </w:t>
      </w:r>
      <w:r w:rsidRPr="002F005F">
        <w:rPr>
          <w:b w:val="0"/>
          <w:sz w:val="20"/>
          <w:szCs w:val="20"/>
          <w:u w:val="single"/>
        </w:rPr>
        <w:br/>
      </w:r>
      <w:r w:rsidRPr="00D845BD">
        <w:rPr>
          <w:sz w:val="20"/>
          <w:szCs w:val="20"/>
          <w:u w:val="single"/>
        </w:rPr>
        <w:br/>
      </w:r>
      <w:r w:rsidR="002F005F" w:rsidRPr="00546803">
        <w:t>Další použité zdroje</w:t>
      </w:r>
      <w:r w:rsidRPr="00D845BD">
        <w:br/>
      </w:r>
      <w:r w:rsidRPr="00D845BD">
        <w:br/>
      </w:r>
      <w:r w:rsidRPr="005F503B">
        <w:rPr>
          <w:b w:val="0"/>
          <w:i/>
          <w:sz w:val="24"/>
          <w:szCs w:val="24"/>
        </w:rPr>
        <w:t xml:space="preserve">Soudy v Česku zrychlují, rozdíly v okresech jsou ale obří: Kde to vázne, kde ne. </w:t>
      </w:r>
      <w:r w:rsidRPr="005F503B">
        <w:rPr>
          <w:b w:val="0"/>
          <w:i/>
          <w:sz w:val="24"/>
          <w:szCs w:val="24"/>
          <w:shd w:val="clear" w:color="auto" w:fill="F8F8F8"/>
        </w:rPr>
        <w:t>14. listopadu</w:t>
      </w:r>
      <w:r w:rsidRPr="005F503B">
        <w:rPr>
          <w:b w:val="0"/>
          <w:sz w:val="24"/>
          <w:szCs w:val="24"/>
          <w:shd w:val="clear" w:color="auto" w:fill="F8F8F8"/>
        </w:rPr>
        <w:t>. 2024</w:t>
      </w:r>
      <w:r w:rsidRPr="005F503B">
        <w:rPr>
          <w:b w:val="0"/>
          <w:sz w:val="24"/>
          <w:szCs w:val="24"/>
        </w:rPr>
        <w:t xml:space="preserve"> [online]. hradecky.denik.cz. [citováno 9. 2. 2025]</w:t>
      </w:r>
      <w:bookmarkEnd w:id="137"/>
      <w:bookmarkEnd w:id="138"/>
      <w:bookmarkEnd w:id="139"/>
      <w:bookmarkEnd w:id="140"/>
      <w:bookmarkEnd w:id="141"/>
    </w:p>
    <w:p w:rsidR="00D536D8" w:rsidRPr="002A5DFD" w:rsidRDefault="005F503B" w:rsidP="006A3693">
      <w:pPr>
        <w:spacing w:line="360" w:lineRule="auto"/>
        <w:ind w:right="567"/>
        <w:rPr>
          <w:sz w:val="24"/>
          <w:szCs w:val="24"/>
        </w:rPr>
      </w:pPr>
      <w:r w:rsidRPr="005F503B">
        <w:rPr>
          <w:sz w:val="24"/>
          <w:szCs w:val="24"/>
        </w:rPr>
        <w:t>Dostupné online z:</w:t>
      </w:r>
      <w:r>
        <w:rPr>
          <w:sz w:val="24"/>
          <w:szCs w:val="24"/>
          <w:u w:val="single"/>
        </w:rPr>
        <w:t xml:space="preserve"> </w:t>
      </w:r>
      <w:hyperlink r:id="rId12">
        <w:r w:rsidR="00B425CE" w:rsidRPr="00D845BD">
          <w:rPr>
            <w:sz w:val="24"/>
            <w:szCs w:val="24"/>
            <w:u w:val="single"/>
          </w:rPr>
          <w:t>https://hradecky.denik.cz/cesi-v-cislech/nejrychlejsi-a-nejpomalejsi-soudy-v-cesku-okresy-soudni-rizeni-delka.html</w:t>
        </w:r>
      </w:hyperlink>
      <w:r w:rsidR="00B425CE" w:rsidRPr="00D845BD">
        <w:rPr>
          <w:sz w:val="24"/>
          <w:szCs w:val="24"/>
        </w:rPr>
        <w:br/>
      </w:r>
      <w:r w:rsidR="00B425CE" w:rsidRPr="00D845BD">
        <w:rPr>
          <w:sz w:val="24"/>
          <w:szCs w:val="24"/>
        </w:rPr>
        <w:br/>
      </w:r>
      <w:r w:rsidR="00B425CE" w:rsidRPr="002A46FF">
        <w:rPr>
          <w:sz w:val="24"/>
          <w:szCs w:val="24"/>
        </w:rPr>
        <w:t xml:space="preserve">POTMĚŠIL, Jan. </w:t>
      </w:r>
      <w:r w:rsidR="00B425CE" w:rsidRPr="002A46FF">
        <w:rPr>
          <w:i/>
          <w:sz w:val="24"/>
          <w:szCs w:val="24"/>
        </w:rPr>
        <w:t xml:space="preserve">Sporné přestupkové judikáty NSS IV, </w:t>
      </w:r>
      <w:r w:rsidR="00B425CE" w:rsidRPr="002A46FF">
        <w:rPr>
          <w:sz w:val="24"/>
          <w:szCs w:val="24"/>
        </w:rPr>
        <w:t xml:space="preserve">[online]. jinepravo.blogspot.com. 24 srpna 2011, [cit. 25. 11. 2024] Dostupné z: </w:t>
      </w:r>
      <w:hyperlink r:id="rId13">
        <w:r w:rsidR="00B425CE" w:rsidRPr="005F503B">
          <w:rPr>
            <w:sz w:val="24"/>
            <w:szCs w:val="24"/>
            <w:u w:val="single"/>
          </w:rPr>
          <w:t>https://jinepravo.blogspot.com/2011/08/jan-potmesil-sporne-prestupkove.html</w:t>
        </w:r>
      </w:hyperlink>
      <w:r w:rsidR="00B425CE" w:rsidRPr="005F503B">
        <w:rPr>
          <w:rFonts w:eastAsia="Trebuchet MS"/>
          <w:sz w:val="24"/>
          <w:szCs w:val="24"/>
          <w:u w:val="single"/>
        </w:rPr>
        <w:t xml:space="preserve">. </w:t>
      </w:r>
      <w:r w:rsidR="00B425CE" w:rsidRPr="005F503B">
        <w:rPr>
          <w:rFonts w:eastAsia="Trebuchet MS"/>
          <w:sz w:val="24"/>
          <w:szCs w:val="24"/>
          <w:u w:val="single"/>
        </w:rPr>
        <w:br/>
      </w:r>
      <w:r w:rsidR="00B425CE" w:rsidRPr="002A46FF">
        <w:rPr>
          <w:rFonts w:eastAsia="Trebuchet MS"/>
          <w:sz w:val="24"/>
          <w:szCs w:val="24"/>
        </w:rPr>
        <w:br/>
      </w:r>
      <w:r w:rsidR="00B425CE" w:rsidRPr="002A46FF">
        <w:rPr>
          <w:sz w:val="24"/>
          <w:szCs w:val="24"/>
        </w:rPr>
        <w:t xml:space="preserve">POTMĚŠIL, Jan. </w:t>
      </w:r>
      <w:r w:rsidR="00B425CE" w:rsidRPr="002A46FF">
        <w:rPr>
          <w:i/>
          <w:sz w:val="24"/>
          <w:szCs w:val="24"/>
        </w:rPr>
        <w:t>Co přínáší novela zákona o přestupcích?</w:t>
      </w:r>
      <w:r w:rsidR="00B425CE" w:rsidRPr="002A46FF">
        <w:rPr>
          <w:sz w:val="24"/>
          <w:szCs w:val="24"/>
        </w:rPr>
        <w:t xml:space="preserve"> [online] jinepravo.blogspot.com, 8. 12. 2015 , [cit. 20. 11. 2024]. Dostupné z: </w:t>
      </w:r>
      <w:hyperlink r:id="rId14">
        <w:r w:rsidR="00B425CE" w:rsidRPr="002A46FF">
          <w:rPr>
            <w:sz w:val="24"/>
            <w:szCs w:val="24"/>
            <w:u w:val="single"/>
          </w:rPr>
          <w:t>https://prestupky.blogspot.com/2015/12/co-prinasi-novela-zakona-o-prestupcich.html</w:t>
        </w:r>
      </w:hyperlink>
    </w:p>
    <w:p w:rsidR="00D536D8" w:rsidRPr="002A46FF" w:rsidRDefault="00B425CE" w:rsidP="006A3693">
      <w:pPr>
        <w:spacing w:line="360" w:lineRule="auto"/>
        <w:ind w:right="567"/>
        <w:rPr>
          <w:sz w:val="24"/>
          <w:szCs w:val="24"/>
        </w:rPr>
      </w:pPr>
      <w:r w:rsidRPr="002A46FF">
        <w:rPr>
          <w:b/>
          <w:sz w:val="24"/>
          <w:szCs w:val="24"/>
        </w:rPr>
        <w:br/>
      </w:r>
      <w:r w:rsidRPr="002A46FF">
        <w:rPr>
          <w:rFonts w:eastAsia="Roboto"/>
          <w:sz w:val="24"/>
          <w:szCs w:val="24"/>
        </w:rPr>
        <w:t>Metodika</w:t>
      </w:r>
      <w:r w:rsidRPr="002A46FF">
        <w:rPr>
          <w:sz w:val="24"/>
          <w:szCs w:val="24"/>
        </w:rPr>
        <w:t xml:space="preserve"> Nejvyššího soudu k náhradě nemajetkové újmy na zdraví (bolest a ztížení společenského uplatnění podle § 2958 občanského zákoníku) ze dne 12.3. 2014, sp. zn. </w:t>
      </w:r>
      <w:r w:rsidR="002A46FF">
        <w:rPr>
          <w:sz w:val="24"/>
          <w:szCs w:val="24"/>
        </w:rPr>
        <w:t xml:space="preserve">/ Č.j.: Cpjn 14/2014 [online],  </w:t>
      </w:r>
      <w:r w:rsidRPr="002A46FF">
        <w:rPr>
          <w:sz w:val="24"/>
          <w:szCs w:val="24"/>
        </w:rPr>
        <w:t xml:space="preserve">[citováno 12. listopadu 2024] </w:t>
      </w:r>
      <w:r w:rsidRPr="002A46FF">
        <w:rPr>
          <w:rFonts w:eastAsia="Roboto"/>
          <w:sz w:val="24"/>
          <w:szCs w:val="24"/>
        </w:rPr>
        <w:t xml:space="preserve">Dostupné z: </w:t>
      </w:r>
      <w:hyperlink r:id="rId15">
        <w:r w:rsidRPr="002A46FF">
          <w:rPr>
            <w:sz w:val="24"/>
            <w:szCs w:val="24"/>
            <w:u w:val="single"/>
          </w:rPr>
          <w:t>https://nsoud.cz/judikatura/ns_web.nsf/0/21B4600D35F7065BC125866C004826AE/%24file/D%20-%20Technick%C3%A1%20%C4%8D%C3%A1st%202021.pdf</w:t>
        </w:r>
      </w:hyperlink>
      <w:r w:rsidRPr="002A46FF">
        <w:rPr>
          <w:sz w:val="24"/>
          <w:szCs w:val="24"/>
        </w:rPr>
        <w:t xml:space="preserve"> </w:t>
      </w:r>
    </w:p>
    <w:p w:rsidR="00D536D8" w:rsidRDefault="00B425CE" w:rsidP="006A3693">
      <w:pPr>
        <w:spacing w:line="360" w:lineRule="auto"/>
        <w:ind w:right="567"/>
        <w:rPr>
          <w:b/>
          <w:sz w:val="24"/>
          <w:szCs w:val="24"/>
        </w:rPr>
      </w:pPr>
      <w:r w:rsidRPr="002A46FF">
        <w:rPr>
          <w:b/>
          <w:sz w:val="24"/>
          <w:szCs w:val="24"/>
        </w:rPr>
        <w:br/>
      </w:r>
    </w:p>
    <w:p w:rsidR="003F1055" w:rsidRDefault="003F1055" w:rsidP="006A3693">
      <w:pPr>
        <w:spacing w:line="360" w:lineRule="auto"/>
        <w:ind w:right="567"/>
        <w:rPr>
          <w:b/>
          <w:sz w:val="24"/>
          <w:szCs w:val="24"/>
        </w:rPr>
      </w:pPr>
    </w:p>
    <w:p w:rsidR="003F1055" w:rsidRDefault="003F1055" w:rsidP="006A3693">
      <w:pPr>
        <w:spacing w:line="360" w:lineRule="auto"/>
        <w:ind w:right="567"/>
        <w:rPr>
          <w:b/>
          <w:sz w:val="24"/>
          <w:szCs w:val="24"/>
        </w:rPr>
      </w:pPr>
    </w:p>
    <w:p w:rsidR="003F1055" w:rsidRDefault="003F1055" w:rsidP="006A3693">
      <w:pPr>
        <w:spacing w:line="360" w:lineRule="auto"/>
        <w:ind w:right="567"/>
        <w:rPr>
          <w:b/>
          <w:sz w:val="24"/>
          <w:szCs w:val="24"/>
        </w:rPr>
      </w:pPr>
    </w:p>
    <w:p w:rsidR="003F1055" w:rsidRDefault="003F1055" w:rsidP="006A3693">
      <w:pPr>
        <w:spacing w:line="360" w:lineRule="auto"/>
        <w:ind w:right="567"/>
        <w:rPr>
          <w:b/>
          <w:sz w:val="24"/>
          <w:szCs w:val="24"/>
        </w:rPr>
      </w:pPr>
    </w:p>
    <w:p w:rsidR="003F1055" w:rsidRDefault="003F1055" w:rsidP="006A3693">
      <w:pPr>
        <w:spacing w:line="360" w:lineRule="auto"/>
        <w:ind w:right="567"/>
        <w:rPr>
          <w:b/>
          <w:sz w:val="24"/>
          <w:szCs w:val="24"/>
        </w:rPr>
      </w:pPr>
    </w:p>
    <w:p w:rsidR="003F1055" w:rsidRDefault="003F1055" w:rsidP="003F1055">
      <w:pPr>
        <w:pStyle w:val="Nadpis1"/>
      </w:pPr>
      <w:bookmarkStart w:id="142" w:name="_Toc190466575"/>
      <w:bookmarkStart w:id="143" w:name="_Toc190468823"/>
      <w:bookmarkStart w:id="144" w:name="_Toc190476409"/>
      <w:r>
        <w:lastRenderedPageBreak/>
        <w:t>Shrnutí</w:t>
      </w:r>
      <w:bookmarkEnd w:id="142"/>
      <w:bookmarkEnd w:id="143"/>
      <w:bookmarkEnd w:id="144"/>
    </w:p>
    <w:p w:rsidR="003F1055" w:rsidRPr="00EC41CD" w:rsidRDefault="003F1055" w:rsidP="003F1055">
      <w:pPr>
        <w:rPr>
          <w:sz w:val="24"/>
          <w:szCs w:val="24"/>
        </w:rPr>
      </w:pPr>
    </w:p>
    <w:p w:rsidR="003F1055" w:rsidRDefault="003F1055" w:rsidP="002A5DFD">
      <w:pPr>
        <w:spacing w:line="360" w:lineRule="auto"/>
        <w:ind w:right="567"/>
        <w:jc w:val="both"/>
        <w:rPr>
          <w:sz w:val="24"/>
          <w:szCs w:val="24"/>
        </w:rPr>
      </w:pPr>
      <w:r w:rsidRPr="00EC41CD">
        <w:rPr>
          <w:sz w:val="24"/>
          <w:szCs w:val="24"/>
        </w:rPr>
        <w:t xml:space="preserve">Tato práce se zabývá adhezním řízení v řízení o přestupcích. Klade si za cíl popsat </w:t>
      </w:r>
      <w:r w:rsidR="002A5DFD">
        <w:rPr>
          <w:sz w:val="24"/>
          <w:szCs w:val="24"/>
        </w:rPr>
        <w:t xml:space="preserve">jeho </w:t>
      </w:r>
      <w:r w:rsidRPr="00EC41CD">
        <w:rPr>
          <w:sz w:val="24"/>
          <w:szCs w:val="24"/>
        </w:rPr>
        <w:t>smysl, význam, průběh a</w:t>
      </w:r>
      <w:r w:rsidR="002A5DFD">
        <w:rPr>
          <w:sz w:val="24"/>
          <w:szCs w:val="24"/>
        </w:rPr>
        <w:t xml:space="preserve"> také</w:t>
      </w:r>
      <w:r w:rsidRPr="00EC41CD">
        <w:rPr>
          <w:sz w:val="24"/>
          <w:szCs w:val="24"/>
        </w:rPr>
        <w:t xml:space="preserve"> analyzovat některé sporné body právní úpravy. Je členěna do </w:t>
      </w:r>
      <w:r w:rsidR="002A5DFD">
        <w:rPr>
          <w:sz w:val="24"/>
          <w:szCs w:val="24"/>
        </w:rPr>
        <w:t>šesti</w:t>
      </w:r>
      <w:r w:rsidRPr="00EC41CD">
        <w:rPr>
          <w:sz w:val="24"/>
          <w:szCs w:val="24"/>
        </w:rPr>
        <w:t xml:space="preserve"> kapitol, které se dále člení na další podkapitoly. </w:t>
      </w:r>
      <w:r w:rsidR="00EC41CD" w:rsidRPr="00EC41CD">
        <w:rPr>
          <w:sz w:val="24"/>
          <w:szCs w:val="24"/>
        </w:rPr>
        <w:t>Zejména se práce zaměřuje na podstatu adhezního řízení, podmínky uplatnění nároku poškozeným, jeho procesními právy a způsob rozhodnutí o nároku poškozeného. Stranou nezůstává ani úprava trestního řízení, s kterou je v práci taktéž pracováno, neboť pro zodpovězení sporných otázek je práce s právní úpravou trestního řízení více než žádoucí.</w:t>
      </w:r>
    </w:p>
    <w:p w:rsidR="00EC41CD" w:rsidRDefault="00EC41CD" w:rsidP="00322E87">
      <w:pPr>
        <w:pStyle w:val="Nadpis1"/>
      </w:pPr>
    </w:p>
    <w:p w:rsidR="00EC41CD" w:rsidRPr="00EC41CD" w:rsidRDefault="00EC41CD" w:rsidP="002A5DFD">
      <w:pPr>
        <w:pStyle w:val="Nadpis1"/>
        <w:spacing w:line="360" w:lineRule="auto"/>
        <w:ind w:right="567"/>
        <w:jc w:val="both"/>
      </w:pPr>
      <w:bookmarkStart w:id="145" w:name="_Toc190466576"/>
      <w:bookmarkStart w:id="146" w:name="_Toc190468824"/>
      <w:bookmarkStart w:id="147" w:name="_Toc190476410"/>
      <w:r>
        <w:t>Abstract</w:t>
      </w:r>
      <w:r>
        <w:br/>
      </w:r>
      <w:r>
        <w:br/>
      </w:r>
      <w:r w:rsidRPr="00322E87">
        <w:rPr>
          <w:b w:val="0"/>
          <w:sz w:val="24"/>
          <w:szCs w:val="24"/>
        </w:rPr>
        <w:t xml:space="preserve">This thesis </w:t>
      </w:r>
      <w:r w:rsidR="00322E87">
        <w:rPr>
          <w:b w:val="0"/>
          <w:sz w:val="24"/>
          <w:szCs w:val="24"/>
        </w:rPr>
        <w:t>is about</w:t>
      </w:r>
      <w:r w:rsidRPr="00322E87">
        <w:rPr>
          <w:b w:val="0"/>
          <w:sz w:val="24"/>
          <w:szCs w:val="24"/>
        </w:rPr>
        <w:t xml:space="preserve"> adhesi</w:t>
      </w:r>
      <w:r w:rsidR="00DA745E">
        <w:rPr>
          <w:b w:val="0"/>
          <w:sz w:val="24"/>
          <w:szCs w:val="24"/>
        </w:rPr>
        <w:t>ve proceedings</w:t>
      </w:r>
      <w:r w:rsidRPr="00322E87">
        <w:rPr>
          <w:b w:val="0"/>
          <w:sz w:val="24"/>
          <w:szCs w:val="24"/>
        </w:rPr>
        <w:t xml:space="preserve"> in misdemeanour proceedings. It aims to describe the meaning, significance, course and analyse some controversial points of the legislation. It is divided into </w:t>
      </w:r>
      <w:r w:rsidR="00322E87">
        <w:rPr>
          <w:b w:val="0"/>
          <w:sz w:val="24"/>
          <w:szCs w:val="24"/>
        </w:rPr>
        <w:t>six</w:t>
      </w:r>
      <w:r w:rsidRPr="00322E87">
        <w:rPr>
          <w:b w:val="0"/>
          <w:sz w:val="24"/>
          <w:szCs w:val="24"/>
        </w:rPr>
        <w:t xml:space="preserve"> chapters, which are further subdivided into subchapters. In particular, the thesis focuses on the nature of the adhesion procedure, the conditions for the </w:t>
      </w:r>
      <w:r w:rsidR="00322E87">
        <w:rPr>
          <w:b w:val="0"/>
          <w:sz w:val="24"/>
          <w:szCs w:val="24"/>
        </w:rPr>
        <w:t>injured party</w:t>
      </w:r>
      <w:r w:rsidRPr="00322E87">
        <w:rPr>
          <w:b w:val="0"/>
          <w:sz w:val="24"/>
          <w:szCs w:val="24"/>
        </w:rPr>
        <w:t xml:space="preserve"> claim, his procedural rights and the manner of adjudication of the victim's claim. The regulation of criminal proceedings </w:t>
      </w:r>
      <w:r w:rsidR="00C462B6">
        <w:rPr>
          <w:b w:val="0"/>
          <w:sz w:val="24"/>
          <w:szCs w:val="24"/>
        </w:rPr>
        <w:t>is also descripted and analyzed</w:t>
      </w:r>
      <w:r w:rsidRPr="00322E87">
        <w:rPr>
          <w:b w:val="0"/>
          <w:sz w:val="24"/>
          <w:szCs w:val="24"/>
        </w:rPr>
        <w:t xml:space="preserve">, </w:t>
      </w:r>
      <w:r w:rsidR="00C462B6">
        <w:rPr>
          <w:b w:val="0"/>
          <w:sz w:val="24"/>
          <w:szCs w:val="24"/>
        </w:rPr>
        <w:t>because it is very important for achieve goals of this thesis.</w:t>
      </w:r>
      <w:bookmarkEnd w:id="145"/>
      <w:bookmarkEnd w:id="146"/>
      <w:bookmarkEnd w:id="147"/>
      <w:r w:rsidR="00C462B6">
        <w:rPr>
          <w:b w:val="0"/>
          <w:sz w:val="24"/>
          <w:szCs w:val="24"/>
        </w:rPr>
        <w:t xml:space="preserve"> </w:t>
      </w:r>
    </w:p>
    <w:p w:rsidR="00EC41CD" w:rsidRPr="00EC41CD" w:rsidRDefault="00EC41CD" w:rsidP="00EC41CD">
      <w:pPr>
        <w:ind w:right="567"/>
        <w:jc w:val="both"/>
        <w:rPr>
          <w:sz w:val="24"/>
          <w:szCs w:val="24"/>
        </w:rPr>
      </w:pPr>
    </w:p>
    <w:p w:rsidR="00EC41CD" w:rsidRDefault="00EC41CD" w:rsidP="00EC41CD">
      <w:pPr>
        <w:ind w:right="567"/>
        <w:jc w:val="both"/>
        <w:rPr>
          <w:sz w:val="24"/>
          <w:szCs w:val="24"/>
        </w:rPr>
      </w:pPr>
    </w:p>
    <w:p w:rsidR="00322E87" w:rsidRDefault="00322E87" w:rsidP="00EC41CD">
      <w:pPr>
        <w:ind w:right="567"/>
        <w:jc w:val="both"/>
        <w:rPr>
          <w:sz w:val="24"/>
          <w:szCs w:val="24"/>
        </w:rPr>
      </w:pPr>
    </w:p>
    <w:p w:rsidR="00322E87" w:rsidRDefault="00322E87" w:rsidP="00EC41CD">
      <w:pPr>
        <w:ind w:right="567"/>
        <w:jc w:val="both"/>
        <w:rPr>
          <w:sz w:val="24"/>
          <w:szCs w:val="24"/>
        </w:rPr>
      </w:pPr>
    </w:p>
    <w:p w:rsidR="00322E87" w:rsidRDefault="00322E87" w:rsidP="00EC41CD">
      <w:pPr>
        <w:ind w:right="567"/>
        <w:jc w:val="both"/>
        <w:rPr>
          <w:sz w:val="24"/>
          <w:szCs w:val="24"/>
        </w:rPr>
      </w:pPr>
    </w:p>
    <w:p w:rsidR="00322E87" w:rsidRDefault="00322E87" w:rsidP="00EC41CD">
      <w:pPr>
        <w:ind w:right="567"/>
        <w:jc w:val="both"/>
        <w:rPr>
          <w:sz w:val="24"/>
          <w:szCs w:val="24"/>
        </w:rPr>
      </w:pPr>
    </w:p>
    <w:p w:rsidR="00322E87" w:rsidRDefault="00322E87" w:rsidP="00EC41CD">
      <w:pPr>
        <w:ind w:right="567"/>
        <w:jc w:val="both"/>
        <w:rPr>
          <w:sz w:val="24"/>
          <w:szCs w:val="24"/>
        </w:rPr>
      </w:pPr>
    </w:p>
    <w:p w:rsidR="00322E87" w:rsidRDefault="00322E87" w:rsidP="00EC41CD">
      <w:pPr>
        <w:ind w:right="567"/>
        <w:jc w:val="both"/>
        <w:rPr>
          <w:sz w:val="24"/>
          <w:szCs w:val="24"/>
        </w:rPr>
      </w:pPr>
    </w:p>
    <w:p w:rsidR="00322E87" w:rsidRDefault="00322E87" w:rsidP="00EC41CD">
      <w:pPr>
        <w:ind w:right="567"/>
        <w:jc w:val="both"/>
        <w:rPr>
          <w:sz w:val="24"/>
          <w:szCs w:val="24"/>
        </w:rPr>
      </w:pPr>
    </w:p>
    <w:p w:rsidR="00322E87" w:rsidRDefault="00322E87" w:rsidP="00EC41CD">
      <w:pPr>
        <w:ind w:right="567"/>
        <w:jc w:val="both"/>
        <w:rPr>
          <w:sz w:val="24"/>
          <w:szCs w:val="24"/>
        </w:rPr>
      </w:pPr>
    </w:p>
    <w:p w:rsidR="00322E87" w:rsidRDefault="00322E87" w:rsidP="00EC41CD">
      <w:pPr>
        <w:ind w:right="567"/>
        <w:jc w:val="both"/>
        <w:rPr>
          <w:sz w:val="24"/>
          <w:szCs w:val="24"/>
        </w:rPr>
      </w:pPr>
    </w:p>
    <w:p w:rsidR="00322E87" w:rsidRDefault="00322E87" w:rsidP="00EC41CD">
      <w:pPr>
        <w:ind w:right="567"/>
        <w:jc w:val="both"/>
        <w:rPr>
          <w:sz w:val="24"/>
          <w:szCs w:val="24"/>
        </w:rPr>
      </w:pPr>
    </w:p>
    <w:p w:rsidR="00322E87" w:rsidRDefault="00322E87" w:rsidP="00EC41CD">
      <w:pPr>
        <w:ind w:right="567"/>
        <w:jc w:val="both"/>
        <w:rPr>
          <w:sz w:val="24"/>
          <w:szCs w:val="24"/>
        </w:rPr>
      </w:pPr>
    </w:p>
    <w:p w:rsidR="00322E87" w:rsidRDefault="00322E87" w:rsidP="00EC41CD">
      <w:pPr>
        <w:ind w:right="567"/>
        <w:jc w:val="both"/>
        <w:rPr>
          <w:sz w:val="24"/>
          <w:szCs w:val="24"/>
        </w:rPr>
      </w:pPr>
    </w:p>
    <w:p w:rsidR="00322E87" w:rsidRDefault="00322E87" w:rsidP="00EC41CD">
      <w:pPr>
        <w:ind w:right="567"/>
        <w:jc w:val="both"/>
        <w:rPr>
          <w:sz w:val="24"/>
          <w:szCs w:val="24"/>
        </w:rPr>
      </w:pPr>
    </w:p>
    <w:p w:rsidR="00322E87" w:rsidRPr="004862B1" w:rsidRDefault="00322E87" w:rsidP="004862B1">
      <w:pPr>
        <w:pStyle w:val="Nadpis1"/>
      </w:pPr>
      <w:bookmarkStart w:id="148" w:name="_Toc190466577"/>
      <w:bookmarkStart w:id="149" w:name="_Toc190468825"/>
      <w:bookmarkStart w:id="150" w:name="_Toc190476411"/>
      <w:r w:rsidRPr="004862B1">
        <w:lastRenderedPageBreak/>
        <w:t>Klíčová slova</w:t>
      </w:r>
      <w:bookmarkEnd w:id="148"/>
      <w:bookmarkEnd w:id="149"/>
      <w:bookmarkEnd w:id="150"/>
    </w:p>
    <w:p w:rsidR="00322E87" w:rsidRDefault="00322E87" w:rsidP="00EC41CD">
      <w:pPr>
        <w:ind w:right="567"/>
        <w:jc w:val="both"/>
        <w:rPr>
          <w:sz w:val="24"/>
          <w:szCs w:val="24"/>
        </w:rPr>
      </w:pPr>
    </w:p>
    <w:p w:rsidR="00322E87" w:rsidRDefault="00322E87" w:rsidP="00EC41CD">
      <w:pPr>
        <w:ind w:right="567"/>
        <w:jc w:val="both"/>
        <w:rPr>
          <w:sz w:val="24"/>
          <w:szCs w:val="24"/>
        </w:rPr>
      </w:pPr>
    </w:p>
    <w:p w:rsidR="00322E87" w:rsidRDefault="00322E87" w:rsidP="00EC41CD">
      <w:pPr>
        <w:ind w:right="567"/>
        <w:jc w:val="both"/>
        <w:rPr>
          <w:sz w:val="24"/>
          <w:szCs w:val="24"/>
        </w:rPr>
      </w:pPr>
      <w:r>
        <w:rPr>
          <w:sz w:val="24"/>
          <w:szCs w:val="24"/>
        </w:rPr>
        <w:t>Adhezní řízení</w:t>
      </w:r>
    </w:p>
    <w:p w:rsidR="00322E87" w:rsidRDefault="00322E87" w:rsidP="00EC41CD">
      <w:pPr>
        <w:ind w:right="567"/>
        <w:jc w:val="both"/>
        <w:rPr>
          <w:sz w:val="24"/>
          <w:szCs w:val="24"/>
        </w:rPr>
      </w:pPr>
    </w:p>
    <w:p w:rsidR="00322E87" w:rsidRDefault="00322E87" w:rsidP="00EC41CD">
      <w:pPr>
        <w:ind w:right="567"/>
        <w:jc w:val="both"/>
        <w:rPr>
          <w:sz w:val="24"/>
          <w:szCs w:val="24"/>
        </w:rPr>
      </w:pPr>
      <w:r>
        <w:rPr>
          <w:sz w:val="24"/>
          <w:szCs w:val="24"/>
        </w:rPr>
        <w:t>Přestupky</w:t>
      </w:r>
      <w:r>
        <w:rPr>
          <w:sz w:val="24"/>
          <w:szCs w:val="24"/>
        </w:rPr>
        <w:br/>
      </w:r>
      <w:r>
        <w:rPr>
          <w:sz w:val="24"/>
          <w:szCs w:val="24"/>
        </w:rPr>
        <w:br/>
        <w:t>Přestupkové řízení</w:t>
      </w:r>
    </w:p>
    <w:p w:rsidR="00322E87" w:rsidRDefault="00322E87" w:rsidP="00EC41CD">
      <w:pPr>
        <w:ind w:right="567"/>
        <w:jc w:val="both"/>
        <w:rPr>
          <w:sz w:val="24"/>
          <w:szCs w:val="24"/>
        </w:rPr>
      </w:pPr>
    </w:p>
    <w:p w:rsidR="00322E87" w:rsidRDefault="00322E87" w:rsidP="00EC41CD">
      <w:pPr>
        <w:ind w:right="567"/>
        <w:jc w:val="both"/>
        <w:rPr>
          <w:sz w:val="24"/>
          <w:szCs w:val="24"/>
        </w:rPr>
      </w:pPr>
      <w:r>
        <w:rPr>
          <w:sz w:val="24"/>
          <w:szCs w:val="24"/>
        </w:rPr>
        <w:t>Náhrada škody</w:t>
      </w:r>
    </w:p>
    <w:p w:rsidR="00322E87" w:rsidRDefault="00322E87" w:rsidP="00EC41CD">
      <w:pPr>
        <w:ind w:right="567"/>
        <w:jc w:val="both"/>
        <w:rPr>
          <w:sz w:val="24"/>
          <w:szCs w:val="24"/>
        </w:rPr>
      </w:pPr>
    </w:p>
    <w:p w:rsidR="00322E87" w:rsidRDefault="00322E87" w:rsidP="00EC41CD">
      <w:pPr>
        <w:ind w:right="567"/>
        <w:jc w:val="both"/>
        <w:rPr>
          <w:sz w:val="24"/>
          <w:szCs w:val="24"/>
        </w:rPr>
      </w:pPr>
      <w:r>
        <w:rPr>
          <w:sz w:val="24"/>
          <w:szCs w:val="24"/>
        </w:rPr>
        <w:t>Poškozený</w:t>
      </w:r>
    </w:p>
    <w:p w:rsidR="00322E87" w:rsidRDefault="00322E87" w:rsidP="00EC41CD">
      <w:pPr>
        <w:ind w:right="567"/>
        <w:jc w:val="both"/>
        <w:rPr>
          <w:sz w:val="24"/>
          <w:szCs w:val="24"/>
        </w:rPr>
      </w:pPr>
    </w:p>
    <w:p w:rsidR="00322E87" w:rsidRDefault="00322E87" w:rsidP="00EC41CD">
      <w:pPr>
        <w:ind w:right="567"/>
        <w:jc w:val="both"/>
        <w:rPr>
          <w:sz w:val="24"/>
          <w:szCs w:val="24"/>
        </w:rPr>
      </w:pPr>
      <w:r>
        <w:rPr>
          <w:sz w:val="24"/>
          <w:szCs w:val="24"/>
        </w:rPr>
        <w:t>Trestní řízení</w:t>
      </w:r>
    </w:p>
    <w:p w:rsidR="00322E87" w:rsidRDefault="00322E87" w:rsidP="00EC41CD">
      <w:pPr>
        <w:ind w:right="567"/>
        <w:jc w:val="both"/>
        <w:rPr>
          <w:sz w:val="24"/>
          <w:szCs w:val="24"/>
        </w:rPr>
      </w:pPr>
    </w:p>
    <w:p w:rsidR="00322E87" w:rsidRDefault="00322E87" w:rsidP="00EC41CD">
      <w:pPr>
        <w:ind w:right="567"/>
        <w:jc w:val="both"/>
        <w:rPr>
          <w:sz w:val="24"/>
          <w:szCs w:val="24"/>
        </w:rPr>
      </w:pPr>
      <w:r>
        <w:rPr>
          <w:sz w:val="24"/>
          <w:szCs w:val="24"/>
        </w:rPr>
        <w:t>Majetková škoda</w:t>
      </w:r>
    </w:p>
    <w:p w:rsidR="00322E87" w:rsidRDefault="00322E87" w:rsidP="00EC41CD">
      <w:pPr>
        <w:ind w:right="567"/>
        <w:jc w:val="both"/>
        <w:rPr>
          <w:sz w:val="24"/>
          <w:szCs w:val="24"/>
        </w:rPr>
      </w:pPr>
    </w:p>
    <w:p w:rsidR="00322E87" w:rsidRDefault="00322E87" w:rsidP="00EC41CD">
      <w:pPr>
        <w:ind w:right="567"/>
        <w:jc w:val="both"/>
        <w:rPr>
          <w:sz w:val="24"/>
          <w:szCs w:val="24"/>
        </w:rPr>
      </w:pPr>
      <w:r>
        <w:rPr>
          <w:sz w:val="24"/>
          <w:szCs w:val="24"/>
        </w:rPr>
        <w:t>Nemajetková újma</w:t>
      </w:r>
    </w:p>
    <w:p w:rsidR="00322E87" w:rsidRDefault="00322E87" w:rsidP="00EC41CD">
      <w:pPr>
        <w:ind w:right="567"/>
        <w:jc w:val="both"/>
        <w:rPr>
          <w:sz w:val="24"/>
          <w:szCs w:val="24"/>
        </w:rPr>
      </w:pPr>
    </w:p>
    <w:p w:rsidR="00322E87" w:rsidRDefault="00322E87" w:rsidP="00EC41CD">
      <w:pPr>
        <w:ind w:right="567"/>
        <w:jc w:val="both"/>
        <w:rPr>
          <w:sz w:val="24"/>
          <w:szCs w:val="24"/>
        </w:rPr>
      </w:pPr>
      <w:r>
        <w:rPr>
          <w:sz w:val="24"/>
          <w:szCs w:val="24"/>
        </w:rPr>
        <w:t>Bezdůvodné obohacení</w:t>
      </w:r>
    </w:p>
    <w:p w:rsidR="00322E87" w:rsidRDefault="00322E87" w:rsidP="00EC41CD">
      <w:pPr>
        <w:ind w:right="567"/>
        <w:jc w:val="both"/>
        <w:rPr>
          <w:sz w:val="24"/>
          <w:szCs w:val="24"/>
        </w:rPr>
      </w:pPr>
    </w:p>
    <w:p w:rsidR="00322E87" w:rsidRDefault="00322E87" w:rsidP="00EC41CD">
      <w:pPr>
        <w:ind w:right="567"/>
        <w:jc w:val="both"/>
        <w:rPr>
          <w:sz w:val="24"/>
          <w:szCs w:val="24"/>
        </w:rPr>
      </w:pPr>
    </w:p>
    <w:p w:rsidR="00322E87" w:rsidRPr="004862B1" w:rsidRDefault="00322E87" w:rsidP="004862B1">
      <w:pPr>
        <w:pStyle w:val="Nadpis1"/>
      </w:pPr>
      <w:bookmarkStart w:id="151" w:name="_Toc190466578"/>
      <w:bookmarkStart w:id="152" w:name="_Toc190468826"/>
      <w:bookmarkStart w:id="153" w:name="_Toc190476412"/>
      <w:r w:rsidRPr="004862B1">
        <w:t>Key words</w:t>
      </w:r>
      <w:bookmarkEnd w:id="151"/>
      <w:bookmarkEnd w:id="152"/>
      <w:bookmarkEnd w:id="153"/>
    </w:p>
    <w:p w:rsidR="00322E87" w:rsidRDefault="00322E87" w:rsidP="00EC41CD">
      <w:pPr>
        <w:ind w:right="567"/>
        <w:jc w:val="both"/>
        <w:rPr>
          <w:sz w:val="24"/>
          <w:szCs w:val="24"/>
        </w:rPr>
      </w:pPr>
    </w:p>
    <w:p w:rsidR="00322E87" w:rsidRDefault="00322E87" w:rsidP="00EC41CD">
      <w:pPr>
        <w:ind w:right="567"/>
        <w:jc w:val="both"/>
        <w:rPr>
          <w:sz w:val="24"/>
          <w:szCs w:val="24"/>
        </w:rPr>
      </w:pPr>
      <w:r>
        <w:rPr>
          <w:sz w:val="24"/>
          <w:szCs w:val="24"/>
        </w:rPr>
        <w:t>Adhesion proceedengs</w:t>
      </w:r>
    </w:p>
    <w:p w:rsidR="00322E87" w:rsidRDefault="00322E87" w:rsidP="00EC41CD">
      <w:pPr>
        <w:ind w:right="567"/>
        <w:jc w:val="both"/>
        <w:rPr>
          <w:sz w:val="24"/>
          <w:szCs w:val="24"/>
        </w:rPr>
      </w:pPr>
    </w:p>
    <w:p w:rsidR="00322E87" w:rsidRDefault="00322E87" w:rsidP="00EC41CD">
      <w:pPr>
        <w:ind w:right="567"/>
        <w:jc w:val="both"/>
        <w:rPr>
          <w:sz w:val="24"/>
          <w:szCs w:val="24"/>
        </w:rPr>
      </w:pPr>
      <w:r>
        <w:rPr>
          <w:sz w:val="24"/>
          <w:szCs w:val="24"/>
        </w:rPr>
        <w:t>Misdemeanour</w:t>
      </w:r>
    </w:p>
    <w:p w:rsidR="00322E87" w:rsidRDefault="00322E87" w:rsidP="00EC41CD">
      <w:pPr>
        <w:ind w:right="567"/>
        <w:jc w:val="both"/>
        <w:rPr>
          <w:sz w:val="24"/>
          <w:szCs w:val="24"/>
        </w:rPr>
      </w:pPr>
    </w:p>
    <w:p w:rsidR="00322E87" w:rsidRDefault="00322E87" w:rsidP="00322E87">
      <w:pPr>
        <w:ind w:right="567"/>
        <w:jc w:val="both"/>
        <w:rPr>
          <w:sz w:val="24"/>
          <w:szCs w:val="24"/>
        </w:rPr>
      </w:pPr>
      <w:r>
        <w:rPr>
          <w:sz w:val="24"/>
          <w:szCs w:val="24"/>
        </w:rPr>
        <w:t>Misdemeanour proceedings</w:t>
      </w:r>
    </w:p>
    <w:p w:rsidR="00322E87" w:rsidRPr="00EC41CD" w:rsidRDefault="00322E87" w:rsidP="00322E87">
      <w:pPr>
        <w:ind w:right="567"/>
        <w:jc w:val="both"/>
        <w:rPr>
          <w:sz w:val="24"/>
          <w:szCs w:val="24"/>
        </w:rPr>
      </w:pPr>
    </w:p>
    <w:p w:rsidR="00322E87" w:rsidRDefault="00322E87" w:rsidP="00EC41CD">
      <w:pPr>
        <w:ind w:right="567"/>
        <w:jc w:val="both"/>
        <w:rPr>
          <w:sz w:val="24"/>
          <w:szCs w:val="24"/>
        </w:rPr>
      </w:pPr>
      <w:r>
        <w:rPr>
          <w:sz w:val="24"/>
          <w:szCs w:val="24"/>
        </w:rPr>
        <w:t>Compensation of demage</w:t>
      </w:r>
    </w:p>
    <w:p w:rsidR="00322E87" w:rsidRDefault="00322E87" w:rsidP="00EC41CD">
      <w:pPr>
        <w:ind w:right="567"/>
        <w:jc w:val="both"/>
        <w:rPr>
          <w:sz w:val="24"/>
          <w:szCs w:val="24"/>
        </w:rPr>
      </w:pPr>
    </w:p>
    <w:p w:rsidR="00322E87" w:rsidRDefault="00322E87" w:rsidP="00EC41CD">
      <w:pPr>
        <w:ind w:right="567"/>
        <w:jc w:val="both"/>
        <w:rPr>
          <w:sz w:val="24"/>
          <w:szCs w:val="24"/>
        </w:rPr>
      </w:pPr>
      <w:r>
        <w:rPr>
          <w:sz w:val="24"/>
          <w:szCs w:val="24"/>
        </w:rPr>
        <w:t>Injured party</w:t>
      </w:r>
    </w:p>
    <w:p w:rsidR="00322E87" w:rsidRDefault="00322E87" w:rsidP="00EC41CD">
      <w:pPr>
        <w:ind w:right="567"/>
        <w:jc w:val="both"/>
        <w:rPr>
          <w:sz w:val="24"/>
          <w:szCs w:val="24"/>
        </w:rPr>
      </w:pPr>
    </w:p>
    <w:p w:rsidR="00322E87" w:rsidRDefault="00322E87" w:rsidP="00EC41CD">
      <w:pPr>
        <w:ind w:right="567"/>
        <w:jc w:val="both"/>
        <w:rPr>
          <w:sz w:val="24"/>
          <w:szCs w:val="24"/>
        </w:rPr>
      </w:pPr>
      <w:r>
        <w:rPr>
          <w:sz w:val="24"/>
          <w:szCs w:val="24"/>
        </w:rPr>
        <w:t>Criminal proceeding</w:t>
      </w:r>
    </w:p>
    <w:p w:rsidR="00322E87" w:rsidRDefault="00322E87" w:rsidP="00EC41CD">
      <w:pPr>
        <w:ind w:right="567"/>
        <w:jc w:val="both"/>
        <w:rPr>
          <w:sz w:val="24"/>
          <w:szCs w:val="24"/>
        </w:rPr>
      </w:pPr>
    </w:p>
    <w:p w:rsidR="00322E87" w:rsidRDefault="00322E87" w:rsidP="00EC41CD">
      <w:pPr>
        <w:ind w:right="567"/>
        <w:jc w:val="both"/>
        <w:rPr>
          <w:sz w:val="24"/>
          <w:szCs w:val="24"/>
        </w:rPr>
      </w:pPr>
      <w:r>
        <w:rPr>
          <w:sz w:val="24"/>
          <w:szCs w:val="24"/>
        </w:rPr>
        <w:t>Material detrement</w:t>
      </w:r>
    </w:p>
    <w:p w:rsidR="00322E87" w:rsidRDefault="00322E87" w:rsidP="00EC41CD">
      <w:pPr>
        <w:ind w:right="567"/>
        <w:jc w:val="both"/>
        <w:rPr>
          <w:sz w:val="24"/>
          <w:szCs w:val="24"/>
        </w:rPr>
      </w:pPr>
    </w:p>
    <w:p w:rsidR="00322E87" w:rsidRDefault="00322E87" w:rsidP="00EC41CD">
      <w:pPr>
        <w:ind w:right="567"/>
        <w:jc w:val="both"/>
        <w:rPr>
          <w:sz w:val="24"/>
          <w:szCs w:val="24"/>
        </w:rPr>
      </w:pPr>
      <w:r>
        <w:rPr>
          <w:sz w:val="24"/>
          <w:szCs w:val="24"/>
        </w:rPr>
        <w:t>Inmaterial detrement</w:t>
      </w:r>
    </w:p>
    <w:p w:rsidR="00322E87" w:rsidRDefault="00322E87" w:rsidP="00EC41CD">
      <w:pPr>
        <w:ind w:right="567"/>
        <w:jc w:val="both"/>
        <w:rPr>
          <w:sz w:val="24"/>
          <w:szCs w:val="24"/>
        </w:rPr>
      </w:pPr>
    </w:p>
    <w:p w:rsidR="00322E87" w:rsidRDefault="00322E87" w:rsidP="00EC41CD">
      <w:pPr>
        <w:ind w:right="567"/>
        <w:jc w:val="both"/>
        <w:rPr>
          <w:sz w:val="24"/>
          <w:szCs w:val="24"/>
        </w:rPr>
      </w:pPr>
      <w:r>
        <w:rPr>
          <w:sz w:val="24"/>
          <w:szCs w:val="24"/>
        </w:rPr>
        <w:t>Unjust enridgement</w:t>
      </w:r>
    </w:p>
    <w:p w:rsidR="00322E87" w:rsidRDefault="00322E87" w:rsidP="00EC41CD">
      <w:pPr>
        <w:ind w:right="567"/>
        <w:jc w:val="both"/>
        <w:rPr>
          <w:sz w:val="24"/>
          <w:szCs w:val="24"/>
        </w:rPr>
      </w:pPr>
    </w:p>
    <w:p w:rsidR="00322E87" w:rsidRPr="00EC41CD" w:rsidRDefault="00322E87" w:rsidP="00EC41CD">
      <w:pPr>
        <w:ind w:right="567"/>
        <w:jc w:val="both"/>
        <w:rPr>
          <w:sz w:val="24"/>
          <w:szCs w:val="24"/>
        </w:rPr>
      </w:pPr>
    </w:p>
    <w:sectPr w:rsidR="00322E87" w:rsidRPr="00EC41CD" w:rsidSect="00EF59D5">
      <w:footerReference w:type="default" r:id="rId16"/>
      <w:pgSz w:w="12240" w:h="15840"/>
      <w:pgMar w:top="900" w:right="720" w:bottom="900" w:left="1440" w:header="1417" w:footer="227" w:gutter="0"/>
      <w:pgNumType w:start="0"/>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58C7" w:rsidRDefault="009C58C7">
      <w:pPr>
        <w:spacing w:line="240" w:lineRule="auto"/>
      </w:pPr>
      <w:r>
        <w:separator/>
      </w:r>
    </w:p>
  </w:endnote>
  <w:endnote w:type="continuationSeparator" w:id="0">
    <w:p w:rsidR="009C58C7" w:rsidRDefault="009C58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ptos">
    <w:altName w:val="Times New Roman"/>
    <w:charset w:val="00"/>
    <w:family w:val="auto"/>
    <w:pitch w:val="default"/>
  </w:font>
  <w:font w:name="Roboto">
    <w:altName w:val="Times New Roman"/>
    <w:charset w:val="00"/>
    <w:family w:val="auto"/>
    <w:pitch w:val="default"/>
  </w:font>
  <w:font w:name="Georgia">
    <w:panose1 w:val="02040502050405020303"/>
    <w:charset w:val="EE"/>
    <w:family w:val="roman"/>
    <w:pitch w:val="variable"/>
    <w:sig w:usb0="00000287" w:usb1="00000000" w:usb2="00000000" w:usb3="00000000" w:csb0="0000009F"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9593416"/>
      <w:docPartObj>
        <w:docPartGallery w:val="Page Numbers (Bottom of Page)"/>
        <w:docPartUnique/>
      </w:docPartObj>
    </w:sdtPr>
    <w:sdtEndPr/>
    <w:sdtContent>
      <w:p w:rsidR="00AF5227" w:rsidRDefault="00AF5227">
        <w:pPr>
          <w:pStyle w:val="Zpat"/>
          <w:jc w:val="center"/>
        </w:pPr>
        <w:r>
          <w:fldChar w:fldCharType="begin"/>
        </w:r>
        <w:r>
          <w:instrText>PAGE   \* MERGEFORMAT</w:instrText>
        </w:r>
        <w:r>
          <w:fldChar w:fldCharType="separate"/>
        </w:r>
        <w:r w:rsidR="002E52CC" w:rsidRPr="002E52CC">
          <w:rPr>
            <w:noProof/>
            <w:lang w:val="cs-CZ"/>
          </w:rPr>
          <w:t>4</w:t>
        </w:r>
        <w:r>
          <w:fldChar w:fldCharType="end"/>
        </w:r>
      </w:p>
    </w:sdtContent>
  </w:sdt>
  <w:p w:rsidR="00AF5227" w:rsidRDefault="00AF5227">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58C7" w:rsidRDefault="009C58C7">
      <w:pPr>
        <w:spacing w:line="240" w:lineRule="auto"/>
      </w:pPr>
      <w:r>
        <w:separator/>
      </w:r>
    </w:p>
  </w:footnote>
  <w:footnote w:type="continuationSeparator" w:id="0">
    <w:p w:rsidR="009C58C7" w:rsidRDefault="009C58C7">
      <w:pPr>
        <w:spacing w:line="240" w:lineRule="auto"/>
      </w:pPr>
      <w:r>
        <w:continuationSeparator/>
      </w:r>
    </w:p>
  </w:footnote>
  <w:footnote w:id="1">
    <w:p w:rsidR="00AF5227" w:rsidRPr="003629BC" w:rsidRDefault="00AF5227">
      <w:pPr>
        <w:pStyle w:val="Textpoznpodarou"/>
        <w:rPr>
          <w:lang w:val="cs-CZ"/>
        </w:rPr>
      </w:pPr>
      <w:r w:rsidRPr="003629BC">
        <w:rPr>
          <w:rStyle w:val="Znakapoznpodarou"/>
        </w:rPr>
        <w:footnoteRef/>
      </w:r>
      <w:r w:rsidRPr="003629BC">
        <w:t xml:space="preserve"> </w:t>
      </w:r>
      <w:r w:rsidRPr="003629BC">
        <w:rPr>
          <w:lang w:val="cs-CZ"/>
        </w:rPr>
        <w:t>Ustanoven</w:t>
      </w:r>
      <w:r>
        <w:rPr>
          <w:lang w:val="cs-CZ"/>
        </w:rPr>
        <w:t xml:space="preserve">í § 70, 89, § 114 </w:t>
      </w:r>
      <w:r w:rsidRPr="003629BC">
        <w:rPr>
          <w:lang w:val="cs-CZ"/>
        </w:rPr>
        <w:t>zákona č. 250/2016, zákon o odpovědnosti za přestupky a řízení o nich, ve znění pozdějších předpisů</w:t>
      </w:r>
      <w:r>
        <w:rPr>
          <w:lang w:val="cs-CZ"/>
        </w:rPr>
        <w:t xml:space="preserve"> a také </w:t>
      </w:r>
    </w:p>
  </w:footnote>
  <w:footnote w:id="2">
    <w:p w:rsidR="00AF5227" w:rsidRPr="003629BC" w:rsidRDefault="00AF5227">
      <w:pPr>
        <w:spacing w:line="240" w:lineRule="auto"/>
        <w:rPr>
          <w:sz w:val="20"/>
          <w:szCs w:val="20"/>
        </w:rPr>
      </w:pPr>
      <w:r w:rsidRPr="003629BC">
        <w:rPr>
          <w:sz w:val="20"/>
          <w:szCs w:val="20"/>
          <w:vertAlign w:val="superscript"/>
        </w:rPr>
        <w:footnoteRef/>
      </w:r>
      <w:r w:rsidRPr="003629BC">
        <w:rPr>
          <w:sz w:val="20"/>
          <w:szCs w:val="20"/>
        </w:rPr>
        <w:t xml:space="preserve"> Prášková, Helena. </w:t>
      </w:r>
      <w:r w:rsidRPr="003629BC">
        <w:rPr>
          <w:i/>
          <w:sz w:val="20"/>
          <w:szCs w:val="20"/>
        </w:rPr>
        <w:t>Přestupkové právo</w:t>
      </w:r>
      <w:r w:rsidRPr="003629BC">
        <w:rPr>
          <w:sz w:val="20"/>
          <w:szCs w:val="20"/>
        </w:rPr>
        <w:t>. 2. Vydání, PRAHA: Leges, 2022, s. 482-483.</w:t>
      </w:r>
    </w:p>
  </w:footnote>
  <w:footnote w:id="3">
    <w:p w:rsidR="00AF5227" w:rsidRPr="00436BE4" w:rsidRDefault="00AF5227">
      <w:pPr>
        <w:pStyle w:val="Textpoznpodarou"/>
        <w:rPr>
          <w:lang w:val="cs-CZ"/>
        </w:rPr>
      </w:pPr>
      <w:r>
        <w:rPr>
          <w:rStyle w:val="Znakapoznpodarou"/>
        </w:rPr>
        <w:footnoteRef/>
      </w:r>
      <w:r>
        <w:t xml:space="preserve"> </w:t>
      </w:r>
      <w:r w:rsidRPr="003629BC">
        <w:rPr>
          <w:lang w:val="cs-CZ"/>
        </w:rPr>
        <w:t>Ustanovení § 5 zákona č. 250/2016, zákon o odpovědnosti za přestupky a řízení o nich, ve znění pozdějších předpisů</w:t>
      </w:r>
      <w:r>
        <w:rPr>
          <w:lang w:val="cs-CZ"/>
        </w:rPr>
        <w:t>, ustanovení § 68, 7 zákona č, 200/1990 Sb. z</w:t>
      </w:r>
      <w:r w:rsidRPr="00436BE4">
        <w:rPr>
          <w:lang w:val="cs-CZ"/>
        </w:rPr>
        <w:t>ákon České národní rady o přestupcích</w:t>
      </w:r>
      <w:r>
        <w:rPr>
          <w:lang w:val="cs-CZ"/>
        </w:rPr>
        <w:t>, ve znění zákona č.65/2017 Sb.</w:t>
      </w:r>
    </w:p>
  </w:footnote>
  <w:footnote w:id="4">
    <w:p w:rsidR="00AF5227" w:rsidRPr="003629BC" w:rsidRDefault="00AF5227">
      <w:pPr>
        <w:spacing w:line="240" w:lineRule="auto"/>
        <w:rPr>
          <w:sz w:val="20"/>
          <w:szCs w:val="20"/>
        </w:rPr>
      </w:pPr>
      <w:r w:rsidRPr="003629BC">
        <w:rPr>
          <w:sz w:val="20"/>
          <w:szCs w:val="20"/>
          <w:vertAlign w:val="superscript"/>
        </w:rPr>
        <w:footnoteRef/>
      </w:r>
      <w:r>
        <w:rPr>
          <w:sz w:val="20"/>
          <w:szCs w:val="20"/>
        </w:rPr>
        <w:t xml:space="preserve"> Dílo citované v poznámce pod čarou č.2</w:t>
      </w:r>
    </w:p>
  </w:footnote>
  <w:footnote w:id="5">
    <w:p w:rsidR="00AF5227" w:rsidRPr="003629BC" w:rsidRDefault="00AF5227">
      <w:pPr>
        <w:pStyle w:val="Textpoznpodarou"/>
        <w:rPr>
          <w:i/>
          <w:lang w:val="cs-CZ"/>
        </w:rPr>
      </w:pPr>
      <w:r w:rsidRPr="003629BC">
        <w:rPr>
          <w:rStyle w:val="Znakapoznpodarou"/>
        </w:rPr>
        <w:footnoteRef/>
      </w:r>
      <w:r w:rsidRPr="003629BC">
        <w:t xml:space="preserve"> HEPOVÁ, Adéla. </w:t>
      </w:r>
      <w:r w:rsidRPr="003629BC">
        <w:rPr>
          <w:i/>
        </w:rPr>
        <w:t xml:space="preserve">Není úzké pojetí poškkozeného v přestupkovém řízení příliš úzké?. </w:t>
      </w:r>
      <w:r w:rsidRPr="00AD477E">
        <w:t>Právní rozhledy, roč. 32, č. 15-16</w:t>
      </w:r>
      <w:r w:rsidRPr="003629BC">
        <w:rPr>
          <w:i/>
        </w:rPr>
        <w:t>, s. 520</w:t>
      </w:r>
      <w:r w:rsidRPr="003629BC">
        <w:t>.</w:t>
      </w:r>
    </w:p>
  </w:footnote>
  <w:footnote w:id="6">
    <w:p w:rsidR="00AF5227" w:rsidRPr="008123EF" w:rsidRDefault="00AF5227">
      <w:pPr>
        <w:pStyle w:val="Textpoznpodarou"/>
        <w:rPr>
          <w:lang w:val="cs-CZ"/>
        </w:rPr>
      </w:pPr>
      <w:r w:rsidRPr="003629BC">
        <w:rPr>
          <w:rStyle w:val="Znakapoznpodarou"/>
        </w:rPr>
        <w:footnoteRef/>
      </w:r>
      <w:r w:rsidRPr="003629BC">
        <w:t xml:space="preserve"> ŠČERBA, Filip. </w:t>
      </w:r>
      <w:r w:rsidRPr="003629BC">
        <w:rPr>
          <w:i/>
        </w:rPr>
        <w:t>Právo na účinné vyšetřování ve světle judikatury ústavního soudu</w:t>
      </w:r>
      <w:r w:rsidRPr="003629BC">
        <w:t>. Trestněprávní revue, 2016, roč. 15, č. 7-8, s. 157.</w:t>
      </w:r>
    </w:p>
  </w:footnote>
  <w:footnote w:id="7">
    <w:p w:rsidR="00AF5227" w:rsidRPr="009A2F2B" w:rsidRDefault="00AF5227">
      <w:pPr>
        <w:spacing w:line="240" w:lineRule="auto"/>
        <w:rPr>
          <w:rFonts w:eastAsia="Aptos"/>
          <w:i/>
          <w:sz w:val="20"/>
          <w:szCs w:val="20"/>
        </w:rPr>
      </w:pPr>
      <w:r w:rsidRPr="009A2F2B">
        <w:rPr>
          <w:sz w:val="20"/>
          <w:szCs w:val="20"/>
          <w:vertAlign w:val="superscript"/>
        </w:rPr>
        <w:footnoteRef/>
      </w:r>
      <w:r w:rsidRPr="009A2F2B">
        <w:rPr>
          <w:rFonts w:eastAsia="Aptos"/>
          <w:sz w:val="20"/>
          <w:szCs w:val="20"/>
        </w:rPr>
        <w:t xml:space="preserve"> KUČEROVÁ, Helena, HORZINKOVÁ, Eva. </w:t>
      </w:r>
      <w:r w:rsidRPr="009A2F2B">
        <w:rPr>
          <w:rFonts w:eastAsia="Aptos"/>
          <w:i/>
          <w:sz w:val="20"/>
          <w:szCs w:val="20"/>
        </w:rPr>
        <w:t xml:space="preserve">Zákon o odpovědnosti za přestupky a řízení o nich a zákon o některých přestupcích s komentářem a judikaturou. </w:t>
      </w:r>
      <w:r w:rsidRPr="009A2F2B">
        <w:rPr>
          <w:rFonts w:eastAsia="Aptos"/>
          <w:sz w:val="20"/>
          <w:szCs w:val="20"/>
        </w:rPr>
        <w:t>2. vydání</w:t>
      </w:r>
      <w:r w:rsidRPr="009A2F2B">
        <w:rPr>
          <w:rFonts w:eastAsia="Aptos"/>
          <w:i/>
          <w:sz w:val="20"/>
          <w:szCs w:val="20"/>
        </w:rPr>
        <w:t xml:space="preserve">. </w:t>
      </w:r>
      <w:r w:rsidRPr="009A2F2B">
        <w:rPr>
          <w:rFonts w:eastAsia="Aptos"/>
          <w:sz w:val="20"/>
          <w:szCs w:val="20"/>
        </w:rPr>
        <w:t>Praha: Leges., 2019,</w:t>
      </w:r>
      <w:r w:rsidRPr="009A2F2B">
        <w:rPr>
          <w:rFonts w:eastAsia="Aptos"/>
          <w:i/>
          <w:sz w:val="20"/>
          <w:szCs w:val="20"/>
        </w:rPr>
        <w:t xml:space="preserve"> </w:t>
      </w:r>
      <w:r w:rsidRPr="009A2F2B">
        <w:rPr>
          <w:rFonts w:eastAsia="Aptos"/>
          <w:sz w:val="20"/>
          <w:szCs w:val="20"/>
        </w:rPr>
        <w:t>s</w:t>
      </w:r>
      <w:r w:rsidRPr="009A2F2B">
        <w:rPr>
          <w:rFonts w:eastAsia="Aptos"/>
          <w:i/>
          <w:sz w:val="20"/>
          <w:szCs w:val="20"/>
        </w:rPr>
        <w:t>. 607.</w:t>
      </w:r>
    </w:p>
  </w:footnote>
  <w:footnote w:id="8">
    <w:p w:rsidR="00AF5227" w:rsidRPr="009A2F2B" w:rsidRDefault="00AF5227">
      <w:pPr>
        <w:spacing w:line="240" w:lineRule="auto"/>
        <w:rPr>
          <w:rFonts w:eastAsia="Aptos"/>
          <w:sz w:val="20"/>
          <w:szCs w:val="20"/>
        </w:rPr>
      </w:pPr>
      <w:r w:rsidRPr="009A2F2B">
        <w:rPr>
          <w:sz w:val="20"/>
          <w:szCs w:val="20"/>
          <w:vertAlign w:val="superscript"/>
        </w:rPr>
        <w:footnoteRef/>
      </w:r>
      <w:r w:rsidRPr="009A2F2B">
        <w:rPr>
          <w:rFonts w:eastAsia="Aptos"/>
          <w:sz w:val="20"/>
          <w:szCs w:val="20"/>
        </w:rPr>
        <w:t xml:space="preserve"> Ustanovení § 89 z</w:t>
      </w:r>
      <w:r w:rsidRPr="009A2F2B">
        <w:rPr>
          <w:sz w:val="20"/>
          <w:szCs w:val="20"/>
        </w:rPr>
        <w:t>ákona č. 250/2016 Sb., zákon o odpovědnosti za přestupky a řízení o nich, ve znění pozdějších předpisů.</w:t>
      </w:r>
    </w:p>
  </w:footnote>
  <w:footnote w:id="9">
    <w:p w:rsidR="00AF5227" w:rsidRPr="009A2F2B" w:rsidRDefault="00AF5227">
      <w:pPr>
        <w:spacing w:line="240" w:lineRule="auto"/>
        <w:rPr>
          <w:rFonts w:eastAsia="Aptos"/>
          <w:sz w:val="20"/>
          <w:szCs w:val="20"/>
        </w:rPr>
      </w:pPr>
      <w:r w:rsidRPr="009A2F2B">
        <w:rPr>
          <w:sz w:val="20"/>
          <w:szCs w:val="20"/>
          <w:vertAlign w:val="superscript"/>
        </w:rPr>
        <w:footnoteRef/>
      </w:r>
      <w:r w:rsidRPr="009A2F2B">
        <w:rPr>
          <w:rFonts w:eastAsia="Aptos"/>
          <w:sz w:val="20"/>
          <w:szCs w:val="20"/>
        </w:rPr>
        <w:t xml:space="preserve"> Oddíl sedmý </w:t>
      </w:r>
      <w:r w:rsidRPr="009A2F2B">
        <w:rPr>
          <w:sz w:val="20"/>
          <w:szCs w:val="20"/>
        </w:rPr>
        <w:t xml:space="preserve">zákona č. 141/1961 Sb., zákon o  trestním řízení soudním, ve znění pozdějších předpisů. </w:t>
      </w:r>
    </w:p>
  </w:footnote>
  <w:footnote w:id="10">
    <w:p w:rsidR="00AF5227" w:rsidRPr="009A2F2B" w:rsidRDefault="00AF5227">
      <w:pPr>
        <w:spacing w:line="240" w:lineRule="auto"/>
        <w:rPr>
          <w:rFonts w:eastAsia="Aptos"/>
          <w:sz w:val="20"/>
          <w:szCs w:val="20"/>
        </w:rPr>
      </w:pPr>
      <w:r w:rsidRPr="009A2F2B">
        <w:rPr>
          <w:sz w:val="20"/>
          <w:szCs w:val="20"/>
          <w:vertAlign w:val="superscript"/>
        </w:rPr>
        <w:footnoteRef/>
      </w:r>
      <w:r w:rsidRPr="009A2F2B">
        <w:rPr>
          <w:rFonts w:eastAsia="Aptos"/>
          <w:sz w:val="20"/>
          <w:szCs w:val="20"/>
        </w:rPr>
        <w:t xml:space="preserve"> Důvodová zpráva k zákonu č. 250/2016 Sb., zvláštní část, s. 207.</w:t>
      </w:r>
    </w:p>
  </w:footnote>
  <w:footnote w:id="11">
    <w:p w:rsidR="00AF5227" w:rsidRPr="009A2F2B" w:rsidRDefault="00AF5227">
      <w:pPr>
        <w:spacing w:line="240" w:lineRule="auto"/>
        <w:rPr>
          <w:rFonts w:eastAsia="Aptos"/>
          <w:sz w:val="20"/>
          <w:szCs w:val="20"/>
        </w:rPr>
      </w:pPr>
      <w:r w:rsidRPr="009A2F2B">
        <w:rPr>
          <w:sz w:val="20"/>
          <w:szCs w:val="20"/>
          <w:vertAlign w:val="superscript"/>
        </w:rPr>
        <w:footnoteRef/>
      </w:r>
      <w:r w:rsidRPr="009A2F2B">
        <w:rPr>
          <w:rFonts w:eastAsia="Aptos"/>
          <w:sz w:val="20"/>
          <w:szCs w:val="20"/>
        </w:rPr>
        <w:t xml:space="preserve"> PRÁŠKOVÁ, Helena. </w:t>
      </w:r>
      <w:r w:rsidRPr="009A2F2B">
        <w:rPr>
          <w:rFonts w:eastAsia="Aptos"/>
          <w:i/>
          <w:sz w:val="20"/>
          <w:szCs w:val="20"/>
        </w:rPr>
        <w:t xml:space="preserve">Přestupkové právo. </w:t>
      </w:r>
      <w:r w:rsidRPr="009A2F2B">
        <w:rPr>
          <w:rFonts w:eastAsia="Aptos"/>
          <w:sz w:val="20"/>
          <w:szCs w:val="20"/>
        </w:rPr>
        <w:t>2. vydání</w:t>
      </w:r>
      <w:r w:rsidRPr="009A2F2B">
        <w:rPr>
          <w:rFonts w:eastAsia="Aptos"/>
          <w:i/>
          <w:sz w:val="20"/>
          <w:szCs w:val="20"/>
        </w:rPr>
        <w:t xml:space="preserve">. </w:t>
      </w:r>
      <w:r w:rsidRPr="009A2F2B">
        <w:rPr>
          <w:rFonts w:eastAsia="Aptos"/>
          <w:sz w:val="20"/>
          <w:szCs w:val="20"/>
        </w:rPr>
        <w:t>Praha: Leges, 2022, s. 482</w:t>
      </w:r>
      <w:r w:rsidRPr="009A2F2B">
        <w:rPr>
          <w:rFonts w:eastAsia="Aptos"/>
          <w:i/>
          <w:sz w:val="20"/>
          <w:szCs w:val="20"/>
        </w:rPr>
        <w:t xml:space="preserve"> </w:t>
      </w:r>
    </w:p>
  </w:footnote>
  <w:footnote w:id="12">
    <w:p w:rsidR="00AF5227" w:rsidRPr="009A2F2B" w:rsidRDefault="00AF5227" w:rsidP="006A3693">
      <w:pPr>
        <w:spacing w:line="240" w:lineRule="auto"/>
        <w:ind w:right="567"/>
        <w:rPr>
          <w:sz w:val="20"/>
          <w:szCs w:val="20"/>
        </w:rPr>
      </w:pPr>
      <w:r w:rsidRPr="009A2F2B">
        <w:rPr>
          <w:sz w:val="20"/>
          <w:szCs w:val="20"/>
          <w:vertAlign w:val="superscript"/>
        </w:rPr>
        <w:footnoteRef/>
      </w:r>
      <w:r w:rsidRPr="009A2F2B">
        <w:rPr>
          <w:sz w:val="20"/>
          <w:szCs w:val="20"/>
        </w:rPr>
        <w:t xml:space="preserve"> </w:t>
      </w:r>
      <w:r w:rsidRPr="009A2F2B">
        <w:rPr>
          <w:rFonts w:eastAsia="Aptos"/>
          <w:sz w:val="20"/>
          <w:szCs w:val="20"/>
        </w:rPr>
        <w:t xml:space="preserve"> ŠÁMAL, Pavel. In: ŠÁMAL, Pavel a kol., </w:t>
      </w:r>
      <w:r w:rsidRPr="009A2F2B">
        <w:rPr>
          <w:rFonts w:eastAsia="Aptos"/>
          <w:i/>
          <w:sz w:val="20"/>
          <w:szCs w:val="20"/>
        </w:rPr>
        <w:t>Trestní řád I. § 1 až 156. Komentář. 7. vydání</w:t>
      </w:r>
      <w:r w:rsidRPr="009A2F2B">
        <w:rPr>
          <w:rFonts w:eastAsia="Aptos"/>
          <w:sz w:val="20"/>
          <w:szCs w:val="20"/>
        </w:rPr>
        <w:t>. Praha: C.H. Beck, 2013. s. 519.</w:t>
      </w:r>
    </w:p>
  </w:footnote>
  <w:footnote w:id="13">
    <w:p w:rsidR="00AF5227" w:rsidRPr="00D6014A" w:rsidRDefault="00AF5227" w:rsidP="006A3693">
      <w:pPr>
        <w:spacing w:line="240" w:lineRule="auto"/>
        <w:ind w:right="567"/>
        <w:rPr>
          <w:rFonts w:eastAsia="Aptos"/>
          <w:sz w:val="20"/>
          <w:szCs w:val="20"/>
        </w:rPr>
      </w:pPr>
      <w:r w:rsidRPr="009A2F2B">
        <w:rPr>
          <w:sz w:val="20"/>
          <w:szCs w:val="20"/>
          <w:vertAlign w:val="superscript"/>
        </w:rPr>
        <w:footnoteRef/>
      </w:r>
      <w:r w:rsidRPr="009A2F2B">
        <w:rPr>
          <w:rFonts w:eastAsia="Aptos"/>
          <w:sz w:val="20"/>
          <w:szCs w:val="20"/>
        </w:rPr>
        <w:t xml:space="preserve">  Tamtéž.</w:t>
      </w:r>
    </w:p>
  </w:footnote>
  <w:footnote w:id="14">
    <w:p w:rsidR="00AF5227" w:rsidRPr="00D6014A" w:rsidRDefault="00AF5227" w:rsidP="006A3693">
      <w:pPr>
        <w:spacing w:line="240" w:lineRule="auto"/>
        <w:ind w:right="567"/>
        <w:rPr>
          <w:rFonts w:eastAsia="Aptos"/>
          <w:sz w:val="20"/>
          <w:szCs w:val="20"/>
        </w:rPr>
      </w:pPr>
      <w:r w:rsidRPr="00D6014A">
        <w:rPr>
          <w:sz w:val="20"/>
          <w:szCs w:val="20"/>
          <w:vertAlign w:val="superscript"/>
        </w:rPr>
        <w:footnoteRef/>
      </w:r>
      <w:r w:rsidRPr="00D6014A">
        <w:rPr>
          <w:rFonts w:eastAsia="Aptos"/>
          <w:sz w:val="20"/>
          <w:szCs w:val="20"/>
        </w:rPr>
        <w:t xml:space="preserve"> STORCH, František. </w:t>
      </w:r>
      <w:r w:rsidRPr="00D6014A">
        <w:rPr>
          <w:rFonts w:eastAsia="Aptos"/>
          <w:i/>
          <w:sz w:val="20"/>
          <w:szCs w:val="20"/>
        </w:rPr>
        <w:t>Řízení trestní rakouské</w:t>
      </w:r>
      <w:r w:rsidRPr="00D6014A">
        <w:rPr>
          <w:rFonts w:eastAsia="Aptos"/>
          <w:sz w:val="20"/>
          <w:szCs w:val="20"/>
        </w:rPr>
        <w:t>.</w:t>
      </w:r>
      <w:r w:rsidRPr="00D6014A">
        <w:rPr>
          <w:rFonts w:eastAsia="Aptos"/>
          <w:i/>
          <w:sz w:val="20"/>
          <w:szCs w:val="20"/>
        </w:rPr>
        <w:t xml:space="preserve"> I a II. díl</w:t>
      </w:r>
      <w:r w:rsidRPr="00D6014A">
        <w:rPr>
          <w:rFonts w:eastAsia="Aptos"/>
          <w:sz w:val="20"/>
          <w:szCs w:val="20"/>
        </w:rPr>
        <w:t>, Praha: Wolters Kluwer, 2011, s. 154.</w:t>
      </w:r>
    </w:p>
  </w:footnote>
  <w:footnote w:id="15">
    <w:p w:rsidR="00AF5227" w:rsidRPr="00D6014A" w:rsidRDefault="00AF5227" w:rsidP="006A3693">
      <w:pPr>
        <w:spacing w:line="240" w:lineRule="auto"/>
        <w:ind w:right="567"/>
        <w:rPr>
          <w:rFonts w:eastAsia="Aptos"/>
          <w:sz w:val="20"/>
          <w:szCs w:val="20"/>
        </w:rPr>
      </w:pPr>
      <w:r w:rsidRPr="00D6014A">
        <w:rPr>
          <w:sz w:val="20"/>
          <w:szCs w:val="20"/>
          <w:vertAlign w:val="superscript"/>
        </w:rPr>
        <w:footnoteRef/>
      </w:r>
      <w:r w:rsidRPr="00D6014A">
        <w:rPr>
          <w:rFonts w:eastAsia="Aptos"/>
          <w:sz w:val="20"/>
          <w:szCs w:val="20"/>
        </w:rPr>
        <w:t xml:space="preserve"> SLUNSKÝ, Petr. </w:t>
      </w:r>
      <w:r w:rsidRPr="00D6014A">
        <w:rPr>
          <w:rFonts w:eastAsia="Aptos"/>
          <w:i/>
          <w:sz w:val="20"/>
          <w:szCs w:val="20"/>
        </w:rPr>
        <w:t>Vazba adhezního řízení na občanské právo a civilní proces</w:t>
      </w:r>
      <w:r w:rsidRPr="00D6014A">
        <w:rPr>
          <w:rFonts w:eastAsia="Aptos"/>
          <w:sz w:val="20"/>
          <w:szCs w:val="20"/>
        </w:rPr>
        <w:t>. Bulletin Advokacie, 2001, roč. 8, č. 3, s. 72.</w:t>
      </w:r>
    </w:p>
  </w:footnote>
  <w:footnote w:id="16">
    <w:p w:rsidR="00AF5227" w:rsidRPr="00D6014A" w:rsidRDefault="00AF5227" w:rsidP="006A3693">
      <w:pPr>
        <w:spacing w:line="240" w:lineRule="auto"/>
        <w:ind w:right="567"/>
        <w:rPr>
          <w:rFonts w:eastAsia="Aptos"/>
          <w:color w:val="00FF00"/>
          <w:sz w:val="20"/>
          <w:szCs w:val="20"/>
        </w:rPr>
      </w:pPr>
      <w:r w:rsidRPr="00D6014A">
        <w:rPr>
          <w:sz w:val="20"/>
          <w:szCs w:val="20"/>
          <w:vertAlign w:val="superscript"/>
        </w:rPr>
        <w:footnoteRef/>
      </w:r>
      <w:r w:rsidRPr="00D6014A">
        <w:rPr>
          <w:rFonts w:eastAsia="Aptos"/>
          <w:sz w:val="20"/>
          <w:szCs w:val="20"/>
        </w:rPr>
        <w:t xml:space="preserve"> FRUMAROVÁ, Kateřina. In: FIALA, Zdeněk a kol. </w:t>
      </w:r>
      <w:r w:rsidRPr="00D6014A">
        <w:rPr>
          <w:rFonts w:eastAsia="Aptos"/>
          <w:i/>
          <w:sz w:val="20"/>
          <w:szCs w:val="20"/>
        </w:rPr>
        <w:t>Správní právo trestní</w:t>
      </w:r>
      <w:r w:rsidRPr="00D6014A">
        <w:rPr>
          <w:rFonts w:eastAsia="Aptos"/>
          <w:sz w:val="20"/>
          <w:szCs w:val="20"/>
        </w:rPr>
        <w:t>, 2. vydání, Praha: Leges, 2021, s. 133</w:t>
      </w:r>
      <w:r w:rsidRPr="00D6014A">
        <w:rPr>
          <w:rFonts w:eastAsia="Aptos"/>
          <w:color w:val="00FF00"/>
          <w:sz w:val="20"/>
          <w:szCs w:val="20"/>
        </w:rPr>
        <w:t>.</w:t>
      </w:r>
    </w:p>
  </w:footnote>
  <w:footnote w:id="17">
    <w:p w:rsidR="00AF5227" w:rsidRPr="00D6014A" w:rsidRDefault="00AF5227" w:rsidP="006A3693">
      <w:pPr>
        <w:spacing w:line="240" w:lineRule="auto"/>
        <w:ind w:right="567"/>
        <w:rPr>
          <w:rFonts w:eastAsia="Aptos"/>
          <w:sz w:val="20"/>
          <w:szCs w:val="20"/>
        </w:rPr>
      </w:pPr>
      <w:r w:rsidRPr="00D6014A">
        <w:rPr>
          <w:sz w:val="20"/>
          <w:szCs w:val="20"/>
          <w:vertAlign w:val="superscript"/>
        </w:rPr>
        <w:footnoteRef/>
      </w:r>
      <w:r w:rsidRPr="00D6014A">
        <w:rPr>
          <w:rFonts w:eastAsia="Aptos"/>
          <w:sz w:val="20"/>
          <w:szCs w:val="20"/>
        </w:rPr>
        <w:t xml:space="preserve"> PRÁŠKOVÁ, Helena. </w:t>
      </w:r>
      <w:r w:rsidRPr="00D6014A">
        <w:rPr>
          <w:rFonts w:eastAsia="Aptos"/>
          <w:i/>
          <w:sz w:val="20"/>
          <w:szCs w:val="20"/>
        </w:rPr>
        <w:t xml:space="preserve">Přestupkové právo. </w:t>
      </w:r>
      <w:r w:rsidRPr="00D6014A">
        <w:rPr>
          <w:rFonts w:eastAsia="Aptos"/>
          <w:sz w:val="20"/>
          <w:szCs w:val="20"/>
        </w:rPr>
        <w:t>2. vydání</w:t>
      </w:r>
      <w:r w:rsidRPr="00D6014A">
        <w:rPr>
          <w:rFonts w:eastAsia="Aptos"/>
          <w:i/>
          <w:sz w:val="20"/>
          <w:szCs w:val="20"/>
        </w:rPr>
        <w:t xml:space="preserve">. </w:t>
      </w:r>
      <w:r w:rsidRPr="00D6014A">
        <w:rPr>
          <w:rFonts w:eastAsia="Aptos"/>
          <w:sz w:val="20"/>
          <w:szCs w:val="20"/>
        </w:rPr>
        <w:t>Praha: Leges, 2022, s. 344.</w:t>
      </w:r>
    </w:p>
  </w:footnote>
  <w:footnote w:id="18">
    <w:p w:rsidR="00AF5227" w:rsidRPr="00D6014A" w:rsidRDefault="00AF5227" w:rsidP="006A3693">
      <w:pPr>
        <w:spacing w:line="240" w:lineRule="auto"/>
        <w:ind w:right="567"/>
        <w:rPr>
          <w:rFonts w:eastAsia="Aptos"/>
          <w:sz w:val="20"/>
          <w:szCs w:val="20"/>
        </w:rPr>
      </w:pPr>
      <w:r w:rsidRPr="00D6014A">
        <w:rPr>
          <w:sz w:val="20"/>
          <w:szCs w:val="20"/>
          <w:vertAlign w:val="superscript"/>
        </w:rPr>
        <w:footnoteRef/>
      </w:r>
      <w:r w:rsidRPr="00D6014A">
        <w:rPr>
          <w:rFonts w:eastAsia="Aptos"/>
          <w:sz w:val="20"/>
          <w:szCs w:val="20"/>
        </w:rPr>
        <w:t xml:space="preserve"> Tamtéž.</w:t>
      </w:r>
    </w:p>
  </w:footnote>
  <w:footnote w:id="19">
    <w:p w:rsidR="00AF5227" w:rsidRPr="00D6014A" w:rsidRDefault="00AF5227" w:rsidP="006A3693">
      <w:pPr>
        <w:spacing w:line="240" w:lineRule="auto"/>
        <w:ind w:right="567"/>
        <w:rPr>
          <w:rFonts w:eastAsia="Aptos"/>
          <w:sz w:val="20"/>
          <w:szCs w:val="20"/>
        </w:rPr>
      </w:pPr>
      <w:r w:rsidRPr="00D6014A">
        <w:rPr>
          <w:sz w:val="20"/>
          <w:szCs w:val="20"/>
          <w:vertAlign w:val="superscript"/>
        </w:rPr>
        <w:footnoteRef/>
      </w:r>
      <w:r w:rsidRPr="00D6014A">
        <w:rPr>
          <w:rFonts w:eastAsia="Aptos"/>
          <w:sz w:val="20"/>
          <w:szCs w:val="20"/>
        </w:rPr>
        <w:t xml:space="preserve"> VETEŠNÍK, Pavel. In: JEMELKA, Luboš, VETEŠNÍK, Pavel. </w:t>
      </w:r>
      <w:r w:rsidRPr="00D6014A">
        <w:rPr>
          <w:rFonts w:eastAsia="Aptos"/>
          <w:i/>
          <w:sz w:val="20"/>
          <w:szCs w:val="20"/>
        </w:rPr>
        <w:t>Zákon o odpovědnosti za přestupky a řízení o nich. Zákon o některých přestupcích. Komentář</w:t>
      </w:r>
      <w:r w:rsidRPr="00D6014A">
        <w:rPr>
          <w:rFonts w:eastAsia="Aptos"/>
          <w:sz w:val="20"/>
          <w:szCs w:val="20"/>
        </w:rPr>
        <w:t xml:space="preserve">. 2. vydání. Praha: C.H. Beck, 2020, s. 2. </w:t>
      </w:r>
    </w:p>
  </w:footnote>
  <w:footnote w:id="20">
    <w:p w:rsidR="00AF5227" w:rsidRPr="00D6014A" w:rsidRDefault="00AF5227" w:rsidP="006A3693">
      <w:pPr>
        <w:spacing w:line="240" w:lineRule="auto"/>
        <w:ind w:right="567"/>
        <w:rPr>
          <w:sz w:val="20"/>
          <w:szCs w:val="20"/>
        </w:rPr>
      </w:pPr>
      <w:r w:rsidRPr="00D6014A">
        <w:rPr>
          <w:sz w:val="20"/>
          <w:szCs w:val="20"/>
          <w:vertAlign w:val="superscript"/>
        </w:rPr>
        <w:footnoteRef/>
      </w:r>
      <w:r w:rsidRPr="00D6014A">
        <w:rPr>
          <w:sz w:val="20"/>
          <w:szCs w:val="20"/>
        </w:rPr>
        <w:t xml:space="preserve"> </w:t>
      </w:r>
      <w:r w:rsidRPr="00D6014A">
        <w:rPr>
          <w:rFonts w:eastAsia="Aptos"/>
          <w:sz w:val="20"/>
          <w:szCs w:val="20"/>
        </w:rPr>
        <w:t xml:space="preserve">VETEŠNÍK, Pavel. In: </w:t>
      </w:r>
      <w:r w:rsidRPr="00D6014A">
        <w:rPr>
          <w:sz w:val="20"/>
          <w:szCs w:val="20"/>
        </w:rPr>
        <w:t xml:space="preserve">MATES, Pavel a kol. </w:t>
      </w:r>
      <w:r w:rsidRPr="00D6014A">
        <w:rPr>
          <w:i/>
          <w:sz w:val="20"/>
          <w:szCs w:val="20"/>
        </w:rPr>
        <w:t>Základy správního práva trestního</w:t>
      </w:r>
      <w:r w:rsidRPr="00D6014A">
        <w:rPr>
          <w:sz w:val="20"/>
          <w:szCs w:val="20"/>
        </w:rPr>
        <w:t>. 7. Vydání. Praha: C.H. Beck, 2017, s. 125.</w:t>
      </w:r>
    </w:p>
  </w:footnote>
  <w:footnote w:id="21">
    <w:p w:rsidR="00AF5227" w:rsidRDefault="00AF5227">
      <w:pPr>
        <w:spacing w:line="240" w:lineRule="auto"/>
        <w:rPr>
          <w:rFonts w:ascii="Aptos" w:eastAsia="Aptos" w:hAnsi="Aptos" w:cs="Aptos"/>
          <w:sz w:val="20"/>
          <w:szCs w:val="20"/>
        </w:rPr>
      </w:pPr>
      <w:r w:rsidRPr="00D6014A">
        <w:rPr>
          <w:sz w:val="20"/>
          <w:szCs w:val="20"/>
          <w:vertAlign w:val="superscript"/>
        </w:rPr>
        <w:footnoteRef/>
      </w:r>
      <w:r w:rsidRPr="00D6014A">
        <w:rPr>
          <w:rFonts w:eastAsia="Aptos"/>
          <w:sz w:val="20"/>
          <w:szCs w:val="20"/>
        </w:rPr>
        <w:t xml:space="preserve"> BOHADLO, David a kol. </w:t>
      </w:r>
      <w:r w:rsidRPr="00D6014A">
        <w:rPr>
          <w:rFonts w:eastAsia="Aptos"/>
          <w:i/>
          <w:sz w:val="20"/>
          <w:szCs w:val="20"/>
        </w:rPr>
        <w:t xml:space="preserve">Správní trestání z hlediska praxe a judikatury. </w:t>
      </w:r>
      <w:r w:rsidRPr="00D6014A">
        <w:rPr>
          <w:rFonts w:eastAsia="Aptos"/>
          <w:sz w:val="20"/>
          <w:szCs w:val="20"/>
        </w:rPr>
        <w:t>Praha: C.H. Beck, 2013, s. 2.</w:t>
      </w:r>
    </w:p>
  </w:footnote>
  <w:footnote w:id="22">
    <w:p w:rsidR="00AF5227" w:rsidRPr="009A2F2B" w:rsidRDefault="00AF5227" w:rsidP="00F024FF">
      <w:pPr>
        <w:spacing w:line="240" w:lineRule="auto"/>
        <w:ind w:right="567"/>
        <w:rPr>
          <w:rFonts w:eastAsia="Aptos"/>
          <w:sz w:val="20"/>
          <w:szCs w:val="20"/>
        </w:rPr>
      </w:pPr>
      <w:r w:rsidRPr="009A2F2B">
        <w:rPr>
          <w:sz w:val="20"/>
          <w:szCs w:val="20"/>
          <w:vertAlign w:val="superscript"/>
        </w:rPr>
        <w:footnoteRef/>
      </w:r>
      <w:r w:rsidRPr="009A2F2B">
        <w:rPr>
          <w:rFonts w:eastAsia="Aptos"/>
          <w:sz w:val="20"/>
          <w:szCs w:val="20"/>
        </w:rPr>
        <w:t xml:space="preserve"> ŠÁMAL, Pavel. In: ŠÁMAL, Pavel a kol.</w:t>
      </w:r>
      <w:r w:rsidRPr="009A2F2B">
        <w:rPr>
          <w:rFonts w:eastAsia="Aptos"/>
          <w:i/>
          <w:sz w:val="20"/>
          <w:szCs w:val="20"/>
        </w:rPr>
        <w:t xml:space="preserve"> Trestní řád I. § 1 až 156. Komentář.</w:t>
      </w:r>
      <w:r w:rsidR="00B86473">
        <w:rPr>
          <w:rFonts w:eastAsia="Aptos"/>
          <w:sz w:val="20"/>
          <w:szCs w:val="20"/>
        </w:rPr>
        <w:t xml:space="preserve"> 7 vydání. Praha: C.H. Beck, </w:t>
      </w:r>
    </w:p>
    <w:p w:rsidR="00AF5227" w:rsidRPr="009A2F2B" w:rsidRDefault="00AF5227" w:rsidP="00F024FF">
      <w:pPr>
        <w:spacing w:line="240" w:lineRule="auto"/>
        <w:ind w:right="567"/>
        <w:rPr>
          <w:rFonts w:eastAsia="Aptos"/>
          <w:sz w:val="20"/>
          <w:szCs w:val="20"/>
        </w:rPr>
      </w:pPr>
      <w:r w:rsidRPr="009A2F2B">
        <w:rPr>
          <w:rFonts w:eastAsia="Aptos"/>
          <w:sz w:val="20"/>
          <w:szCs w:val="20"/>
        </w:rPr>
        <w:t>2013 s. 5.</w:t>
      </w:r>
    </w:p>
  </w:footnote>
  <w:footnote w:id="23">
    <w:p w:rsidR="00AF5227" w:rsidRPr="009A2F2B" w:rsidRDefault="00AF5227" w:rsidP="00F024FF">
      <w:pPr>
        <w:spacing w:line="240" w:lineRule="auto"/>
        <w:ind w:right="567"/>
        <w:rPr>
          <w:rFonts w:eastAsia="Aptos"/>
          <w:sz w:val="20"/>
          <w:szCs w:val="20"/>
        </w:rPr>
      </w:pPr>
      <w:r w:rsidRPr="009A2F2B">
        <w:rPr>
          <w:sz w:val="20"/>
          <w:szCs w:val="20"/>
          <w:vertAlign w:val="superscript"/>
        </w:rPr>
        <w:footnoteRef/>
      </w:r>
      <w:r w:rsidRPr="009A2F2B">
        <w:rPr>
          <w:rFonts w:eastAsia="Aptos"/>
          <w:sz w:val="20"/>
          <w:szCs w:val="20"/>
        </w:rPr>
        <w:t xml:space="preserve"> PRÁŠKOVÁ, Helena. </w:t>
      </w:r>
      <w:r w:rsidRPr="009A2F2B">
        <w:rPr>
          <w:rFonts w:eastAsia="Aptos"/>
          <w:i/>
          <w:sz w:val="20"/>
          <w:szCs w:val="20"/>
        </w:rPr>
        <w:t xml:space="preserve">Přestupkové právo. </w:t>
      </w:r>
      <w:r w:rsidRPr="009A2F2B">
        <w:rPr>
          <w:rFonts w:eastAsia="Aptos"/>
          <w:sz w:val="20"/>
          <w:szCs w:val="20"/>
        </w:rPr>
        <w:t>2. vydání</w:t>
      </w:r>
      <w:r w:rsidRPr="009A2F2B">
        <w:rPr>
          <w:rFonts w:eastAsia="Aptos"/>
          <w:i/>
          <w:sz w:val="20"/>
          <w:szCs w:val="20"/>
        </w:rPr>
        <w:t xml:space="preserve">. </w:t>
      </w:r>
      <w:r w:rsidRPr="009A2F2B">
        <w:rPr>
          <w:rFonts w:eastAsia="Aptos"/>
          <w:sz w:val="20"/>
          <w:szCs w:val="20"/>
        </w:rPr>
        <w:t>Praha: Leges, 2022, s.</w:t>
      </w:r>
      <w:r w:rsidRPr="009A2F2B">
        <w:rPr>
          <w:rFonts w:eastAsia="Aptos"/>
          <w:i/>
          <w:sz w:val="20"/>
          <w:szCs w:val="20"/>
        </w:rPr>
        <w:t xml:space="preserve"> </w:t>
      </w:r>
      <w:r w:rsidRPr="009A2F2B">
        <w:rPr>
          <w:rFonts w:eastAsia="Aptos"/>
          <w:sz w:val="20"/>
          <w:szCs w:val="20"/>
        </w:rPr>
        <w:t>482</w:t>
      </w:r>
      <w:r w:rsidRPr="009A2F2B">
        <w:rPr>
          <w:rFonts w:eastAsia="Aptos"/>
          <w:i/>
          <w:sz w:val="20"/>
          <w:szCs w:val="20"/>
        </w:rPr>
        <w:t>.</w:t>
      </w:r>
    </w:p>
  </w:footnote>
  <w:footnote w:id="24">
    <w:p w:rsidR="00AF5227" w:rsidRPr="009A2F2B" w:rsidRDefault="00AF5227" w:rsidP="00F024FF">
      <w:pPr>
        <w:spacing w:line="240" w:lineRule="auto"/>
        <w:ind w:right="567"/>
        <w:rPr>
          <w:rFonts w:eastAsia="Aptos"/>
          <w:sz w:val="20"/>
          <w:szCs w:val="20"/>
        </w:rPr>
      </w:pPr>
      <w:r w:rsidRPr="009A2F2B">
        <w:rPr>
          <w:sz w:val="20"/>
          <w:szCs w:val="20"/>
          <w:vertAlign w:val="superscript"/>
        </w:rPr>
        <w:footnoteRef/>
      </w:r>
      <w:r w:rsidRPr="009A2F2B">
        <w:rPr>
          <w:rFonts w:eastAsia="Aptos"/>
          <w:sz w:val="20"/>
          <w:szCs w:val="20"/>
        </w:rPr>
        <w:t xml:space="preserve"> GRUS, Zdeněk. </w:t>
      </w:r>
      <w:r w:rsidRPr="009A2F2B">
        <w:rPr>
          <w:rFonts w:eastAsia="Aptos"/>
          <w:i/>
          <w:sz w:val="20"/>
          <w:szCs w:val="20"/>
        </w:rPr>
        <w:t>Rozhodování o  náhradě škody v adhezním řízení.</w:t>
      </w:r>
      <w:r w:rsidRPr="009A2F2B">
        <w:rPr>
          <w:rFonts w:eastAsia="Aptos"/>
          <w:sz w:val="20"/>
          <w:szCs w:val="20"/>
        </w:rPr>
        <w:t xml:space="preserve"> Trestněprávní revue. 2004, roč. 3, č. 7, s. 204.</w:t>
      </w:r>
    </w:p>
  </w:footnote>
  <w:footnote w:id="25">
    <w:p w:rsidR="00AF5227" w:rsidRPr="009A2F2B" w:rsidRDefault="00AF5227" w:rsidP="00F024FF">
      <w:pPr>
        <w:spacing w:line="240" w:lineRule="auto"/>
        <w:ind w:right="567"/>
        <w:rPr>
          <w:rFonts w:eastAsia="Aptos"/>
          <w:sz w:val="20"/>
          <w:szCs w:val="20"/>
        </w:rPr>
      </w:pPr>
      <w:r w:rsidRPr="009A2F2B">
        <w:rPr>
          <w:sz w:val="20"/>
          <w:szCs w:val="20"/>
          <w:vertAlign w:val="superscript"/>
        </w:rPr>
        <w:footnoteRef/>
      </w:r>
      <w:r w:rsidRPr="009A2F2B">
        <w:rPr>
          <w:rFonts w:eastAsia="Aptos"/>
          <w:sz w:val="20"/>
          <w:szCs w:val="20"/>
        </w:rPr>
        <w:t xml:space="preserve"> Tamtéž.</w:t>
      </w:r>
    </w:p>
  </w:footnote>
  <w:footnote w:id="26">
    <w:p w:rsidR="00AF5227" w:rsidRPr="009A2F2B" w:rsidRDefault="00AF5227" w:rsidP="00F024FF">
      <w:pPr>
        <w:spacing w:line="240" w:lineRule="auto"/>
        <w:ind w:right="567"/>
        <w:rPr>
          <w:rFonts w:eastAsia="Aptos"/>
          <w:sz w:val="20"/>
          <w:szCs w:val="20"/>
        </w:rPr>
      </w:pPr>
      <w:r w:rsidRPr="009A2F2B">
        <w:rPr>
          <w:sz w:val="20"/>
          <w:szCs w:val="20"/>
          <w:vertAlign w:val="superscript"/>
        </w:rPr>
        <w:footnoteRef/>
      </w:r>
      <w:r w:rsidRPr="009A2F2B">
        <w:rPr>
          <w:rFonts w:eastAsia="Aptos"/>
          <w:sz w:val="20"/>
          <w:szCs w:val="20"/>
        </w:rPr>
        <w:t xml:space="preserve"> KUČERA, Jiří. </w:t>
      </w:r>
      <w:r w:rsidRPr="009A2F2B">
        <w:rPr>
          <w:rFonts w:eastAsia="Aptos"/>
          <w:i/>
          <w:sz w:val="20"/>
          <w:szCs w:val="20"/>
        </w:rPr>
        <w:t>Adhezní řízení a jeho vztah k civilnímu procesu</w:t>
      </w:r>
      <w:r w:rsidRPr="009A2F2B">
        <w:rPr>
          <w:rFonts w:eastAsia="Aptos"/>
          <w:sz w:val="20"/>
          <w:szCs w:val="20"/>
        </w:rPr>
        <w:t>. Trestněprávní revue, 2006, roč. 5, č. 9, s. 260</w:t>
      </w:r>
    </w:p>
  </w:footnote>
  <w:footnote w:id="27">
    <w:p w:rsidR="00AF5227" w:rsidRPr="009A2F2B" w:rsidRDefault="00AF5227" w:rsidP="00F024FF">
      <w:pPr>
        <w:spacing w:line="240" w:lineRule="auto"/>
        <w:ind w:right="567"/>
        <w:rPr>
          <w:rFonts w:eastAsia="Aptos"/>
          <w:sz w:val="20"/>
          <w:szCs w:val="20"/>
        </w:rPr>
      </w:pPr>
      <w:r w:rsidRPr="009A2F2B">
        <w:rPr>
          <w:sz w:val="20"/>
          <w:szCs w:val="20"/>
          <w:vertAlign w:val="superscript"/>
        </w:rPr>
        <w:footnoteRef/>
      </w:r>
      <w:r w:rsidRPr="009A2F2B">
        <w:rPr>
          <w:rFonts w:eastAsia="Aptos"/>
          <w:sz w:val="20"/>
          <w:szCs w:val="20"/>
        </w:rPr>
        <w:t xml:space="preserve"> Tamtéž.</w:t>
      </w:r>
    </w:p>
  </w:footnote>
  <w:footnote w:id="28">
    <w:p w:rsidR="00AF5227" w:rsidRPr="009A2F2B" w:rsidRDefault="00AF5227" w:rsidP="00F024FF">
      <w:pPr>
        <w:spacing w:line="240" w:lineRule="auto"/>
        <w:ind w:right="567"/>
        <w:rPr>
          <w:sz w:val="20"/>
          <w:szCs w:val="20"/>
        </w:rPr>
      </w:pPr>
      <w:r w:rsidRPr="009A2F2B">
        <w:rPr>
          <w:sz w:val="20"/>
          <w:szCs w:val="20"/>
          <w:vertAlign w:val="superscript"/>
        </w:rPr>
        <w:footnoteRef/>
      </w:r>
      <w:r w:rsidRPr="009A2F2B">
        <w:rPr>
          <w:sz w:val="20"/>
          <w:szCs w:val="20"/>
        </w:rPr>
        <w:t xml:space="preserve"> Ustanovení § 94 zákona č. 250/2016 Sb., zákon o odpovědnosti za přestupky a řízení o nich, ve znění pozdějších předpisů stanoví, že vydání rozhodnutí by mělo přijít do 60 dnů od zahájení řízení. V roce 2023 trvalo průměrné trestní řízení kratší dobu, než řízení civilní. Viz: </w:t>
      </w:r>
      <w:r w:rsidRPr="009A2F2B">
        <w:rPr>
          <w:i/>
          <w:sz w:val="20"/>
          <w:szCs w:val="20"/>
        </w:rPr>
        <w:t>Soudy v Česku zrychlují, rozdíly v okresech jsou ale obří: Kde to vázne, kde ne.</w:t>
      </w:r>
      <w:r w:rsidRPr="009A2F2B">
        <w:rPr>
          <w:sz w:val="20"/>
          <w:szCs w:val="20"/>
        </w:rPr>
        <w:t xml:space="preserve"> </w:t>
      </w:r>
      <w:r w:rsidRPr="009A2F2B">
        <w:rPr>
          <w:sz w:val="20"/>
          <w:szCs w:val="20"/>
          <w:shd w:val="clear" w:color="auto" w:fill="F8F8F8"/>
        </w:rPr>
        <w:t>14. listopadu. 2024</w:t>
      </w:r>
      <w:r w:rsidRPr="009A2F2B">
        <w:rPr>
          <w:sz w:val="20"/>
          <w:szCs w:val="20"/>
        </w:rPr>
        <w:t xml:space="preserve"> [online]. hradecky.denik.cz. [cit. 9. února 2025]</w:t>
      </w:r>
    </w:p>
    <w:p w:rsidR="00AF5227" w:rsidRPr="009A2F2B" w:rsidRDefault="00AF5227" w:rsidP="00F024FF">
      <w:pPr>
        <w:spacing w:line="240" w:lineRule="auto"/>
        <w:ind w:right="567"/>
        <w:rPr>
          <w:sz w:val="20"/>
          <w:szCs w:val="20"/>
        </w:rPr>
      </w:pPr>
      <w:r w:rsidRPr="009A2F2B">
        <w:rPr>
          <w:sz w:val="20"/>
          <w:szCs w:val="20"/>
        </w:rPr>
        <w:t>https://hradecky.denik.cz/cesi-v-cislech/nejrychlejsi-a-nejpomalejsi-soudy-v-cesku-okresy-soudni-rizeni-delka.html</w:t>
      </w:r>
    </w:p>
  </w:footnote>
  <w:footnote w:id="29">
    <w:p w:rsidR="00AF5227" w:rsidRPr="009A2F2B" w:rsidRDefault="00AF5227" w:rsidP="00F024FF">
      <w:pPr>
        <w:spacing w:line="240" w:lineRule="auto"/>
        <w:ind w:right="567"/>
        <w:rPr>
          <w:rFonts w:eastAsia="Aptos"/>
          <w:sz w:val="20"/>
          <w:szCs w:val="20"/>
        </w:rPr>
      </w:pPr>
      <w:r w:rsidRPr="009A2F2B">
        <w:rPr>
          <w:sz w:val="20"/>
          <w:szCs w:val="20"/>
          <w:vertAlign w:val="superscript"/>
        </w:rPr>
        <w:footnoteRef/>
      </w:r>
      <w:r w:rsidRPr="009A2F2B">
        <w:rPr>
          <w:rFonts w:eastAsia="Aptos"/>
          <w:sz w:val="20"/>
          <w:szCs w:val="20"/>
        </w:rPr>
        <w:t xml:space="preserve"> GLATZOVÁ, Andrea. </w:t>
      </w:r>
      <w:r w:rsidRPr="009A2F2B">
        <w:rPr>
          <w:rFonts w:eastAsia="Aptos"/>
          <w:i/>
          <w:sz w:val="20"/>
          <w:szCs w:val="20"/>
        </w:rPr>
        <w:t xml:space="preserve">Předpoklady pro přiznání soukromoprávních nároků v adhezním řízení. </w:t>
      </w:r>
      <w:r w:rsidRPr="009A2F2B">
        <w:rPr>
          <w:rFonts w:eastAsia="Aptos"/>
          <w:sz w:val="20"/>
          <w:szCs w:val="20"/>
        </w:rPr>
        <w:t>Trestněprávní revue, 2012, roč. 11, č. 1, s. 6.</w:t>
      </w:r>
    </w:p>
  </w:footnote>
  <w:footnote w:id="30">
    <w:p w:rsidR="00AF5227" w:rsidRDefault="00AF5227" w:rsidP="006A3693">
      <w:pPr>
        <w:spacing w:line="240" w:lineRule="auto"/>
        <w:ind w:right="567"/>
        <w:rPr>
          <w:sz w:val="20"/>
          <w:szCs w:val="20"/>
        </w:rPr>
      </w:pPr>
      <w:r w:rsidRPr="009A2F2B">
        <w:rPr>
          <w:sz w:val="20"/>
          <w:szCs w:val="20"/>
          <w:vertAlign w:val="superscript"/>
        </w:rPr>
        <w:footnoteRef/>
      </w:r>
      <w:r w:rsidRPr="009A2F2B">
        <w:rPr>
          <w:sz w:val="20"/>
          <w:szCs w:val="20"/>
        </w:rPr>
        <w:t xml:space="preserve">  BOHADLO, David. In: BOHADLO, David a kol. </w:t>
      </w:r>
      <w:r w:rsidRPr="009A2F2B">
        <w:rPr>
          <w:i/>
          <w:sz w:val="20"/>
          <w:szCs w:val="20"/>
        </w:rPr>
        <w:t>Zákon o odpovědnosti za přestupky a řízení o nich. Komentář.</w:t>
      </w:r>
      <w:r w:rsidRPr="009A2F2B">
        <w:rPr>
          <w:sz w:val="20"/>
          <w:szCs w:val="20"/>
        </w:rPr>
        <w:t xml:space="preserve"> Praha: Wolters Kluwer, 2018, s. 514</w:t>
      </w:r>
      <w:r>
        <w:rPr>
          <w:sz w:val="20"/>
          <w:szCs w:val="20"/>
        </w:rPr>
        <w:t>.</w:t>
      </w:r>
    </w:p>
  </w:footnote>
  <w:footnote w:id="31">
    <w:p w:rsidR="00AF5227" w:rsidRPr="009A2F2B" w:rsidRDefault="00AF5227" w:rsidP="006A3693">
      <w:pPr>
        <w:spacing w:line="240" w:lineRule="auto"/>
        <w:ind w:right="567"/>
        <w:rPr>
          <w:sz w:val="20"/>
          <w:szCs w:val="20"/>
        </w:rPr>
      </w:pPr>
      <w:r w:rsidRPr="009A2F2B">
        <w:rPr>
          <w:sz w:val="20"/>
          <w:szCs w:val="20"/>
          <w:vertAlign w:val="superscript"/>
        </w:rPr>
        <w:footnoteRef/>
      </w:r>
      <w:r w:rsidRPr="009A2F2B">
        <w:rPr>
          <w:sz w:val="20"/>
          <w:szCs w:val="20"/>
        </w:rPr>
        <w:t xml:space="preserve"> ŠÍNOVÁ, Renata, ŠTEVČEK, Marek. In: ŠÍNOVÁ, Renáta a kol. </w:t>
      </w:r>
      <w:r w:rsidRPr="009A2F2B">
        <w:rPr>
          <w:i/>
          <w:sz w:val="20"/>
          <w:szCs w:val="20"/>
        </w:rPr>
        <w:t>Civilní proces. Obecná část a sporné řízení</w:t>
      </w:r>
      <w:r w:rsidRPr="009A2F2B">
        <w:rPr>
          <w:sz w:val="20"/>
          <w:szCs w:val="20"/>
        </w:rPr>
        <w:t>. 2. vydání. Praha: C.H. Beck, 2020, s. 163, 362.</w:t>
      </w:r>
    </w:p>
  </w:footnote>
  <w:footnote w:id="32">
    <w:p w:rsidR="00AF5227" w:rsidRPr="009A2F2B" w:rsidRDefault="00AF5227" w:rsidP="006A3693">
      <w:pPr>
        <w:spacing w:line="240" w:lineRule="auto"/>
        <w:ind w:right="567"/>
        <w:rPr>
          <w:sz w:val="20"/>
          <w:szCs w:val="20"/>
        </w:rPr>
      </w:pPr>
      <w:r w:rsidRPr="009A2F2B">
        <w:rPr>
          <w:sz w:val="20"/>
          <w:szCs w:val="20"/>
          <w:vertAlign w:val="superscript"/>
        </w:rPr>
        <w:footnoteRef/>
      </w:r>
      <w:r w:rsidRPr="009A2F2B">
        <w:rPr>
          <w:sz w:val="20"/>
          <w:szCs w:val="20"/>
        </w:rPr>
        <w:t xml:space="preserve"> Ustanovení § 11 odst. 2 písm. r) zákona č. 549/1991 Sb. zákon o soudních poplatcích, ve znění pozdějších předpisů</w:t>
      </w:r>
    </w:p>
  </w:footnote>
  <w:footnote w:id="33">
    <w:p w:rsidR="00AF5227" w:rsidRPr="009A2F2B" w:rsidRDefault="00AF5227" w:rsidP="006A3693">
      <w:pPr>
        <w:spacing w:line="240" w:lineRule="auto"/>
        <w:ind w:right="567"/>
        <w:rPr>
          <w:sz w:val="20"/>
          <w:szCs w:val="20"/>
        </w:rPr>
      </w:pPr>
      <w:r w:rsidRPr="009A2F2B">
        <w:rPr>
          <w:sz w:val="20"/>
          <w:szCs w:val="20"/>
          <w:vertAlign w:val="superscript"/>
        </w:rPr>
        <w:footnoteRef/>
      </w:r>
      <w:r w:rsidRPr="009A2F2B">
        <w:rPr>
          <w:sz w:val="20"/>
          <w:szCs w:val="20"/>
        </w:rPr>
        <w:t xml:space="preserve"> HROMADA, Miroslav. In: SVOBODA, Karel a kol. </w:t>
      </w:r>
      <w:r w:rsidRPr="009A2F2B">
        <w:rPr>
          <w:i/>
          <w:sz w:val="20"/>
          <w:szCs w:val="20"/>
        </w:rPr>
        <w:t>Náklady řízení.</w:t>
      </w:r>
      <w:r w:rsidRPr="009A2F2B">
        <w:rPr>
          <w:sz w:val="20"/>
          <w:szCs w:val="20"/>
        </w:rPr>
        <w:t xml:space="preserve"> Praha: C.H. Beck, 2017, s. 27.</w:t>
      </w:r>
    </w:p>
  </w:footnote>
  <w:footnote w:id="34">
    <w:p w:rsidR="00AF5227" w:rsidRPr="009A2F2B" w:rsidRDefault="00AF5227" w:rsidP="006A3693">
      <w:pPr>
        <w:spacing w:line="240" w:lineRule="auto"/>
        <w:ind w:right="567"/>
        <w:rPr>
          <w:sz w:val="20"/>
          <w:szCs w:val="20"/>
        </w:rPr>
      </w:pPr>
      <w:r w:rsidRPr="009A2F2B">
        <w:rPr>
          <w:sz w:val="20"/>
          <w:szCs w:val="20"/>
          <w:vertAlign w:val="superscript"/>
        </w:rPr>
        <w:footnoteRef/>
      </w:r>
      <w:r w:rsidRPr="009A2F2B">
        <w:rPr>
          <w:sz w:val="20"/>
          <w:szCs w:val="20"/>
        </w:rPr>
        <w:t xml:space="preserve"> Ustanovení § 89 zákona č. 250/2016 Sb., zákon o přestupcích, ve znění pozdějších předpisů.</w:t>
      </w:r>
    </w:p>
  </w:footnote>
  <w:footnote w:id="35">
    <w:p w:rsidR="00AF5227" w:rsidRPr="009A2F2B" w:rsidRDefault="00AF5227" w:rsidP="006A3693">
      <w:pPr>
        <w:spacing w:line="240" w:lineRule="auto"/>
        <w:ind w:right="567"/>
        <w:rPr>
          <w:sz w:val="20"/>
          <w:szCs w:val="20"/>
        </w:rPr>
      </w:pPr>
      <w:r w:rsidRPr="009A2F2B">
        <w:rPr>
          <w:sz w:val="20"/>
          <w:szCs w:val="20"/>
          <w:vertAlign w:val="superscript"/>
        </w:rPr>
        <w:footnoteRef/>
      </w:r>
      <w:r w:rsidRPr="009A2F2B">
        <w:rPr>
          <w:sz w:val="20"/>
          <w:szCs w:val="20"/>
        </w:rPr>
        <w:t xml:space="preserve"> MELZER, Filip. </w:t>
      </w:r>
      <w:r w:rsidRPr="009A2F2B">
        <w:rPr>
          <w:i/>
          <w:sz w:val="20"/>
          <w:szCs w:val="20"/>
        </w:rPr>
        <w:t>Metodologie nalézání práva. Úvod do právní argumentace.</w:t>
      </w:r>
      <w:r w:rsidRPr="009A2F2B">
        <w:rPr>
          <w:sz w:val="20"/>
          <w:szCs w:val="20"/>
        </w:rPr>
        <w:t xml:space="preserve"> 2. Vydání. Praha: C.H. Beck, 2011, s. 166, 168</w:t>
      </w:r>
      <w:r>
        <w:rPr>
          <w:sz w:val="20"/>
          <w:szCs w:val="20"/>
        </w:rPr>
        <w:t>, 170</w:t>
      </w:r>
      <w:r w:rsidRPr="009A2F2B">
        <w:rPr>
          <w:sz w:val="20"/>
          <w:szCs w:val="20"/>
        </w:rPr>
        <w:t>.</w:t>
      </w:r>
    </w:p>
  </w:footnote>
  <w:footnote w:id="36">
    <w:p w:rsidR="00AF5227" w:rsidRDefault="00AF5227" w:rsidP="006A3693">
      <w:pPr>
        <w:spacing w:after="20" w:line="240" w:lineRule="auto"/>
        <w:ind w:right="567"/>
        <w:rPr>
          <w:sz w:val="20"/>
          <w:szCs w:val="20"/>
        </w:rPr>
      </w:pPr>
      <w:r w:rsidRPr="009A2F2B">
        <w:rPr>
          <w:sz w:val="20"/>
          <w:szCs w:val="20"/>
          <w:vertAlign w:val="superscript"/>
        </w:rPr>
        <w:footnoteRef/>
      </w:r>
      <w:r w:rsidRPr="009A2F2B">
        <w:rPr>
          <w:sz w:val="20"/>
          <w:szCs w:val="20"/>
        </w:rPr>
        <w:t xml:space="preserve">  Tamtéž, s. 230.</w:t>
      </w:r>
    </w:p>
  </w:footnote>
  <w:footnote w:id="37">
    <w:p w:rsidR="00AF5227" w:rsidRPr="009A2F2B" w:rsidRDefault="00AF5227" w:rsidP="006A3693">
      <w:pPr>
        <w:spacing w:after="20" w:line="240" w:lineRule="auto"/>
        <w:ind w:right="567"/>
        <w:rPr>
          <w:rFonts w:eastAsia="Aptos"/>
          <w:sz w:val="20"/>
          <w:szCs w:val="20"/>
        </w:rPr>
      </w:pPr>
      <w:r w:rsidRPr="009A2F2B">
        <w:rPr>
          <w:sz w:val="20"/>
          <w:szCs w:val="20"/>
          <w:vertAlign w:val="superscript"/>
        </w:rPr>
        <w:footnoteRef/>
      </w:r>
      <w:r w:rsidRPr="009A2F2B">
        <w:rPr>
          <w:rFonts w:eastAsia="Aptos"/>
          <w:sz w:val="20"/>
          <w:szCs w:val="20"/>
        </w:rPr>
        <w:t xml:space="preserve"> RŮŽIČKA, Miroslav. In: RUŽIČKA, Miroslav a kol. </w:t>
      </w:r>
      <w:r w:rsidRPr="009A2F2B">
        <w:rPr>
          <w:rFonts w:eastAsia="Aptos"/>
          <w:i/>
          <w:sz w:val="20"/>
          <w:szCs w:val="20"/>
        </w:rPr>
        <w:t xml:space="preserve">Poškozený a adhezní řízení v České republice, </w:t>
      </w:r>
      <w:r w:rsidRPr="009A2F2B">
        <w:rPr>
          <w:rFonts w:eastAsia="Aptos"/>
          <w:sz w:val="20"/>
          <w:szCs w:val="20"/>
        </w:rPr>
        <w:t xml:space="preserve">Praha: C.H. Beck, s. 456 </w:t>
      </w:r>
    </w:p>
  </w:footnote>
  <w:footnote w:id="38">
    <w:p w:rsidR="00AF5227" w:rsidRPr="009A2F2B" w:rsidRDefault="00AF5227" w:rsidP="006A3693">
      <w:pPr>
        <w:spacing w:after="20" w:line="240" w:lineRule="auto"/>
        <w:ind w:right="567"/>
        <w:rPr>
          <w:rFonts w:eastAsia="Aptos"/>
          <w:sz w:val="20"/>
          <w:szCs w:val="20"/>
        </w:rPr>
      </w:pPr>
      <w:r w:rsidRPr="009A2F2B">
        <w:rPr>
          <w:sz w:val="20"/>
          <w:szCs w:val="20"/>
          <w:vertAlign w:val="superscript"/>
        </w:rPr>
        <w:footnoteRef/>
      </w:r>
      <w:r w:rsidRPr="009A2F2B">
        <w:rPr>
          <w:rFonts w:eastAsia="Aptos"/>
          <w:sz w:val="20"/>
          <w:szCs w:val="20"/>
        </w:rPr>
        <w:t xml:space="preserve"> STORCH, František. </w:t>
      </w:r>
      <w:r w:rsidRPr="009A2F2B">
        <w:rPr>
          <w:rFonts w:eastAsia="Aptos"/>
          <w:i/>
          <w:sz w:val="20"/>
          <w:szCs w:val="20"/>
        </w:rPr>
        <w:t>Řízení trestní rakouské</w:t>
      </w:r>
      <w:r w:rsidRPr="009A2F2B">
        <w:rPr>
          <w:rFonts w:eastAsia="Aptos"/>
          <w:sz w:val="20"/>
          <w:szCs w:val="20"/>
        </w:rPr>
        <w:t>.</w:t>
      </w:r>
      <w:r w:rsidRPr="009A2F2B">
        <w:rPr>
          <w:rFonts w:eastAsia="Aptos"/>
          <w:i/>
          <w:sz w:val="20"/>
          <w:szCs w:val="20"/>
        </w:rPr>
        <w:t xml:space="preserve"> I a II. díl</w:t>
      </w:r>
      <w:r w:rsidRPr="009A2F2B">
        <w:rPr>
          <w:rFonts w:eastAsia="Aptos"/>
          <w:sz w:val="20"/>
          <w:szCs w:val="20"/>
        </w:rPr>
        <w:t>, Praha: Wolters Kluwer, a.s., 2011, s. 148</w:t>
      </w:r>
    </w:p>
  </w:footnote>
  <w:footnote w:id="39">
    <w:p w:rsidR="00AF5227" w:rsidRPr="009A2F2B" w:rsidRDefault="00AF5227" w:rsidP="006A3693">
      <w:pPr>
        <w:spacing w:after="20" w:line="240" w:lineRule="auto"/>
        <w:ind w:right="567"/>
        <w:rPr>
          <w:rFonts w:eastAsia="Aptos"/>
          <w:sz w:val="20"/>
          <w:szCs w:val="20"/>
        </w:rPr>
      </w:pPr>
      <w:r w:rsidRPr="009A2F2B">
        <w:rPr>
          <w:sz w:val="20"/>
          <w:szCs w:val="20"/>
          <w:vertAlign w:val="superscript"/>
        </w:rPr>
        <w:footnoteRef/>
      </w:r>
      <w:r w:rsidRPr="009A2F2B">
        <w:rPr>
          <w:rFonts w:eastAsia="Aptos"/>
          <w:sz w:val="20"/>
          <w:szCs w:val="20"/>
        </w:rPr>
        <w:t xml:space="preserve"> LÁTAL, Jaroslav. </w:t>
      </w:r>
      <w:r w:rsidRPr="009A2F2B">
        <w:rPr>
          <w:rFonts w:eastAsia="Aptos"/>
          <w:i/>
          <w:sz w:val="20"/>
          <w:szCs w:val="20"/>
        </w:rPr>
        <w:t>K postavení poškozeného v trestním řízení a k rozhodování o náhradě škody v adhezním řízení.</w:t>
      </w:r>
      <w:r w:rsidRPr="009A2F2B">
        <w:rPr>
          <w:rFonts w:eastAsia="Aptos"/>
          <w:sz w:val="20"/>
          <w:szCs w:val="20"/>
        </w:rPr>
        <w:t xml:space="preserve"> Socialistická zákonnost, 1982, roč. 30, č. 2, s. 66. </w:t>
      </w:r>
    </w:p>
  </w:footnote>
  <w:footnote w:id="40">
    <w:p w:rsidR="00AF5227" w:rsidRPr="009A2F2B" w:rsidRDefault="00AF5227" w:rsidP="006A3693">
      <w:pPr>
        <w:spacing w:after="20" w:line="240" w:lineRule="auto"/>
        <w:ind w:right="567"/>
        <w:rPr>
          <w:sz w:val="20"/>
          <w:szCs w:val="20"/>
        </w:rPr>
      </w:pPr>
      <w:r w:rsidRPr="009A2F2B">
        <w:rPr>
          <w:sz w:val="20"/>
          <w:szCs w:val="20"/>
          <w:vertAlign w:val="superscript"/>
        </w:rPr>
        <w:footnoteRef/>
      </w:r>
      <w:r w:rsidRPr="009A2F2B">
        <w:rPr>
          <w:sz w:val="20"/>
          <w:szCs w:val="20"/>
        </w:rPr>
        <w:t xml:space="preserve"> </w:t>
      </w:r>
      <w:r w:rsidRPr="009A2F2B">
        <w:rPr>
          <w:rFonts w:eastAsia="Aptos"/>
          <w:sz w:val="20"/>
          <w:szCs w:val="20"/>
        </w:rPr>
        <w:t>ŠÁMAL, Pavel. In: ŠÁMAL, Pavel a kol.</w:t>
      </w:r>
      <w:r w:rsidRPr="009A2F2B">
        <w:rPr>
          <w:rFonts w:eastAsia="Aptos"/>
          <w:i/>
          <w:sz w:val="20"/>
          <w:szCs w:val="20"/>
        </w:rPr>
        <w:t xml:space="preserve"> Trestní řád I. § 1 až 156. Komentář.</w:t>
      </w:r>
      <w:r>
        <w:rPr>
          <w:rFonts w:eastAsia="Aptos"/>
          <w:sz w:val="20"/>
          <w:szCs w:val="20"/>
        </w:rPr>
        <w:t xml:space="preserve"> 7 vydání. Praha</w:t>
      </w:r>
      <w:r w:rsidRPr="009A2F2B">
        <w:rPr>
          <w:rFonts w:eastAsia="Aptos"/>
          <w:sz w:val="20"/>
          <w:szCs w:val="20"/>
        </w:rPr>
        <w:t xml:space="preserve">: C.H. Beck, 2013 </w:t>
      </w:r>
      <w:r w:rsidRPr="009A2F2B">
        <w:rPr>
          <w:sz w:val="20"/>
          <w:szCs w:val="20"/>
        </w:rPr>
        <w:t xml:space="preserve"> s. 508.</w:t>
      </w:r>
    </w:p>
  </w:footnote>
  <w:footnote w:id="41">
    <w:p w:rsidR="00AF5227" w:rsidRPr="00D6014A" w:rsidRDefault="00AF5227" w:rsidP="006A3693">
      <w:pPr>
        <w:spacing w:line="240" w:lineRule="auto"/>
        <w:ind w:right="567"/>
        <w:rPr>
          <w:rFonts w:eastAsia="Aptos"/>
          <w:sz w:val="20"/>
          <w:szCs w:val="20"/>
        </w:rPr>
      </w:pPr>
      <w:r w:rsidRPr="009A2F2B">
        <w:rPr>
          <w:sz w:val="20"/>
          <w:szCs w:val="20"/>
          <w:vertAlign w:val="superscript"/>
        </w:rPr>
        <w:footnoteRef/>
      </w:r>
      <w:r w:rsidRPr="009A2F2B">
        <w:rPr>
          <w:sz w:val="20"/>
          <w:szCs w:val="20"/>
        </w:rPr>
        <w:t xml:space="preserve"> Storch zmiňuje konkrétně Glaserovo dílo “</w:t>
      </w:r>
      <w:r w:rsidRPr="009A2F2B">
        <w:rPr>
          <w:i/>
          <w:sz w:val="20"/>
          <w:szCs w:val="20"/>
        </w:rPr>
        <w:t>Ueber Adhaesionprozess</w:t>
      </w:r>
      <w:r w:rsidRPr="009A2F2B">
        <w:rPr>
          <w:sz w:val="20"/>
          <w:szCs w:val="20"/>
        </w:rPr>
        <w:t>”, dále pak zmiňuje názory Ortloffa a Brucka. Nepracuji s jejich články ani názory, díla tedy nejsou z tohoto důvodu zmíněna v seznamu použitých zdrojů, ani nejsou citována. Pouze je zmiňuji, aby čtenář věděl, o kterých konkrétních právnících je ve Storchově díle řeč, resp. které citoval sám Storch. Podrobněji v</w:t>
      </w:r>
      <w:r w:rsidRPr="009A2F2B">
        <w:rPr>
          <w:color w:val="00FF00"/>
          <w:sz w:val="20"/>
          <w:szCs w:val="20"/>
        </w:rPr>
        <w:t xml:space="preserve"> </w:t>
      </w:r>
      <w:r w:rsidRPr="009A2F2B">
        <w:rPr>
          <w:rFonts w:eastAsia="Aptos"/>
          <w:sz w:val="20"/>
          <w:szCs w:val="20"/>
        </w:rPr>
        <w:t xml:space="preserve">STORCH, František. </w:t>
      </w:r>
      <w:r w:rsidRPr="009A2F2B">
        <w:rPr>
          <w:rFonts w:eastAsia="Aptos"/>
          <w:i/>
          <w:sz w:val="20"/>
          <w:szCs w:val="20"/>
        </w:rPr>
        <w:t>O nárocích soukromoprávních v řízením trestní</w:t>
      </w:r>
      <w:r w:rsidRPr="009A2F2B">
        <w:rPr>
          <w:rFonts w:eastAsia="Aptos"/>
          <w:sz w:val="20"/>
          <w:szCs w:val="20"/>
        </w:rPr>
        <w:t>. Právník, 1880, roč. 19, s. 78. [online] Dostupné z: digitální databáze České digitální knihovny</w:t>
      </w:r>
      <w:r w:rsidRPr="009A2F2B">
        <w:rPr>
          <w:rFonts w:eastAsia="Aptos"/>
          <w:sz w:val="20"/>
          <w:szCs w:val="20"/>
        </w:rPr>
        <w:br/>
      </w:r>
      <w:hyperlink r:id="rId1">
        <w:r w:rsidRPr="009A2F2B">
          <w:rPr>
            <w:rFonts w:eastAsia="Aptos"/>
            <w:sz w:val="20"/>
            <w:szCs w:val="20"/>
            <w:u w:val="single"/>
          </w:rPr>
          <w:t>https://cdk.lib.cas.cz/view/uuid:a53a5663-4eb0-11e1-1872-001143e3f55c?page=uuid:a53a5664-4eb0-11e1-1872-001143e3f55c</w:t>
        </w:r>
      </w:hyperlink>
    </w:p>
  </w:footnote>
  <w:footnote w:id="42">
    <w:p w:rsidR="00AF5227" w:rsidRPr="009A2F2B" w:rsidRDefault="00AF5227" w:rsidP="006A3693">
      <w:pPr>
        <w:spacing w:line="240" w:lineRule="auto"/>
        <w:ind w:right="567"/>
        <w:rPr>
          <w:rFonts w:eastAsia="Aptos"/>
          <w:sz w:val="20"/>
          <w:szCs w:val="20"/>
        </w:rPr>
      </w:pPr>
      <w:r w:rsidRPr="009A2F2B">
        <w:rPr>
          <w:sz w:val="20"/>
          <w:szCs w:val="20"/>
          <w:vertAlign w:val="superscript"/>
        </w:rPr>
        <w:footnoteRef/>
      </w:r>
      <w:r w:rsidRPr="009A2F2B">
        <w:rPr>
          <w:rFonts w:eastAsia="Aptos"/>
          <w:sz w:val="20"/>
          <w:szCs w:val="20"/>
        </w:rPr>
        <w:t xml:space="preserve"> STORCH, František. </w:t>
      </w:r>
      <w:r w:rsidRPr="003629BC">
        <w:rPr>
          <w:rFonts w:eastAsia="Aptos"/>
          <w:i/>
          <w:sz w:val="20"/>
          <w:szCs w:val="20"/>
        </w:rPr>
        <w:t>O nárocích soukromoprávních v řízením trestní</w:t>
      </w:r>
      <w:r w:rsidRPr="003629BC">
        <w:rPr>
          <w:rFonts w:eastAsia="Aptos"/>
          <w:sz w:val="20"/>
          <w:szCs w:val="20"/>
        </w:rPr>
        <w:t>. Právník, 1880, roč. 19, s. 78</w:t>
      </w:r>
      <w:r w:rsidRPr="009A2F2B">
        <w:rPr>
          <w:rFonts w:eastAsia="Aptos"/>
          <w:sz w:val="20"/>
          <w:szCs w:val="20"/>
        </w:rPr>
        <w:t>. [online] Dostupné z: digitální databáze České digitální knihovny</w:t>
      </w:r>
      <w:r w:rsidRPr="009A2F2B">
        <w:rPr>
          <w:rFonts w:eastAsia="Aptos"/>
          <w:sz w:val="20"/>
          <w:szCs w:val="20"/>
        </w:rPr>
        <w:br/>
      </w:r>
      <w:hyperlink r:id="rId2">
        <w:r w:rsidRPr="009A2F2B">
          <w:rPr>
            <w:rFonts w:eastAsia="Aptos"/>
            <w:sz w:val="20"/>
            <w:szCs w:val="20"/>
            <w:u w:val="single"/>
          </w:rPr>
          <w:t>https://cdk.lib.cas.cz/view/uuid:a53a5663-4eb0-11e1-1872-001143e3f55c?page=uuid:a53a5664-4eb0-11e1-1872-001143e3f55c</w:t>
        </w:r>
      </w:hyperlink>
      <w:r w:rsidRPr="009A2F2B">
        <w:rPr>
          <w:rFonts w:eastAsia="Aptos"/>
          <w:sz w:val="20"/>
          <w:szCs w:val="20"/>
        </w:rPr>
        <w:t xml:space="preserve">  [Citováno 17. května 2024].</w:t>
      </w:r>
    </w:p>
  </w:footnote>
  <w:footnote w:id="43">
    <w:p w:rsidR="00AF5227" w:rsidRPr="009A2F2B" w:rsidRDefault="00AF5227" w:rsidP="006A3693">
      <w:pPr>
        <w:spacing w:line="240" w:lineRule="auto"/>
        <w:ind w:right="567"/>
        <w:rPr>
          <w:rFonts w:eastAsia="Aptos"/>
          <w:sz w:val="20"/>
          <w:szCs w:val="20"/>
        </w:rPr>
      </w:pPr>
      <w:r w:rsidRPr="009A2F2B">
        <w:rPr>
          <w:sz w:val="20"/>
          <w:szCs w:val="20"/>
          <w:vertAlign w:val="superscript"/>
        </w:rPr>
        <w:footnoteRef/>
      </w:r>
      <w:r w:rsidRPr="009A2F2B">
        <w:rPr>
          <w:rFonts w:eastAsia="Aptos"/>
          <w:sz w:val="20"/>
          <w:szCs w:val="20"/>
        </w:rPr>
        <w:t xml:space="preserve"> Tamtéž.</w:t>
      </w:r>
    </w:p>
  </w:footnote>
  <w:footnote w:id="44">
    <w:p w:rsidR="00AF5227" w:rsidRPr="009A2F2B" w:rsidRDefault="00AF5227" w:rsidP="006A3693">
      <w:pPr>
        <w:spacing w:line="240" w:lineRule="auto"/>
        <w:ind w:right="567"/>
        <w:rPr>
          <w:rFonts w:eastAsia="Aptos"/>
          <w:sz w:val="20"/>
          <w:szCs w:val="20"/>
        </w:rPr>
      </w:pPr>
      <w:r w:rsidRPr="009A2F2B">
        <w:rPr>
          <w:sz w:val="20"/>
          <w:szCs w:val="20"/>
          <w:vertAlign w:val="superscript"/>
        </w:rPr>
        <w:footnoteRef/>
      </w:r>
      <w:r w:rsidRPr="009A2F2B">
        <w:rPr>
          <w:rFonts w:eastAsia="Aptos"/>
          <w:sz w:val="20"/>
          <w:szCs w:val="20"/>
        </w:rPr>
        <w:t xml:space="preserve"> Tamtéž.</w:t>
      </w:r>
    </w:p>
  </w:footnote>
  <w:footnote w:id="45">
    <w:p w:rsidR="00AF5227" w:rsidRPr="009A2F2B" w:rsidRDefault="00AF5227" w:rsidP="006A3693">
      <w:pPr>
        <w:spacing w:line="240" w:lineRule="auto"/>
        <w:ind w:right="567"/>
        <w:rPr>
          <w:rFonts w:eastAsia="Aptos"/>
          <w:sz w:val="20"/>
          <w:szCs w:val="20"/>
        </w:rPr>
      </w:pPr>
      <w:r w:rsidRPr="009A2F2B">
        <w:rPr>
          <w:sz w:val="20"/>
          <w:szCs w:val="20"/>
          <w:vertAlign w:val="superscript"/>
        </w:rPr>
        <w:footnoteRef/>
      </w:r>
      <w:r w:rsidRPr="009A2F2B">
        <w:rPr>
          <w:rFonts w:eastAsia="Aptos"/>
          <w:sz w:val="20"/>
          <w:szCs w:val="20"/>
        </w:rPr>
        <w:t xml:space="preserve"> Tamtéž.</w:t>
      </w:r>
    </w:p>
  </w:footnote>
  <w:footnote w:id="46">
    <w:p w:rsidR="00AF5227" w:rsidRDefault="00AF5227" w:rsidP="006A3693">
      <w:pPr>
        <w:spacing w:line="240" w:lineRule="auto"/>
        <w:ind w:right="567"/>
        <w:rPr>
          <w:sz w:val="20"/>
          <w:szCs w:val="20"/>
        </w:rPr>
      </w:pPr>
      <w:r w:rsidRPr="009A2F2B">
        <w:rPr>
          <w:sz w:val="20"/>
          <w:szCs w:val="20"/>
          <w:vertAlign w:val="superscript"/>
        </w:rPr>
        <w:footnoteRef/>
      </w:r>
      <w:r w:rsidRPr="009A2F2B">
        <w:rPr>
          <w:sz w:val="20"/>
          <w:szCs w:val="20"/>
        </w:rPr>
        <w:t xml:space="preserve"> A to konkrétně tam, kde to není výslovně uvedeno či se nejedná o řízení, které lze zahájit jen na žádost poškozeného.viz  POŠVÁŘ, Jaroslav. Náhrada škody v trestním správním řízení. </w:t>
      </w:r>
      <w:r w:rsidRPr="009A2F2B">
        <w:rPr>
          <w:i/>
          <w:sz w:val="20"/>
          <w:szCs w:val="20"/>
        </w:rPr>
        <w:t xml:space="preserve">Všehrd.  </w:t>
      </w:r>
      <w:r w:rsidRPr="009A2F2B">
        <w:rPr>
          <w:sz w:val="20"/>
          <w:szCs w:val="20"/>
        </w:rPr>
        <w:t xml:space="preserve">[online]. Roč. 66, č. 8. s. 68, dostupné z: </w:t>
      </w:r>
      <w:hyperlink r:id="rId3">
        <w:r w:rsidRPr="009A2F2B">
          <w:rPr>
            <w:rFonts w:eastAsia="Roboto"/>
            <w:sz w:val="20"/>
            <w:szCs w:val="20"/>
            <w:u w:val="single"/>
          </w:rPr>
          <w:t>https://kramerius.lib.cas.cz/view/uuid:cae436b3-4eb0-11e1-3052-001143e3f55c?page=uuid:cae4396f-4eb0-11e1-3052-001143e3f55c</w:t>
        </w:r>
      </w:hyperlink>
      <w:r w:rsidRPr="009A2F2B">
        <w:rPr>
          <w:rFonts w:eastAsia="Roboto"/>
          <w:sz w:val="20"/>
          <w:szCs w:val="20"/>
        </w:rPr>
        <w:t xml:space="preserve"> </w:t>
      </w:r>
      <w:r w:rsidRPr="009A2F2B">
        <w:rPr>
          <w:i/>
          <w:sz w:val="20"/>
          <w:szCs w:val="20"/>
        </w:rPr>
        <w:t xml:space="preserve"> </w:t>
      </w:r>
      <w:r w:rsidRPr="009A2F2B">
        <w:rPr>
          <w:sz w:val="20"/>
          <w:szCs w:val="20"/>
        </w:rPr>
        <w:t>[citováno 12. 1. 2025]</w:t>
      </w:r>
    </w:p>
  </w:footnote>
  <w:footnote w:id="47">
    <w:p w:rsidR="00AF5227" w:rsidRPr="009A2F2B" w:rsidRDefault="00AF5227" w:rsidP="006A3693">
      <w:pPr>
        <w:spacing w:line="240" w:lineRule="auto"/>
        <w:ind w:right="567"/>
        <w:rPr>
          <w:sz w:val="20"/>
          <w:szCs w:val="20"/>
        </w:rPr>
      </w:pPr>
      <w:r w:rsidRPr="009A2F2B">
        <w:rPr>
          <w:sz w:val="20"/>
          <w:szCs w:val="20"/>
          <w:vertAlign w:val="superscript"/>
        </w:rPr>
        <w:footnoteRef/>
      </w:r>
      <w:r w:rsidRPr="009A2F2B">
        <w:rPr>
          <w:sz w:val="20"/>
          <w:szCs w:val="20"/>
        </w:rPr>
        <w:t xml:space="preserve"> Rozsudek Nejvyššího správního soudu ze dne 31. 10. 2007, sp. Zn. 2 As 46/2006 - 100 (</w:t>
      </w:r>
      <w:r w:rsidRPr="009A2F2B">
        <w:rPr>
          <w:color w:val="030303"/>
          <w:sz w:val="20"/>
          <w:szCs w:val="20"/>
          <w:highlight w:val="white"/>
        </w:rPr>
        <w:t>2276/2011 Sb. NSS)</w:t>
      </w:r>
      <w:r w:rsidRPr="009A2F2B">
        <w:rPr>
          <w:sz w:val="20"/>
          <w:szCs w:val="20"/>
        </w:rPr>
        <w:t>.</w:t>
      </w:r>
    </w:p>
  </w:footnote>
  <w:footnote w:id="48">
    <w:p w:rsidR="00AF5227" w:rsidRPr="009A2F2B" w:rsidRDefault="00AF5227" w:rsidP="006A3693">
      <w:pPr>
        <w:spacing w:line="240" w:lineRule="auto"/>
        <w:ind w:right="567"/>
        <w:rPr>
          <w:sz w:val="20"/>
          <w:szCs w:val="20"/>
        </w:rPr>
      </w:pPr>
      <w:r w:rsidRPr="009A2F2B">
        <w:rPr>
          <w:sz w:val="20"/>
          <w:szCs w:val="20"/>
          <w:vertAlign w:val="superscript"/>
        </w:rPr>
        <w:footnoteRef/>
      </w:r>
      <w:r w:rsidRPr="009A2F2B">
        <w:rPr>
          <w:sz w:val="20"/>
          <w:szCs w:val="20"/>
        </w:rPr>
        <w:t xml:space="preserve"> Rozsudek Nejvyššího správního soudu ze dne 11. 12. 2020, sp. zn. 5 As 27/2020 - 2. (</w:t>
      </w:r>
      <w:r w:rsidRPr="009A2F2B">
        <w:rPr>
          <w:color w:val="030303"/>
          <w:sz w:val="20"/>
          <w:szCs w:val="20"/>
        </w:rPr>
        <w:t>4133/2021 Sb. NSS</w:t>
      </w:r>
      <w:r w:rsidRPr="009A2F2B">
        <w:rPr>
          <w:sz w:val="20"/>
          <w:szCs w:val="20"/>
        </w:rPr>
        <w:t>)</w:t>
      </w:r>
    </w:p>
  </w:footnote>
  <w:footnote w:id="49">
    <w:p w:rsidR="00AF5227" w:rsidRPr="009A2F2B" w:rsidRDefault="00AF5227" w:rsidP="006A3693">
      <w:pPr>
        <w:spacing w:line="240" w:lineRule="auto"/>
        <w:ind w:right="567"/>
        <w:rPr>
          <w:sz w:val="20"/>
          <w:szCs w:val="20"/>
        </w:rPr>
      </w:pPr>
      <w:r w:rsidRPr="009A2F2B">
        <w:rPr>
          <w:sz w:val="20"/>
          <w:szCs w:val="20"/>
          <w:vertAlign w:val="superscript"/>
        </w:rPr>
        <w:footnoteRef/>
      </w:r>
      <w:r w:rsidRPr="009A2F2B">
        <w:rPr>
          <w:sz w:val="20"/>
          <w:szCs w:val="20"/>
        </w:rPr>
        <w:t xml:space="preserve"> Tamtéž.</w:t>
      </w:r>
    </w:p>
  </w:footnote>
  <w:footnote w:id="50">
    <w:p w:rsidR="00AF5227" w:rsidRPr="009A2F2B" w:rsidRDefault="00AF5227" w:rsidP="006A3693">
      <w:pPr>
        <w:spacing w:line="240" w:lineRule="auto"/>
        <w:ind w:right="567"/>
        <w:rPr>
          <w:sz w:val="20"/>
          <w:szCs w:val="20"/>
        </w:rPr>
      </w:pPr>
      <w:r w:rsidRPr="009A2F2B">
        <w:rPr>
          <w:sz w:val="20"/>
          <w:szCs w:val="20"/>
          <w:vertAlign w:val="superscript"/>
        </w:rPr>
        <w:footnoteRef/>
      </w:r>
      <w:r w:rsidRPr="009A2F2B">
        <w:rPr>
          <w:sz w:val="20"/>
          <w:szCs w:val="20"/>
        </w:rPr>
        <w:t xml:space="preserve"> PRÁŠKOVÁ, Helena. </w:t>
      </w:r>
      <w:r w:rsidRPr="009A2F2B">
        <w:rPr>
          <w:rFonts w:eastAsia="Aptos"/>
          <w:i/>
          <w:sz w:val="20"/>
          <w:szCs w:val="20"/>
        </w:rPr>
        <w:t>Přestupkové právo</w:t>
      </w:r>
      <w:r w:rsidRPr="009A2F2B">
        <w:rPr>
          <w:rFonts w:eastAsia="Aptos"/>
          <w:sz w:val="20"/>
          <w:szCs w:val="20"/>
        </w:rPr>
        <w:t>, 2. vydání. Praha: Leges, 2022, s. 488</w:t>
      </w:r>
    </w:p>
  </w:footnote>
  <w:footnote w:id="51">
    <w:p w:rsidR="00AF5227" w:rsidRDefault="00AF5227" w:rsidP="006A3693">
      <w:pPr>
        <w:spacing w:line="240" w:lineRule="auto"/>
        <w:ind w:right="567"/>
        <w:rPr>
          <w:sz w:val="20"/>
          <w:szCs w:val="20"/>
        </w:rPr>
      </w:pPr>
      <w:r w:rsidRPr="009A2F2B">
        <w:rPr>
          <w:sz w:val="20"/>
          <w:szCs w:val="20"/>
          <w:vertAlign w:val="superscript"/>
        </w:rPr>
        <w:footnoteRef/>
      </w:r>
      <w:r w:rsidRPr="009A2F2B">
        <w:rPr>
          <w:sz w:val="20"/>
          <w:szCs w:val="20"/>
        </w:rPr>
        <w:t xml:space="preserve"> Nález Ústa</w:t>
      </w:r>
      <w:r w:rsidR="008C0081">
        <w:rPr>
          <w:sz w:val="20"/>
          <w:szCs w:val="20"/>
        </w:rPr>
        <w:t xml:space="preserve">vního soudu ze dne 24. 7. 2024 </w:t>
      </w:r>
      <w:r w:rsidRPr="009A2F2B">
        <w:rPr>
          <w:sz w:val="20"/>
          <w:szCs w:val="20"/>
        </w:rPr>
        <w:t xml:space="preserve"> sp. Zn. IV. ÚS 855/24, zejména body 12. a 13. a judikatura tam citovaná.</w:t>
      </w:r>
      <w:r>
        <w:rPr>
          <w:sz w:val="20"/>
          <w:szCs w:val="20"/>
        </w:rPr>
        <w:t xml:space="preserve"> </w:t>
      </w:r>
    </w:p>
  </w:footnote>
  <w:footnote w:id="52">
    <w:p w:rsidR="00AF5227" w:rsidRPr="009A2F2B" w:rsidRDefault="00AF5227" w:rsidP="006A3693">
      <w:pPr>
        <w:spacing w:line="240" w:lineRule="auto"/>
        <w:ind w:right="567"/>
        <w:rPr>
          <w:sz w:val="20"/>
          <w:szCs w:val="20"/>
        </w:rPr>
      </w:pPr>
      <w:r w:rsidRPr="009A2F2B">
        <w:rPr>
          <w:sz w:val="20"/>
          <w:szCs w:val="20"/>
          <w:vertAlign w:val="superscript"/>
        </w:rPr>
        <w:footnoteRef/>
      </w:r>
      <w:r w:rsidRPr="009A2F2B">
        <w:rPr>
          <w:sz w:val="20"/>
          <w:szCs w:val="20"/>
        </w:rPr>
        <w:t xml:space="preserve"> </w:t>
      </w:r>
      <w:r w:rsidRPr="009A2F2B">
        <w:rPr>
          <w:rFonts w:eastAsia="Aptos"/>
          <w:sz w:val="20"/>
          <w:szCs w:val="20"/>
        </w:rPr>
        <w:t xml:space="preserve">STORCH, František. </w:t>
      </w:r>
      <w:r w:rsidRPr="009A2F2B">
        <w:rPr>
          <w:rFonts w:eastAsia="Aptos"/>
          <w:i/>
          <w:sz w:val="20"/>
          <w:szCs w:val="20"/>
        </w:rPr>
        <w:t>Řízení trestní rakouské</w:t>
      </w:r>
      <w:r w:rsidRPr="009A2F2B">
        <w:rPr>
          <w:rFonts w:eastAsia="Aptos"/>
          <w:sz w:val="20"/>
          <w:szCs w:val="20"/>
        </w:rPr>
        <w:t xml:space="preserve">. </w:t>
      </w:r>
      <w:r w:rsidRPr="009A2F2B">
        <w:rPr>
          <w:rFonts w:eastAsia="Aptos"/>
          <w:i/>
          <w:sz w:val="20"/>
          <w:szCs w:val="20"/>
        </w:rPr>
        <w:t>I a II. díl</w:t>
      </w:r>
      <w:r w:rsidRPr="009A2F2B">
        <w:rPr>
          <w:rFonts w:eastAsia="Aptos"/>
          <w:sz w:val="20"/>
          <w:szCs w:val="20"/>
        </w:rPr>
        <w:t>. Praha: Wolters Kluwer, 2011, s. 5</w:t>
      </w:r>
      <w:r w:rsidR="007279DA">
        <w:rPr>
          <w:rFonts w:eastAsia="Aptos"/>
          <w:sz w:val="20"/>
          <w:szCs w:val="20"/>
        </w:rPr>
        <w:t>.</w:t>
      </w:r>
    </w:p>
  </w:footnote>
  <w:footnote w:id="53">
    <w:p w:rsidR="00AF5227" w:rsidRPr="009A2F2B" w:rsidRDefault="00AF5227" w:rsidP="006A3693">
      <w:pPr>
        <w:spacing w:line="240" w:lineRule="auto"/>
        <w:ind w:right="567"/>
        <w:rPr>
          <w:sz w:val="20"/>
          <w:szCs w:val="20"/>
        </w:rPr>
      </w:pPr>
      <w:r w:rsidRPr="009A2F2B">
        <w:rPr>
          <w:sz w:val="20"/>
          <w:szCs w:val="20"/>
          <w:vertAlign w:val="superscript"/>
        </w:rPr>
        <w:footnoteRef/>
      </w:r>
      <w:r w:rsidRPr="009A2F2B">
        <w:rPr>
          <w:sz w:val="20"/>
          <w:szCs w:val="20"/>
        </w:rPr>
        <w:t xml:space="preserve"> PETROV KŘIVÁČKOVÁ, Jana. In: ŠÍNOVÁ, Renáta a kol. </w:t>
      </w:r>
      <w:r w:rsidRPr="009A2F2B">
        <w:rPr>
          <w:i/>
          <w:sz w:val="20"/>
          <w:szCs w:val="20"/>
        </w:rPr>
        <w:t>Civilní proces. Obecná část a sporné řízení.</w:t>
      </w:r>
      <w:r w:rsidRPr="009A2F2B">
        <w:rPr>
          <w:sz w:val="20"/>
          <w:szCs w:val="20"/>
        </w:rPr>
        <w:t xml:space="preserve"> 2. vydání, Praha: C.H. Beck, 2020, s. 31-33.</w:t>
      </w:r>
    </w:p>
  </w:footnote>
  <w:footnote w:id="54">
    <w:p w:rsidR="00AF5227" w:rsidRPr="009A2F2B" w:rsidRDefault="00AF5227" w:rsidP="006A3693">
      <w:pPr>
        <w:spacing w:line="240" w:lineRule="auto"/>
        <w:ind w:right="567"/>
        <w:rPr>
          <w:sz w:val="20"/>
          <w:szCs w:val="20"/>
        </w:rPr>
      </w:pPr>
      <w:r w:rsidRPr="009A2F2B">
        <w:rPr>
          <w:sz w:val="20"/>
          <w:szCs w:val="20"/>
          <w:vertAlign w:val="superscript"/>
        </w:rPr>
        <w:footnoteRef/>
      </w:r>
      <w:r w:rsidRPr="009A2F2B">
        <w:rPr>
          <w:sz w:val="20"/>
          <w:szCs w:val="20"/>
        </w:rPr>
        <w:t xml:space="preserve"> Tamtéž.</w:t>
      </w:r>
    </w:p>
  </w:footnote>
  <w:footnote w:id="55">
    <w:p w:rsidR="00AF5227" w:rsidRPr="009A2F2B" w:rsidRDefault="00AF5227" w:rsidP="006A3693">
      <w:pPr>
        <w:spacing w:line="240" w:lineRule="auto"/>
        <w:ind w:right="567"/>
        <w:rPr>
          <w:sz w:val="20"/>
          <w:szCs w:val="20"/>
        </w:rPr>
      </w:pPr>
      <w:r w:rsidRPr="009A2F2B">
        <w:rPr>
          <w:sz w:val="20"/>
          <w:szCs w:val="20"/>
          <w:vertAlign w:val="superscript"/>
        </w:rPr>
        <w:footnoteRef/>
      </w:r>
      <w:r w:rsidRPr="009A2F2B">
        <w:rPr>
          <w:sz w:val="20"/>
          <w:szCs w:val="20"/>
        </w:rPr>
        <w:t xml:space="preserve"> FIALA, Zdeněk. In: FRUMAROVÁ, Kateřina a kol. </w:t>
      </w:r>
      <w:r w:rsidRPr="009A2F2B">
        <w:rPr>
          <w:i/>
          <w:sz w:val="20"/>
          <w:szCs w:val="20"/>
        </w:rPr>
        <w:t>Správní právo procesní.</w:t>
      </w:r>
      <w:r w:rsidRPr="009A2F2B">
        <w:rPr>
          <w:sz w:val="20"/>
          <w:szCs w:val="20"/>
        </w:rPr>
        <w:t xml:space="preserve"> Praha: C.H. Beck. 2021, s. 43, </w:t>
      </w:r>
    </w:p>
  </w:footnote>
  <w:footnote w:id="56">
    <w:p w:rsidR="00AF5227" w:rsidRPr="009A2F2B" w:rsidRDefault="00AF5227" w:rsidP="006A3693">
      <w:pPr>
        <w:spacing w:line="240" w:lineRule="auto"/>
        <w:ind w:right="567"/>
        <w:rPr>
          <w:sz w:val="20"/>
          <w:szCs w:val="20"/>
        </w:rPr>
      </w:pPr>
      <w:r w:rsidRPr="009A2F2B">
        <w:rPr>
          <w:sz w:val="20"/>
          <w:szCs w:val="20"/>
          <w:vertAlign w:val="superscript"/>
        </w:rPr>
        <w:footnoteRef/>
      </w:r>
      <w:r w:rsidRPr="009A2F2B">
        <w:rPr>
          <w:sz w:val="20"/>
          <w:szCs w:val="20"/>
        </w:rPr>
        <w:t xml:space="preserve"> J</w:t>
      </w:r>
      <w:r w:rsidRPr="009A2F2B">
        <w:rPr>
          <w:rFonts w:eastAsia="Aptos"/>
          <w:sz w:val="20"/>
          <w:szCs w:val="20"/>
        </w:rPr>
        <w:t>EMELKA, Luboš. In: JEMELKA, Luboš, VETEŠNÍK, Pavel.</w:t>
      </w:r>
      <w:r w:rsidRPr="009A2F2B">
        <w:rPr>
          <w:rFonts w:eastAsia="Aptos"/>
          <w:i/>
          <w:sz w:val="20"/>
          <w:szCs w:val="20"/>
        </w:rPr>
        <w:t xml:space="preserve"> Zákon o odpovědnosti za přestupky a řízení o nich. Zákon o některých přestupcích. Komentář</w:t>
      </w:r>
      <w:r w:rsidRPr="009A2F2B">
        <w:rPr>
          <w:rFonts w:eastAsia="Aptos"/>
          <w:sz w:val="20"/>
          <w:szCs w:val="20"/>
        </w:rPr>
        <w:t>. 2. vydání. Praha: C.H. Beck, 2020, s. 608.</w:t>
      </w:r>
    </w:p>
  </w:footnote>
  <w:footnote w:id="57">
    <w:p w:rsidR="00AF5227" w:rsidRPr="009A2F2B" w:rsidRDefault="00AF5227" w:rsidP="00F024FF">
      <w:pPr>
        <w:spacing w:line="240" w:lineRule="auto"/>
        <w:ind w:right="567"/>
        <w:rPr>
          <w:sz w:val="20"/>
          <w:szCs w:val="20"/>
        </w:rPr>
      </w:pPr>
      <w:r w:rsidRPr="009A2F2B">
        <w:rPr>
          <w:sz w:val="20"/>
          <w:szCs w:val="20"/>
          <w:vertAlign w:val="superscript"/>
        </w:rPr>
        <w:footnoteRef/>
      </w:r>
      <w:r w:rsidRPr="009A2F2B">
        <w:rPr>
          <w:sz w:val="20"/>
          <w:szCs w:val="20"/>
        </w:rPr>
        <w:t xml:space="preserve"> PETROV KŘIVÁČKOVÁ, Jana. In: ŠÍNOVÁ, Renáta a kol. </w:t>
      </w:r>
      <w:r w:rsidRPr="009A2F2B">
        <w:rPr>
          <w:i/>
          <w:sz w:val="20"/>
          <w:szCs w:val="20"/>
        </w:rPr>
        <w:t>Civilní proces. Obecná část a sporné řízení.</w:t>
      </w:r>
      <w:r w:rsidRPr="009A2F2B">
        <w:rPr>
          <w:sz w:val="20"/>
          <w:szCs w:val="20"/>
        </w:rPr>
        <w:t xml:space="preserve"> 2. Vydání, Praha: C.H. Beck, 2020, s. 31.</w:t>
      </w:r>
    </w:p>
  </w:footnote>
  <w:footnote w:id="58">
    <w:p w:rsidR="00AF5227" w:rsidRPr="009A2F2B" w:rsidRDefault="00AF5227" w:rsidP="00F024FF">
      <w:pPr>
        <w:spacing w:line="240" w:lineRule="auto"/>
        <w:ind w:right="567"/>
        <w:rPr>
          <w:sz w:val="20"/>
          <w:szCs w:val="20"/>
        </w:rPr>
      </w:pPr>
      <w:r w:rsidRPr="009A2F2B">
        <w:rPr>
          <w:sz w:val="20"/>
          <w:szCs w:val="20"/>
          <w:vertAlign w:val="superscript"/>
        </w:rPr>
        <w:footnoteRef/>
      </w:r>
      <w:r w:rsidRPr="009A2F2B">
        <w:rPr>
          <w:sz w:val="20"/>
          <w:szCs w:val="20"/>
        </w:rPr>
        <w:t xml:space="preserve"> KMEC, Jiří. In: DRAŠTÍK, Antonín a kol. </w:t>
      </w:r>
      <w:r w:rsidRPr="009A2F2B">
        <w:rPr>
          <w:i/>
          <w:sz w:val="20"/>
          <w:szCs w:val="20"/>
        </w:rPr>
        <w:t>Trestní řád. Komentář. I. díl. § 1 až 179h.</w:t>
      </w:r>
      <w:r w:rsidRPr="009A2F2B">
        <w:rPr>
          <w:sz w:val="20"/>
          <w:szCs w:val="20"/>
        </w:rPr>
        <w:t xml:space="preserve"> Praha: Wolters Kluwer, 2017, s. 11. </w:t>
      </w:r>
    </w:p>
  </w:footnote>
  <w:footnote w:id="59">
    <w:p w:rsidR="00AF5227" w:rsidRPr="009A2F2B" w:rsidRDefault="00AF5227" w:rsidP="00F024FF">
      <w:pPr>
        <w:spacing w:line="240" w:lineRule="auto"/>
        <w:ind w:right="567"/>
        <w:rPr>
          <w:sz w:val="20"/>
          <w:szCs w:val="20"/>
        </w:rPr>
      </w:pPr>
      <w:r w:rsidRPr="009A2F2B">
        <w:rPr>
          <w:sz w:val="20"/>
          <w:szCs w:val="20"/>
          <w:vertAlign w:val="superscript"/>
        </w:rPr>
        <w:footnoteRef/>
      </w:r>
      <w:r w:rsidRPr="009A2F2B">
        <w:rPr>
          <w:sz w:val="20"/>
          <w:szCs w:val="20"/>
        </w:rPr>
        <w:t xml:space="preserve"> J</w:t>
      </w:r>
      <w:r w:rsidRPr="009A2F2B">
        <w:rPr>
          <w:rFonts w:eastAsia="Aptos"/>
          <w:sz w:val="20"/>
          <w:szCs w:val="20"/>
        </w:rPr>
        <w:t xml:space="preserve">EMELKA, Luboš. In: </w:t>
      </w:r>
      <w:r w:rsidRPr="009A2F2B">
        <w:rPr>
          <w:sz w:val="20"/>
          <w:szCs w:val="20"/>
        </w:rPr>
        <w:t>J</w:t>
      </w:r>
      <w:r w:rsidRPr="009A2F2B">
        <w:rPr>
          <w:rFonts w:eastAsia="Aptos"/>
          <w:sz w:val="20"/>
          <w:szCs w:val="20"/>
        </w:rPr>
        <w:t xml:space="preserve">EMELKA, Luboš. VETEŠNÍK, Pavel. </w:t>
      </w:r>
      <w:r w:rsidRPr="009A2F2B">
        <w:rPr>
          <w:rFonts w:eastAsia="Aptos"/>
          <w:i/>
          <w:sz w:val="20"/>
          <w:szCs w:val="20"/>
        </w:rPr>
        <w:t>Zákon o odpovědnosti za přestupky a řízení o nich</w:t>
      </w:r>
      <w:r w:rsidRPr="009A2F2B">
        <w:rPr>
          <w:rFonts w:eastAsia="Aptos"/>
          <w:sz w:val="20"/>
          <w:szCs w:val="20"/>
        </w:rPr>
        <w:t xml:space="preserve">. </w:t>
      </w:r>
      <w:r w:rsidRPr="009A2F2B">
        <w:rPr>
          <w:rFonts w:eastAsia="Aptos"/>
          <w:i/>
          <w:sz w:val="20"/>
          <w:szCs w:val="20"/>
        </w:rPr>
        <w:t>Zákon o některých přestupcích. Komentář</w:t>
      </w:r>
      <w:r w:rsidRPr="009A2F2B">
        <w:rPr>
          <w:rFonts w:eastAsia="Aptos"/>
          <w:sz w:val="20"/>
          <w:szCs w:val="20"/>
        </w:rPr>
        <w:t>. 2. vydání. Praha: C.H. Beck, 2020, s. 606.</w:t>
      </w:r>
    </w:p>
  </w:footnote>
  <w:footnote w:id="60">
    <w:p w:rsidR="00AF5227" w:rsidRPr="009A2F2B" w:rsidRDefault="00AF5227" w:rsidP="00F024FF">
      <w:pPr>
        <w:spacing w:after="20" w:line="240" w:lineRule="auto"/>
        <w:ind w:right="567"/>
        <w:rPr>
          <w:sz w:val="20"/>
          <w:szCs w:val="20"/>
        </w:rPr>
      </w:pPr>
      <w:r w:rsidRPr="009A2F2B">
        <w:rPr>
          <w:sz w:val="20"/>
          <w:szCs w:val="20"/>
          <w:vertAlign w:val="superscript"/>
        </w:rPr>
        <w:footnoteRef/>
      </w:r>
      <w:r w:rsidRPr="009A2F2B">
        <w:rPr>
          <w:sz w:val="20"/>
          <w:szCs w:val="20"/>
        </w:rPr>
        <w:t xml:space="preserve"> </w:t>
      </w:r>
      <w:r w:rsidRPr="009A2F2B">
        <w:rPr>
          <w:rFonts w:eastAsia="Aptos"/>
          <w:sz w:val="20"/>
          <w:szCs w:val="20"/>
        </w:rPr>
        <w:t>Ustanovení §78 odst. 1 zákona č. 500/2004 Sb., správní řád, ve znění pozdějších předpisů</w:t>
      </w:r>
      <w:r>
        <w:rPr>
          <w:rFonts w:eastAsia="Aptos"/>
          <w:sz w:val="20"/>
          <w:szCs w:val="20"/>
        </w:rPr>
        <w:t>.</w:t>
      </w:r>
    </w:p>
  </w:footnote>
  <w:footnote w:id="61">
    <w:p w:rsidR="00AF5227" w:rsidRPr="009A2F2B" w:rsidRDefault="00AF5227" w:rsidP="00F024FF">
      <w:pPr>
        <w:spacing w:after="20" w:line="240" w:lineRule="auto"/>
        <w:ind w:right="567"/>
        <w:rPr>
          <w:sz w:val="20"/>
          <w:szCs w:val="20"/>
        </w:rPr>
      </w:pPr>
      <w:r w:rsidRPr="009A2F2B">
        <w:rPr>
          <w:sz w:val="20"/>
          <w:szCs w:val="20"/>
          <w:vertAlign w:val="superscript"/>
        </w:rPr>
        <w:footnoteRef/>
      </w:r>
      <w:r w:rsidRPr="009A2F2B">
        <w:rPr>
          <w:sz w:val="20"/>
          <w:szCs w:val="20"/>
        </w:rPr>
        <w:t xml:space="preserve"> Tamtéž</w:t>
      </w:r>
      <w:r>
        <w:rPr>
          <w:sz w:val="20"/>
          <w:szCs w:val="20"/>
        </w:rPr>
        <w:t>.</w:t>
      </w:r>
    </w:p>
  </w:footnote>
  <w:footnote w:id="62">
    <w:p w:rsidR="00AF5227" w:rsidRPr="00D6014A" w:rsidRDefault="00AF5227" w:rsidP="00F024FF">
      <w:pPr>
        <w:spacing w:after="20" w:line="240" w:lineRule="auto"/>
        <w:ind w:right="567"/>
        <w:rPr>
          <w:sz w:val="20"/>
          <w:szCs w:val="20"/>
        </w:rPr>
      </w:pPr>
      <w:r w:rsidRPr="009A2F2B">
        <w:rPr>
          <w:sz w:val="20"/>
          <w:szCs w:val="20"/>
          <w:vertAlign w:val="superscript"/>
        </w:rPr>
        <w:footnoteRef/>
      </w:r>
      <w:r w:rsidRPr="009A2F2B">
        <w:rPr>
          <w:sz w:val="20"/>
          <w:szCs w:val="20"/>
        </w:rPr>
        <w:t xml:space="preserve"> Ustanovení § 2 odst. 4 zákona č. 141/1961 Sb., o trestním řízení soudním, ve znění pozdějších předpisů</w:t>
      </w:r>
      <w:r w:rsidRPr="00D6014A">
        <w:rPr>
          <w:sz w:val="20"/>
          <w:szCs w:val="20"/>
        </w:rPr>
        <w:t>.</w:t>
      </w:r>
    </w:p>
  </w:footnote>
  <w:footnote w:id="63">
    <w:p w:rsidR="00AF5227" w:rsidRPr="00D6014A" w:rsidRDefault="00AF5227" w:rsidP="00F024FF">
      <w:pPr>
        <w:spacing w:after="20" w:line="240" w:lineRule="auto"/>
        <w:ind w:right="567"/>
        <w:rPr>
          <w:sz w:val="20"/>
          <w:szCs w:val="20"/>
        </w:rPr>
      </w:pPr>
      <w:r w:rsidRPr="00D6014A">
        <w:rPr>
          <w:sz w:val="20"/>
          <w:szCs w:val="20"/>
          <w:vertAlign w:val="superscript"/>
        </w:rPr>
        <w:footnoteRef/>
      </w:r>
      <w:r w:rsidRPr="00D6014A">
        <w:rPr>
          <w:sz w:val="20"/>
          <w:szCs w:val="20"/>
        </w:rPr>
        <w:t xml:space="preserve"> KMEC, Jiří. In: DRAŠTÍK, Antonín a kol. </w:t>
      </w:r>
      <w:r w:rsidRPr="00D6014A">
        <w:rPr>
          <w:i/>
          <w:sz w:val="20"/>
          <w:szCs w:val="20"/>
        </w:rPr>
        <w:t>Trestní řád. Komentář. I. díl. § 1 až 179h.</w:t>
      </w:r>
      <w:r w:rsidRPr="00D6014A">
        <w:rPr>
          <w:sz w:val="20"/>
          <w:szCs w:val="20"/>
        </w:rPr>
        <w:t xml:space="preserve"> Praha: Wolters Kluwer, 2017, s. 11.</w:t>
      </w:r>
    </w:p>
  </w:footnote>
  <w:footnote w:id="64">
    <w:p w:rsidR="00AF5227" w:rsidRPr="00D6014A" w:rsidRDefault="00AF5227" w:rsidP="00F024FF">
      <w:pPr>
        <w:spacing w:after="20" w:line="240" w:lineRule="auto"/>
        <w:ind w:right="567"/>
        <w:rPr>
          <w:sz w:val="20"/>
          <w:szCs w:val="20"/>
        </w:rPr>
      </w:pPr>
      <w:r w:rsidRPr="00D6014A">
        <w:rPr>
          <w:sz w:val="20"/>
          <w:szCs w:val="20"/>
          <w:vertAlign w:val="superscript"/>
        </w:rPr>
        <w:footnoteRef/>
      </w:r>
      <w:r w:rsidRPr="00D6014A">
        <w:rPr>
          <w:sz w:val="20"/>
          <w:szCs w:val="20"/>
        </w:rPr>
        <w:t xml:space="preserve"> </w:t>
      </w:r>
      <w:r w:rsidRPr="00D6014A">
        <w:rPr>
          <w:rFonts w:eastAsia="Aptos"/>
          <w:sz w:val="20"/>
          <w:szCs w:val="20"/>
        </w:rPr>
        <w:t xml:space="preserve"> PRÁŠKOVÁ, Helena. </w:t>
      </w:r>
      <w:r w:rsidRPr="00D6014A">
        <w:rPr>
          <w:rFonts w:eastAsia="Aptos"/>
          <w:i/>
          <w:sz w:val="20"/>
          <w:szCs w:val="20"/>
        </w:rPr>
        <w:t xml:space="preserve">Přestupkové právo. </w:t>
      </w:r>
      <w:r w:rsidRPr="00D6014A">
        <w:rPr>
          <w:rFonts w:eastAsia="Aptos"/>
          <w:sz w:val="20"/>
          <w:szCs w:val="20"/>
        </w:rPr>
        <w:t>2. vydání</w:t>
      </w:r>
      <w:r w:rsidRPr="00D6014A">
        <w:rPr>
          <w:rFonts w:eastAsia="Aptos"/>
          <w:i/>
          <w:sz w:val="20"/>
          <w:szCs w:val="20"/>
        </w:rPr>
        <w:t xml:space="preserve">. </w:t>
      </w:r>
      <w:r w:rsidRPr="00D6014A">
        <w:rPr>
          <w:rFonts w:eastAsia="Aptos"/>
          <w:sz w:val="20"/>
          <w:szCs w:val="20"/>
        </w:rPr>
        <w:t>Praha: Leges, 2022, s. 70.</w:t>
      </w:r>
    </w:p>
  </w:footnote>
  <w:footnote w:id="65">
    <w:p w:rsidR="00AF5227" w:rsidRPr="00D6014A" w:rsidRDefault="00AF5227" w:rsidP="00F024FF">
      <w:pPr>
        <w:spacing w:after="20" w:line="240" w:lineRule="auto"/>
        <w:ind w:right="567"/>
        <w:rPr>
          <w:sz w:val="20"/>
          <w:szCs w:val="20"/>
        </w:rPr>
      </w:pPr>
      <w:r w:rsidRPr="00D6014A">
        <w:rPr>
          <w:sz w:val="20"/>
          <w:szCs w:val="20"/>
          <w:vertAlign w:val="superscript"/>
        </w:rPr>
        <w:footnoteRef/>
      </w:r>
      <w:r w:rsidRPr="00D6014A">
        <w:rPr>
          <w:sz w:val="20"/>
          <w:szCs w:val="20"/>
        </w:rPr>
        <w:t xml:space="preserve"> </w:t>
      </w:r>
      <w:r w:rsidRPr="00D6014A">
        <w:rPr>
          <w:rFonts w:eastAsia="Aptos"/>
          <w:sz w:val="20"/>
          <w:szCs w:val="20"/>
        </w:rPr>
        <w:t xml:space="preserve">SLUNSKÝ, Petr. </w:t>
      </w:r>
      <w:r w:rsidRPr="00D6014A">
        <w:rPr>
          <w:rFonts w:eastAsia="Aptos"/>
          <w:i/>
          <w:sz w:val="20"/>
          <w:szCs w:val="20"/>
        </w:rPr>
        <w:t>Vazba adhezního řízení na občanské právo a civilní proces</w:t>
      </w:r>
      <w:r w:rsidRPr="00D6014A">
        <w:rPr>
          <w:rFonts w:eastAsia="Aptos"/>
          <w:sz w:val="20"/>
          <w:szCs w:val="20"/>
        </w:rPr>
        <w:t>. Bulletin Advokacie. 2001, roč. 8, č. 3, s. 72.</w:t>
      </w:r>
    </w:p>
  </w:footnote>
  <w:footnote w:id="66">
    <w:p w:rsidR="00AF5227" w:rsidRPr="00D6014A" w:rsidRDefault="00AF5227" w:rsidP="00F024FF">
      <w:pPr>
        <w:spacing w:after="20" w:line="240" w:lineRule="auto"/>
        <w:ind w:right="567"/>
        <w:rPr>
          <w:sz w:val="20"/>
          <w:szCs w:val="20"/>
        </w:rPr>
      </w:pPr>
      <w:r w:rsidRPr="00D6014A">
        <w:rPr>
          <w:sz w:val="20"/>
          <w:szCs w:val="20"/>
          <w:vertAlign w:val="superscript"/>
        </w:rPr>
        <w:footnoteRef/>
      </w:r>
      <w:r w:rsidRPr="00D6014A">
        <w:rPr>
          <w:sz w:val="20"/>
          <w:szCs w:val="20"/>
        </w:rPr>
        <w:t xml:space="preserve"> JEL</w:t>
      </w:r>
      <w:r>
        <w:rPr>
          <w:sz w:val="20"/>
          <w:szCs w:val="20"/>
        </w:rPr>
        <w:t>Í</w:t>
      </w:r>
      <w:r w:rsidRPr="00D6014A">
        <w:rPr>
          <w:sz w:val="20"/>
          <w:szCs w:val="20"/>
        </w:rPr>
        <w:t xml:space="preserve">NEK, Jiří. In: JELÍNEK, Jiří a kol. </w:t>
      </w:r>
      <w:r w:rsidRPr="00D6014A">
        <w:rPr>
          <w:i/>
          <w:sz w:val="20"/>
          <w:szCs w:val="20"/>
        </w:rPr>
        <w:t>Trestní právo procesní.</w:t>
      </w:r>
      <w:r w:rsidRPr="00D6014A">
        <w:rPr>
          <w:sz w:val="20"/>
          <w:szCs w:val="20"/>
        </w:rPr>
        <w:t xml:space="preserve"> 7. Vydání. Praha: Leges. 2023. s. 143.</w:t>
      </w:r>
    </w:p>
  </w:footnote>
  <w:footnote w:id="67">
    <w:p w:rsidR="00AF5227" w:rsidRPr="00D6014A" w:rsidRDefault="00AF5227" w:rsidP="00B86473">
      <w:pPr>
        <w:spacing w:after="20" w:line="240" w:lineRule="auto"/>
        <w:ind w:right="567"/>
        <w:rPr>
          <w:sz w:val="20"/>
          <w:szCs w:val="20"/>
        </w:rPr>
      </w:pPr>
      <w:r w:rsidRPr="00D6014A">
        <w:rPr>
          <w:sz w:val="20"/>
          <w:szCs w:val="20"/>
          <w:vertAlign w:val="superscript"/>
        </w:rPr>
        <w:footnoteRef/>
      </w:r>
      <w:r w:rsidRPr="00D6014A">
        <w:rPr>
          <w:sz w:val="20"/>
          <w:szCs w:val="20"/>
        </w:rPr>
        <w:t xml:space="preserve"> J</w:t>
      </w:r>
      <w:r w:rsidRPr="00D6014A">
        <w:rPr>
          <w:rFonts w:eastAsia="Aptos"/>
          <w:sz w:val="20"/>
          <w:szCs w:val="20"/>
        </w:rPr>
        <w:t xml:space="preserve">EMELKA, Luboš. In: JEMELKA, Luboš VETEŠNÍK, Pavel. </w:t>
      </w:r>
      <w:r w:rsidRPr="00D6014A">
        <w:rPr>
          <w:rFonts w:eastAsia="Aptos"/>
          <w:i/>
          <w:sz w:val="20"/>
          <w:szCs w:val="20"/>
        </w:rPr>
        <w:t>Zákon o odpovědnosti za přestupky a řízení o nich</w:t>
      </w:r>
      <w:r w:rsidRPr="00D6014A">
        <w:rPr>
          <w:rFonts w:eastAsia="Aptos"/>
          <w:sz w:val="20"/>
          <w:szCs w:val="20"/>
        </w:rPr>
        <w:t xml:space="preserve">. </w:t>
      </w:r>
      <w:r w:rsidRPr="00D6014A">
        <w:rPr>
          <w:rFonts w:eastAsia="Aptos"/>
          <w:i/>
          <w:sz w:val="20"/>
          <w:szCs w:val="20"/>
        </w:rPr>
        <w:t>Zákon o některých přestupcích. Komentář</w:t>
      </w:r>
      <w:r w:rsidRPr="00D6014A">
        <w:rPr>
          <w:rFonts w:eastAsia="Aptos"/>
          <w:sz w:val="20"/>
          <w:szCs w:val="20"/>
        </w:rPr>
        <w:t>. 2. vydání. Praha: C.H. Beck, 2020, s.</w:t>
      </w:r>
      <w:r w:rsidRPr="00D6014A">
        <w:rPr>
          <w:sz w:val="20"/>
          <w:szCs w:val="20"/>
        </w:rPr>
        <w:t xml:space="preserve"> 606. </w:t>
      </w:r>
    </w:p>
  </w:footnote>
  <w:footnote w:id="68">
    <w:p w:rsidR="00AF5227" w:rsidRPr="00D6014A" w:rsidRDefault="00AF5227" w:rsidP="00B86473">
      <w:pPr>
        <w:spacing w:after="20" w:line="240" w:lineRule="auto"/>
        <w:ind w:right="567"/>
        <w:rPr>
          <w:sz w:val="20"/>
          <w:szCs w:val="20"/>
        </w:rPr>
      </w:pPr>
      <w:r w:rsidRPr="00D6014A">
        <w:rPr>
          <w:sz w:val="20"/>
          <w:szCs w:val="20"/>
          <w:vertAlign w:val="superscript"/>
        </w:rPr>
        <w:footnoteRef/>
      </w:r>
      <w:r w:rsidRPr="00D6014A">
        <w:rPr>
          <w:sz w:val="20"/>
          <w:szCs w:val="20"/>
        </w:rPr>
        <w:t xml:space="preserve"> JELÍNEK, Jiří. In: JELÍNEK, Jiří a kol. </w:t>
      </w:r>
      <w:r w:rsidRPr="00D6014A">
        <w:rPr>
          <w:i/>
          <w:sz w:val="20"/>
          <w:szCs w:val="20"/>
        </w:rPr>
        <w:t>Trestní právo procesní</w:t>
      </w:r>
      <w:r w:rsidRPr="00D6014A">
        <w:rPr>
          <w:sz w:val="20"/>
          <w:szCs w:val="20"/>
        </w:rPr>
        <w:t>. 7. Vydání. Praha: Leges, 2023, s. 144.</w:t>
      </w:r>
    </w:p>
  </w:footnote>
  <w:footnote w:id="69">
    <w:p w:rsidR="00AF5227" w:rsidRDefault="00AF5227" w:rsidP="00B86473">
      <w:pPr>
        <w:spacing w:line="240" w:lineRule="auto"/>
        <w:ind w:right="567"/>
        <w:rPr>
          <w:sz w:val="20"/>
          <w:szCs w:val="20"/>
        </w:rPr>
      </w:pPr>
      <w:r w:rsidRPr="00D6014A">
        <w:rPr>
          <w:sz w:val="20"/>
          <w:szCs w:val="20"/>
          <w:vertAlign w:val="superscript"/>
        </w:rPr>
        <w:footnoteRef/>
      </w:r>
      <w:r w:rsidRPr="00D6014A">
        <w:rPr>
          <w:sz w:val="20"/>
          <w:szCs w:val="20"/>
        </w:rPr>
        <w:t xml:space="preserve"> Tak například souhlas poškozeného s trestním stíháním označuje Jelínek za výjimku ze zásady legality. Srov. Tamtéž, s. 144-145. Naopak Kandová jej označuje za vyjímku ze zásady oficiality a nikoli legality. Detailně viz. KANDOVÁ, Katarina. </w:t>
      </w:r>
      <w:r w:rsidRPr="00D6014A">
        <w:rPr>
          <w:i/>
          <w:sz w:val="20"/>
          <w:szCs w:val="20"/>
        </w:rPr>
        <w:t xml:space="preserve">Trestně procesní zásady legality a oportunity ve světle trestních teorií. </w:t>
      </w:r>
      <w:r w:rsidRPr="00D6014A">
        <w:rPr>
          <w:sz w:val="20"/>
          <w:szCs w:val="20"/>
        </w:rPr>
        <w:t>Právník, 2018. roč. 157, č. 7, s. 582-596.</w:t>
      </w:r>
    </w:p>
  </w:footnote>
  <w:footnote w:id="70">
    <w:p w:rsidR="00AF5227" w:rsidRPr="00D6014A" w:rsidRDefault="00AF5227" w:rsidP="00B86473">
      <w:pPr>
        <w:spacing w:line="240" w:lineRule="auto"/>
        <w:ind w:right="567"/>
        <w:rPr>
          <w:sz w:val="20"/>
          <w:szCs w:val="20"/>
        </w:rPr>
      </w:pPr>
      <w:r w:rsidRPr="00D6014A">
        <w:rPr>
          <w:sz w:val="20"/>
          <w:szCs w:val="20"/>
          <w:vertAlign w:val="superscript"/>
        </w:rPr>
        <w:footnoteRef/>
      </w:r>
      <w:r w:rsidRPr="00D6014A">
        <w:rPr>
          <w:sz w:val="20"/>
          <w:szCs w:val="20"/>
        </w:rPr>
        <w:t xml:space="preserve"> JELÍNEK, Jiří. In: JELINEK, Jiří a kol. </w:t>
      </w:r>
      <w:r w:rsidRPr="00D6014A">
        <w:rPr>
          <w:i/>
          <w:sz w:val="20"/>
          <w:szCs w:val="20"/>
        </w:rPr>
        <w:t>Trestní právo procesní.</w:t>
      </w:r>
      <w:r w:rsidRPr="00D6014A">
        <w:rPr>
          <w:sz w:val="20"/>
          <w:szCs w:val="20"/>
        </w:rPr>
        <w:t xml:space="preserve"> 6. Vydání. Praha: Leges, 2021, s. 144.</w:t>
      </w:r>
    </w:p>
  </w:footnote>
  <w:footnote w:id="71">
    <w:p w:rsidR="00AF5227" w:rsidRPr="00D6014A" w:rsidRDefault="00AF5227" w:rsidP="00B86473">
      <w:pPr>
        <w:spacing w:line="240" w:lineRule="auto"/>
        <w:ind w:right="567"/>
        <w:rPr>
          <w:sz w:val="20"/>
          <w:szCs w:val="20"/>
        </w:rPr>
      </w:pPr>
      <w:r w:rsidRPr="00D6014A">
        <w:rPr>
          <w:sz w:val="20"/>
          <w:szCs w:val="20"/>
          <w:vertAlign w:val="superscript"/>
        </w:rPr>
        <w:footnoteRef/>
      </w:r>
      <w:r w:rsidRPr="00D6014A">
        <w:rPr>
          <w:sz w:val="20"/>
          <w:szCs w:val="20"/>
        </w:rPr>
        <w:t xml:space="preserve">  BOHADLO, David. In: BOHADLO, David a kol. </w:t>
      </w:r>
      <w:r w:rsidRPr="00D6014A">
        <w:rPr>
          <w:i/>
          <w:sz w:val="20"/>
          <w:szCs w:val="20"/>
        </w:rPr>
        <w:t>Zákon o odpovědnosti za přestupky a řízení o nich. Komentář.</w:t>
      </w:r>
      <w:r w:rsidRPr="00D6014A">
        <w:rPr>
          <w:sz w:val="20"/>
          <w:szCs w:val="20"/>
        </w:rPr>
        <w:t xml:space="preserve"> Praha: Wolters Kluwer, 2018, s. 515.</w:t>
      </w:r>
    </w:p>
  </w:footnote>
  <w:footnote w:id="72">
    <w:p w:rsidR="00AF5227" w:rsidRPr="00D6014A" w:rsidRDefault="00AF5227" w:rsidP="00B86473">
      <w:pPr>
        <w:spacing w:line="240" w:lineRule="auto"/>
        <w:ind w:right="567"/>
        <w:rPr>
          <w:sz w:val="20"/>
          <w:szCs w:val="20"/>
        </w:rPr>
      </w:pPr>
      <w:r w:rsidRPr="00D6014A">
        <w:rPr>
          <w:sz w:val="20"/>
          <w:szCs w:val="20"/>
          <w:vertAlign w:val="superscript"/>
        </w:rPr>
        <w:footnoteRef/>
      </w:r>
      <w:r w:rsidRPr="00D6014A">
        <w:rPr>
          <w:sz w:val="20"/>
          <w:szCs w:val="20"/>
        </w:rPr>
        <w:t xml:space="preserve"> Ustanovení § 70 odst. 3 zákona č. 250/2016 Sb., zákon o odpovědnosti za přestupky a řízení o nich, ve znění pozdějších předpisů a ustanovení § 43 odst. 3 zákona č. 141/1961 Sb., o trestním řízení soudním, ve znění pozdějších předpisů.</w:t>
      </w:r>
    </w:p>
  </w:footnote>
  <w:footnote w:id="73">
    <w:p w:rsidR="00AF5227" w:rsidRPr="00D6014A" w:rsidRDefault="00AF5227" w:rsidP="00B86473">
      <w:pPr>
        <w:spacing w:line="240" w:lineRule="auto"/>
        <w:ind w:right="567"/>
        <w:rPr>
          <w:sz w:val="20"/>
          <w:szCs w:val="20"/>
        </w:rPr>
      </w:pPr>
      <w:r w:rsidRPr="00D6014A">
        <w:rPr>
          <w:sz w:val="20"/>
          <w:szCs w:val="20"/>
          <w:vertAlign w:val="superscript"/>
        </w:rPr>
        <w:footnoteRef/>
      </w:r>
      <w:r w:rsidRPr="00D6014A">
        <w:rPr>
          <w:sz w:val="20"/>
          <w:szCs w:val="20"/>
        </w:rPr>
        <w:t xml:space="preserve"> Ustanovení § 70 odst. 1 zákona č. 250/2016 Sb., zákon o odpovědnosti za přestupky a řízení o nich, ve znění pozdějších předpisů.</w:t>
      </w:r>
    </w:p>
  </w:footnote>
  <w:footnote w:id="74">
    <w:p w:rsidR="00AF5227" w:rsidRPr="00D6014A" w:rsidRDefault="00AF5227" w:rsidP="00B86473">
      <w:pPr>
        <w:spacing w:line="240" w:lineRule="auto"/>
        <w:ind w:right="567"/>
        <w:rPr>
          <w:sz w:val="20"/>
          <w:szCs w:val="20"/>
        </w:rPr>
      </w:pPr>
      <w:r w:rsidRPr="00D6014A">
        <w:rPr>
          <w:sz w:val="20"/>
          <w:szCs w:val="20"/>
          <w:vertAlign w:val="superscript"/>
        </w:rPr>
        <w:footnoteRef/>
      </w:r>
      <w:r w:rsidRPr="00D6014A">
        <w:rPr>
          <w:sz w:val="20"/>
          <w:szCs w:val="20"/>
        </w:rPr>
        <w:t xml:space="preserve"> Ustanovení § 4 odst. 2 </w:t>
      </w:r>
      <w:r w:rsidRPr="00D6014A">
        <w:rPr>
          <w:rFonts w:eastAsia="Aptos"/>
          <w:sz w:val="20"/>
          <w:szCs w:val="20"/>
        </w:rPr>
        <w:t>zákona č. 500/2004 Sb., správní řád, ve znění pozdějších předpisů.</w:t>
      </w:r>
    </w:p>
  </w:footnote>
  <w:footnote w:id="75">
    <w:p w:rsidR="00AF5227" w:rsidRPr="00D6014A" w:rsidRDefault="00AF5227" w:rsidP="00B86473">
      <w:pPr>
        <w:spacing w:line="240" w:lineRule="auto"/>
        <w:ind w:right="567"/>
        <w:rPr>
          <w:sz w:val="20"/>
          <w:szCs w:val="20"/>
        </w:rPr>
      </w:pPr>
      <w:r w:rsidRPr="00D6014A">
        <w:rPr>
          <w:sz w:val="20"/>
          <w:szCs w:val="20"/>
          <w:vertAlign w:val="superscript"/>
        </w:rPr>
        <w:footnoteRef/>
      </w:r>
      <w:r w:rsidRPr="00D6014A">
        <w:rPr>
          <w:sz w:val="20"/>
          <w:szCs w:val="20"/>
        </w:rPr>
        <w:t xml:space="preserve"> Ustanovení § 44 odst. 3 zákona č. 141/1961 Sb., o trestním řízení soudním, ve znění pozdějších předpisů.</w:t>
      </w:r>
    </w:p>
  </w:footnote>
  <w:footnote w:id="76">
    <w:p w:rsidR="00AF5227" w:rsidRDefault="00AF5227" w:rsidP="006A3693">
      <w:pPr>
        <w:spacing w:line="240" w:lineRule="auto"/>
        <w:ind w:right="567"/>
        <w:rPr>
          <w:rFonts w:ascii="Aptos" w:eastAsia="Aptos" w:hAnsi="Aptos" w:cs="Aptos"/>
          <w:color w:val="00FF00"/>
          <w:sz w:val="20"/>
          <w:szCs w:val="20"/>
        </w:rPr>
      </w:pPr>
      <w:r w:rsidRPr="00D6014A">
        <w:rPr>
          <w:sz w:val="20"/>
          <w:szCs w:val="20"/>
          <w:vertAlign w:val="superscript"/>
        </w:rPr>
        <w:footnoteRef/>
      </w:r>
      <w:r w:rsidRPr="00D6014A">
        <w:rPr>
          <w:rFonts w:eastAsia="Aptos"/>
          <w:sz w:val="20"/>
          <w:szCs w:val="20"/>
        </w:rPr>
        <w:t xml:space="preserve"> PRÁŠKOVÁ, Helena. </w:t>
      </w:r>
      <w:r w:rsidRPr="00D6014A">
        <w:rPr>
          <w:rFonts w:eastAsia="Aptos"/>
          <w:i/>
          <w:sz w:val="20"/>
          <w:szCs w:val="20"/>
        </w:rPr>
        <w:t xml:space="preserve">Přestupkové právo. </w:t>
      </w:r>
      <w:r w:rsidRPr="00D6014A">
        <w:rPr>
          <w:rFonts w:eastAsia="Aptos"/>
          <w:sz w:val="20"/>
          <w:szCs w:val="20"/>
        </w:rPr>
        <w:t>2. vydání</w:t>
      </w:r>
      <w:r w:rsidRPr="00D6014A">
        <w:rPr>
          <w:rFonts w:eastAsia="Aptos"/>
          <w:i/>
          <w:sz w:val="20"/>
          <w:szCs w:val="20"/>
        </w:rPr>
        <w:t xml:space="preserve">. </w:t>
      </w:r>
      <w:r w:rsidRPr="00D6014A">
        <w:rPr>
          <w:rFonts w:eastAsia="Aptos"/>
          <w:sz w:val="20"/>
          <w:szCs w:val="20"/>
        </w:rPr>
        <w:t>Praha: Leges, 2022, s. 483.</w:t>
      </w:r>
    </w:p>
  </w:footnote>
  <w:footnote w:id="77">
    <w:p w:rsidR="00AF5227" w:rsidRPr="004977E3" w:rsidRDefault="00AF5227" w:rsidP="006A3693">
      <w:pPr>
        <w:spacing w:line="240" w:lineRule="auto"/>
        <w:ind w:right="567"/>
        <w:rPr>
          <w:rFonts w:eastAsia="Aptos"/>
          <w:sz w:val="20"/>
          <w:szCs w:val="20"/>
        </w:rPr>
      </w:pPr>
      <w:r w:rsidRPr="004977E3">
        <w:rPr>
          <w:sz w:val="20"/>
          <w:szCs w:val="20"/>
          <w:vertAlign w:val="superscript"/>
        </w:rPr>
        <w:footnoteRef/>
      </w:r>
      <w:r w:rsidRPr="004977E3">
        <w:rPr>
          <w:rFonts w:eastAsia="Aptos"/>
          <w:sz w:val="20"/>
          <w:szCs w:val="20"/>
        </w:rPr>
        <w:t xml:space="preserve"> KUČERA, Jiří. </w:t>
      </w:r>
      <w:r w:rsidRPr="004977E3">
        <w:rPr>
          <w:rFonts w:eastAsia="Aptos"/>
          <w:i/>
          <w:sz w:val="20"/>
          <w:szCs w:val="20"/>
        </w:rPr>
        <w:t>Adhezní řízení a jeho vztah k civilnímu procesu.</w:t>
      </w:r>
      <w:r w:rsidRPr="004977E3">
        <w:rPr>
          <w:rFonts w:eastAsia="Aptos"/>
          <w:sz w:val="20"/>
          <w:szCs w:val="20"/>
        </w:rPr>
        <w:t xml:space="preserve"> Trestněprávní revue, 2006, roč. 5, č. 9, s. 260.</w:t>
      </w:r>
    </w:p>
  </w:footnote>
  <w:footnote w:id="78">
    <w:p w:rsidR="00AF5227" w:rsidRPr="004977E3" w:rsidRDefault="00AF5227" w:rsidP="006A3693">
      <w:pPr>
        <w:spacing w:line="240" w:lineRule="auto"/>
        <w:ind w:right="567"/>
        <w:rPr>
          <w:rFonts w:eastAsia="Aptos"/>
          <w:sz w:val="20"/>
          <w:szCs w:val="20"/>
        </w:rPr>
      </w:pPr>
      <w:r w:rsidRPr="004977E3">
        <w:rPr>
          <w:sz w:val="20"/>
          <w:szCs w:val="20"/>
          <w:vertAlign w:val="superscript"/>
        </w:rPr>
        <w:footnoteRef/>
      </w:r>
      <w:r w:rsidRPr="004977E3">
        <w:rPr>
          <w:rFonts w:eastAsia="Aptos"/>
          <w:sz w:val="20"/>
          <w:szCs w:val="20"/>
        </w:rPr>
        <w:t xml:space="preserve"> PRÁŠKOVÁ, Helena. </w:t>
      </w:r>
      <w:r w:rsidRPr="004977E3">
        <w:rPr>
          <w:rFonts w:eastAsia="Aptos"/>
          <w:i/>
          <w:sz w:val="20"/>
          <w:szCs w:val="20"/>
        </w:rPr>
        <w:t xml:space="preserve">Přestupkové právo. </w:t>
      </w:r>
      <w:r w:rsidRPr="004977E3">
        <w:rPr>
          <w:rFonts w:eastAsia="Aptos"/>
          <w:sz w:val="20"/>
          <w:szCs w:val="20"/>
        </w:rPr>
        <w:t>2. vydání</w:t>
      </w:r>
      <w:r w:rsidRPr="004977E3">
        <w:rPr>
          <w:rFonts w:eastAsia="Aptos"/>
          <w:i/>
          <w:sz w:val="20"/>
          <w:szCs w:val="20"/>
        </w:rPr>
        <w:t xml:space="preserve">. </w:t>
      </w:r>
      <w:r w:rsidRPr="004977E3">
        <w:rPr>
          <w:rFonts w:eastAsia="Aptos"/>
          <w:sz w:val="20"/>
          <w:szCs w:val="20"/>
        </w:rPr>
        <w:t>Praha: Leges, 2022, s. 483.</w:t>
      </w:r>
    </w:p>
  </w:footnote>
  <w:footnote w:id="79">
    <w:p w:rsidR="00AF5227" w:rsidRPr="004977E3" w:rsidRDefault="00AF5227" w:rsidP="006A3693">
      <w:pPr>
        <w:spacing w:line="240" w:lineRule="auto"/>
        <w:ind w:right="567"/>
        <w:rPr>
          <w:sz w:val="20"/>
          <w:szCs w:val="20"/>
        </w:rPr>
      </w:pPr>
      <w:r w:rsidRPr="004977E3">
        <w:rPr>
          <w:sz w:val="20"/>
          <w:szCs w:val="20"/>
          <w:vertAlign w:val="superscript"/>
        </w:rPr>
        <w:footnoteRef/>
      </w:r>
      <w:r w:rsidRPr="004977E3">
        <w:rPr>
          <w:sz w:val="20"/>
          <w:szCs w:val="20"/>
        </w:rPr>
        <w:t xml:space="preserve"> BERANOVÁ, Andrea.</w:t>
      </w:r>
      <w:r w:rsidRPr="004977E3">
        <w:rPr>
          <w:i/>
          <w:sz w:val="20"/>
          <w:szCs w:val="20"/>
        </w:rPr>
        <w:t xml:space="preserve"> Úvahy nad právní úpravou adhezního řízení de lege ferenda.</w:t>
      </w:r>
      <w:r w:rsidRPr="004977E3">
        <w:rPr>
          <w:sz w:val="20"/>
          <w:szCs w:val="20"/>
        </w:rPr>
        <w:t xml:space="preserve"> Trestněprávní revue, 2016, roč. 15, č. 10, s. 221</w:t>
      </w:r>
    </w:p>
  </w:footnote>
  <w:footnote w:id="80">
    <w:p w:rsidR="00AF5227" w:rsidRPr="004977E3" w:rsidRDefault="00AF5227" w:rsidP="006A3693">
      <w:pPr>
        <w:spacing w:line="240" w:lineRule="auto"/>
        <w:ind w:right="567"/>
        <w:rPr>
          <w:sz w:val="20"/>
          <w:szCs w:val="20"/>
        </w:rPr>
      </w:pPr>
      <w:r w:rsidRPr="004977E3">
        <w:rPr>
          <w:sz w:val="20"/>
          <w:szCs w:val="20"/>
          <w:vertAlign w:val="superscript"/>
        </w:rPr>
        <w:footnoteRef/>
      </w:r>
      <w:r w:rsidRPr="004977E3">
        <w:rPr>
          <w:sz w:val="20"/>
          <w:szCs w:val="20"/>
        </w:rPr>
        <w:t xml:space="preserve"> ŠÍNOVÁ, Renata, ŠTEVČEK, Marek. In: ŠÍNOVÁ, Renáta a kol. </w:t>
      </w:r>
      <w:r w:rsidRPr="004977E3">
        <w:rPr>
          <w:i/>
          <w:sz w:val="20"/>
          <w:szCs w:val="20"/>
        </w:rPr>
        <w:t>Civilní proces. Obecná část a sporné řízení</w:t>
      </w:r>
      <w:r w:rsidRPr="004977E3">
        <w:rPr>
          <w:sz w:val="20"/>
          <w:szCs w:val="20"/>
        </w:rPr>
        <w:t>. 2. vydání. Praha: C.H. Beck, 2020, s. 160 - 161.</w:t>
      </w:r>
    </w:p>
  </w:footnote>
  <w:footnote w:id="81">
    <w:p w:rsidR="00AF5227" w:rsidRPr="004977E3" w:rsidRDefault="00AF5227" w:rsidP="006A3693">
      <w:pPr>
        <w:spacing w:line="240" w:lineRule="auto"/>
        <w:ind w:right="567"/>
        <w:rPr>
          <w:sz w:val="20"/>
          <w:szCs w:val="20"/>
        </w:rPr>
      </w:pPr>
      <w:r w:rsidRPr="004977E3">
        <w:rPr>
          <w:sz w:val="20"/>
          <w:szCs w:val="20"/>
          <w:vertAlign w:val="superscript"/>
        </w:rPr>
        <w:footnoteRef/>
      </w:r>
      <w:r w:rsidRPr="004977E3">
        <w:rPr>
          <w:sz w:val="20"/>
          <w:szCs w:val="20"/>
        </w:rPr>
        <w:t xml:space="preserve"> Ustanovení § 70 odst. 3 zákona č. 250/2016 Sb., zákon o odpovědnosti za přestupky a řízení o nich, ve znění pozdějších předpisů.</w:t>
      </w:r>
    </w:p>
  </w:footnote>
  <w:footnote w:id="82">
    <w:p w:rsidR="00AF5227" w:rsidRPr="004977E3" w:rsidRDefault="00AF5227" w:rsidP="006A3693">
      <w:pPr>
        <w:spacing w:line="240" w:lineRule="auto"/>
        <w:ind w:right="567"/>
        <w:rPr>
          <w:sz w:val="20"/>
          <w:szCs w:val="20"/>
        </w:rPr>
      </w:pPr>
      <w:r w:rsidRPr="004977E3">
        <w:rPr>
          <w:sz w:val="20"/>
          <w:szCs w:val="20"/>
          <w:vertAlign w:val="superscript"/>
        </w:rPr>
        <w:footnoteRef/>
      </w:r>
      <w:r w:rsidRPr="004977E3">
        <w:rPr>
          <w:sz w:val="20"/>
          <w:szCs w:val="20"/>
        </w:rPr>
        <w:t xml:space="preserve"> Ustanovení § 44 odst. 3 zákona č. 141/1961 Sb., o trestním řízení soudním, ve znění pozdějších předpisů.</w:t>
      </w:r>
    </w:p>
  </w:footnote>
  <w:footnote w:id="83">
    <w:p w:rsidR="00AF5227" w:rsidRPr="004977E3" w:rsidRDefault="00AF5227" w:rsidP="006A3693">
      <w:pPr>
        <w:spacing w:line="240" w:lineRule="auto"/>
        <w:ind w:right="567"/>
        <w:rPr>
          <w:sz w:val="20"/>
          <w:szCs w:val="20"/>
        </w:rPr>
      </w:pPr>
      <w:r w:rsidRPr="004977E3">
        <w:rPr>
          <w:sz w:val="20"/>
          <w:szCs w:val="20"/>
          <w:vertAlign w:val="superscript"/>
        </w:rPr>
        <w:footnoteRef/>
      </w:r>
      <w:r w:rsidRPr="004977E3">
        <w:rPr>
          <w:sz w:val="20"/>
          <w:szCs w:val="20"/>
        </w:rPr>
        <w:t xml:space="preserve"> § 70 odst. 3 věta první zákona č. 250/2016 Sb., zákon o odpovědnosti za přestupky a řízení o nich, ve znění pozdějších předpisů </w:t>
      </w:r>
    </w:p>
  </w:footnote>
  <w:footnote w:id="84">
    <w:p w:rsidR="00AF5227" w:rsidRPr="004977E3" w:rsidRDefault="00AF5227" w:rsidP="006A3693">
      <w:pPr>
        <w:spacing w:line="240" w:lineRule="auto"/>
        <w:ind w:right="567"/>
        <w:rPr>
          <w:sz w:val="20"/>
          <w:szCs w:val="20"/>
        </w:rPr>
      </w:pPr>
      <w:r w:rsidRPr="004977E3">
        <w:rPr>
          <w:sz w:val="20"/>
          <w:szCs w:val="20"/>
          <w:vertAlign w:val="superscript"/>
        </w:rPr>
        <w:footnoteRef/>
      </w:r>
      <w:r w:rsidRPr="004977E3">
        <w:rPr>
          <w:sz w:val="20"/>
          <w:szCs w:val="20"/>
        </w:rPr>
        <w:t xml:space="preserve"> Usnesení Nejvyššího soudu ze dne 27. 7. 2000, sp. Zn. 20 Cdo 723/2000 (46/2001 Sb. rozh. civ)</w:t>
      </w:r>
      <w:r>
        <w:rPr>
          <w:sz w:val="20"/>
          <w:szCs w:val="20"/>
        </w:rPr>
        <w:t>.</w:t>
      </w:r>
    </w:p>
  </w:footnote>
  <w:footnote w:id="85">
    <w:p w:rsidR="00AF5227" w:rsidRPr="004977E3" w:rsidRDefault="00AF5227" w:rsidP="006A3693">
      <w:pPr>
        <w:spacing w:line="240" w:lineRule="auto"/>
        <w:ind w:right="567"/>
        <w:rPr>
          <w:sz w:val="20"/>
          <w:szCs w:val="20"/>
        </w:rPr>
      </w:pPr>
      <w:r w:rsidRPr="004977E3">
        <w:rPr>
          <w:sz w:val="20"/>
          <w:szCs w:val="20"/>
          <w:vertAlign w:val="superscript"/>
        </w:rPr>
        <w:footnoteRef/>
      </w:r>
      <w:r w:rsidRPr="004977E3">
        <w:rPr>
          <w:sz w:val="20"/>
          <w:szCs w:val="20"/>
        </w:rPr>
        <w:t xml:space="preserve"> </w:t>
      </w:r>
      <w:r w:rsidRPr="004977E3">
        <w:rPr>
          <w:rFonts w:eastAsia="Aptos"/>
          <w:sz w:val="20"/>
          <w:szCs w:val="20"/>
        </w:rPr>
        <w:t xml:space="preserve"> ŠÁMAL, Pavel. In: ŠÁMAL, Pavel a kol.</w:t>
      </w:r>
      <w:r w:rsidRPr="004977E3">
        <w:rPr>
          <w:rFonts w:eastAsia="Aptos"/>
          <w:i/>
          <w:sz w:val="20"/>
          <w:szCs w:val="20"/>
        </w:rPr>
        <w:t xml:space="preserve"> Trestní řád I. § 1 až 156. Komentář.</w:t>
      </w:r>
      <w:r w:rsidRPr="004977E3">
        <w:rPr>
          <w:rFonts w:eastAsia="Aptos"/>
          <w:sz w:val="20"/>
          <w:szCs w:val="20"/>
        </w:rPr>
        <w:t xml:space="preserve"> 7 vydání. Praha: C.H. Beck, 2013 s. 541</w:t>
      </w:r>
    </w:p>
  </w:footnote>
  <w:footnote w:id="86">
    <w:p w:rsidR="00AF5227" w:rsidRPr="004977E3" w:rsidRDefault="00AF5227" w:rsidP="006A3693">
      <w:pPr>
        <w:spacing w:line="240" w:lineRule="auto"/>
        <w:ind w:right="567"/>
        <w:rPr>
          <w:sz w:val="20"/>
          <w:szCs w:val="20"/>
        </w:rPr>
      </w:pPr>
      <w:r w:rsidRPr="004977E3">
        <w:rPr>
          <w:sz w:val="20"/>
          <w:szCs w:val="20"/>
          <w:vertAlign w:val="superscript"/>
        </w:rPr>
        <w:footnoteRef/>
      </w:r>
      <w:r w:rsidRPr="004977E3">
        <w:rPr>
          <w:sz w:val="20"/>
          <w:szCs w:val="20"/>
        </w:rPr>
        <w:t xml:space="preserve"> </w:t>
      </w:r>
      <w:r w:rsidRPr="004977E3">
        <w:rPr>
          <w:rFonts w:eastAsia="Aptos"/>
          <w:sz w:val="20"/>
          <w:szCs w:val="20"/>
        </w:rPr>
        <w:t xml:space="preserve">KUČERA, Jiří. </w:t>
      </w:r>
      <w:r w:rsidRPr="004977E3">
        <w:rPr>
          <w:rFonts w:eastAsia="Aptos"/>
          <w:i/>
          <w:sz w:val="20"/>
          <w:szCs w:val="20"/>
        </w:rPr>
        <w:t>Adhezní řízení a jeho vztah k civilnímu procesu.</w:t>
      </w:r>
      <w:r w:rsidRPr="004977E3">
        <w:rPr>
          <w:rFonts w:eastAsia="Aptos"/>
          <w:sz w:val="20"/>
          <w:szCs w:val="20"/>
        </w:rPr>
        <w:t xml:space="preserve"> Trestněprávní revue, 2006, roč. 5, č. 9, s. 265.</w:t>
      </w:r>
    </w:p>
  </w:footnote>
  <w:footnote w:id="87">
    <w:p w:rsidR="00AF5227" w:rsidRPr="004977E3" w:rsidRDefault="00AF5227" w:rsidP="006A3693">
      <w:pPr>
        <w:spacing w:line="240" w:lineRule="auto"/>
        <w:ind w:right="567"/>
        <w:rPr>
          <w:sz w:val="20"/>
          <w:szCs w:val="20"/>
        </w:rPr>
      </w:pPr>
      <w:r w:rsidRPr="004977E3">
        <w:rPr>
          <w:sz w:val="20"/>
          <w:szCs w:val="20"/>
          <w:vertAlign w:val="superscript"/>
        </w:rPr>
        <w:footnoteRef/>
      </w:r>
      <w:r w:rsidRPr="004977E3">
        <w:rPr>
          <w:sz w:val="20"/>
          <w:szCs w:val="20"/>
        </w:rPr>
        <w:t xml:space="preserve"> Ustanovení § 44 odst. 3 zákona č. 141/1961 Sb., o trestním řízení soudním, ve znění pozdějších předpisů.</w:t>
      </w:r>
    </w:p>
  </w:footnote>
  <w:footnote w:id="88">
    <w:p w:rsidR="00AF5227" w:rsidRDefault="00AF5227" w:rsidP="006A3693">
      <w:pPr>
        <w:spacing w:line="240" w:lineRule="auto"/>
        <w:ind w:right="567"/>
        <w:rPr>
          <w:sz w:val="20"/>
          <w:szCs w:val="20"/>
        </w:rPr>
      </w:pPr>
      <w:r w:rsidRPr="004977E3">
        <w:rPr>
          <w:sz w:val="20"/>
          <w:szCs w:val="20"/>
          <w:vertAlign w:val="superscript"/>
        </w:rPr>
        <w:footnoteRef/>
      </w:r>
      <w:r w:rsidRPr="004977E3">
        <w:rPr>
          <w:sz w:val="20"/>
          <w:szCs w:val="20"/>
        </w:rPr>
        <w:t xml:space="preserve"> </w:t>
      </w:r>
      <w:r w:rsidRPr="004977E3">
        <w:rPr>
          <w:rFonts w:eastAsia="Aptos"/>
          <w:sz w:val="20"/>
          <w:szCs w:val="20"/>
        </w:rPr>
        <w:t xml:space="preserve">KUČERA, Jiří. </w:t>
      </w:r>
      <w:r w:rsidRPr="004977E3">
        <w:rPr>
          <w:rFonts w:eastAsia="Aptos"/>
          <w:i/>
          <w:sz w:val="20"/>
          <w:szCs w:val="20"/>
        </w:rPr>
        <w:t>Adhezní řízení a jeho vztah k civilnímu procesu.</w:t>
      </w:r>
      <w:r w:rsidRPr="004977E3">
        <w:rPr>
          <w:rFonts w:eastAsia="Aptos"/>
          <w:sz w:val="20"/>
          <w:szCs w:val="20"/>
        </w:rPr>
        <w:t xml:space="preserve"> Trestněprávní revue, 2006, roč. 5, č. 9, s. 265</w:t>
      </w:r>
      <w:r w:rsidR="002F0B6C">
        <w:rPr>
          <w:rFonts w:eastAsia="Aptos"/>
          <w:sz w:val="20"/>
          <w:szCs w:val="20"/>
        </w:rPr>
        <w:t>.</w:t>
      </w:r>
    </w:p>
  </w:footnote>
  <w:footnote w:id="89">
    <w:p w:rsidR="00AF5227" w:rsidRPr="004977E3" w:rsidRDefault="00AF5227" w:rsidP="006A3693">
      <w:pPr>
        <w:spacing w:line="240" w:lineRule="auto"/>
        <w:ind w:right="567"/>
        <w:rPr>
          <w:sz w:val="20"/>
          <w:szCs w:val="20"/>
        </w:rPr>
      </w:pPr>
      <w:r w:rsidRPr="004977E3">
        <w:rPr>
          <w:sz w:val="20"/>
          <w:szCs w:val="20"/>
          <w:vertAlign w:val="superscript"/>
        </w:rPr>
        <w:footnoteRef/>
      </w:r>
      <w:r w:rsidRPr="004977E3">
        <w:rPr>
          <w:sz w:val="20"/>
          <w:szCs w:val="20"/>
        </w:rPr>
        <w:t xml:space="preserve"> WINTEROVÁ, Alena. </w:t>
      </w:r>
      <w:r w:rsidRPr="004977E3">
        <w:rPr>
          <w:i/>
          <w:sz w:val="20"/>
          <w:szCs w:val="20"/>
        </w:rPr>
        <w:t>Konkurence občanskoprávního a adhezního řízení o náhradě škody.</w:t>
      </w:r>
      <w:r w:rsidRPr="004977E3">
        <w:rPr>
          <w:sz w:val="20"/>
          <w:szCs w:val="20"/>
        </w:rPr>
        <w:t xml:space="preserve"> Socialistická zákonnost. 1987, roč. 34, č. 3, s. 131-132</w:t>
      </w:r>
      <w:r w:rsidR="002F0B6C">
        <w:rPr>
          <w:sz w:val="20"/>
          <w:szCs w:val="20"/>
        </w:rPr>
        <w:t>.</w:t>
      </w:r>
    </w:p>
  </w:footnote>
  <w:footnote w:id="90">
    <w:p w:rsidR="00AF5227" w:rsidRPr="004977E3" w:rsidRDefault="00AF5227" w:rsidP="006A3693">
      <w:pPr>
        <w:spacing w:line="240" w:lineRule="auto"/>
        <w:ind w:right="567"/>
        <w:rPr>
          <w:sz w:val="20"/>
          <w:szCs w:val="20"/>
        </w:rPr>
      </w:pPr>
      <w:r w:rsidRPr="004977E3">
        <w:rPr>
          <w:sz w:val="20"/>
          <w:szCs w:val="20"/>
          <w:vertAlign w:val="superscript"/>
        </w:rPr>
        <w:footnoteRef/>
      </w:r>
      <w:r w:rsidRPr="004977E3">
        <w:rPr>
          <w:sz w:val="20"/>
          <w:szCs w:val="20"/>
        </w:rPr>
        <w:t xml:space="preserve"> BERANOVÁ, Andrea. </w:t>
      </w:r>
      <w:r>
        <w:rPr>
          <w:i/>
          <w:sz w:val="20"/>
          <w:szCs w:val="20"/>
        </w:rPr>
        <w:t>Úvahy nad právní úpravou a</w:t>
      </w:r>
      <w:r w:rsidRPr="004977E3">
        <w:rPr>
          <w:i/>
          <w:sz w:val="20"/>
          <w:szCs w:val="20"/>
        </w:rPr>
        <w:t>dhezní</w:t>
      </w:r>
      <w:r>
        <w:rPr>
          <w:i/>
          <w:sz w:val="20"/>
          <w:szCs w:val="20"/>
        </w:rPr>
        <w:t>ho</w:t>
      </w:r>
      <w:r w:rsidRPr="004977E3">
        <w:rPr>
          <w:i/>
          <w:sz w:val="20"/>
          <w:szCs w:val="20"/>
        </w:rPr>
        <w:t xml:space="preserve"> řízení de lege ferenda</w:t>
      </w:r>
      <w:r w:rsidRPr="004977E3">
        <w:rPr>
          <w:sz w:val="20"/>
          <w:szCs w:val="20"/>
        </w:rPr>
        <w:t>. Trestněprávní revue, 2016, roč. 15, č. 10, s. 223</w:t>
      </w:r>
      <w:r w:rsidR="002F0B6C">
        <w:rPr>
          <w:sz w:val="20"/>
          <w:szCs w:val="20"/>
        </w:rPr>
        <w:t>.</w:t>
      </w:r>
    </w:p>
  </w:footnote>
  <w:footnote w:id="91">
    <w:p w:rsidR="00AF5227" w:rsidRPr="004977E3" w:rsidRDefault="00AF5227" w:rsidP="006A3693">
      <w:pPr>
        <w:spacing w:line="240" w:lineRule="auto"/>
        <w:ind w:right="567"/>
        <w:rPr>
          <w:sz w:val="20"/>
          <w:szCs w:val="20"/>
        </w:rPr>
      </w:pPr>
      <w:r w:rsidRPr="004977E3">
        <w:rPr>
          <w:sz w:val="20"/>
          <w:szCs w:val="20"/>
          <w:vertAlign w:val="superscript"/>
        </w:rPr>
        <w:footnoteRef/>
      </w:r>
      <w:r w:rsidRPr="004977E3">
        <w:rPr>
          <w:sz w:val="20"/>
          <w:szCs w:val="20"/>
        </w:rPr>
        <w:t xml:space="preserve"> Tamtéž</w:t>
      </w:r>
      <w:r w:rsidR="002F0B6C">
        <w:rPr>
          <w:sz w:val="20"/>
          <w:szCs w:val="20"/>
        </w:rPr>
        <w:t>.</w:t>
      </w:r>
    </w:p>
  </w:footnote>
  <w:footnote w:id="92">
    <w:p w:rsidR="00AF5227" w:rsidRPr="004977E3" w:rsidRDefault="00AF5227" w:rsidP="006A3693">
      <w:pPr>
        <w:spacing w:line="240" w:lineRule="auto"/>
        <w:ind w:right="567"/>
        <w:rPr>
          <w:sz w:val="20"/>
          <w:szCs w:val="20"/>
        </w:rPr>
      </w:pPr>
      <w:r w:rsidRPr="004977E3">
        <w:rPr>
          <w:sz w:val="20"/>
          <w:szCs w:val="20"/>
          <w:vertAlign w:val="superscript"/>
        </w:rPr>
        <w:footnoteRef/>
      </w:r>
      <w:r w:rsidRPr="004977E3">
        <w:rPr>
          <w:sz w:val="20"/>
          <w:szCs w:val="20"/>
        </w:rPr>
        <w:t xml:space="preserve"> Ustanovení § 229 odst. 1, odst. 2, odst. 3 zákona č. 141/1961 Sb., o trestním řízení soudním, ve znění pozdějších předpisů.</w:t>
      </w:r>
    </w:p>
  </w:footnote>
  <w:footnote w:id="93">
    <w:p w:rsidR="00AF5227" w:rsidRDefault="00AF5227" w:rsidP="006A3693">
      <w:pPr>
        <w:spacing w:line="240" w:lineRule="auto"/>
        <w:ind w:right="567"/>
        <w:rPr>
          <w:sz w:val="20"/>
          <w:szCs w:val="20"/>
        </w:rPr>
      </w:pPr>
      <w:r w:rsidRPr="004977E3">
        <w:rPr>
          <w:sz w:val="20"/>
          <w:szCs w:val="20"/>
          <w:vertAlign w:val="superscript"/>
        </w:rPr>
        <w:footnoteRef/>
      </w:r>
      <w:r w:rsidRPr="004977E3">
        <w:rPr>
          <w:sz w:val="20"/>
          <w:szCs w:val="20"/>
        </w:rPr>
        <w:t xml:space="preserve"> </w:t>
      </w:r>
      <w:r w:rsidRPr="004977E3">
        <w:rPr>
          <w:rFonts w:eastAsia="Aptos"/>
          <w:sz w:val="20"/>
          <w:szCs w:val="20"/>
        </w:rPr>
        <w:t xml:space="preserve">KUČERA, Jiří. </w:t>
      </w:r>
      <w:r w:rsidRPr="004977E3">
        <w:rPr>
          <w:rFonts w:eastAsia="Aptos"/>
          <w:i/>
          <w:sz w:val="20"/>
          <w:szCs w:val="20"/>
        </w:rPr>
        <w:t>Adhezní řízení a jeho vztah k civilnímu procesu</w:t>
      </w:r>
      <w:r w:rsidRPr="004977E3">
        <w:rPr>
          <w:rFonts w:eastAsia="Aptos"/>
          <w:sz w:val="20"/>
          <w:szCs w:val="20"/>
        </w:rPr>
        <w:t xml:space="preserve">. Trestněprávní revue, 2006, roč. 5, č. 9, s. 260 ; shodně také GRUS, Zdeněk. </w:t>
      </w:r>
      <w:r w:rsidRPr="004977E3">
        <w:rPr>
          <w:rFonts w:eastAsia="Aptos"/>
          <w:i/>
          <w:sz w:val="20"/>
          <w:szCs w:val="20"/>
        </w:rPr>
        <w:t>Rozhodování o  náhradě škody v adhezním řízení</w:t>
      </w:r>
      <w:r w:rsidRPr="004977E3">
        <w:rPr>
          <w:rFonts w:eastAsia="Aptos"/>
          <w:sz w:val="20"/>
          <w:szCs w:val="20"/>
        </w:rPr>
        <w:t xml:space="preserve">, Trestněprávní revue, 2004, roč. 3, č. 7, s. 204; či PRÁŠKOVÁ, Helena. </w:t>
      </w:r>
      <w:r w:rsidRPr="004977E3">
        <w:rPr>
          <w:rFonts w:eastAsia="Aptos"/>
          <w:i/>
          <w:sz w:val="20"/>
          <w:szCs w:val="20"/>
        </w:rPr>
        <w:t xml:space="preserve">Přestupkové právo. </w:t>
      </w:r>
      <w:r w:rsidRPr="004977E3">
        <w:rPr>
          <w:rFonts w:eastAsia="Aptos"/>
          <w:sz w:val="20"/>
          <w:szCs w:val="20"/>
        </w:rPr>
        <w:t>2. Vydání</w:t>
      </w:r>
      <w:r w:rsidRPr="004977E3">
        <w:rPr>
          <w:rFonts w:eastAsia="Aptos"/>
          <w:i/>
          <w:sz w:val="20"/>
          <w:szCs w:val="20"/>
        </w:rPr>
        <w:t xml:space="preserve">. </w:t>
      </w:r>
      <w:r w:rsidRPr="004977E3">
        <w:rPr>
          <w:rFonts w:eastAsia="Aptos"/>
          <w:sz w:val="20"/>
          <w:szCs w:val="20"/>
        </w:rPr>
        <w:t>Praha: Leges. 2022, s.</w:t>
      </w:r>
      <w:r>
        <w:rPr>
          <w:rFonts w:eastAsia="Aptos"/>
          <w:i/>
          <w:sz w:val="20"/>
          <w:szCs w:val="20"/>
        </w:rPr>
        <w:t xml:space="preserve"> 482</w:t>
      </w:r>
      <w:r w:rsidRPr="004977E3">
        <w:rPr>
          <w:rFonts w:eastAsia="Aptos"/>
          <w:i/>
          <w:sz w:val="20"/>
          <w:szCs w:val="20"/>
        </w:rPr>
        <w:t xml:space="preserve"> </w:t>
      </w:r>
      <w:r w:rsidRPr="004977E3">
        <w:rPr>
          <w:rFonts w:eastAsia="Aptos"/>
          <w:sz w:val="20"/>
          <w:szCs w:val="20"/>
        </w:rPr>
        <w:t>a další v kapitole I.</w:t>
      </w:r>
      <w:r>
        <w:rPr>
          <w:rFonts w:ascii="Aptos" w:eastAsia="Aptos" w:hAnsi="Aptos" w:cs="Aptos"/>
          <w:sz w:val="20"/>
          <w:szCs w:val="20"/>
        </w:rPr>
        <w:t xml:space="preserve"> </w:t>
      </w:r>
    </w:p>
  </w:footnote>
  <w:footnote w:id="94">
    <w:p w:rsidR="00AF5227" w:rsidRPr="00614E8B" w:rsidRDefault="00AF5227" w:rsidP="00F024FF">
      <w:pPr>
        <w:spacing w:line="240" w:lineRule="auto"/>
        <w:ind w:right="567"/>
        <w:rPr>
          <w:sz w:val="20"/>
          <w:szCs w:val="20"/>
        </w:rPr>
      </w:pPr>
      <w:r w:rsidRPr="00614E8B">
        <w:rPr>
          <w:sz w:val="20"/>
          <w:szCs w:val="20"/>
          <w:vertAlign w:val="superscript"/>
        </w:rPr>
        <w:footnoteRef/>
      </w:r>
      <w:r w:rsidRPr="00614E8B">
        <w:rPr>
          <w:sz w:val="20"/>
          <w:szCs w:val="20"/>
        </w:rPr>
        <w:t xml:space="preserve"> Ustanovení § 83 odst. 1 věta první zákona č. 99/1963 Sb., občanský soudní řád, ve znění pozdějších předpisů.</w:t>
      </w:r>
    </w:p>
  </w:footnote>
  <w:footnote w:id="95">
    <w:p w:rsidR="00AF5227" w:rsidRPr="00614E8B" w:rsidRDefault="00AF5227" w:rsidP="00F024FF">
      <w:pPr>
        <w:spacing w:line="240" w:lineRule="auto"/>
        <w:ind w:right="567"/>
        <w:rPr>
          <w:sz w:val="20"/>
          <w:szCs w:val="20"/>
        </w:rPr>
      </w:pPr>
      <w:r w:rsidRPr="00614E8B">
        <w:rPr>
          <w:sz w:val="20"/>
          <w:szCs w:val="20"/>
          <w:vertAlign w:val="superscript"/>
        </w:rPr>
        <w:footnoteRef/>
      </w:r>
      <w:r w:rsidRPr="00614E8B">
        <w:rPr>
          <w:sz w:val="20"/>
          <w:szCs w:val="20"/>
        </w:rPr>
        <w:t xml:space="preserve"> SVOBODA, Karel. In: SVOBODA Karel a kol. </w:t>
      </w:r>
      <w:r w:rsidRPr="00614E8B">
        <w:rPr>
          <w:i/>
          <w:sz w:val="20"/>
          <w:szCs w:val="20"/>
        </w:rPr>
        <w:t>Občanský soudní řád.</w:t>
      </w:r>
      <w:r w:rsidRPr="00614E8B">
        <w:rPr>
          <w:sz w:val="20"/>
          <w:szCs w:val="20"/>
        </w:rPr>
        <w:t xml:space="preserve"> </w:t>
      </w:r>
      <w:r w:rsidRPr="00614E8B">
        <w:rPr>
          <w:i/>
          <w:sz w:val="20"/>
          <w:szCs w:val="20"/>
        </w:rPr>
        <w:t>Komentář</w:t>
      </w:r>
      <w:r w:rsidRPr="00614E8B">
        <w:rPr>
          <w:sz w:val="20"/>
          <w:szCs w:val="20"/>
        </w:rPr>
        <w:t>. 3. Vydání. Praha: C.H. Beck, 2021, s. 445.</w:t>
      </w:r>
    </w:p>
  </w:footnote>
  <w:footnote w:id="96">
    <w:p w:rsidR="00AF5227" w:rsidRPr="00614E8B" w:rsidRDefault="00AF5227" w:rsidP="00F024FF">
      <w:pPr>
        <w:spacing w:line="240" w:lineRule="auto"/>
        <w:ind w:right="567"/>
        <w:rPr>
          <w:sz w:val="20"/>
          <w:szCs w:val="20"/>
        </w:rPr>
      </w:pPr>
      <w:r w:rsidRPr="00614E8B">
        <w:rPr>
          <w:sz w:val="20"/>
          <w:szCs w:val="20"/>
          <w:vertAlign w:val="superscript"/>
        </w:rPr>
        <w:footnoteRef/>
      </w:r>
      <w:r w:rsidRPr="00614E8B">
        <w:rPr>
          <w:sz w:val="20"/>
          <w:szCs w:val="20"/>
        </w:rPr>
        <w:t xml:space="preserve"> Rozsudek Nejvyššího soudu ze dne 30.10. 2007, sp. Zn. 33 Odo 1345/2005 </w:t>
      </w:r>
    </w:p>
  </w:footnote>
  <w:footnote w:id="97">
    <w:p w:rsidR="00AF5227" w:rsidRPr="00614E8B" w:rsidRDefault="00AF5227" w:rsidP="00F024FF">
      <w:pPr>
        <w:spacing w:line="240" w:lineRule="auto"/>
        <w:ind w:right="567"/>
        <w:rPr>
          <w:sz w:val="20"/>
          <w:szCs w:val="20"/>
        </w:rPr>
      </w:pPr>
      <w:r w:rsidRPr="00614E8B">
        <w:rPr>
          <w:sz w:val="20"/>
          <w:szCs w:val="20"/>
          <w:vertAlign w:val="superscript"/>
        </w:rPr>
        <w:footnoteRef/>
      </w:r>
      <w:r w:rsidRPr="00614E8B">
        <w:rPr>
          <w:sz w:val="20"/>
          <w:szCs w:val="20"/>
        </w:rPr>
        <w:t xml:space="preserve"> </w:t>
      </w:r>
      <w:r w:rsidRPr="00614E8B">
        <w:rPr>
          <w:rFonts w:ascii="Aptos" w:eastAsia="Aptos" w:hAnsi="Aptos" w:cs="Aptos"/>
          <w:sz w:val="20"/>
          <w:szCs w:val="20"/>
        </w:rPr>
        <w:t xml:space="preserve"> </w:t>
      </w:r>
      <w:r w:rsidRPr="00614E8B">
        <w:rPr>
          <w:sz w:val="20"/>
          <w:szCs w:val="20"/>
        </w:rPr>
        <w:t>KUČERA, Jiří.</w:t>
      </w:r>
      <w:r w:rsidRPr="00614E8B">
        <w:rPr>
          <w:i/>
          <w:sz w:val="20"/>
          <w:szCs w:val="20"/>
        </w:rPr>
        <w:t xml:space="preserve"> Adhezní řízení a jeho vztah k civilnímu procesu</w:t>
      </w:r>
      <w:r w:rsidRPr="00614E8B">
        <w:rPr>
          <w:sz w:val="20"/>
          <w:szCs w:val="20"/>
        </w:rPr>
        <w:t>. Trestněprávní revue, 2006, roč. 5, č. 9, s. 264</w:t>
      </w:r>
    </w:p>
  </w:footnote>
  <w:footnote w:id="98">
    <w:p w:rsidR="00AF5227" w:rsidRDefault="00AF5227" w:rsidP="00F024FF">
      <w:pPr>
        <w:ind w:right="567"/>
        <w:rPr>
          <w:sz w:val="20"/>
          <w:szCs w:val="20"/>
        </w:rPr>
      </w:pPr>
      <w:r w:rsidRPr="00614E8B">
        <w:rPr>
          <w:sz w:val="20"/>
          <w:szCs w:val="20"/>
          <w:vertAlign w:val="superscript"/>
        </w:rPr>
        <w:footnoteRef/>
      </w:r>
      <w:r w:rsidRPr="00614E8B">
        <w:rPr>
          <w:sz w:val="20"/>
          <w:szCs w:val="20"/>
        </w:rPr>
        <w:t xml:space="preserve"> Zpráva Nejvyššího soudu ČSR ze dne 24.10.1979, sp. zn. Cpj 35/78 (22/1979 Sb.)</w:t>
      </w:r>
    </w:p>
  </w:footnote>
  <w:footnote w:id="99">
    <w:p w:rsidR="00AF5227" w:rsidRPr="00614E8B" w:rsidRDefault="00AF5227" w:rsidP="00F024FF">
      <w:pPr>
        <w:spacing w:line="240" w:lineRule="auto"/>
        <w:ind w:right="567"/>
        <w:rPr>
          <w:sz w:val="20"/>
          <w:szCs w:val="20"/>
        </w:rPr>
      </w:pPr>
      <w:r w:rsidRPr="00614E8B">
        <w:rPr>
          <w:sz w:val="20"/>
          <w:szCs w:val="20"/>
          <w:vertAlign w:val="superscript"/>
        </w:rPr>
        <w:footnoteRef/>
      </w:r>
      <w:r w:rsidRPr="00614E8B">
        <w:rPr>
          <w:sz w:val="20"/>
          <w:szCs w:val="20"/>
        </w:rPr>
        <w:t xml:space="preserve"> </w:t>
      </w:r>
      <w:r w:rsidRPr="00614E8B">
        <w:rPr>
          <w:rFonts w:eastAsia="Aptos"/>
          <w:sz w:val="20"/>
          <w:szCs w:val="20"/>
        </w:rPr>
        <w:t xml:space="preserve">KUČERA, Jiří. </w:t>
      </w:r>
      <w:r w:rsidRPr="00614E8B">
        <w:rPr>
          <w:rFonts w:eastAsia="Aptos"/>
          <w:i/>
          <w:sz w:val="20"/>
          <w:szCs w:val="20"/>
        </w:rPr>
        <w:t>Adhezní řízení a jeho vztah k civilnímu procesu</w:t>
      </w:r>
      <w:r w:rsidRPr="00614E8B">
        <w:rPr>
          <w:rFonts w:eastAsia="Aptos"/>
          <w:sz w:val="20"/>
          <w:szCs w:val="20"/>
        </w:rPr>
        <w:t>. Trestněprávní revue, 2006, roč. 5, č. 9, s. 260</w:t>
      </w:r>
    </w:p>
  </w:footnote>
  <w:footnote w:id="100">
    <w:p w:rsidR="00AF5227" w:rsidRPr="00614E8B" w:rsidRDefault="00AF5227">
      <w:pPr>
        <w:spacing w:line="240" w:lineRule="auto"/>
        <w:rPr>
          <w:sz w:val="20"/>
          <w:szCs w:val="20"/>
        </w:rPr>
      </w:pPr>
      <w:r w:rsidRPr="00614E8B">
        <w:rPr>
          <w:sz w:val="20"/>
          <w:szCs w:val="20"/>
          <w:vertAlign w:val="superscript"/>
        </w:rPr>
        <w:footnoteRef/>
      </w:r>
      <w:r w:rsidRPr="00614E8B">
        <w:rPr>
          <w:sz w:val="20"/>
          <w:szCs w:val="20"/>
        </w:rPr>
        <w:t xml:space="preserve"> Tamtéž</w:t>
      </w:r>
    </w:p>
  </w:footnote>
  <w:footnote w:id="101">
    <w:p w:rsidR="00AF5227" w:rsidRPr="00614E8B" w:rsidRDefault="00AF5227">
      <w:pPr>
        <w:spacing w:line="240" w:lineRule="auto"/>
        <w:rPr>
          <w:sz w:val="20"/>
          <w:szCs w:val="20"/>
        </w:rPr>
      </w:pPr>
      <w:r w:rsidRPr="00614E8B">
        <w:rPr>
          <w:sz w:val="20"/>
          <w:szCs w:val="20"/>
          <w:vertAlign w:val="superscript"/>
        </w:rPr>
        <w:footnoteRef/>
      </w:r>
      <w:r w:rsidRPr="00614E8B">
        <w:rPr>
          <w:sz w:val="20"/>
          <w:szCs w:val="20"/>
        </w:rPr>
        <w:t xml:space="preserve"> ŠPERLING, Jaroslov. </w:t>
      </w:r>
      <w:r w:rsidRPr="00614E8B">
        <w:rPr>
          <w:i/>
          <w:sz w:val="20"/>
          <w:szCs w:val="20"/>
        </w:rPr>
        <w:t>Nad jedním rozhodnutím</w:t>
      </w:r>
      <w:r w:rsidRPr="00614E8B">
        <w:rPr>
          <w:sz w:val="20"/>
          <w:szCs w:val="20"/>
        </w:rPr>
        <w:t>. Socialistická zákonnost, 1978, roč. 26, č. 7, s. 443</w:t>
      </w:r>
    </w:p>
  </w:footnote>
  <w:footnote w:id="102">
    <w:p w:rsidR="00AF5227" w:rsidRPr="00614E8B" w:rsidRDefault="00AF5227">
      <w:pPr>
        <w:spacing w:line="240" w:lineRule="auto"/>
        <w:rPr>
          <w:sz w:val="20"/>
          <w:szCs w:val="20"/>
        </w:rPr>
      </w:pPr>
      <w:r w:rsidRPr="00614E8B">
        <w:rPr>
          <w:sz w:val="20"/>
          <w:szCs w:val="20"/>
          <w:vertAlign w:val="superscript"/>
        </w:rPr>
        <w:footnoteRef/>
      </w:r>
      <w:r w:rsidRPr="00614E8B">
        <w:rPr>
          <w:sz w:val="20"/>
          <w:szCs w:val="20"/>
        </w:rPr>
        <w:t xml:space="preserve"> WINTEROVÁ, Alena. </w:t>
      </w:r>
      <w:r w:rsidRPr="00614E8B">
        <w:rPr>
          <w:i/>
          <w:sz w:val="20"/>
          <w:szCs w:val="20"/>
        </w:rPr>
        <w:t>Konkurence občanskoprávního a adhezního řízení o náhradě škody</w:t>
      </w:r>
      <w:r w:rsidRPr="00614E8B">
        <w:rPr>
          <w:sz w:val="20"/>
          <w:szCs w:val="20"/>
        </w:rPr>
        <w:t xml:space="preserve">. Socialistická zákonnost, 1987, roč. 35, č. 3, s. 132 - 133 </w:t>
      </w:r>
    </w:p>
  </w:footnote>
  <w:footnote w:id="103">
    <w:p w:rsidR="00AF5227" w:rsidRPr="00F024FF" w:rsidRDefault="00AF5227" w:rsidP="00F024FF">
      <w:pPr>
        <w:spacing w:line="240" w:lineRule="auto"/>
        <w:ind w:right="567"/>
        <w:rPr>
          <w:sz w:val="20"/>
          <w:szCs w:val="20"/>
        </w:rPr>
      </w:pPr>
      <w:r w:rsidRPr="00F024FF">
        <w:rPr>
          <w:sz w:val="20"/>
          <w:szCs w:val="20"/>
          <w:vertAlign w:val="superscript"/>
        </w:rPr>
        <w:footnoteRef/>
      </w:r>
      <w:r w:rsidRPr="00F024FF">
        <w:rPr>
          <w:sz w:val="20"/>
          <w:szCs w:val="20"/>
        </w:rPr>
        <w:t xml:space="preserve"> JIRSA, Lubomír</w:t>
      </w:r>
      <w:r w:rsidR="002F0B6C">
        <w:rPr>
          <w:sz w:val="20"/>
          <w:szCs w:val="20"/>
        </w:rPr>
        <w:t>.</w:t>
      </w:r>
      <w:r w:rsidRPr="00F024FF">
        <w:rPr>
          <w:sz w:val="20"/>
          <w:szCs w:val="20"/>
        </w:rPr>
        <w:t xml:space="preserve"> In: JIRSA, Lubomír. </w:t>
      </w:r>
      <w:r w:rsidRPr="00F024FF">
        <w:rPr>
          <w:i/>
          <w:sz w:val="20"/>
          <w:szCs w:val="20"/>
        </w:rPr>
        <w:t xml:space="preserve">Občanské soudní řízení. Soudcovský komentář. Kniha I (§ 1 až 250l o. s. ř.). </w:t>
      </w:r>
      <w:r w:rsidRPr="00F024FF">
        <w:rPr>
          <w:sz w:val="20"/>
          <w:szCs w:val="20"/>
        </w:rPr>
        <w:t>4. Vydání. Praha: Wolter Kluwer, 2023, s. 708</w:t>
      </w:r>
      <w:r w:rsidR="002F0B6C">
        <w:rPr>
          <w:sz w:val="20"/>
          <w:szCs w:val="20"/>
        </w:rPr>
        <w:t>.</w:t>
      </w:r>
    </w:p>
  </w:footnote>
  <w:footnote w:id="104">
    <w:p w:rsidR="00AF5227" w:rsidRPr="00F024FF" w:rsidRDefault="00AF5227" w:rsidP="00F024FF">
      <w:pPr>
        <w:spacing w:line="240" w:lineRule="auto"/>
        <w:ind w:right="567"/>
        <w:rPr>
          <w:sz w:val="20"/>
          <w:szCs w:val="20"/>
        </w:rPr>
      </w:pPr>
      <w:r w:rsidRPr="00F024FF">
        <w:rPr>
          <w:sz w:val="20"/>
          <w:szCs w:val="20"/>
          <w:vertAlign w:val="superscript"/>
        </w:rPr>
        <w:footnoteRef/>
      </w:r>
      <w:r w:rsidRPr="00F024FF">
        <w:rPr>
          <w:sz w:val="20"/>
          <w:szCs w:val="20"/>
        </w:rPr>
        <w:t xml:space="preserve"> WINTEROVÁ, Alena.</w:t>
      </w:r>
      <w:r w:rsidRPr="00F024FF">
        <w:rPr>
          <w:i/>
          <w:sz w:val="20"/>
          <w:szCs w:val="20"/>
        </w:rPr>
        <w:t xml:space="preserve"> Konkurence občanskoprávního a adhezního řízení o náhradě škody</w:t>
      </w:r>
      <w:r w:rsidRPr="00F024FF">
        <w:rPr>
          <w:sz w:val="20"/>
          <w:szCs w:val="20"/>
        </w:rPr>
        <w:t>. Socialistická zákonnost, 1987, roč. 35, č. 3, s. 132 - 133</w:t>
      </w:r>
    </w:p>
  </w:footnote>
  <w:footnote w:id="105">
    <w:p w:rsidR="00AF5227" w:rsidRPr="00F024FF" w:rsidRDefault="00AF5227" w:rsidP="00F024FF">
      <w:pPr>
        <w:spacing w:line="240" w:lineRule="auto"/>
        <w:ind w:right="567"/>
        <w:rPr>
          <w:sz w:val="20"/>
          <w:szCs w:val="20"/>
        </w:rPr>
      </w:pPr>
      <w:r w:rsidRPr="00F024FF">
        <w:rPr>
          <w:sz w:val="20"/>
          <w:szCs w:val="20"/>
          <w:vertAlign w:val="superscript"/>
        </w:rPr>
        <w:footnoteRef/>
      </w:r>
      <w:r w:rsidRPr="00F024FF">
        <w:rPr>
          <w:sz w:val="20"/>
          <w:szCs w:val="20"/>
        </w:rPr>
        <w:t xml:space="preserve"> SIVÁK, Jakub. </w:t>
      </w:r>
      <w:r w:rsidRPr="00F024FF">
        <w:rPr>
          <w:i/>
          <w:sz w:val="20"/>
          <w:szCs w:val="20"/>
        </w:rPr>
        <w:t>Adhezní řízení de lega ferenda</w:t>
      </w:r>
      <w:r w:rsidRPr="00F024FF">
        <w:rPr>
          <w:sz w:val="20"/>
          <w:szCs w:val="20"/>
        </w:rPr>
        <w:t xml:space="preserve">. Soukromé právo, 2024, roč. 12, č. 4, s. 19 </w:t>
      </w:r>
    </w:p>
  </w:footnote>
  <w:footnote w:id="106">
    <w:p w:rsidR="00AF5227" w:rsidRDefault="00AF5227" w:rsidP="00F024FF">
      <w:pPr>
        <w:spacing w:line="240" w:lineRule="auto"/>
        <w:ind w:right="567"/>
        <w:rPr>
          <w:sz w:val="20"/>
          <w:szCs w:val="20"/>
        </w:rPr>
      </w:pPr>
      <w:r w:rsidRPr="00F024FF">
        <w:rPr>
          <w:sz w:val="20"/>
          <w:szCs w:val="20"/>
          <w:vertAlign w:val="superscript"/>
        </w:rPr>
        <w:footnoteRef/>
      </w:r>
      <w:r w:rsidRPr="00F024FF">
        <w:rPr>
          <w:sz w:val="20"/>
          <w:szCs w:val="20"/>
        </w:rPr>
        <w:t xml:space="preserve"> </w:t>
      </w:r>
      <w:r w:rsidRPr="00F024FF">
        <w:rPr>
          <w:rFonts w:eastAsia="Aptos"/>
          <w:sz w:val="20"/>
          <w:szCs w:val="20"/>
        </w:rPr>
        <w:t xml:space="preserve">KUČEROVÁ, Helena, HORZINKOVÁ, Eva. </w:t>
      </w:r>
      <w:r w:rsidRPr="00F024FF">
        <w:rPr>
          <w:rFonts w:eastAsia="Aptos"/>
          <w:i/>
          <w:sz w:val="20"/>
          <w:szCs w:val="20"/>
        </w:rPr>
        <w:t xml:space="preserve">Zákon o odpovědnosti za přestupky a řízení o nich a zákon o některých přestupcích s komentářem a judikaturou. </w:t>
      </w:r>
      <w:r w:rsidRPr="00F024FF">
        <w:rPr>
          <w:rFonts w:eastAsia="Aptos"/>
          <w:sz w:val="20"/>
          <w:szCs w:val="20"/>
        </w:rPr>
        <w:t>2. vydání</w:t>
      </w:r>
      <w:r w:rsidRPr="00F024FF">
        <w:rPr>
          <w:rFonts w:eastAsia="Aptos"/>
          <w:i/>
          <w:sz w:val="20"/>
          <w:szCs w:val="20"/>
        </w:rPr>
        <w:t xml:space="preserve">. </w:t>
      </w:r>
      <w:r w:rsidRPr="00F024FF">
        <w:rPr>
          <w:rFonts w:eastAsia="Aptos"/>
          <w:sz w:val="20"/>
          <w:szCs w:val="20"/>
        </w:rPr>
        <w:t>Praha: Leges, 2019,</w:t>
      </w:r>
      <w:r w:rsidRPr="00F024FF">
        <w:rPr>
          <w:rFonts w:eastAsia="Aptos"/>
          <w:i/>
          <w:sz w:val="20"/>
          <w:szCs w:val="20"/>
        </w:rPr>
        <w:t xml:space="preserve"> </w:t>
      </w:r>
      <w:r w:rsidRPr="00F024FF">
        <w:rPr>
          <w:rFonts w:eastAsia="Aptos"/>
          <w:sz w:val="20"/>
          <w:szCs w:val="20"/>
        </w:rPr>
        <w:t>s</w:t>
      </w:r>
      <w:r w:rsidRPr="00F024FF">
        <w:rPr>
          <w:rFonts w:eastAsia="Aptos"/>
          <w:i/>
          <w:sz w:val="20"/>
          <w:szCs w:val="20"/>
        </w:rPr>
        <w:t>.</w:t>
      </w:r>
      <w:r w:rsidRPr="00F024FF">
        <w:rPr>
          <w:sz w:val="20"/>
          <w:szCs w:val="20"/>
        </w:rPr>
        <w:t xml:space="preserve"> 401. Srov. také J</w:t>
      </w:r>
      <w:r w:rsidRPr="00F024FF">
        <w:rPr>
          <w:rFonts w:eastAsia="Aptos"/>
          <w:sz w:val="20"/>
          <w:szCs w:val="20"/>
        </w:rPr>
        <w:t>EMELKA, Luboš</w:t>
      </w:r>
      <w:r w:rsidR="002F0B6C">
        <w:rPr>
          <w:rFonts w:eastAsia="Aptos"/>
          <w:sz w:val="20"/>
          <w:szCs w:val="20"/>
        </w:rPr>
        <w:t>.</w:t>
      </w:r>
      <w:r w:rsidRPr="00F024FF">
        <w:rPr>
          <w:rFonts w:eastAsia="Aptos"/>
          <w:sz w:val="20"/>
          <w:szCs w:val="20"/>
        </w:rPr>
        <w:t xml:space="preserve"> In:  JEMELKA, Luboš, VETEŠNÍK, Pavel. </w:t>
      </w:r>
      <w:r w:rsidRPr="00F024FF">
        <w:rPr>
          <w:rFonts w:eastAsia="Aptos"/>
          <w:i/>
          <w:sz w:val="20"/>
          <w:szCs w:val="20"/>
        </w:rPr>
        <w:t>Zákon o odpovědnosti za přestupky a řízení o nich. Zákon o některých přestupcích. Komentář.</w:t>
      </w:r>
      <w:r w:rsidRPr="00F024FF">
        <w:rPr>
          <w:rFonts w:eastAsia="Aptos"/>
          <w:sz w:val="20"/>
          <w:szCs w:val="20"/>
        </w:rPr>
        <w:t xml:space="preserve"> 2. vydání. Praha: C.H. Beck. 2020, s.</w:t>
      </w:r>
      <w:r w:rsidRPr="00F024FF">
        <w:rPr>
          <w:sz w:val="20"/>
          <w:szCs w:val="20"/>
        </w:rPr>
        <w:t xml:space="preserve"> 548, a PRŮCHA, Petr</w:t>
      </w:r>
      <w:r w:rsidR="002F0B6C">
        <w:rPr>
          <w:sz w:val="20"/>
          <w:szCs w:val="20"/>
        </w:rPr>
        <w:t>.</w:t>
      </w:r>
      <w:r w:rsidRPr="00F024FF">
        <w:rPr>
          <w:sz w:val="20"/>
          <w:szCs w:val="20"/>
        </w:rPr>
        <w:t xml:space="preserve"> In: BOHADLO, David, a kol. </w:t>
      </w:r>
      <w:r w:rsidRPr="00F024FF">
        <w:rPr>
          <w:i/>
          <w:sz w:val="20"/>
          <w:szCs w:val="20"/>
        </w:rPr>
        <w:t>Zákon o odpovědnosti za přestupky a řízení o nich. Komentář.</w:t>
      </w:r>
      <w:r w:rsidRPr="00F024FF">
        <w:rPr>
          <w:sz w:val="20"/>
          <w:szCs w:val="20"/>
        </w:rPr>
        <w:t xml:space="preserve"> Praha: Wolters Kluwer, 2018, s. 414</w:t>
      </w:r>
    </w:p>
  </w:footnote>
  <w:footnote w:id="107">
    <w:p w:rsidR="00AF5227" w:rsidRPr="00575BDA" w:rsidRDefault="00AF5227" w:rsidP="00F024FF">
      <w:pPr>
        <w:spacing w:line="240" w:lineRule="auto"/>
        <w:ind w:right="567"/>
        <w:rPr>
          <w:sz w:val="20"/>
          <w:szCs w:val="20"/>
        </w:rPr>
      </w:pPr>
      <w:r w:rsidRPr="00575BDA">
        <w:rPr>
          <w:sz w:val="20"/>
          <w:szCs w:val="20"/>
          <w:vertAlign w:val="superscript"/>
        </w:rPr>
        <w:footnoteRef/>
      </w:r>
      <w:r w:rsidRPr="00575BDA">
        <w:rPr>
          <w:sz w:val="20"/>
          <w:szCs w:val="20"/>
        </w:rPr>
        <w:t xml:space="preserve"> </w:t>
      </w:r>
      <w:r w:rsidRPr="00575BDA">
        <w:rPr>
          <w:rFonts w:eastAsia="Aptos"/>
          <w:sz w:val="20"/>
          <w:szCs w:val="20"/>
        </w:rPr>
        <w:t xml:space="preserve">KUČERA, Jiří. </w:t>
      </w:r>
      <w:r w:rsidRPr="00575BDA">
        <w:rPr>
          <w:rFonts w:eastAsia="Aptos"/>
          <w:i/>
          <w:sz w:val="20"/>
          <w:szCs w:val="20"/>
        </w:rPr>
        <w:t>Adhezní řízení a jeho vztah k civilnímu procesu</w:t>
      </w:r>
      <w:r w:rsidRPr="00575BDA">
        <w:rPr>
          <w:rFonts w:eastAsia="Aptos"/>
          <w:sz w:val="20"/>
          <w:szCs w:val="20"/>
        </w:rPr>
        <w:t>. Trestněprávní revue, 2006, roč. 5, č. 9, s 265</w:t>
      </w:r>
    </w:p>
  </w:footnote>
  <w:footnote w:id="108">
    <w:p w:rsidR="00AF5227" w:rsidRPr="00575BDA" w:rsidRDefault="00AF5227" w:rsidP="00F024FF">
      <w:pPr>
        <w:spacing w:line="240" w:lineRule="auto"/>
        <w:ind w:right="567"/>
        <w:rPr>
          <w:sz w:val="20"/>
          <w:szCs w:val="20"/>
        </w:rPr>
      </w:pPr>
      <w:r w:rsidRPr="00575BDA">
        <w:rPr>
          <w:sz w:val="20"/>
          <w:szCs w:val="20"/>
          <w:vertAlign w:val="superscript"/>
        </w:rPr>
        <w:footnoteRef/>
      </w:r>
      <w:r w:rsidRPr="00575BDA">
        <w:rPr>
          <w:sz w:val="20"/>
          <w:szCs w:val="20"/>
        </w:rPr>
        <w:t xml:space="preserve"> Mimo rozebíranou Směrnici 2012/29/EU, </w:t>
      </w:r>
      <w:r w:rsidRPr="00575BDA">
        <w:rPr>
          <w:rFonts w:eastAsia="Roboto"/>
          <w:i/>
          <w:color w:val="333333"/>
          <w:sz w:val="20"/>
          <w:szCs w:val="20"/>
          <w:highlight w:val="white"/>
        </w:rPr>
        <w:t>Úř. věst. L 315, 14. 11. 2012,</w:t>
      </w:r>
      <w:r w:rsidRPr="00575BDA">
        <w:rPr>
          <w:sz w:val="20"/>
          <w:szCs w:val="20"/>
        </w:rPr>
        <w:t xml:space="preserve"> je to zejména Směrnice Evropského parlamentu a Rady 2011/99/EU ze dne 13. 12. 2011, o evropském ochranném příkazu, </w:t>
      </w:r>
      <w:r w:rsidRPr="00575BDA">
        <w:rPr>
          <w:color w:val="474747"/>
          <w:sz w:val="20"/>
          <w:szCs w:val="20"/>
          <w:highlight w:val="white"/>
        </w:rPr>
        <w:t>Úř. věst. L 338, 21.12.</w:t>
      </w:r>
      <w:r w:rsidRPr="00575BDA">
        <w:rPr>
          <w:b/>
          <w:color w:val="767676"/>
          <w:sz w:val="20"/>
          <w:szCs w:val="20"/>
          <w:highlight w:val="white"/>
        </w:rPr>
        <w:t>2011</w:t>
      </w:r>
      <w:r w:rsidRPr="00575BDA">
        <w:rPr>
          <w:sz w:val="20"/>
          <w:szCs w:val="20"/>
        </w:rPr>
        <w:t>. Dále Směrnice Rady EU 2004/80/ES ze dne 25. dubna 2004, o odškodňování oběti trestných činů.</w:t>
      </w:r>
      <w:r w:rsidRPr="00575BDA">
        <w:rPr>
          <w:rFonts w:eastAsia="Roboto"/>
          <w:i/>
          <w:color w:val="333333"/>
          <w:sz w:val="20"/>
          <w:szCs w:val="20"/>
          <w:highlight w:val="white"/>
        </w:rPr>
        <w:t>Úř. věst. L 261/15, 6. 8. 2004.</w:t>
      </w:r>
      <w:r w:rsidRPr="00575BDA">
        <w:rPr>
          <w:sz w:val="20"/>
          <w:szCs w:val="20"/>
        </w:rPr>
        <w:t xml:space="preserve"> Nadto lze zmínit i dvě další směrnice Evropského parlamentu a Rady a to konkrétně: ze dne 5. 4. 2011, “o prevenci obchodování s lidmi, boji proti němu a ochraně obětí”. Srov.  </w:t>
      </w:r>
      <w:r w:rsidRPr="00575BDA">
        <w:rPr>
          <w:rFonts w:eastAsia="Aptos"/>
          <w:sz w:val="20"/>
          <w:szCs w:val="20"/>
        </w:rPr>
        <w:t xml:space="preserve">PRÁŠKOVÁ, Helena. </w:t>
      </w:r>
      <w:r w:rsidRPr="00575BDA">
        <w:rPr>
          <w:rFonts w:eastAsia="Aptos"/>
          <w:i/>
          <w:sz w:val="20"/>
          <w:szCs w:val="20"/>
        </w:rPr>
        <w:t xml:space="preserve">Přestupkové právo. </w:t>
      </w:r>
      <w:r w:rsidRPr="00575BDA">
        <w:rPr>
          <w:rFonts w:eastAsia="Aptos"/>
          <w:sz w:val="20"/>
          <w:szCs w:val="20"/>
        </w:rPr>
        <w:t>2. vydání</w:t>
      </w:r>
      <w:r w:rsidRPr="00575BDA">
        <w:rPr>
          <w:rFonts w:eastAsia="Aptos"/>
          <w:i/>
          <w:sz w:val="20"/>
          <w:szCs w:val="20"/>
        </w:rPr>
        <w:t xml:space="preserve">. </w:t>
      </w:r>
      <w:r w:rsidRPr="00575BDA">
        <w:rPr>
          <w:rFonts w:eastAsia="Aptos"/>
          <w:sz w:val="20"/>
          <w:szCs w:val="20"/>
        </w:rPr>
        <w:t>Praha: Leges, 2022, s.</w:t>
      </w:r>
      <w:r w:rsidRPr="00575BDA">
        <w:rPr>
          <w:rFonts w:eastAsia="Aptos"/>
          <w:i/>
          <w:sz w:val="20"/>
          <w:szCs w:val="20"/>
        </w:rPr>
        <w:t xml:space="preserve"> </w:t>
      </w:r>
      <w:r w:rsidRPr="00575BDA">
        <w:rPr>
          <w:rFonts w:eastAsia="Aptos"/>
          <w:sz w:val="20"/>
          <w:szCs w:val="20"/>
        </w:rPr>
        <w:t>383.</w:t>
      </w:r>
    </w:p>
  </w:footnote>
  <w:footnote w:id="109">
    <w:p w:rsidR="00AF5227" w:rsidRPr="004977E3" w:rsidRDefault="00AF5227" w:rsidP="00F024FF">
      <w:pPr>
        <w:spacing w:line="240" w:lineRule="auto"/>
        <w:ind w:right="567"/>
        <w:rPr>
          <w:sz w:val="20"/>
          <w:szCs w:val="20"/>
        </w:rPr>
      </w:pPr>
      <w:r w:rsidRPr="004977E3">
        <w:rPr>
          <w:sz w:val="20"/>
          <w:szCs w:val="20"/>
          <w:vertAlign w:val="superscript"/>
        </w:rPr>
        <w:footnoteRef/>
      </w:r>
      <w:r w:rsidRPr="004977E3">
        <w:rPr>
          <w:sz w:val="20"/>
          <w:szCs w:val="20"/>
        </w:rPr>
        <w:t xml:space="preserve"> HEPOVÁ, Adéla.</w:t>
      </w:r>
      <w:r w:rsidRPr="004977E3">
        <w:rPr>
          <w:i/>
          <w:sz w:val="20"/>
          <w:szCs w:val="20"/>
        </w:rPr>
        <w:t xml:space="preserve"> Sekundární viktimizace, věrná přítelkyně přestupkového řízení</w:t>
      </w:r>
      <w:r w:rsidRPr="004977E3">
        <w:rPr>
          <w:sz w:val="20"/>
          <w:szCs w:val="20"/>
        </w:rPr>
        <w:t>. Iurium, 2024, dostupné [online. 6. 1. 2024]</w:t>
      </w:r>
      <w:r w:rsidR="007279DA">
        <w:rPr>
          <w:sz w:val="20"/>
          <w:szCs w:val="20"/>
        </w:rPr>
        <w:t>.</w:t>
      </w:r>
      <w:r w:rsidRPr="004977E3">
        <w:rPr>
          <w:sz w:val="20"/>
          <w:szCs w:val="20"/>
        </w:rPr>
        <w:t xml:space="preserve"> Dostupné z: : </w:t>
      </w:r>
      <w:hyperlink r:id="rId4">
        <w:r w:rsidRPr="004977E3">
          <w:rPr>
            <w:sz w:val="20"/>
            <w:szCs w:val="20"/>
          </w:rPr>
          <w:t>https://www.iurium.cz/denik/denik-odborne-clanky/sekundarni-viktimizace</w:t>
        </w:r>
      </w:hyperlink>
      <w:r w:rsidRPr="004977E3">
        <w:rPr>
          <w:sz w:val="20"/>
          <w:szCs w:val="20"/>
        </w:rPr>
        <w:t xml:space="preserve"> [citováno  7. prosince 2024].</w:t>
      </w:r>
    </w:p>
  </w:footnote>
  <w:footnote w:id="110">
    <w:p w:rsidR="00AF5227" w:rsidRPr="004977E3" w:rsidRDefault="00AF5227" w:rsidP="00F024FF">
      <w:pPr>
        <w:spacing w:line="240" w:lineRule="auto"/>
        <w:ind w:right="567"/>
        <w:rPr>
          <w:sz w:val="20"/>
          <w:szCs w:val="20"/>
        </w:rPr>
      </w:pPr>
      <w:r w:rsidRPr="004977E3">
        <w:rPr>
          <w:sz w:val="20"/>
          <w:szCs w:val="20"/>
          <w:vertAlign w:val="superscript"/>
        </w:rPr>
        <w:footnoteRef/>
      </w:r>
      <w:r w:rsidRPr="004977E3">
        <w:rPr>
          <w:sz w:val="20"/>
          <w:szCs w:val="20"/>
        </w:rPr>
        <w:t xml:space="preserve"> Ustanovení čl 6. </w:t>
      </w:r>
      <w:r w:rsidRPr="004977E3">
        <w:rPr>
          <w:rFonts w:eastAsia="Times New Roman"/>
          <w:sz w:val="20"/>
          <w:szCs w:val="20"/>
        </w:rPr>
        <w:t>Sdělení č. 209/1992 Sb., Sdělení č. 209/1992 Sb. Sdělení federálního ministerstva zahraničních věcí o sjednání Úmluvy o ochraně lidských práv a základních svobod a Protokolů na tuto Úmluvu navazujících.</w:t>
      </w:r>
    </w:p>
  </w:footnote>
  <w:footnote w:id="111">
    <w:p w:rsidR="00AF5227" w:rsidRPr="004977E3" w:rsidRDefault="00AF5227" w:rsidP="00F024FF">
      <w:pPr>
        <w:spacing w:line="240" w:lineRule="auto"/>
        <w:ind w:right="567"/>
        <w:rPr>
          <w:sz w:val="20"/>
          <w:szCs w:val="20"/>
        </w:rPr>
      </w:pPr>
      <w:r w:rsidRPr="004977E3">
        <w:rPr>
          <w:sz w:val="20"/>
          <w:szCs w:val="20"/>
          <w:vertAlign w:val="superscript"/>
        </w:rPr>
        <w:footnoteRef/>
      </w:r>
      <w:r w:rsidRPr="004977E3">
        <w:rPr>
          <w:sz w:val="20"/>
          <w:szCs w:val="20"/>
        </w:rPr>
        <w:t xml:space="preserve"> ESLP: Rozsudek ze dne 2. 9. 1998, </w:t>
      </w:r>
      <w:r w:rsidRPr="004977E3">
        <w:rPr>
          <w:sz w:val="20"/>
          <w:szCs w:val="20"/>
          <w:highlight w:val="white"/>
        </w:rPr>
        <w:t>Kadubec proti Slovensku,</w:t>
      </w:r>
      <w:r w:rsidRPr="004977E3">
        <w:rPr>
          <w:sz w:val="20"/>
          <w:szCs w:val="20"/>
        </w:rPr>
        <w:t xml:space="preserve"> stížnost č.27061/95</w:t>
      </w:r>
      <w:r w:rsidR="007279DA">
        <w:rPr>
          <w:sz w:val="20"/>
          <w:szCs w:val="20"/>
        </w:rPr>
        <w:t>; Dále Rozsudek ze dne</w:t>
      </w:r>
      <w:r w:rsidRPr="004977E3">
        <w:rPr>
          <w:sz w:val="20"/>
          <w:szCs w:val="20"/>
          <w:highlight w:val="white"/>
        </w:rPr>
        <w:t xml:space="preserve"> 21. 10. 1996, Lauko proti Slovensku, stížnost č. 26138/95.</w:t>
      </w:r>
    </w:p>
  </w:footnote>
  <w:footnote w:id="112">
    <w:p w:rsidR="00AF5227" w:rsidRPr="004977E3" w:rsidRDefault="00AF5227" w:rsidP="00F024FF">
      <w:pPr>
        <w:spacing w:line="240" w:lineRule="auto"/>
        <w:ind w:right="567"/>
        <w:rPr>
          <w:sz w:val="20"/>
          <w:szCs w:val="20"/>
        </w:rPr>
      </w:pPr>
      <w:r w:rsidRPr="004977E3">
        <w:rPr>
          <w:sz w:val="20"/>
          <w:szCs w:val="20"/>
          <w:vertAlign w:val="superscript"/>
        </w:rPr>
        <w:footnoteRef/>
      </w:r>
      <w:r w:rsidRPr="004977E3">
        <w:rPr>
          <w:sz w:val="20"/>
          <w:szCs w:val="20"/>
        </w:rPr>
        <w:t xml:space="preserve"> HEPOVÁ, Adéla. </w:t>
      </w:r>
      <w:r w:rsidRPr="004977E3">
        <w:rPr>
          <w:i/>
          <w:sz w:val="20"/>
          <w:szCs w:val="20"/>
        </w:rPr>
        <w:t>Sekundární viktimizace, věrná přítelkyně přestupkového řízení</w:t>
      </w:r>
      <w:r w:rsidRPr="004977E3">
        <w:rPr>
          <w:sz w:val="20"/>
          <w:szCs w:val="20"/>
        </w:rPr>
        <w:t>. Iurium, 2024, [o</w:t>
      </w:r>
      <w:r>
        <w:rPr>
          <w:sz w:val="20"/>
          <w:szCs w:val="20"/>
        </w:rPr>
        <w:t>nline. 6. 1. 2024]. Dostupné z</w:t>
      </w:r>
      <w:r w:rsidRPr="004977E3">
        <w:rPr>
          <w:sz w:val="20"/>
          <w:szCs w:val="20"/>
        </w:rPr>
        <w:t xml:space="preserve"> : </w:t>
      </w:r>
      <w:hyperlink r:id="rId5">
        <w:r w:rsidRPr="004977E3">
          <w:rPr>
            <w:sz w:val="20"/>
            <w:szCs w:val="20"/>
          </w:rPr>
          <w:t>https://www.iurium.cz/denik/denik-odborne-clanky/sekundarni-viktimizace</w:t>
        </w:r>
      </w:hyperlink>
      <w:r w:rsidRPr="004977E3">
        <w:rPr>
          <w:sz w:val="20"/>
          <w:szCs w:val="20"/>
        </w:rPr>
        <w:t xml:space="preserve"> [citováno  7. prosince 2024].</w:t>
      </w:r>
    </w:p>
  </w:footnote>
  <w:footnote w:id="113">
    <w:p w:rsidR="00AF5227" w:rsidRPr="004977E3" w:rsidRDefault="00AF5227" w:rsidP="00F024FF">
      <w:pPr>
        <w:spacing w:line="240" w:lineRule="auto"/>
        <w:ind w:right="567"/>
        <w:rPr>
          <w:sz w:val="20"/>
          <w:szCs w:val="20"/>
        </w:rPr>
      </w:pPr>
      <w:r w:rsidRPr="004977E3">
        <w:rPr>
          <w:sz w:val="20"/>
          <w:szCs w:val="20"/>
          <w:vertAlign w:val="superscript"/>
        </w:rPr>
        <w:footnoteRef/>
      </w:r>
      <w:r w:rsidRPr="004977E3">
        <w:rPr>
          <w:sz w:val="20"/>
          <w:szCs w:val="20"/>
        </w:rPr>
        <w:t xml:space="preserve"> Ustanovení čl. 1, 53, 54, Směrnice Evropského parlamentu a Rady 2012/29/EU ze dne 25. října 2012 , kterou se zavádí minimální pravidla pro práva, podporu a ochranu obětí trestného činu a kterou se nahrazuje rámcové rozhodnutí Rady 2001/220/SVV..</w:t>
      </w:r>
      <w:r w:rsidRPr="004977E3">
        <w:rPr>
          <w:rFonts w:eastAsia="Roboto"/>
          <w:i/>
          <w:sz w:val="20"/>
          <w:szCs w:val="20"/>
          <w:highlight w:val="white"/>
        </w:rPr>
        <w:t xml:space="preserve">Úř. věst. L 315, 14/11/2012.. </w:t>
      </w:r>
      <w:r w:rsidR="007279DA">
        <w:rPr>
          <w:rFonts w:eastAsia="Roboto"/>
          <w:i/>
          <w:sz w:val="20"/>
          <w:szCs w:val="20"/>
          <w:highlight w:val="white"/>
        </w:rPr>
        <w:t>(</w:t>
      </w:r>
      <w:r w:rsidRPr="004977E3">
        <w:rPr>
          <w:rFonts w:eastAsia="Roboto"/>
          <w:i/>
          <w:sz w:val="20"/>
          <w:szCs w:val="20"/>
          <w:highlight w:val="white"/>
        </w:rPr>
        <w:t>Dále jen “Směrnice</w:t>
      </w:r>
      <w:r w:rsidR="007279DA">
        <w:rPr>
          <w:rFonts w:eastAsia="Roboto"/>
          <w:i/>
          <w:sz w:val="20"/>
          <w:szCs w:val="20"/>
          <w:highlight w:val="white"/>
        </w:rPr>
        <w:t>)</w:t>
      </w:r>
      <w:r w:rsidRPr="004977E3">
        <w:rPr>
          <w:rFonts w:eastAsia="Roboto"/>
          <w:i/>
          <w:sz w:val="20"/>
          <w:szCs w:val="20"/>
          <w:highlight w:val="white"/>
        </w:rPr>
        <w:t>”.</w:t>
      </w:r>
    </w:p>
  </w:footnote>
  <w:footnote w:id="114">
    <w:p w:rsidR="00AF5227" w:rsidRPr="004977E3" w:rsidRDefault="00AF5227" w:rsidP="00F024FF">
      <w:pPr>
        <w:spacing w:line="240" w:lineRule="auto"/>
        <w:ind w:right="567"/>
        <w:rPr>
          <w:sz w:val="20"/>
          <w:szCs w:val="20"/>
        </w:rPr>
      </w:pPr>
      <w:r w:rsidRPr="004977E3">
        <w:rPr>
          <w:sz w:val="20"/>
          <w:szCs w:val="20"/>
          <w:vertAlign w:val="superscript"/>
        </w:rPr>
        <w:footnoteRef/>
      </w:r>
      <w:r w:rsidRPr="004977E3">
        <w:rPr>
          <w:sz w:val="20"/>
          <w:szCs w:val="20"/>
        </w:rPr>
        <w:t xml:space="preserve"> JELÍNEK, Jiří, </w:t>
      </w:r>
      <w:r w:rsidRPr="004977E3">
        <w:rPr>
          <w:i/>
          <w:sz w:val="20"/>
          <w:szCs w:val="20"/>
        </w:rPr>
        <w:t>Zákon o obětech Tč. Komentář s Judikaturou</w:t>
      </w:r>
      <w:r w:rsidRPr="004977E3">
        <w:rPr>
          <w:sz w:val="20"/>
          <w:szCs w:val="20"/>
        </w:rPr>
        <w:t>. 2. Vydání, Praha : Leges, 2014, s. 15</w:t>
      </w:r>
      <w:r w:rsidR="007279DA">
        <w:rPr>
          <w:sz w:val="20"/>
          <w:szCs w:val="20"/>
        </w:rPr>
        <w:t>.</w:t>
      </w:r>
    </w:p>
  </w:footnote>
  <w:footnote w:id="115">
    <w:p w:rsidR="00AF5227" w:rsidRPr="004977E3" w:rsidRDefault="00AF5227" w:rsidP="00F024FF">
      <w:pPr>
        <w:spacing w:line="240" w:lineRule="auto"/>
        <w:ind w:right="567"/>
        <w:rPr>
          <w:sz w:val="20"/>
          <w:szCs w:val="20"/>
        </w:rPr>
      </w:pPr>
      <w:r w:rsidRPr="004977E3">
        <w:rPr>
          <w:sz w:val="20"/>
          <w:szCs w:val="20"/>
          <w:vertAlign w:val="superscript"/>
        </w:rPr>
        <w:footnoteRef/>
      </w:r>
      <w:r w:rsidRPr="004977E3">
        <w:rPr>
          <w:sz w:val="20"/>
          <w:szCs w:val="20"/>
        </w:rPr>
        <w:t xml:space="preserve">  HEPOVÁ, Adéla. </w:t>
      </w:r>
      <w:r w:rsidRPr="004977E3">
        <w:rPr>
          <w:i/>
          <w:sz w:val="20"/>
          <w:szCs w:val="20"/>
        </w:rPr>
        <w:t>Není úzké pojetí poškozeného v přestupkovém řízení příliš úzké?.</w:t>
      </w:r>
      <w:r w:rsidRPr="004977E3">
        <w:rPr>
          <w:sz w:val="20"/>
          <w:szCs w:val="20"/>
        </w:rPr>
        <w:t xml:space="preserve"> Právní rozhledy, roč. 32, č. 15-16, 2024, s. 523-524</w:t>
      </w:r>
    </w:p>
  </w:footnote>
  <w:footnote w:id="116">
    <w:p w:rsidR="00AF5227" w:rsidRPr="004977E3" w:rsidRDefault="00AF5227">
      <w:pPr>
        <w:spacing w:line="240" w:lineRule="auto"/>
        <w:rPr>
          <w:sz w:val="20"/>
          <w:szCs w:val="20"/>
        </w:rPr>
      </w:pPr>
      <w:r w:rsidRPr="004977E3">
        <w:rPr>
          <w:sz w:val="20"/>
          <w:szCs w:val="20"/>
          <w:vertAlign w:val="superscript"/>
        </w:rPr>
        <w:footnoteRef/>
      </w:r>
      <w:r w:rsidRPr="004977E3">
        <w:rPr>
          <w:sz w:val="20"/>
          <w:szCs w:val="20"/>
        </w:rPr>
        <w:t xml:space="preserve"> Tamtéž</w:t>
      </w:r>
    </w:p>
  </w:footnote>
  <w:footnote w:id="117">
    <w:p w:rsidR="00AF5227" w:rsidRDefault="00AF5227" w:rsidP="00F024FF">
      <w:pPr>
        <w:spacing w:line="240" w:lineRule="auto"/>
        <w:ind w:right="567"/>
        <w:rPr>
          <w:sz w:val="20"/>
          <w:szCs w:val="20"/>
        </w:rPr>
      </w:pPr>
      <w:r w:rsidRPr="004977E3">
        <w:rPr>
          <w:sz w:val="20"/>
          <w:szCs w:val="20"/>
          <w:vertAlign w:val="superscript"/>
        </w:rPr>
        <w:footnoteRef/>
      </w:r>
      <w:r w:rsidRPr="004977E3">
        <w:rPr>
          <w:sz w:val="20"/>
          <w:szCs w:val="20"/>
        </w:rPr>
        <w:t xml:space="preserve"> Tamtéž</w:t>
      </w:r>
    </w:p>
  </w:footnote>
  <w:footnote w:id="118">
    <w:p w:rsidR="00AF5227" w:rsidRPr="00614E8B" w:rsidRDefault="00AF5227" w:rsidP="00F024FF">
      <w:pPr>
        <w:spacing w:line="240" w:lineRule="auto"/>
        <w:ind w:right="567"/>
        <w:rPr>
          <w:rFonts w:eastAsia="Aptos"/>
          <w:sz w:val="20"/>
          <w:szCs w:val="20"/>
        </w:rPr>
      </w:pPr>
      <w:r w:rsidRPr="00614E8B">
        <w:rPr>
          <w:sz w:val="20"/>
          <w:szCs w:val="20"/>
          <w:vertAlign w:val="superscript"/>
        </w:rPr>
        <w:footnoteRef/>
      </w:r>
      <w:r w:rsidRPr="00614E8B">
        <w:rPr>
          <w:rFonts w:eastAsia="Aptos"/>
          <w:sz w:val="20"/>
          <w:szCs w:val="20"/>
        </w:rPr>
        <w:t xml:space="preserve"> ŠKUREK, Martin. In: FRUMAROVÁ, Kateřina a kol. </w:t>
      </w:r>
      <w:r w:rsidRPr="00614E8B">
        <w:rPr>
          <w:rFonts w:eastAsia="Aptos"/>
          <w:i/>
          <w:sz w:val="20"/>
          <w:szCs w:val="20"/>
        </w:rPr>
        <w:t xml:space="preserve">Správní právo procesní, </w:t>
      </w:r>
      <w:r w:rsidRPr="00614E8B">
        <w:rPr>
          <w:rFonts w:eastAsia="Aptos"/>
          <w:sz w:val="20"/>
          <w:szCs w:val="20"/>
        </w:rPr>
        <w:t>Praha: Leges, 2021, s. 422.</w:t>
      </w:r>
    </w:p>
  </w:footnote>
  <w:footnote w:id="119">
    <w:p w:rsidR="00AF5227" w:rsidRPr="00614E8B" w:rsidRDefault="00AF5227" w:rsidP="00F024FF">
      <w:pPr>
        <w:spacing w:line="240" w:lineRule="auto"/>
        <w:ind w:right="567"/>
        <w:rPr>
          <w:sz w:val="20"/>
          <w:szCs w:val="20"/>
        </w:rPr>
      </w:pPr>
      <w:r w:rsidRPr="00614E8B">
        <w:rPr>
          <w:sz w:val="20"/>
          <w:szCs w:val="20"/>
          <w:vertAlign w:val="superscript"/>
        </w:rPr>
        <w:footnoteRef/>
      </w:r>
      <w:r w:rsidRPr="00614E8B">
        <w:rPr>
          <w:sz w:val="20"/>
          <w:szCs w:val="20"/>
        </w:rPr>
        <w:t xml:space="preserve"> </w:t>
      </w:r>
      <w:r w:rsidRPr="00614E8B">
        <w:rPr>
          <w:rFonts w:eastAsia="Aptos"/>
          <w:sz w:val="20"/>
          <w:szCs w:val="20"/>
        </w:rPr>
        <w:t xml:space="preserve">FRUMAROVÁ, Kateřina. In: FIALA, Zdeněk a kol.. </w:t>
      </w:r>
      <w:r w:rsidRPr="00614E8B">
        <w:rPr>
          <w:rFonts w:eastAsia="Aptos"/>
          <w:i/>
          <w:sz w:val="20"/>
          <w:szCs w:val="20"/>
        </w:rPr>
        <w:t>Správní právo trestní</w:t>
      </w:r>
      <w:r w:rsidRPr="00614E8B">
        <w:rPr>
          <w:rFonts w:eastAsia="Aptos"/>
          <w:sz w:val="20"/>
          <w:szCs w:val="20"/>
        </w:rPr>
        <w:t>, 2. vydání, Praha: Leges, 2021, s. 133.</w:t>
      </w:r>
    </w:p>
  </w:footnote>
  <w:footnote w:id="120">
    <w:p w:rsidR="00AF5227" w:rsidRPr="00614E8B" w:rsidRDefault="00AF5227" w:rsidP="00F024FF">
      <w:pPr>
        <w:spacing w:line="240" w:lineRule="auto"/>
        <w:ind w:right="567"/>
        <w:rPr>
          <w:sz w:val="20"/>
          <w:szCs w:val="20"/>
        </w:rPr>
      </w:pPr>
      <w:r w:rsidRPr="00614E8B">
        <w:rPr>
          <w:sz w:val="20"/>
          <w:szCs w:val="20"/>
          <w:vertAlign w:val="superscript"/>
        </w:rPr>
        <w:footnoteRef/>
      </w:r>
      <w:r w:rsidRPr="00614E8B">
        <w:rPr>
          <w:sz w:val="20"/>
          <w:szCs w:val="20"/>
        </w:rPr>
        <w:t xml:space="preserve"> Ustanovení § 68 zákona písm. b) zákona č. 250/2016 Sb., zákon o odpovědnosti za přestupky a řízení o nich, ve znění pozdějších předpisů.</w:t>
      </w:r>
    </w:p>
  </w:footnote>
  <w:footnote w:id="121">
    <w:p w:rsidR="00AF5227" w:rsidRPr="00614E8B" w:rsidRDefault="00AF5227" w:rsidP="00F024FF">
      <w:pPr>
        <w:spacing w:line="240" w:lineRule="auto"/>
        <w:ind w:right="567"/>
        <w:rPr>
          <w:sz w:val="20"/>
          <w:szCs w:val="20"/>
        </w:rPr>
      </w:pPr>
      <w:r w:rsidRPr="00614E8B">
        <w:rPr>
          <w:sz w:val="20"/>
          <w:szCs w:val="20"/>
          <w:vertAlign w:val="superscript"/>
        </w:rPr>
        <w:footnoteRef/>
      </w:r>
      <w:r w:rsidRPr="00614E8B">
        <w:rPr>
          <w:sz w:val="20"/>
          <w:szCs w:val="20"/>
        </w:rPr>
        <w:t xml:space="preserve"> MADLEŇÁKOVÁ, Lucia, MI</w:t>
      </w:r>
      <w:r w:rsidR="007279DA" w:rsidRPr="00614E8B">
        <w:rPr>
          <w:sz w:val="20"/>
          <w:szCs w:val="20"/>
        </w:rPr>
        <w:t>Č</w:t>
      </w:r>
      <w:r w:rsidRPr="00614E8B">
        <w:rPr>
          <w:sz w:val="20"/>
          <w:szCs w:val="20"/>
        </w:rPr>
        <w:t xml:space="preserve">KALOVÁ, Lenka. </w:t>
      </w:r>
      <w:r w:rsidRPr="00614E8B">
        <w:rPr>
          <w:i/>
          <w:sz w:val="20"/>
          <w:szCs w:val="20"/>
        </w:rPr>
        <w:t>Tvrzený účastník - poškozený v řízení o přestupku</w:t>
      </w:r>
      <w:r w:rsidRPr="00614E8B">
        <w:rPr>
          <w:sz w:val="20"/>
          <w:szCs w:val="20"/>
        </w:rPr>
        <w:t>. Správní právo, 2016, roč. 49, č. 3, s. 463.</w:t>
      </w:r>
    </w:p>
  </w:footnote>
  <w:footnote w:id="122">
    <w:p w:rsidR="00AF5227" w:rsidRPr="00614E8B" w:rsidRDefault="00AF5227" w:rsidP="00F024FF">
      <w:pPr>
        <w:spacing w:line="240" w:lineRule="auto"/>
        <w:ind w:right="567"/>
        <w:rPr>
          <w:sz w:val="20"/>
          <w:szCs w:val="20"/>
        </w:rPr>
      </w:pPr>
      <w:r w:rsidRPr="00614E8B">
        <w:rPr>
          <w:sz w:val="20"/>
          <w:szCs w:val="20"/>
          <w:vertAlign w:val="superscript"/>
        </w:rPr>
        <w:footnoteRef/>
      </w:r>
      <w:r w:rsidRPr="00614E8B">
        <w:rPr>
          <w:sz w:val="20"/>
          <w:szCs w:val="20"/>
        </w:rPr>
        <w:t xml:space="preserve"> </w:t>
      </w:r>
      <w:r w:rsidRPr="00614E8B">
        <w:rPr>
          <w:rFonts w:eastAsia="Aptos"/>
          <w:sz w:val="20"/>
          <w:szCs w:val="20"/>
        </w:rPr>
        <w:t xml:space="preserve">PRÁŠKOVÁ, Helena. </w:t>
      </w:r>
      <w:r w:rsidRPr="00614E8B">
        <w:rPr>
          <w:rFonts w:eastAsia="Aptos"/>
          <w:i/>
          <w:sz w:val="20"/>
          <w:szCs w:val="20"/>
        </w:rPr>
        <w:t xml:space="preserve">Přestupkové právo. </w:t>
      </w:r>
      <w:r w:rsidRPr="00614E8B">
        <w:rPr>
          <w:rFonts w:eastAsia="Aptos"/>
          <w:sz w:val="20"/>
          <w:szCs w:val="20"/>
        </w:rPr>
        <w:t>2. vydání</w:t>
      </w:r>
      <w:r w:rsidRPr="00614E8B">
        <w:rPr>
          <w:rFonts w:eastAsia="Aptos"/>
          <w:i/>
          <w:sz w:val="20"/>
          <w:szCs w:val="20"/>
        </w:rPr>
        <w:t xml:space="preserve">. </w:t>
      </w:r>
      <w:r w:rsidRPr="00614E8B">
        <w:rPr>
          <w:rFonts w:eastAsia="Aptos"/>
          <w:sz w:val="20"/>
          <w:szCs w:val="20"/>
        </w:rPr>
        <w:t xml:space="preserve">Praha: Leges, 2022, s. </w:t>
      </w:r>
      <w:r w:rsidRPr="00614E8B">
        <w:rPr>
          <w:sz w:val="20"/>
          <w:szCs w:val="20"/>
        </w:rPr>
        <w:t>387.</w:t>
      </w:r>
    </w:p>
  </w:footnote>
  <w:footnote w:id="123">
    <w:p w:rsidR="00AF5227" w:rsidRPr="00614E8B" w:rsidRDefault="00AF5227" w:rsidP="00F024FF">
      <w:pPr>
        <w:spacing w:line="240" w:lineRule="auto"/>
        <w:ind w:right="567"/>
        <w:rPr>
          <w:rFonts w:eastAsia="Aptos"/>
          <w:sz w:val="20"/>
          <w:szCs w:val="20"/>
        </w:rPr>
      </w:pPr>
      <w:r w:rsidRPr="00614E8B">
        <w:rPr>
          <w:sz w:val="20"/>
          <w:szCs w:val="20"/>
          <w:vertAlign w:val="superscript"/>
        </w:rPr>
        <w:footnoteRef/>
      </w:r>
      <w:r w:rsidRPr="00614E8B">
        <w:rPr>
          <w:rFonts w:eastAsia="Aptos"/>
          <w:sz w:val="20"/>
          <w:szCs w:val="20"/>
        </w:rPr>
        <w:t xml:space="preserve"> Ustanovení § 70 odst. 2. zákona </w:t>
      </w:r>
      <w:r w:rsidRPr="00614E8B">
        <w:rPr>
          <w:sz w:val="20"/>
          <w:szCs w:val="20"/>
        </w:rPr>
        <w:t>zákona č. 250/2016 Sb., zákon o odpovědnosti za přestupky a řízení o nich, ve znění pozdějších předpisů.</w:t>
      </w:r>
    </w:p>
  </w:footnote>
  <w:footnote w:id="124">
    <w:p w:rsidR="00AF5227" w:rsidRPr="00614E8B" w:rsidRDefault="00AF5227" w:rsidP="00F024FF">
      <w:pPr>
        <w:spacing w:line="240" w:lineRule="auto"/>
        <w:ind w:right="567"/>
        <w:rPr>
          <w:sz w:val="20"/>
          <w:szCs w:val="20"/>
        </w:rPr>
      </w:pPr>
      <w:r w:rsidRPr="00614E8B">
        <w:rPr>
          <w:sz w:val="20"/>
          <w:szCs w:val="20"/>
          <w:vertAlign w:val="superscript"/>
        </w:rPr>
        <w:footnoteRef/>
      </w:r>
      <w:r w:rsidRPr="00614E8B">
        <w:rPr>
          <w:sz w:val="20"/>
          <w:szCs w:val="20"/>
        </w:rPr>
        <w:t xml:space="preserve"> JEMELKA, Luboš. In: JEMELKA, Luboš, VETEŠNÍK, Pavel. </w:t>
      </w:r>
      <w:r w:rsidRPr="00614E8B">
        <w:rPr>
          <w:i/>
          <w:sz w:val="20"/>
          <w:szCs w:val="20"/>
        </w:rPr>
        <w:t>Zákon o odpovědnosti za přestupky a řízení o nich. Zákon o některých přestupcích. Komentář.</w:t>
      </w:r>
      <w:r w:rsidRPr="00614E8B">
        <w:rPr>
          <w:sz w:val="20"/>
          <w:szCs w:val="20"/>
        </w:rPr>
        <w:t xml:space="preserve"> 2. vydání. Praha: C.H. Beck, 2020, s. 545 . K trestnímu řízení srov. </w:t>
      </w:r>
      <w:r w:rsidRPr="00614E8B">
        <w:rPr>
          <w:rFonts w:eastAsia="Aptos"/>
          <w:sz w:val="20"/>
          <w:szCs w:val="20"/>
        </w:rPr>
        <w:t>ŠÁMAL, Pavel. In: ŠÁMAL, Pavel a kol.</w:t>
      </w:r>
      <w:r w:rsidRPr="00614E8B">
        <w:rPr>
          <w:rFonts w:eastAsia="Aptos"/>
          <w:i/>
          <w:sz w:val="20"/>
          <w:szCs w:val="20"/>
        </w:rPr>
        <w:t xml:space="preserve"> Trestní řád I. § 1 až 156. Komentář.</w:t>
      </w:r>
      <w:r w:rsidRPr="00614E8B">
        <w:rPr>
          <w:rFonts w:eastAsia="Aptos"/>
          <w:sz w:val="20"/>
          <w:szCs w:val="20"/>
        </w:rPr>
        <w:t xml:space="preserve"> 7 vydání. Praha: C.H. Beck, 2013, s. 509.</w:t>
      </w:r>
    </w:p>
  </w:footnote>
  <w:footnote w:id="125">
    <w:p w:rsidR="00AF5227" w:rsidRDefault="00AF5227" w:rsidP="00F024FF">
      <w:pPr>
        <w:spacing w:line="240" w:lineRule="auto"/>
        <w:ind w:right="567"/>
        <w:rPr>
          <w:rFonts w:ascii="Aptos" w:eastAsia="Aptos" w:hAnsi="Aptos" w:cs="Aptos"/>
          <w:sz w:val="20"/>
          <w:szCs w:val="20"/>
        </w:rPr>
      </w:pPr>
      <w:r w:rsidRPr="00614E8B">
        <w:rPr>
          <w:sz w:val="20"/>
          <w:szCs w:val="20"/>
          <w:vertAlign w:val="superscript"/>
        </w:rPr>
        <w:footnoteRef/>
      </w:r>
      <w:r w:rsidRPr="00614E8B">
        <w:rPr>
          <w:rFonts w:eastAsia="Aptos"/>
          <w:sz w:val="20"/>
          <w:szCs w:val="20"/>
        </w:rPr>
        <w:t xml:space="preserve"> Ustanovení § 43 odst. 1 věta první zákona č. 141/1961 Sb., zákon o trestním řízením soudním, ve znění pozdějších předpisů.</w:t>
      </w:r>
    </w:p>
  </w:footnote>
  <w:footnote w:id="126">
    <w:p w:rsidR="00AF5227" w:rsidRPr="007A76F9" w:rsidRDefault="00AF5227" w:rsidP="00F024FF">
      <w:pPr>
        <w:spacing w:line="240" w:lineRule="auto"/>
        <w:ind w:right="567"/>
        <w:rPr>
          <w:sz w:val="20"/>
          <w:szCs w:val="20"/>
        </w:rPr>
      </w:pPr>
      <w:r w:rsidRPr="007A76F9">
        <w:rPr>
          <w:sz w:val="20"/>
          <w:szCs w:val="20"/>
          <w:vertAlign w:val="superscript"/>
        </w:rPr>
        <w:footnoteRef/>
      </w:r>
      <w:r w:rsidRPr="007A76F9">
        <w:rPr>
          <w:sz w:val="20"/>
          <w:szCs w:val="20"/>
        </w:rPr>
        <w:t xml:space="preserve"> HEPOVÁ, Adéla. </w:t>
      </w:r>
      <w:r w:rsidRPr="007A76F9">
        <w:rPr>
          <w:i/>
          <w:sz w:val="20"/>
          <w:szCs w:val="20"/>
        </w:rPr>
        <w:t>Není úzké pojetí poškozeného v přestupkovém řízení příliš úzké?.</w:t>
      </w:r>
      <w:r w:rsidRPr="007A76F9">
        <w:rPr>
          <w:sz w:val="20"/>
          <w:szCs w:val="20"/>
        </w:rPr>
        <w:t xml:space="preserve"> Právní rozhledy, roč. 32, č. 15-16, 2024, s. 520, pozn. pod čarou č. 5.</w:t>
      </w:r>
    </w:p>
  </w:footnote>
  <w:footnote w:id="127">
    <w:p w:rsidR="00AF5227" w:rsidRPr="007A76F9" w:rsidRDefault="00AF5227" w:rsidP="00F024FF">
      <w:pPr>
        <w:spacing w:line="240" w:lineRule="auto"/>
        <w:ind w:right="567"/>
        <w:rPr>
          <w:sz w:val="20"/>
          <w:szCs w:val="20"/>
        </w:rPr>
      </w:pPr>
      <w:r w:rsidRPr="007A76F9">
        <w:rPr>
          <w:sz w:val="20"/>
          <w:szCs w:val="20"/>
          <w:vertAlign w:val="superscript"/>
        </w:rPr>
        <w:footnoteRef/>
      </w:r>
      <w:r w:rsidRPr="007A76F9">
        <w:rPr>
          <w:rFonts w:eastAsia="Aptos"/>
          <w:sz w:val="20"/>
          <w:szCs w:val="20"/>
        </w:rPr>
        <w:t xml:space="preserve"> ŠÁMAL, Pavel. In: ŠÁMAL, Pavel a kol.</w:t>
      </w:r>
      <w:r w:rsidRPr="007A76F9">
        <w:rPr>
          <w:rFonts w:eastAsia="Aptos"/>
          <w:i/>
          <w:sz w:val="20"/>
          <w:szCs w:val="20"/>
        </w:rPr>
        <w:t xml:space="preserve"> Trestní řád I. § 1 až 156. Komentář.</w:t>
      </w:r>
      <w:r w:rsidRPr="007A76F9">
        <w:rPr>
          <w:rFonts w:eastAsia="Aptos"/>
          <w:sz w:val="20"/>
          <w:szCs w:val="20"/>
        </w:rPr>
        <w:t xml:space="preserve"> 7 vydání. Praha: C.H. Beck, 2013, s.</w:t>
      </w:r>
      <w:r w:rsidRPr="007A76F9">
        <w:rPr>
          <w:sz w:val="20"/>
          <w:szCs w:val="20"/>
        </w:rPr>
        <w:t xml:space="preserve"> 509.</w:t>
      </w:r>
    </w:p>
  </w:footnote>
  <w:footnote w:id="128">
    <w:p w:rsidR="00AF5227" w:rsidRPr="007A76F9" w:rsidRDefault="00AF5227" w:rsidP="00F024FF">
      <w:pPr>
        <w:spacing w:line="240" w:lineRule="auto"/>
        <w:ind w:right="567"/>
        <w:rPr>
          <w:sz w:val="20"/>
          <w:szCs w:val="20"/>
        </w:rPr>
      </w:pPr>
      <w:r w:rsidRPr="007A76F9">
        <w:rPr>
          <w:sz w:val="20"/>
          <w:szCs w:val="20"/>
          <w:vertAlign w:val="superscript"/>
        </w:rPr>
        <w:footnoteRef/>
      </w:r>
      <w:r w:rsidRPr="007A76F9">
        <w:rPr>
          <w:sz w:val="20"/>
          <w:szCs w:val="20"/>
        </w:rPr>
        <w:t xml:space="preserve"> </w:t>
      </w:r>
      <w:r w:rsidRPr="007A76F9">
        <w:rPr>
          <w:rFonts w:eastAsia="Aptos"/>
          <w:sz w:val="20"/>
          <w:szCs w:val="20"/>
        </w:rPr>
        <w:t xml:space="preserve">PRÁŠKOVÁ, Helena. </w:t>
      </w:r>
      <w:r w:rsidRPr="007A76F9">
        <w:rPr>
          <w:rFonts w:eastAsia="Aptos"/>
          <w:i/>
          <w:sz w:val="20"/>
          <w:szCs w:val="20"/>
        </w:rPr>
        <w:t xml:space="preserve">Přestupkové právo. </w:t>
      </w:r>
      <w:r w:rsidRPr="007A76F9">
        <w:rPr>
          <w:rFonts w:eastAsia="Aptos"/>
          <w:sz w:val="20"/>
          <w:szCs w:val="20"/>
        </w:rPr>
        <w:t>2. vydání</w:t>
      </w:r>
      <w:r w:rsidRPr="007A76F9">
        <w:rPr>
          <w:rFonts w:eastAsia="Aptos"/>
          <w:i/>
          <w:sz w:val="20"/>
          <w:szCs w:val="20"/>
        </w:rPr>
        <w:t xml:space="preserve">. </w:t>
      </w:r>
      <w:r w:rsidRPr="007A76F9">
        <w:rPr>
          <w:rFonts w:eastAsia="Aptos"/>
          <w:sz w:val="20"/>
          <w:szCs w:val="20"/>
        </w:rPr>
        <w:t xml:space="preserve">Praha: Leges, 2022, s. </w:t>
      </w:r>
      <w:r w:rsidRPr="007A76F9">
        <w:rPr>
          <w:sz w:val="20"/>
          <w:szCs w:val="20"/>
        </w:rPr>
        <w:t>386.</w:t>
      </w:r>
    </w:p>
  </w:footnote>
  <w:footnote w:id="129">
    <w:p w:rsidR="00AF5227" w:rsidRPr="007A76F9" w:rsidRDefault="00AF5227" w:rsidP="00F024FF">
      <w:pPr>
        <w:spacing w:line="240" w:lineRule="auto"/>
        <w:ind w:right="567"/>
        <w:rPr>
          <w:sz w:val="20"/>
          <w:szCs w:val="20"/>
        </w:rPr>
      </w:pPr>
      <w:r w:rsidRPr="007A76F9">
        <w:rPr>
          <w:sz w:val="20"/>
          <w:szCs w:val="20"/>
          <w:vertAlign w:val="superscript"/>
        </w:rPr>
        <w:footnoteRef/>
      </w:r>
      <w:r w:rsidRPr="007A76F9">
        <w:rPr>
          <w:sz w:val="20"/>
          <w:szCs w:val="20"/>
        </w:rPr>
        <w:t xml:space="preserve"> Tamtéž.</w:t>
      </w:r>
    </w:p>
  </w:footnote>
  <w:footnote w:id="130">
    <w:p w:rsidR="00AF5227" w:rsidRPr="007A76F9" w:rsidRDefault="00AF5227" w:rsidP="007A76F9">
      <w:pPr>
        <w:spacing w:line="240" w:lineRule="auto"/>
        <w:rPr>
          <w:sz w:val="20"/>
          <w:szCs w:val="20"/>
        </w:rPr>
      </w:pPr>
      <w:r w:rsidRPr="007A76F9">
        <w:rPr>
          <w:sz w:val="20"/>
          <w:szCs w:val="20"/>
          <w:vertAlign w:val="superscript"/>
        </w:rPr>
        <w:footnoteRef/>
      </w:r>
      <w:r w:rsidRPr="007A76F9">
        <w:rPr>
          <w:sz w:val="20"/>
          <w:szCs w:val="20"/>
        </w:rPr>
        <w:t xml:space="preserve"> Tamtéž.</w:t>
      </w:r>
    </w:p>
  </w:footnote>
  <w:footnote w:id="131">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Ustanovení § 70 odst. 2 zákona č. 250/2016 Sb., zákon o odpovědnosti za přestupky a řízení o nich, ve znění pozdějších předpisů.</w:t>
      </w:r>
    </w:p>
  </w:footnote>
  <w:footnote w:id="132">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MELZER, Filip. In: a kol. </w:t>
      </w:r>
      <w:r w:rsidRPr="007A76F9">
        <w:rPr>
          <w:i/>
          <w:sz w:val="20"/>
          <w:szCs w:val="20"/>
        </w:rPr>
        <w:t>Občanský zákoník. Velký komentář</w:t>
      </w:r>
      <w:r w:rsidRPr="007A76F9">
        <w:rPr>
          <w:sz w:val="20"/>
          <w:szCs w:val="20"/>
        </w:rPr>
        <w:t>.</w:t>
      </w:r>
      <w:r w:rsidRPr="007A76F9">
        <w:rPr>
          <w:i/>
          <w:sz w:val="20"/>
          <w:szCs w:val="20"/>
        </w:rPr>
        <w:t xml:space="preserve"> § 2894 - 3081</w:t>
      </w:r>
      <w:r w:rsidRPr="007A76F9">
        <w:rPr>
          <w:sz w:val="20"/>
          <w:szCs w:val="20"/>
        </w:rPr>
        <w:t>, Praha: Leges, 2018, s. 23-24</w:t>
      </w:r>
    </w:p>
  </w:footnote>
  <w:footnote w:id="133">
    <w:p w:rsidR="00AF5227" w:rsidRPr="007A76F9" w:rsidRDefault="00AF5227" w:rsidP="006A3693">
      <w:pPr>
        <w:spacing w:line="240" w:lineRule="auto"/>
        <w:ind w:right="567"/>
        <w:rPr>
          <w:sz w:val="20"/>
          <w:szCs w:val="20"/>
        </w:rPr>
      </w:pPr>
      <w:r w:rsidRPr="007A76F9">
        <w:rPr>
          <w:sz w:val="20"/>
          <w:szCs w:val="20"/>
          <w:vertAlign w:val="superscript"/>
        </w:rPr>
        <w:footnoteRef/>
      </w:r>
      <w:r>
        <w:rPr>
          <w:sz w:val="20"/>
          <w:szCs w:val="20"/>
        </w:rPr>
        <w:t xml:space="preserve"> Tamtéž, </w:t>
      </w:r>
      <w:r w:rsidRPr="007A76F9">
        <w:rPr>
          <w:sz w:val="20"/>
          <w:szCs w:val="20"/>
        </w:rPr>
        <w:t>s. 27.</w:t>
      </w:r>
    </w:p>
  </w:footnote>
  <w:footnote w:id="134">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Ustanovení § 495 zákona č. 89/2012 Sb., občanský zákoník, ve znění pozdějších předpisů.</w:t>
      </w:r>
    </w:p>
  </w:footnote>
  <w:footnote w:id="135">
    <w:p w:rsidR="00AF5227"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MELZER, Filip. In: MELZER, Filip a kol.</w:t>
      </w:r>
      <w:r w:rsidRPr="007A76F9">
        <w:rPr>
          <w:i/>
          <w:sz w:val="20"/>
          <w:szCs w:val="20"/>
        </w:rPr>
        <w:t xml:space="preserve"> Občanský zákoník. Velký komentář. § 2894 - 3081</w:t>
      </w:r>
      <w:r w:rsidRPr="007A76F9">
        <w:rPr>
          <w:sz w:val="20"/>
          <w:szCs w:val="20"/>
        </w:rPr>
        <w:t>, Praha: Leges, 2018, s. 30.</w:t>
      </w:r>
    </w:p>
  </w:footnote>
  <w:footnote w:id="136">
    <w:p w:rsidR="00AF5227" w:rsidRPr="007A76F9" w:rsidRDefault="00AF5227" w:rsidP="006A3693">
      <w:pPr>
        <w:spacing w:line="240" w:lineRule="auto"/>
        <w:ind w:right="567"/>
        <w:rPr>
          <w:sz w:val="20"/>
          <w:szCs w:val="20"/>
          <w:u w:val="single"/>
        </w:rPr>
      </w:pPr>
      <w:r w:rsidRPr="007A76F9">
        <w:rPr>
          <w:sz w:val="20"/>
          <w:szCs w:val="20"/>
          <w:vertAlign w:val="superscript"/>
        </w:rPr>
        <w:footnoteRef/>
      </w:r>
      <w:r w:rsidRPr="007A76F9">
        <w:rPr>
          <w:sz w:val="20"/>
          <w:szCs w:val="20"/>
        </w:rPr>
        <w:t xml:space="preserve"> Stanovisko Veřejného ochránce práv ze dne 6. 12. 2007  č. j. 2840/2007/VBG., [online], [citováno 26. 6. 2024]  dostupné z: </w:t>
      </w:r>
      <w:hyperlink r:id="rId6">
        <w:r w:rsidRPr="007A76F9">
          <w:rPr>
            <w:sz w:val="20"/>
            <w:szCs w:val="20"/>
            <w:u w:val="single"/>
          </w:rPr>
          <w:t>https://www.ochrance.cz/vystupy/edice-stanoviska/Prestupky.pdf</w:t>
        </w:r>
      </w:hyperlink>
      <w:r w:rsidRPr="007A76F9">
        <w:rPr>
          <w:sz w:val="20"/>
          <w:szCs w:val="20"/>
          <w:u w:val="single"/>
        </w:rPr>
        <w:t xml:space="preserve"> </w:t>
      </w:r>
    </w:p>
  </w:footnote>
  <w:footnote w:id="137">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w:t>
      </w:r>
      <w:r w:rsidRPr="007A76F9">
        <w:rPr>
          <w:rFonts w:eastAsia="Aptos"/>
          <w:sz w:val="20"/>
          <w:szCs w:val="20"/>
        </w:rPr>
        <w:t xml:space="preserve">PRÁŠKOVÁ, Helena. </w:t>
      </w:r>
      <w:r w:rsidRPr="007A76F9">
        <w:rPr>
          <w:rFonts w:eastAsia="Aptos"/>
          <w:i/>
          <w:sz w:val="20"/>
          <w:szCs w:val="20"/>
        </w:rPr>
        <w:t xml:space="preserve">Přestupkové právo. </w:t>
      </w:r>
      <w:r w:rsidRPr="007A76F9">
        <w:rPr>
          <w:rFonts w:eastAsia="Aptos"/>
          <w:sz w:val="20"/>
          <w:szCs w:val="20"/>
        </w:rPr>
        <w:t>2. vydání</w:t>
      </w:r>
      <w:r w:rsidRPr="007A76F9">
        <w:rPr>
          <w:rFonts w:eastAsia="Aptos"/>
          <w:i/>
          <w:sz w:val="20"/>
          <w:szCs w:val="20"/>
        </w:rPr>
        <w:t xml:space="preserve">. </w:t>
      </w:r>
      <w:r w:rsidRPr="007A76F9">
        <w:rPr>
          <w:rFonts w:eastAsia="Aptos"/>
          <w:sz w:val="20"/>
          <w:szCs w:val="20"/>
        </w:rPr>
        <w:t>Praha: Leges, 2022, s.</w:t>
      </w:r>
      <w:r w:rsidRPr="007A76F9">
        <w:rPr>
          <w:sz w:val="20"/>
          <w:szCs w:val="20"/>
        </w:rPr>
        <w:t xml:space="preserve"> 485.</w:t>
      </w:r>
    </w:p>
  </w:footnote>
  <w:footnote w:id="138">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Ustanovení § 70 odst. 2 zákona č. 250/2016 Sb., zákon o odpovědnosti za přestupky a řízení o nich, ve znění pozdějších předpisů.</w:t>
      </w:r>
    </w:p>
  </w:footnote>
  <w:footnote w:id="139">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w:t>
      </w:r>
      <w:r w:rsidRPr="007A76F9">
        <w:rPr>
          <w:rFonts w:eastAsia="Aptos"/>
          <w:sz w:val="20"/>
          <w:szCs w:val="20"/>
        </w:rPr>
        <w:t xml:space="preserve">KUČEROVÁ, Helena, HORZINKOVÁ, Eva. </w:t>
      </w:r>
      <w:r w:rsidRPr="007A76F9">
        <w:rPr>
          <w:rFonts w:eastAsia="Aptos"/>
          <w:i/>
          <w:sz w:val="20"/>
          <w:szCs w:val="20"/>
        </w:rPr>
        <w:t xml:space="preserve">Zákon o odpovědnosti za přestupky a řízení o nich a zákon o některých přestupcích s komentářem a judikaturou. </w:t>
      </w:r>
      <w:r w:rsidRPr="007A76F9">
        <w:rPr>
          <w:rFonts w:eastAsia="Aptos"/>
          <w:sz w:val="20"/>
          <w:szCs w:val="20"/>
        </w:rPr>
        <w:t>2. vydání</w:t>
      </w:r>
      <w:r w:rsidRPr="007A76F9">
        <w:rPr>
          <w:rFonts w:eastAsia="Aptos"/>
          <w:i/>
          <w:sz w:val="20"/>
          <w:szCs w:val="20"/>
        </w:rPr>
        <w:t xml:space="preserve">. </w:t>
      </w:r>
      <w:r w:rsidRPr="007A76F9">
        <w:rPr>
          <w:rFonts w:eastAsia="Aptos"/>
          <w:sz w:val="20"/>
          <w:szCs w:val="20"/>
        </w:rPr>
        <w:t>Praha: Leges, 2019,</w:t>
      </w:r>
      <w:r w:rsidRPr="007A76F9">
        <w:rPr>
          <w:rFonts w:eastAsia="Aptos"/>
          <w:i/>
          <w:sz w:val="20"/>
          <w:szCs w:val="20"/>
        </w:rPr>
        <w:t xml:space="preserve"> </w:t>
      </w:r>
      <w:r w:rsidRPr="007A76F9">
        <w:rPr>
          <w:rFonts w:eastAsia="Aptos"/>
          <w:sz w:val="20"/>
          <w:szCs w:val="20"/>
        </w:rPr>
        <w:t>s</w:t>
      </w:r>
      <w:r w:rsidRPr="007A76F9">
        <w:rPr>
          <w:rFonts w:eastAsia="Aptos"/>
          <w:i/>
          <w:sz w:val="20"/>
          <w:szCs w:val="20"/>
        </w:rPr>
        <w:t>.</w:t>
      </w:r>
      <w:r w:rsidRPr="007A76F9">
        <w:rPr>
          <w:sz w:val="20"/>
          <w:szCs w:val="20"/>
        </w:rPr>
        <w:t xml:space="preserve"> 398. </w:t>
      </w:r>
    </w:p>
  </w:footnote>
  <w:footnote w:id="140">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MELZER, Filip. In: MELZER, Filip a kol. Občanský zákoník. Velký komentář. § 2894 - 3081, Praha: Leges, 2018, s. 1239.</w:t>
      </w:r>
    </w:p>
  </w:footnote>
  <w:footnote w:id="141">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w:t>
      </w:r>
      <w:r w:rsidRPr="007A76F9">
        <w:rPr>
          <w:rFonts w:eastAsia="Aptos"/>
          <w:sz w:val="20"/>
          <w:szCs w:val="20"/>
        </w:rPr>
        <w:t xml:space="preserve">PRÁŠKOVÁ, Helena. </w:t>
      </w:r>
      <w:r w:rsidRPr="007A76F9">
        <w:rPr>
          <w:rFonts w:eastAsia="Aptos"/>
          <w:i/>
          <w:sz w:val="20"/>
          <w:szCs w:val="20"/>
        </w:rPr>
        <w:t xml:space="preserve">Přestupkové právo. </w:t>
      </w:r>
      <w:r w:rsidRPr="007A76F9">
        <w:rPr>
          <w:rFonts w:eastAsia="Aptos"/>
          <w:sz w:val="20"/>
          <w:szCs w:val="20"/>
        </w:rPr>
        <w:t>2. vydání</w:t>
      </w:r>
      <w:r w:rsidRPr="007A76F9">
        <w:rPr>
          <w:rFonts w:eastAsia="Aptos"/>
          <w:i/>
          <w:sz w:val="20"/>
          <w:szCs w:val="20"/>
        </w:rPr>
        <w:t xml:space="preserve">. </w:t>
      </w:r>
      <w:r w:rsidRPr="007A76F9">
        <w:rPr>
          <w:rFonts w:eastAsia="Aptos"/>
          <w:sz w:val="20"/>
          <w:szCs w:val="20"/>
        </w:rPr>
        <w:t>Praha: Leges, 2022, s.</w:t>
      </w:r>
      <w:r w:rsidRPr="007A76F9">
        <w:rPr>
          <w:rFonts w:eastAsia="Aptos"/>
          <w:i/>
          <w:sz w:val="20"/>
          <w:szCs w:val="20"/>
        </w:rPr>
        <w:t xml:space="preserve"> </w:t>
      </w:r>
      <w:r w:rsidRPr="007A76F9">
        <w:rPr>
          <w:rFonts w:eastAsia="Aptos"/>
          <w:sz w:val="20"/>
          <w:szCs w:val="20"/>
        </w:rPr>
        <w:t>484.</w:t>
      </w:r>
    </w:p>
  </w:footnote>
  <w:footnote w:id="142">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MELZER, Filip. In: MELZER, Filip a kol. Občanský zákoník. Velký komentář. § 2894 - 3081, Praha: Leges, 2018, s. 375.</w:t>
      </w:r>
    </w:p>
  </w:footnote>
  <w:footnote w:id="143">
    <w:p w:rsidR="00AF5227" w:rsidRPr="007A76F9" w:rsidRDefault="00AF5227" w:rsidP="006A3693">
      <w:pPr>
        <w:spacing w:line="240" w:lineRule="auto"/>
        <w:ind w:right="567"/>
        <w:rPr>
          <w:color w:val="00FF00"/>
          <w:sz w:val="20"/>
          <w:szCs w:val="20"/>
        </w:rPr>
      </w:pPr>
      <w:r w:rsidRPr="007A76F9">
        <w:rPr>
          <w:sz w:val="20"/>
          <w:szCs w:val="20"/>
          <w:vertAlign w:val="superscript"/>
        </w:rPr>
        <w:footnoteRef/>
      </w:r>
      <w:r w:rsidRPr="007A76F9">
        <w:rPr>
          <w:sz w:val="20"/>
          <w:szCs w:val="20"/>
        </w:rPr>
        <w:t xml:space="preserve"> </w:t>
      </w:r>
      <w:r w:rsidRPr="007A76F9">
        <w:rPr>
          <w:rFonts w:eastAsia="Aptos"/>
          <w:sz w:val="20"/>
          <w:szCs w:val="20"/>
        </w:rPr>
        <w:t xml:space="preserve">PRÁŠKOVÁ, Helena. </w:t>
      </w:r>
      <w:r w:rsidRPr="007A76F9">
        <w:rPr>
          <w:rFonts w:eastAsia="Aptos"/>
          <w:i/>
          <w:sz w:val="20"/>
          <w:szCs w:val="20"/>
        </w:rPr>
        <w:t xml:space="preserve">Přestupkové právo. </w:t>
      </w:r>
      <w:r w:rsidRPr="007A76F9">
        <w:rPr>
          <w:rFonts w:eastAsia="Aptos"/>
          <w:sz w:val="20"/>
          <w:szCs w:val="20"/>
        </w:rPr>
        <w:t>2. vydání</w:t>
      </w:r>
      <w:r w:rsidRPr="007A76F9">
        <w:rPr>
          <w:rFonts w:eastAsia="Aptos"/>
          <w:i/>
          <w:sz w:val="20"/>
          <w:szCs w:val="20"/>
        </w:rPr>
        <w:t xml:space="preserve">. </w:t>
      </w:r>
      <w:r w:rsidRPr="007A76F9">
        <w:rPr>
          <w:rFonts w:eastAsia="Aptos"/>
          <w:sz w:val="20"/>
          <w:szCs w:val="20"/>
        </w:rPr>
        <w:t>Praha: Leges, 2022, s.</w:t>
      </w:r>
      <w:r w:rsidRPr="007A76F9">
        <w:rPr>
          <w:rFonts w:eastAsia="Aptos"/>
          <w:i/>
          <w:sz w:val="20"/>
          <w:szCs w:val="20"/>
        </w:rPr>
        <w:t xml:space="preserve"> </w:t>
      </w:r>
      <w:r w:rsidRPr="007A76F9">
        <w:rPr>
          <w:rFonts w:eastAsia="Aptos"/>
          <w:sz w:val="20"/>
          <w:szCs w:val="20"/>
        </w:rPr>
        <w:t>484.</w:t>
      </w:r>
    </w:p>
  </w:footnote>
  <w:footnote w:id="144">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w:t>
      </w:r>
      <w:r w:rsidRPr="007A76F9">
        <w:rPr>
          <w:rFonts w:eastAsia="Aptos"/>
          <w:sz w:val="20"/>
          <w:szCs w:val="20"/>
        </w:rPr>
        <w:t>ŠÁMAL, Pavel. In: ŠÁMAL, Pavel a kol.</w:t>
      </w:r>
      <w:r w:rsidRPr="007A76F9">
        <w:rPr>
          <w:rFonts w:eastAsia="Aptos"/>
          <w:i/>
          <w:sz w:val="20"/>
          <w:szCs w:val="20"/>
        </w:rPr>
        <w:t xml:space="preserve"> Trestní řád I. § 1 až 156. Komentář.</w:t>
      </w:r>
      <w:r w:rsidRPr="007A76F9">
        <w:rPr>
          <w:rFonts w:eastAsia="Aptos"/>
          <w:sz w:val="20"/>
          <w:szCs w:val="20"/>
        </w:rPr>
        <w:t xml:space="preserve"> 7 vydání. Praha: C.H. Beck, 2013 s.</w:t>
      </w:r>
      <w:r w:rsidRPr="007A76F9">
        <w:rPr>
          <w:sz w:val="20"/>
          <w:szCs w:val="20"/>
        </w:rPr>
        <w:t xml:space="preserve"> 520.</w:t>
      </w:r>
    </w:p>
  </w:footnote>
  <w:footnote w:id="145">
    <w:p w:rsidR="00AF5227" w:rsidRDefault="00AF5227" w:rsidP="006A3693">
      <w:pPr>
        <w:spacing w:line="240" w:lineRule="auto"/>
        <w:ind w:right="567"/>
        <w:rPr>
          <w:sz w:val="20"/>
          <w:szCs w:val="20"/>
        </w:rPr>
      </w:pPr>
      <w:r w:rsidRPr="007A76F9">
        <w:rPr>
          <w:sz w:val="20"/>
          <w:szCs w:val="20"/>
          <w:vertAlign w:val="superscript"/>
        </w:rPr>
        <w:footnoteRef/>
      </w:r>
      <w:r w:rsidRPr="007A76F9">
        <w:rPr>
          <w:rFonts w:eastAsia="Aptos"/>
          <w:sz w:val="20"/>
          <w:szCs w:val="20"/>
        </w:rPr>
        <w:t xml:space="preserve"> PRÁŠKOVÁ, Helena. </w:t>
      </w:r>
      <w:r w:rsidRPr="007A76F9">
        <w:rPr>
          <w:rFonts w:eastAsia="Aptos"/>
          <w:i/>
          <w:sz w:val="20"/>
          <w:szCs w:val="20"/>
        </w:rPr>
        <w:t xml:space="preserve">Přestupkové právo. </w:t>
      </w:r>
      <w:r w:rsidRPr="007A76F9">
        <w:rPr>
          <w:rFonts w:eastAsia="Aptos"/>
          <w:sz w:val="20"/>
          <w:szCs w:val="20"/>
        </w:rPr>
        <w:t>2. vydání</w:t>
      </w:r>
      <w:r w:rsidRPr="007A76F9">
        <w:rPr>
          <w:rFonts w:eastAsia="Aptos"/>
          <w:i/>
          <w:sz w:val="20"/>
          <w:szCs w:val="20"/>
        </w:rPr>
        <w:t xml:space="preserve">. </w:t>
      </w:r>
      <w:r w:rsidRPr="007A76F9">
        <w:rPr>
          <w:rFonts w:eastAsia="Aptos"/>
          <w:sz w:val="20"/>
          <w:szCs w:val="20"/>
        </w:rPr>
        <w:t>Praha: Leges, 2022, s.</w:t>
      </w:r>
      <w:r w:rsidRPr="007A76F9">
        <w:rPr>
          <w:rFonts w:eastAsia="Aptos"/>
          <w:i/>
          <w:sz w:val="20"/>
          <w:szCs w:val="20"/>
        </w:rPr>
        <w:t xml:space="preserve"> </w:t>
      </w:r>
      <w:r w:rsidRPr="007A76F9">
        <w:rPr>
          <w:rFonts w:eastAsia="Aptos"/>
          <w:sz w:val="20"/>
          <w:szCs w:val="20"/>
        </w:rPr>
        <w:t>484.</w:t>
      </w:r>
    </w:p>
  </w:footnote>
  <w:footnote w:id="146">
    <w:p w:rsidR="00AF5227" w:rsidRPr="007A76F9" w:rsidRDefault="00AF5227" w:rsidP="006A3693">
      <w:pPr>
        <w:spacing w:line="240" w:lineRule="auto"/>
        <w:ind w:right="567"/>
        <w:rPr>
          <w:rFonts w:eastAsia="Aptos"/>
          <w:sz w:val="20"/>
          <w:szCs w:val="20"/>
        </w:rPr>
      </w:pPr>
      <w:r w:rsidRPr="007A76F9">
        <w:rPr>
          <w:sz w:val="20"/>
          <w:szCs w:val="20"/>
          <w:vertAlign w:val="superscript"/>
        </w:rPr>
        <w:footnoteRef/>
      </w:r>
      <w:r w:rsidRPr="007A76F9">
        <w:rPr>
          <w:sz w:val="20"/>
          <w:szCs w:val="20"/>
        </w:rPr>
        <w:t xml:space="preserve"> </w:t>
      </w:r>
      <w:r w:rsidRPr="007A76F9">
        <w:rPr>
          <w:rFonts w:eastAsia="Aptos"/>
          <w:sz w:val="20"/>
          <w:szCs w:val="20"/>
        </w:rPr>
        <w:t>ŠÁMAL, Pavel. In: ŠÁMAL, Pavel a kol.</w:t>
      </w:r>
      <w:r w:rsidRPr="007A76F9">
        <w:rPr>
          <w:rFonts w:eastAsia="Aptos"/>
          <w:i/>
          <w:sz w:val="20"/>
          <w:szCs w:val="20"/>
        </w:rPr>
        <w:t xml:space="preserve"> Trestní řád I. § 1 až 156. Komentář.</w:t>
      </w:r>
      <w:r w:rsidRPr="007A76F9">
        <w:rPr>
          <w:rFonts w:eastAsia="Aptos"/>
          <w:sz w:val="20"/>
          <w:szCs w:val="20"/>
        </w:rPr>
        <w:t xml:space="preserve"> 7 vydání. Praha : C.H. Beck, 2013 </w:t>
      </w:r>
    </w:p>
    <w:p w:rsidR="00AF5227" w:rsidRPr="007A76F9" w:rsidRDefault="00AF5227" w:rsidP="006A3693">
      <w:pPr>
        <w:spacing w:line="240" w:lineRule="auto"/>
        <w:ind w:right="567"/>
        <w:rPr>
          <w:sz w:val="20"/>
          <w:szCs w:val="20"/>
        </w:rPr>
      </w:pPr>
      <w:r>
        <w:rPr>
          <w:rFonts w:eastAsia="Aptos"/>
          <w:sz w:val="20"/>
          <w:szCs w:val="20"/>
        </w:rPr>
        <w:t>s.520-</w:t>
      </w:r>
      <w:r w:rsidRPr="007A76F9">
        <w:rPr>
          <w:rFonts w:eastAsia="Aptos"/>
          <w:sz w:val="20"/>
          <w:szCs w:val="20"/>
        </w:rPr>
        <w:t>521</w:t>
      </w:r>
      <w:r w:rsidRPr="007A76F9">
        <w:rPr>
          <w:sz w:val="20"/>
          <w:szCs w:val="20"/>
        </w:rPr>
        <w:t xml:space="preserve">, také DURDÍK, Tomáš. In: DRAŠTÍK, Antonín a kol. </w:t>
      </w:r>
      <w:r w:rsidRPr="007A76F9">
        <w:rPr>
          <w:i/>
          <w:sz w:val="20"/>
          <w:szCs w:val="20"/>
        </w:rPr>
        <w:t>Trestní řád. Komentář. I. díl. § 1 až 179h.</w:t>
      </w:r>
      <w:r w:rsidRPr="007A76F9">
        <w:rPr>
          <w:sz w:val="20"/>
          <w:szCs w:val="20"/>
        </w:rPr>
        <w:t xml:space="preserve"> Prah</w:t>
      </w:r>
      <w:r>
        <w:rPr>
          <w:sz w:val="20"/>
          <w:szCs w:val="20"/>
        </w:rPr>
        <w:t>a: Wolters Kluwer, 2017. s. 362.</w:t>
      </w:r>
    </w:p>
  </w:footnote>
  <w:footnote w:id="147">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w:t>
      </w:r>
      <w:r w:rsidRPr="007A76F9">
        <w:rPr>
          <w:rFonts w:eastAsia="Aptos"/>
          <w:sz w:val="20"/>
          <w:szCs w:val="20"/>
        </w:rPr>
        <w:t>ŠÁMAL, Pavel. In: ŠÁMAL, Pavel a kol.</w:t>
      </w:r>
      <w:r w:rsidRPr="007A76F9">
        <w:rPr>
          <w:rFonts w:eastAsia="Aptos"/>
          <w:i/>
          <w:sz w:val="20"/>
          <w:szCs w:val="20"/>
        </w:rPr>
        <w:t xml:space="preserve"> Trestní řád I. § 1 až 156. Komentář.</w:t>
      </w:r>
      <w:r w:rsidRPr="007A76F9">
        <w:rPr>
          <w:rFonts w:eastAsia="Aptos"/>
          <w:sz w:val="20"/>
          <w:szCs w:val="20"/>
        </w:rPr>
        <w:t xml:space="preserve"> 7 vydání. Praha : C.H. Beck, 2013 s. </w:t>
      </w:r>
      <w:r w:rsidRPr="007A76F9">
        <w:rPr>
          <w:sz w:val="20"/>
          <w:szCs w:val="20"/>
        </w:rPr>
        <w:t>520.</w:t>
      </w:r>
    </w:p>
  </w:footnote>
  <w:footnote w:id="148">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w:t>
      </w:r>
      <w:r w:rsidRPr="007A76F9">
        <w:rPr>
          <w:rFonts w:eastAsia="Aptos"/>
          <w:sz w:val="20"/>
          <w:szCs w:val="20"/>
        </w:rPr>
        <w:t xml:space="preserve">PRÁŠKOVÁ, Helena. </w:t>
      </w:r>
      <w:r w:rsidRPr="007A76F9">
        <w:rPr>
          <w:rFonts w:eastAsia="Aptos"/>
          <w:i/>
          <w:sz w:val="20"/>
          <w:szCs w:val="20"/>
        </w:rPr>
        <w:t xml:space="preserve">Přestupkové právo. </w:t>
      </w:r>
      <w:r w:rsidRPr="007A76F9">
        <w:rPr>
          <w:rFonts w:eastAsia="Aptos"/>
          <w:sz w:val="20"/>
          <w:szCs w:val="20"/>
        </w:rPr>
        <w:t>2. vydání</w:t>
      </w:r>
      <w:r w:rsidRPr="007A76F9">
        <w:rPr>
          <w:rFonts w:eastAsia="Aptos"/>
          <w:i/>
          <w:sz w:val="20"/>
          <w:szCs w:val="20"/>
        </w:rPr>
        <w:t xml:space="preserve">. </w:t>
      </w:r>
      <w:r w:rsidRPr="007A76F9">
        <w:rPr>
          <w:rFonts w:eastAsia="Aptos"/>
          <w:sz w:val="20"/>
          <w:szCs w:val="20"/>
        </w:rPr>
        <w:t>Praha: Leges, 2022, s. 484.</w:t>
      </w:r>
    </w:p>
  </w:footnote>
  <w:footnote w:id="149">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BOHADLO, David. In: BOHADLO, David a kol. </w:t>
      </w:r>
      <w:r w:rsidRPr="007A76F9">
        <w:rPr>
          <w:i/>
          <w:sz w:val="20"/>
          <w:szCs w:val="20"/>
        </w:rPr>
        <w:t>Zákon o odpovědnosti za přestupky a řízení o nich. Komentář.</w:t>
      </w:r>
      <w:r w:rsidRPr="007A76F9">
        <w:rPr>
          <w:sz w:val="20"/>
          <w:szCs w:val="20"/>
        </w:rPr>
        <w:t xml:space="preserve"> Praha: Wolters Kluwer, 2018, s. 512.</w:t>
      </w:r>
    </w:p>
  </w:footnote>
  <w:footnote w:id="150">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w:t>
      </w:r>
      <w:r w:rsidRPr="007A76F9">
        <w:rPr>
          <w:rFonts w:eastAsia="Aptos"/>
          <w:sz w:val="20"/>
          <w:szCs w:val="20"/>
        </w:rPr>
        <w:t xml:space="preserve">KUČEROVÁ, Helena, HORZINKOVÁ, Eva. </w:t>
      </w:r>
      <w:r w:rsidRPr="007A76F9">
        <w:rPr>
          <w:rFonts w:eastAsia="Aptos"/>
          <w:i/>
          <w:sz w:val="20"/>
          <w:szCs w:val="20"/>
        </w:rPr>
        <w:t xml:space="preserve">Zákon o odpovědnosti za přestupky a řízení o nich a zákon o některých přestupcích s komentářem a judikaturou. </w:t>
      </w:r>
      <w:r w:rsidRPr="007A76F9">
        <w:rPr>
          <w:rFonts w:eastAsia="Aptos"/>
          <w:sz w:val="20"/>
          <w:szCs w:val="20"/>
        </w:rPr>
        <w:t>2. vydání</w:t>
      </w:r>
      <w:r w:rsidRPr="007A76F9">
        <w:rPr>
          <w:rFonts w:eastAsia="Aptos"/>
          <w:i/>
          <w:sz w:val="20"/>
          <w:szCs w:val="20"/>
        </w:rPr>
        <w:t xml:space="preserve">. </w:t>
      </w:r>
      <w:r w:rsidRPr="007A76F9">
        <w:rPr>
          <w:rFonts w:eastAsia="Aptos"/>
          <w:sz w:val="20"/>
          <w:szCs w:val="20"/>
        </w:rPr>
        <w:t>Praha: Leges, 2019,</w:t>
      </w:r>
      <w:r w:rsidRPr="007A76F9">
        <w:rPr>
          <w:rFonts w:eastAsia="Aptos"/>
          <w:i/>
          <w:sz w:val="20"/>
          <w:szCs w:val="20"/>
        </w:rPr>
        <w:t xml:space="preserve"> </w:t>
      </w:r>
      <w:r w:rsidRPr="007A76F9">
        <w:rPr>
          <w:rFonts w:eastAsia="Aptos"/>
          <w:sz w:val="20"/>
          <w:szCs w:val="20"/>
        </w:rPr>
        <w:t>s</w:t>
      </w:r>
      <w:r w:rsidRPr="007A76F9">
        <w:rPr>
          <w:rFonts w:eastAsia="Aptos"/>
          <w:i/>
          <w:sz w:val="20"/>
          <w:szCs w:val="20"/>
        </w:rPr>
        <w:t>.</w:t>
      </w:r>
      <w:r w:rsidRPr="007A76F9">
        <w:rPr>
          <w:sz w:val="20"/>
          <w:szCs w:val="20"/>
        </w:rPr>
        <w:t xml:space="preserve"> 401 - 402.</w:t>
      </w:r>
    </w:p>
  </w:footnote>
  <w:footnote w:id="151">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w:t>
      </w:r>
      <w:r w:rsidRPr="007A76F9">
        <w:rPr>
          <w:rFonts w:eastAsia="Aptos"/>
          <w:sz w:val="20"/>
          <w:szCs w:val="20"/>
        </w:rPr>
        <w:t xml:space="preserve">PRÁŠKOVÁ, Helena. </w:t>
      </w:r>
      <w:r w:rsidRPr="007A76F9">
        <w:rPr>
          <w:rFonts w:eastAsia="Aptos"/>
          <w:i/>
          <w:sz w:val="20"/>
          <w:szCs w:val="20"/>
        </w:rPr>
        <w:t xml:space="preserve">Přestupkové právo. </w:t>
      </w:r>
      <w:r w:rsidRPr="007A76F9">
        <w:rPr>
          <w:rFonts w:eastAsia="Aptos"/>
          <w:sz w:val="20"/>
          <w:szCs w:val="20"/>
        </w:rPr>
        <w:t>2. vydání</w:t>
      </w:r>
      <w:r w:rsidRPr="007A76F9">
        <w:rPr>
          <w:rFonts w:eastAsia="Aptos"/>
          <w:i/>
          <w:sz w:val="20"/>
          <w:szCs w:val="20"/>
        </w:rPr>
        <w:t xml:space="preserve">. </w:t>
      </w:r>
      <w:r w:rsidRPr="007A76F9">
        <w:rPr>
          <w:rFonts w:eastAsia="Aptos"/>
          <w:sz w:val="20"/>
          <w:szCs w:val="20"/>
        </w:rPr>
        <w:t xml:space="preserve">Praha: Leges, 2022, s. </w:t>
      </w:r>
      <w:r w:rsidRPr="007A76F9">
        <w:rPr>
          <w:sz w:val="20"/>
          <w:szCs w:val="20"/>
        </w:rPr>
        <w:t>484.</w:t>
      </w:r>
    </w:p>
  </w:footnote>
  <w:footnote w:id="152">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Zákon č. 181/2011 Sb., kterým se mění zákon č. 141/1961 Sb., o trestním řízení soudním (trestní řád), ve znění pozdějších předpisů, a některé další zákony</w:t>
      </w:r>
    </w:p>
  </w:footnote>
  <w:footnote w:id="153">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w:t>
      </w:r>
      <w:r w:rsidRPr="007A76F9">
        <w:rPr>
          <w:rFonts w:eastAsia="Aptos"/>
          <w:sz w:val="20"/>
          <w:szCs w:val="20"/>
        </w:rPr>
        <w:t>ŠÁMAL, Pavel. In: ŠÁMAL, Pavel a kol.</w:t>
      </w:r>
      <w:r w:rsidRPr="007A76F9">
        <w:rPr>
          <w:rFonts w:eastAsia="Aptos"/>
          <w:i/>
          <w:sz w:val="20"/>
          <w:szCs w:val="20"/>
        </w:rPr>
        <w:t xml:space="preserve"> Trestní řád I. § 1 až 156. Komentář.</w:t>
      </w:r>
      <w:r w:rsidRPr="007A76F9">
        <w:rPr>
          <w:rFonts w:eastAsia="Aptos"/>
          <w:sz w:val="20"/>
          <w:szCs w:val="20"/>
        </w:rPr>
        <w:t xml:space="preserve"> 7. vydání. Praha: C.H. Beck, 2013 s</w:t>
      </w:r>
      <w:r w:rsidRPr="007A76F9">
        <w:rPr>
          <w:sz w:val="20"/>
          <w:szCs w:val="20"/>
        </w:rPr>
        <w:t xml:space="preserve"> 520; nebo také JELÍNEK, Jiří, ŘÍHA, Jiří. </w:t>
      </w:r>
      <w:r w:rsidRPr="007A76F9">
        <w:rPr>
          <w:i/>
          <w:sz w:val="20"/>
          <w:szCs w:val="20"/>
        </w:rPr>
        <w:t>Rozhodnutí ve věcech trestních.</w:t>
      </w:r>
      <w:r w:rsidRPr="007A76F9">
        <w:rPr>
          <w:sz w:val="20"/>
          <w:szCs w:val="20"/>
        </w:rPr>
        <w:t xml:space="preserve"> 5. Vydání, Praha: Leges, 2023, s. 387</w:t>
      </w:r>
    </w:p>
  </w:footnote>
  <w:footnote w:id="154">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Například omluva v případě trestného činu pomluvy - srov.  VISINGER, Radek.</w:t>
      </w:r>
      <w:r w:rsidRPr="007A76F9">
        <w:rPr>
          <w:i/>
          <w:sz w:val="20"/>
          <w:szCs w:val="20"/>
        </w:rPr>
        <w:t xml:space="preserve"> Náhrada nemajetkové újmy v adhezním řízení</w:t>
      </w:r>
      <w:r w:rsidRPr="007A76F9">
        <w:rPr>
          <w:sz w:val="20"/>
          <w:szCs w:val="20"/>
        </w:rPr>
        <w:t>. Trestněprávní revue, 2011, roč. 10, č. 3, s. 79</w:t>
      </w:r>
    </w:p>
  </w:footnote>
  <w:footnote w:id="155">
    <w:p w:rsidR="00AF5227" w:rsidRPr="00DC63DB" w:rsidRDefault="00AF5227" w:rsidP="006A3693">
      <w:pPr>
        <w:pStyle w:val="Textpoznpodarou"/>
        <w:ind w:right="567"/>
        <w:rPr>
          <w:lang w:val="cs-CZ"/>
        </w:rPr>
      </w:pPr>
      <w:r>
        <w:rPr>
          <w:rStyle w:val="Znakapoznpodarou"/>
        </w:rPr>
        <w:footnoteRef/>
      </w:r>
      <w:r>
        <w:t xml:space="preserve"> </w:t>
      </w:r>
      <w:r>
        <w:rPr>
          <w:lang w:val="cs-CZ"/>
        </w:rPr>
        <w:t xml:space="preserve">Ustanovení § 3081 zákona č. 89/2012 Sb., ve znění pozdějších předpisů. </w:t>
      </w:r>
    </w:p>
  </w:footnote>
  <w:footnote w:id="156">
    <w:p w:rsidR="00AF5227"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Ustanovení § 442 zákona č. 40/1964 Sb., občanský zákoník, ve znění zákona č. </w:t>
      </w:r>
      <w:hyperlink r:id="rId7">
        <w:r w:rsidRPr="007A76F9">
          <w:rPr>
            <w:sz w:val="20"/>
            <w:szCs w:val="20"/>
          </w:rPr>
          <w:t>428/2011 Sb.</w:t>
        </w:r>
      </w:hyperlink>
    </w:p>
  </w:footnote>
  <w:footnote w:id="157">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Ustanovení § 2 951 zákona č. 89/2012 Sb., občanský zákoník, ve znění pozdějších předpisů.     </w:t>
      </w:r>
    </w:p>
  </w:footnote>
  <w:footnote w:id="158">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w:t>
      </w:r>
      <w:r w:rsidRPr="007A76F9">
        <w:rPr>
          <w:rFonts w:eastAsia="Aptos"/>
          <w:sz w:val="20"/>
          <w:szCs w:val="20"/>
        </w:rPr>
        <w:t>ŠÁMAL, Pavel. In: ŠÁMAL, Pavel a kol.</w:t>
      </w:r>
      <w:r w:rsidRPr="007A76F9">
        <w:rPr>
          <w:rFonts w:eastAsia="Aptos"/>
          <w:i/>
          <w:sz w:val="20"/>
          <w:szCs w:val="20"/>
        </w:rPr>
        <w:t xml:space="preserve"> Trestní řád I. § 1 až 156. Komentář.</w:t>
      </w:r>
      <w:r w:rsidRPr="007A76F9">
        <w:rPr>
          <w:rFonts w:eastAsia="Aptos"/>
          <w:sz w:val="20"/>
          <w:szCs w:val="20"/>
        </w:rPr>
        <w:t xml:space="preserve"> 7 vydání. Praha: C.H. Beck, 2008,</w:t>
      </w:r>
      <w:r w:rsidRPr="007A76F9">
        <w:rPr>
          <w:sz w:val="20"/>
          <w:szCs w:val="20"/>
        </w:rPr>
        <w:t xml:space="preserve"> s. 316. Zde záměrně citováno starší vydání komentáře, kdy ještě forma naturální restituce byla možná. </w:t>
      </w:r>
    </w:p>
  </w:footnote>
  <w:footnote w:id="159">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VISINGER, Radek.</w:t>
      </w:r>
      <w:r w:rsidRPr="007A76F9">
        <w:rPr>
          <w:i/>
          <w:sz w:val="20"/>
          <w:szCs w:val="20"/>
        </w:rPr>
        <w:t xml:space="preserve"> Náhrada nemajetkové újmy v adhezním řízení</w:t>
      </w:r>
      <w:r w:rsidRPr="007A76F9">
        <w:rPr>
          <w:sz w:val="20"/>
          <w:szCs w:val="20"/>
        </w:rPr>
        <w:t>. Trestněprávní revue, 2011, roč. 10, č. 3, s. 77.</w:t>
      </w:r>
    </w:p>
  </w:footnote>
  <w:footnote w:id="160">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Ustanovení § 2 991 zákona č. 89/2012 Sb., občanský zákoník, ve znění pozdějších předpisů.</w:t>
      </w:r>
    </w:p>
  </w:footnote>
  <w:footnote w:id="161">
    <w:p w:rsidR="00AF5227"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Ustanovení § 70 zákona č. 250/2016 Sb., zákon o odpovědnosti za přestupky a řízení o nich, ve znění pozdějších předpisů.</w:t>
      </w:r>
    </w:p>
  </w:footnote>
  <w:footnote w:id="162">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MATES, Pavel. </w:t>
      </w:r>
      <w:r w:rsidRPr="007A76F9">
        <w:rPr>
          <w:i/>
          <w:sz w:val="20"/>
          <w:szCs w:val="20"/>
        </w:rPr>
        <w:t>K některým procesním ustanovením zákona o odpovědnosti za přestupky.</w:t>
      </w:r>
      <w:r w:rsidRPr="007A76F9">
        <w:rPr>
          <w:sz w:val="20"/>
          <w:szCs w:val="20"/>
        </w:rPr>
        <w:t xml:space="preserve"> Právní rozhledy. 2017, roč. 25, č. 3, s. 78.</w:t>
      </w:r>
    </w:p>
  </w:footnote>
  <w:footnote w:id="163">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FUCHS, Jiří. </w:t>
      </w:r>
      <w:r w:rsidRPr="007A76F9">
        <w:rPr>
          <w:i/>
          <w:sz w:val="20"/>
          <w:szCs w:val="20"/>
        </w:rPr>
        <w:t>Adhezní řízení ve vládním návrhu nového zákona o přestupcích,</w:t>
      </w:r>
      <w:r w:rsidRPr="007A76F9">
        <w:rPr>
          <w:sz w:val="20"/>
          <w:szCs w:val="20"/>
        </w:rPr>
        <w:t xml:space="preserve"> Právní rozhledy, 2016, roč. 24, č. 3, s. 107.</w:t>
      </w:r>
    </w:p>
  </w:footnote>
  <w:footnote w:id="164">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w:t>
      </w:r>
      <w:r w:rsidRPr="007A76F9">
        <w:rPr>
          <w:rFonts w:eastAsia="Aptos"/>
          <w:sz w:val="20"/>
          <w:szCs w:val="20"/>
        </w:rPr>
        <w:t xml:space="preserve">PRÁŠKOVÁ, Helena. </w:t>
      </w:r>
      <w:r w:rsidRPr="007A76F9">
        <w:rPr>
          <w:rFonts w:eastAsia="Aptos"/>
          <w:i/>
          <w:sz w:val="20"/>
          <w:szCs w:val="20"/>
        </w:rPr>
        <w:t xml:space="preserve">Přestupkové právo. </w:t>
      </w:r>
      <w:r w:rsidRPr="007A76F9">
        <w:rPr>
          <w:rFonts w:eastAsia="Aptos"/>
          <w:sz w:val="20"/>
          <w:szCs w:val="20"/>
        </w:rPr>
        <w:t>2. vydání</w:t>
      </w:r>
      <w:r w:rsidRPr="007A76F9">
        <w:rPr>
          <w:rFonts w:eastAsia="Aptos"/>
          <w:i/>
          <w:sz w:val="20"/>
          <w:szCs w:val="20"/>
        </w:rPr>
        <w:t xml:space="preserve">. </w:t>
      </w:r>
      <w:r w:rsidRPr="007A76F9">
        <w:rPr>
          <w:rFonts w:eastAsia="Aptos"/>
          <w:sz w:val="20"/>
          <w:szCs w:val="20"/>
        </w:rPr>
        <w:t>Praha: Leges, 2022, s. 485.</w:t>
      </w:r>
    </w:p>
  </w:footnote>
  <w:footnote w:id="165">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w:t>
      </w:r>
      <w:r w:rsidRPr="007A76F9">
        <w:rPr>
          <w:rFonts w:eastAsia="Aptos"/>
          <w:sz w:val="20"/>
          <w:szCs w:val="20"/>
        </w:rPr>
        <w:t>Důvodová zpráva k zákonu č. 250/2016 Sb., zvláštní část, s.</w:t>
      </w:r>
      <w:r w:rsidRPr="007A76F9">
        <w:rPr>
          <w:sz w:val="20"/>
          <w:szCs w:val="20"/>
        </w:rPr>
        <w:t xml:space="preserve"> 187-188.</w:t>
      </w:r>
    </w:p>
  </w:footnote>
  <w:footnote w:id="166">
    <w:p w:rsidR="00AF5227" w:rsidRPr="00210F97" w:rsidRDefault="00AF5227" w:rsidP="006A3693">
      <w:pPr>
        <w:pStyle w:val="Textpoznpodarou"/>
        <w:ind w:right="567"/>
        <w:rPr>
          <w:lang w:val="cs-CZ"/>
        </w:rPr>
      </w:pPr>
      <w:r>
        <w:rPr>
          <w:rStyle w:val="Znakapoznpodarou"/>
        </w:rPr>
        <w:footnoteRef/>
      </w:r>
      <w:r>
        <w:t xml:space="preserve"> </w:t>
      </w:r>
      <w:r>
        <w:rPr>
          <w:lang w:val="cs-CZ"/>
        </w:rPr>
        <w:t>Tamtéž</w:t>
      </w:r>
    </w:p>
  </w:footnote>
  <w:footnote w:id="167">
    <w:p w:rsidR="00AF5227" w:rsidRPr="00210F97" w:rsidRDefault="00AF5227" w:rsidP="006A3693">
      <w:pPr>
        <w:pStyle w:val="Textpoznpodarou"/>
        <w:ind w:right="567"/>
        <w:rPr>
          <w:lang w:val="cs-CZ"/>
        </w:rPr>
      </w:pPr>
      <w:r>
        <w:rPr>
          <w:rStyle w:val="Znakapoznpodarou"/>
        </w:rPr>
        <w:footnoteRef/>
      </w:r>
      <w:r>
        <w:t xml:space="preserve"> </w:t>
      </w:r>
      <w:r w:rsidRPr="004456B9">
        <w:t xml:space="preserve">JEMELKA, Luboš a kol. </w:t>
      </w:r>
      <w:r w:rsidRPr="004456B9">
        <w:rPr>
          <w:i/>
        </w:rPr>
        <w:t>Správní řád.</w:t>
      </w:r>
      <w:r w:rsidRPr="004456B9">
        <w:t xml:space="preserve"> </w:t>
      </w:r>
      <w:r w:rsidRPr="004456B9">
        <w:rPr>
          <w:i/>
        </w:rPr>
        <w:t xml:space="preserve">Komentář. </w:t>
      </w:r>
      <w:r w:rsidRPr="004456B9">
        <w:t>7. Vydání</w:t>
      </w:r>
      <w:r w:rsidRPr="004456B9">
        <w:rPr>
          <w:i/>
        </w:rPr>
        <w:t>.</w:t>
      </w:r>
      <w:r>
        <w:t xml:space="preserve"> Praha: C.H. Beck, 2023, s. 299</w:t>
      </w:r>
    </w:p>
  </w:footnote>
  <w:footnote w:id="168">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FUCHS, Jiří. </w:t>
      </w:r>
      <w:r w:rsidRPr="007A76F9">
        <w:rPr>
          <w:i/>
          <w:sz w:val="20"/>
          <w:szCs w:val="20"/>
        </w:rPr>
        <w:t>Adhezní řízení ve vládním návrhu nového zákona o přestupcích,</w:t>
      </w:r>
      <w:r w:rsidRPr="007A76F9">
        <w:rPr>
          <w:sz w:val="20"/>
          <w:szCs w:val="20"/>
        </w:rPr>
        <w:t xml:space="preserve"> Právní rozhledy, 2016, roč. 24, č. 3, s. 107.</w:t>
      </w:r>
    </w:p>
  </w:footnote>
  <w:footnote w:id="169">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DURDÍK, Tomáš. In DRAŠTÍK, Antonín a kol. </w:t>
      </w:r>
      <w:r w:rsidRPr="007A76F9">
        <w:rPr>
          <w:i/>
          <w:sz w:val="20"/>
          <w:szCs w:val="20"/>
        </w:rPr>
        <w:t>Trestní řád. Komentář. I. díl. § 1 až 179h.</w:t>
      </w:r>
      <w:r w:rsidRPr="007A76F9">
        <w:rPr>
          <w:sz w:val="20"/>
          <w:szCs w:val="20"/>
        </w:rPr>
        <w:t xml:space="preserve"> Praha: Wolters Kluwer, 2017, s. 385; za procesní také označil tuto lhůtu také Nejvyšší soud v Rozsudku ze dne 6. 10. 1999, sp. Zn. 8/To 335/99, v tomto konstatoval také nemožnost jejího navrácení. </w:t>
      </w:r>
    </w:p>
  </w:footnote>
  <w:footnote w:id="170">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TÉGL, Petr. In: MELZER, Filip.</w:t>
      </w:r>
      <w:r w:rsidRPr="007A76F9">
        <w:rPr>
          <w:i/>
          <w:sz w:val="20"/>
          <w:szCs w:val="20"/>
        </w:rPr>
        <w:t xml:space="preserve"> Občanský zákoník § 419 - 654. Velký komentář</w:t>
      </w:r>
      <w:r w:rsidRPr="007A76F9">
        <w:rPr>
          <w:sz w:val="20"/>
          <w:szCs w:val="20"/>
        </w:rPr>
        <w:t>. Praha: Leges, 2014, s. 874</w:t>
      </w:r>
    </w:p>
  </w:footnote>
  <w:footnote w:id="171">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Ustanovení § 43 odst. 3 </w:t>
      </w:r>
      <w:r w:rsidRPr="007A76F9">
        <w:rPr>
          <w:rFonts w:eastAsia="Aptos"/>
          <w:sz w:val="20"/>
          <w:szCs w:val="20"/>
        </w:rPr>
        <w:t>zákona č. 141/1961 Sb. „ o trestním řízením soudním“, ve znění pozdějších předpisů</w:t>
      </w:r>
    </w:p>
  </w:footnote>
  <w:footnote w:id="172">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w:t>
      </w:r>
      <w:r w:rsidRPr="007A76F9">
        <w:rPr>
          <w:rFonts w:eastAsia="Aptos"/>
          <w:sz w:val="20"/>
          <w:szCs w:val="20"/>
        </w:rPr>
        <w:t xml:space="preserve"> ŠÁMAL, Pavel. In: ŠÁMAL, Pavel a kol.</w:t>
      </w:r>
      <w:r w:rsidRPr="007A76F9">
        <w:rPr>
          <w:rFonts w:eastAsia="Aptos"/>
          <w:i/>
          <w:sz w:val="20"/>
          <w:szCs w:val="20"/>
        </w:rPr>
        <w:t xml:space="preserve"> Trestní řád I. § 1 až 156. Komentář.</w:t>
      </w:r>
      <w:r w:rsidRPr="007A76F9">
        <w:rPr>
          <w:rFonts w:eastAsia="Aptos"/>
          <w:sz w:val="20"/>
          <w:szCs w:val="20"/>
        </w:rPr>
        <w:t xml:space="preserve"> 7 vydání. Praha : C.H. Beck, 2013 s. 521.</w:t>
      </w:r>
    </w:p>
  </w:footnote>
  <w:footnote w:id="173">
    <w:p w:rsidR="00AF5227"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Tamtéž.</w:t>
      </w:r>
    </w:p>
  </w:footnote>
  <w:footnote w:id="174">
    <w:p w:rsidR="00AF5227" w:rsidRPr="007A76F9" w:rsidRDefault="00AF5227" w:rsidP="006A3693">
      <w:pPr>
        <w:spacing w:line="240" w:lineRule="auto"/>
        <w:ind w:right="567"/>
        <w:jc w:val="both"/>
        <w:rPr>
          <w:sz w:val="20"/>
          <w:szCs w:val="20"/>
        </w:rPr>
      </w:pPr>
      <w:r w:rsidRPr="007A76F9">
        <w:rPr>
          <w:sz w:val="20"/>
          <w:szCs w:val="20"/>
          <w:vertAlign w:val="superscript"/>
        </w:rPr>
        <w:footnoteRef/>
      </w:r>
      <w:r w:rsidRPr="007A76F9">
        <w:rPr>
          <w:sz w:val="20"/>
          <w:szCs w:val="20"/>
        </w:rPr>
        <w:t xml:space="preserve"> FUCHS, Jiří. </w:t>
      </w:r>
      <w:r w:rsidRPr="007A76F9">
        <w:rPr>
          <w:i/>
          <w:sz w:val="20"/>
          <w:szCs w:val="20"/>
        </w:rPr>
        <w:t>Adhezní řízení ve vládním návrhu nového zákona o přestupcích,</w:t>
      </w:r>
      <w:r w:rsidRPr="007A76F9">
        <w:rPr>
          <w:sz w:val="20"/>
          <w:szCs w:val="20"/>
        </w:rPr>
        <w:t xml:space="preserve"> Právní rozhledy, 2016, roč. 24, č. 3, s. 107.</w:t>
      </w:r>
    </w:p>
  </w:footnote>
  <w:footnote w:id="175">
    <w:p w:rsidR="00AF5227" w:rsidRPr="007A76F9" w:rsidRDefault="00AF5227" w:rsidP="006A3693">
      <w:pPr>
        <w:spacing w:line="240" w:lineRule="auto"/>
        <w:ind w:right="567"/>
        <w:jc w:val="both"/>
        <w:rPr>
          <w:sz w:val="20"/>
          <w:szCs w:val="20"/>
        </w:rPr>
      </w:pPr>
      <w:r w:rsidRPr="007A76F9">
        <w:rPr>
          <w:sz w:val="20"/>
          <w:szCs w:val="20"/>
          <w:vertAlign w:val="superscript"/>
        </w:rPr>
        <w:footnoteRef/>
      </w:r>
      <w:r w:rsidRPr="007A76F9">
        <w:rPr>
          <w:sz w:val="20"/>
          <w:szCs w:val="20"/>
        </w:rPr>
        <w:t xml:space="preserve"> MELZER, Filip. </w:t>
      </w:r>
      <w:r w:rsidRPr="007A76F9">
        <w:rPr>
          <w:i/>
          <w:sz w:val="20"/>
          <w:szCs w:val="20"/>
        </w:rPr>
        <w:t>Metodologie nalézání práva. Úvod do právní argumentace.</w:t>
      </w:r>
      <w:r w:rsidRPr="007A76F9">
        <w:rPr>
          <w:sz w:val="20"/>
          <w:szCs w:val="20"/>
        </w:rPr>
        <w:t xml:space="preserve"> 2. Vydání. Praha: C.H. Beck, 2011, s. 165.</w:t>
      </w:r>
    </w:p>
  </w:footnote>
  <w:footnote w:id="176">
    <w:p w:rsidR="00AF5227" w:rsidRPr="007A76F9" w:rsidRDefault="00AF5227" w:rsidP="006A3693">
      <w:pPr>
        <w:spacing w:line="240" w:lineRule="auto"/>
        <w:ind w:right="567"/>
        <w:jc w:val="both"/>
        <w:rPr>
          <w:sz w:val="20"/>
          <w:szCs w:val="20"/>
        </w:rPr>
      </w:pPr>
      <w:r w:rsidRPr="007A76F9">
        <w:rPr>
          <w:sz w:val="20"/>
          <w:szCs w:val="20"/>
          <w:vertAlign w:val="superscript"/>
        </w:rPr>
        <w:footnoteRef/>
      </w:r>
      <w:r w:rsidRPr="007A76F9">
        <w:rPr>
          <w:sz w:val="20"/>
          <w:szCs w:val="20"/>
        </w:rPr>
        <w:t xml:space="preserve"> Rozsudek Nejvyššího </w:t>
      </w:r>
      <w:r w:rsidR="008C0081">
        <w:rPr>
          <w:sz w:val="20"/>
          <w:szCs w:val="20"/>
        </w:rPr>
        <w:t>s</w:t>
      </w:r>
      <w:r w:rsidRPr="007A76F9">
        <w:rPr>
          <w:sz w:val="20"/>
          <w:szCs w:val="20"/>
        </w:rPr>
        <w:t xml:space="preserve">právního </w:t>
      </w:r>
      <w:r w:rsidR="008C0081">
        <w:rPr>
          <w:sz w:val="20"/>
          <w:szCs w:val="20"/>
        </w:rPr>
        <w:t>s</w:t>
      </w:r>
      <w:r w:rsidRPr="007A76F9">
        <w:rPr>
          <w:sz w:val="20"/>
          <w:szCs w:val="20"/>
        </w:rPr>
        <w:t xml:space="preserve">oudu ze dne 31. 7. 2009, č. j. 2 As 60/2008 </w:t>
      </w:r>
      <w:r w:rsidR="007279DA">
        <w:rPr>
          <w:sz w:val="20"/>
          <w:szCs w:val="20"/>
        </w:rPr>
        <w:t>–</w:t>
      </w:r>
      <w:r w:rsidRPr="007A76F9">
        <w:rPr>
          <w:sz w:val="20"/>
          <w:szCs w:val="20"/>
        </w:rPr>
        <w:t xml:space="preserve"> 111</w:t>
      </w:r>
      <w:r w:rsidR="007279DA">
        <w:rPr>
          <w:sz w:val="20"/>
          <w:szCs w:val="20"/>
        </w:rPr>
        <w:t>.</w:t>
      </w:r>
    </w:p>
  </w:footnote>
  <w:footnote w:id="177">
    <w:p w:rsidR="00AF5227" w:rsidRDefault="00AF5227" w:rsidP="006A3693">
      <w:pPr>
        <w:spacing w:line="240" w:lineRule="auto"/>
        <w:ind w:right="567"/>
        <w:jc w:val="both"/>
        <w:rPr>
          <w:sz w:val="20"/>
          <w:szCs w:val="20"/>
        </w:rPr>
      </w:pPr>
      <w:r w:rsidRPr="007A76F9">
        <w:rPr>
          <w:sz w:val="20"/>
          <w:szCs w:val="20"/>
          <w:vertAlign w:val="superscript"/>
        </w:rPr>
        <w:footnoteRef/>
      </w:r>
      <w:r w:rsidRPr="007A76F9">
        <w:rPr>
          <w:sz w:val="20"/>
          <w:szCs w:val="20"/>
        </w:rPr>
        <w:t xml:space="preserve"> MELZER, Filip. </w:t>
      </w:r>
      <w:r w:rsidRPr="007A76F9">
        <w:rPr>
          <w:i/>
          <w:sz w:val="20"/>
          <w:szCs w:val="20"/>
        </w:rPr>
        <w:t>Metodologie nalézání práva. Úvod do právní argumentace.</w:t>
      </w:r>
      <w:r w:rsidRPr="007A76F9">
        <w:rPr>
          <w:sz w:val="20"/>
          <w:szCs w:val="20"/>
        </w:rPr>
        <w:t xml:space="preserve"> 2. Vydání. Praha: C.H. Beck, 2011, s. 252.</w:t>
      </w:r>
    </w:p>
  </w:footnote>
  <w:footnote w:id="178">
    <w:p w:rsidR="00AF5227" w:rsidRPr="007A76F9" w:rsidRDefault="00AF5227" w:rsidP="006A3693">
      <w:pPr>
        <w:spacing w:line="240" w:lineRule="auto"/>
        <w:ind w:right="567"/>
        <w:jc w:val="both"/>
        <w:rPr>
          <w:sz w:val="20"/>
          <w:szCs w:val="20"/>
        </w:rPr>
      </w:pPr>
      <w:r w:rsidRPr="007A76F9">
        <w:rPr>
          <w:sz w:val="20"/>
          <w:szCs w:val="20"/>
          <w:vertAlign w:val="superscript"/>
        </w:rPr>
        <w:footnoteRef/>
      </w:r>
      <w:r w:rsidRPr="007A76F9">
        <w:rPr>
          <w:sz w:val="20"/>
          <w:szCs w:val="20"/>
        </w:rPr>
        <w:t xml:space="preserve"> ŠČERBA, Filip. </w:t>
      </w:r>
      <w:r w:rsidRPr="007A76F9">
        <w:rPr>
          <w:i/>
          <w:sz w:val="20"/>
          <w:szCs w:val="20"/>
        </w:rPr>
        <w:t>Právo na účinné vyšetřování ve světle judikatury ústavního soudu</w:t>
      </w:r>
      <w:r w:rsidRPr="007A76F9">
        <w:rPr>
          <w:sz w:val="20"/>
          <w:szCs w:val="20"/>
        </w:rPr>
        <w:t>. Trestněprávní revue, 2016, roč. 15, č. 7-8, s. 157.</w:t>
      </w:r>
    </w:p>
  </w:footnote>
  <w:footnote w:id="179">
    <w:p w:rsidR="00AF5227" w:rsidRPr="007A76F9" w:rsidRDefault="00AF5227" w:rsidP="006A3693">
      <w:pPr>
        <w:spacing w:line="240" w:lineRule="auto"/>
        <w:ind w:right="567"/>
        <w:jc w:val="both"/>
        <w:rPr>
          <w:sz w:val="20"/>
          <w:szCs w:val="20"/>
        </w:rPr>
      </w:pPr>
      <w:r w:rsidRPr="007A76F9">
        <w:rPr>
          <w:sz w:val="20"/>
          <w:szCs w:val="20"/>
          <w:vertAlign w:val="superscript"/>
        </w:rPr>
        <w:footnoteRef/>
      </w:r>
      <w:r w:rsidRPr="007A76F9">
        <w:rPr>
          <w:sz w:val="20"/>
          <w:szCs w:val="20"/>
        </w:rPr>
        <w:t xml:space="preserve">  </w:t>
      </w:r>
      <w:r w:rsidRPr="007A76F9">
        <w:rPr>
          <w:rFonts w:eastAsia="Aptos"/>
          <w:sz w:val="20"/>
          <w:szCs w:val="20"/>
        </w:rPr>
        <w:t xml:space="preserve">PRÁŠKOVÁ, Helena. </w:t>
      </w:r>
      <w:r w:rsidRPr="007A76F9">
        <w:rPr>
          <w:rFonts w:eastAsia="Aptos"/>
          <w:i/>
          <w:sz w:val="20"/>
          <w:szCs w:val="20"/>
        </w:rPr>
        <w:t xml:space="preserve">Přestupkové právo. </w:t>
      </w:r>
      <w:r w:rsidRPr="007A76F9">
        <w:rPr>
          <w:rFonts w:eastAsia="Aptos"/>
          <w:sz w:val="20"/>
          <w:szCs w:val="20"/>
        </w:rPr>
        <w:t>2. vydání</w:t>
      </w:r>
      <w:r w:rsidRPr="007A76F9">
        <w:rPr>
          <w:rFonts w:eastAsia="Aptos"/>
          <w:i/>
          <w:sz w:val="20"/>
          <w:szCs w:val="20"/>
        </w:rPr>
        <w:t xml:space="preserve">. </w:t>
      </w:r>
      <w:r w:rsidRPr="007A76F9">
        <w:rPr>
          <w:rFonts w:eastAsia="Aptos"/>
          <w:sz w:val="20"/>
          <w:szCs w:val="20"/>
        </w:rPr>
        <w:t xml:space="preserve">Praha: Leges, 2022, s. </w:t>
      </w:r>
      <w:r w:rsidRPr="007A76F9">
        <w:rPr>
          <w:sz w:val="20"/>
          <w:szCs w:val="20"/>
        </w:rPr>
        <w:t>485.</w:t>
      </w:r>
    </w:p>
  </w:footnote>
  <w:footnote w:id="180">
    <w:p w:rsidR="00AF5227" w:rsidRPr="007A76F9" w:rsidRDefault="00AF5227" w:rsidP="006A3693">
      <w:pPr>
        <w:spacing w:line="240" w:lineRule="auto"/>
        <w:ind w:right="567"/>
        <w:jc w:val="both"/>
        <w:rPr>
          <w:sz w:val="20"/>
          <w:szCs w:val="20"/>
        </w:rPr>
      </w:pPr>
      <w:r w:rsidRPr="007A76F9">
        <w:rPr>
          <w:sz w:val="20"/>
          <w:szCs w:val="20"/>
          <w:vertAlign w:val="superscript"/>
        </w:rPr>
        <w:footnoteRef/>
      </w:r>
      <w:r w:rsidRPr="007A76F9">
        <w:rPr>
          <w:sz w:val="20"/>
          <w:szCs w:val="20"/>
        </w:rPr>
        <w:t xml:space="preserve"> Tamtéž.</w:t>
      </w:r>
    </w:p>
  </w:footnote>
  <w:footnote w:id="181">
    <w:p w:rsidR="00AF5227" w:rsidRPr="007A76F9" w:rsidRDefault="00AF5227" w:rsidP="006A3693">
      <w:pPr>
        <w:spacing w:line="240" w:lineRule="auto"/>
        <w:ind w:right="567"/>
        <w:jc w:val="both"/>
        <w:rPr>
          <w:sz w:val="20"/>
          <w:szCs w:val="20"/>
        </w:rPr>
      </w:pPr>
      <w:r w:rsidRPr="007A76F9">
        <w:rPr>
          <w:sz w:val="20"/>
          <w:szCs w:val="20"/>
          <w:vertAlign w:val="superscript"/>
        </w:rPr>
        <w:footnoteRef/>
      </w:r>
      <w:r w:rsidRPr="007A76F9">
        <w:rPr>
          <w:sz w:val="20"/>
          <w:szCs w:val="20"/>
        </w:rPr>
        <w:t xml:space="preserve"> MELZER, Filip a kol.</w:t>
      </w:r>
      <w:r w:rsidRPr="007A76F9">
        <w:rPr>
          <w:i/>
          <w:sz w:val="20"/>
          <w:szCs w:val="20"/>
        </w:rPr>
        <w:t xml:space="preserve"> Občanský zákoník. Svazek III § 419 - 654. Velký komentář.</w:t>
      </w:r>
      <w:r w:rsidRPr="007A76F9">
        <w:rPr>
          <w:sz w:val="20"/>
          <w:szCs w:val="20"/>
        </w:rPr>
        <w:t xml:space="preserve"> Praha Leges, 2014, s. 873.</w:t>
      </w:r>
    </w:p>
  </w:footnote>
  <w:footnote w:id="182">
    <w:p w:rsidR="00AF5227" w:rsidRPr="007A76F9" w:rsidRDefault="00AF5227" w:rsidP="006A3693">
      <w:pPr>
        <w:spacing w:line="240" w:lineRule="auto"/>
        <w:ind w:right="567"/>
        <w:jc w:val="both"/>
        <w:rPr>
          <w:sz w:val="20"/>
          <w:szCs w:val="20"/>
        </w:rPr>
      </w:pPr>
      <w:r w:rsidRPr="007A76F9">
        <w:rPr>
          <w:sz w:val="20"/>
          <w:szCs w:val="20"/>
          <w:vertAlign w:val="superscript"/>
        </w:rPr>
        <w:footnoteRef/>
      </w:r>
      <w:r w:rsidRPr="007A76F9">
        <w:rPr>
          <w:sz w:val="20"/>
          <w:szCs w:val="20"/>
        </w:rPr>
        <w:t xml:space="preserve"> Tamtéž.</w:t>
      </w:r>
    </w:p>
  </w:footnote>
  <w:footnote w:id="183">
    <w:p w:rsidR="00AF5227" w:rsidRPr="007A76F9" w:rsidRDefault="00AF5227" w:rsidP="006A3693">
      <w:pPr>
        <w:spacing w:line="240" w:lineRule="auto"/>
        <w:ind w:right="567"/>
        <w:jc w:val="both"/>
        <w:rPr>
          <w:sz w:val="20"/>
          <w:szCs w:val="20"/>
        </w:rPr>
      </w:pPr>
      <w:r w:rsidRPr="007A76F9">
        <w:rPr>
          <w:sz w:val="20"/>
          <w:szCs w:val="20"/>
          <w:vertAlign w:val="superscript"/>
        </w:rPr>
        <w:footnoteRef/>
      </w:r>
      <w:r w:rsidRPr="007A76F9">
        <w:rPr>
          <w:sz w:val="20"/>
          <w:szCs w:val="20"/>
        </w:rPr>
        <w:t xml:space="preserve"> Tamtéž.</w:t>
      </w:r>
    </w:p>
  </w:footnote>
  <w:footnote w:id="184">
    <w:p w:rsidR="00AF5227" w:rsidRDefault="00AF5227" w:rsidP="006A3693">
      <w:pPr>
        <w:spacing w:line="240" w:lineRule="auto"/>
        <w:ind w:right="567"/>
        <w:jc w:val="both"/>
        <w:rPr>
          <w:sz w:val="20"/>
          <w:szCs w:val="20"/>
        </w:rPr>
      </w:pPr>
      <w:r w:rsidRPr="007A76F9">
        <w:rPr>
          <w:sz w:val="20"/>
          <w:szCs w:val="20"/>
          <w:vertAlign w:val="superscript"/>
        </w:rPr>
        <w:footnoteRef/>
      </w:r>
      <w:r w:rsidRPr="007A76F9">
        <w:rPr>
          <w:sz w:val="20"/>
          <w:szCs w:val="20"/>
        </w:rPr>
        <w:t xml:space="preserve"> PULKRÁBEK, Zdeněk.</w:t>
      </w:r>
      <w:r w:rsidRPr="007A76F9">
        <w:rPr>
          <w:i/>
          <w:sz w:val="20"/>
          <w:szCs w:val="20"/>
        </w:rPr>
        <w:t xml:space="preserve"> K povaze lhůty podle § 247 odst. 1. OSŘ - hmotněprávní či procesní?</w:t>
      </w:r>
      <w:r w:rsidRPr="007A76F9">
        <w:rPr>
          <w:sz w:val="20"/>
          <w:szCs w:val="20"/>
        </w:rPr>
        <w:t>. Právní rozhledy, 2004, roč. 12, č. 13, s. 502.</w:t>
      </w:r>
    </w:p>
  </w:footnote>
  <w:footnote w:id="185">
    <w:p w:rsidR="00AF5227" w:rsidRPr="004456B9" w:rsidRDefault="00AF5227" w:rsidP="006A3693">
      <w:pPr>
        <w:spacing w:line="240" w:lineRule="auto"/>
        <w:ind w:right="567"/>
        <w:jc w:val="both"/>
        <w:rPr>
          <w:sz w:val="20"/>
          <w:szCs w:val="20"/>
        </w:rPr>
      </w:pPr>
      <w:r w:rsidRPr="004456B9">
        <w:rPr>
          <w:sz w:val="20"/>
          <w:szCs w:val="20"/>
          <w:vertAlign w:val="superscript"/>
        </w:rPr>
        <w:footnoteRef/>
      </w:r>
      <w:r w:rsidRPr="004456B9">
        <w:rPr>
          <w:sz w:val="20"/>
          <w:szCs w:val="20"/>
        </w:rPr>
        <w:t xml:space="preserve"> Tamtéž.</w:t>
      </w:r>
    </w:p>
  </w:footnote>
  <w:footnote w:id="186">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Tamtéž, s. 503.</w:t>
      </w:r>
    </w:p>
  </w:footnote>
  <w:footnote w:id="187">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Tamtéž.</w:t>
      </w:r>
    </w:p>
  </w:footnote>
  <w:footnote w:id="188">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Tamtéž.</w:t>
      </w:r>
    </w:p>
  </w:footnote>
  <w:footnote w:id="189">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w:t>
      </w:r>
      <w:r w:rsidRPr="004456B9">
        <w:rPr>
          <w:rFonts w:eastAsia="Aptos"/>
          <w:sz w:val="20"/>
          <w:szCs w:val="20"/>
        </w:rPr>
        <w:t xml:space="preserve">PRÁŠKOVÁ, Helena. </w:t>
      </w:r>
      <w:r w:rsidRPr="004456B9">
        <w:rPr>
          <w:rFonts w:eastAsia="Aptos"/>
          <w:i/>
          <w:sz w:val="20"/>
          <w:szCs w:val="20"/>
        </w:rPr>
        <w:t xml:space="preserve">Přestupkové právo. </w:t>
      </w:r>
      <w:r w:rsidRPr="004456B9">
        <w:rPr>
          <w:rFonts w:eastAsia="Aptos"/>
          <w:sz w:val="20"/>
          <w:szCs w:val="20"/>
        </w:rPr>
        <w:t>2. vydání</w:t>
      </w:r>
      <w:r w:rsidRPr="004456B9">
        <w:rPr>
          <w:rFonts w:eastAsia="Aptos"/>
          <w:i/>
          <w:sz w:val="20"/>
          <w:szCs w:val="20"/>
        </w:rPr>
        <w:t xml:space="preserve">. </w:t>
      </w:r>
      <w:r w:rsidRPr="004456B9">
        <w:rPr>
          <w:rFonts w:eastAsia="Aptos"/>
          <w:sz w:val="20"/>
          <w:szCs w:val="20"/>
        </w:rPr>
        <w:t>Praha: Leges, 2022, s. 385-386.</w:t>
      </w:r>
    </w:p>
  </w:footnote>
  <w:footnote w:id="190">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Ustanovení § 41 </w:t>
      </w:r>
      <w:r w:rsidRPr="004456B9">
        <w:rPr>
          <w:rFonts w:eastAsia="Aptos"/>
          <w:sz w:val="20"/>
          <w:szCs w:val="20"/>
        </w:rPr>
        <w:t>zákona č. 500/2004 Sb., správní řád, ve znění pozdějších předpisů.</w:t>
      </w:r>
    </w:p>
  </w:footnote>
  <w:footnote w:id="191">
    <w:p w:rsidR="00AF5227"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w:t>
      </w:r>
      <w:r w:rsidRPr="004456B9">
        <w:rPr>
          <w:rFonts w:eastAsia="Aptos"/>
          <w:sz w:val="20"/>
          <w:szCs w:val="20"/>
        </w:rPr>
        <w:t xml:space="preserve">PRÁŠKOVÁ, Helena. </w:t>
      </w:r>
      <w:r w:rsidRPr="004456B9">
        <w:rPr>
          <w:rFonts w:eastAsia="Aptos"/>
          <w:i/>
          <w:sz w:val="20"/>
          <w:szCs w:val="20"/>
        </w:rPr>
        <w:t xml:space="preserve">Přestupkové právo. </w:t>
      </w:r>
      <w:r w:rsidRPr="004456B9">
        <w:rPr>
          <w:rFonts w:eastAsia="Aptos"/>
          <w:sz w:val="20"/>
          <w:szCs w:val="20"/>
        </w:rPr>
        <w:t>2. vydání</w:t>
      </w:r>
      <w:r w:rsidRPr="004456B9">
        <w:rPr>
          <w:rFonts w:eastAsia="Aptos"/>
          <w:i/>
          <w:sz w:val="20"/>
          <w:szCs w:val="20"/>
        </w:rPr>
        <w:t xml:space="preserve">. </w:t>
      </w:r>
      <w:r w:rsidRPr="004456B9">
        <w:rPr>
          <w:rFonts w:eastAsia="Aptos"/>
          <w:sz w:val="20"/>
          <w:szCs w:val="20"/>
        </w:rPr>
        <w:t>Praha: Leges, 2022, s.</w:t>
      </w:r>
      <w:r w:rsidRPr="004456B9">
        <w:rPr>
          <w:sz w:val="20"/>
          <w:szCs w:val="20"/>
        </w:rPr>
        <w:t xml:space="preserve"> 347.</w:t>
      </w:r>
    </w:p>
  </w:footnote>
  <w:footnote w:id="192">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w:t>
      </w:r>
      <w:r w:rsidRPr="007A76F9">
        <w:rPr>
          <w:rFonts w:eastAsia="Aptos"/>
          <w:sz w:val="20"/>
          <w:szCs w:val="20"/>
        </w:rPr>
        <w:t xml:space="preserve"> JEMELKA, Luboš. In: JEMELKA, Luboš, VETEŠNÍK, Pavel. </w:t>
      </w:r>
      <w:r w:rsidRPr="007A76F9">
        <w:rPr>
          <w:rFonts w:eastAsia="Aptos"/>
          <w:i/>
          <w:sz w:val="20"/>
          <w:szCs w:val="20"/>
        </w:rPr>
        <w:t>Zákon o odpovědnosti za přestupky a řízení o nich. Zákon o některých přestupcích. Komentář.</w:t>
      </w:r>
      <w:r w:rsidRPr="007A76F9">
        <w:rPr>
          <w:rFonts w:eastAsia="Aptos"/>
          <w:sz w:val="20"/>
          <w:szCs w:val="20"/>
        </w:rPr>
        <w:t xml:space="preserve"> 2. vydání. Praha: C.H. Beck. 2020, s. 546 .</w:t>
      </w:r>
    </w:p>
  </w:footnote>
  <w:footnote w:id="193">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Ustanovení § 43 odst. 3 zákona č. 141/1961 Sb., o trestním řízení soudním, ve znění pozdějších předpisů.</w:t>
      </w:r>
    </w:p>
  </w:footnote>
  <w:footnote w:id="194">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w:t>
      </w:r>
      <w:r w:rsidRPr="007A76F9">
        <w:rPr>
          <w:rFonts w:eastAsia="Aptos"/>
          <w:sz w:val="20"/>
          <w:szCs w:val="20"/>
        </w:rPr>
        <w:t>ŠÁMAL, Pavel. In: ŠÁMAL, Pavel a kol.</w:t>
      </w:r>
      <w:r w:rsidRPr="007A76F9">
        <w:rPr>
          <w:rFonts w:eastAsia="Aptos"/>
          <w:i/>
          <w:sz w:val="20"/>
          <w:szCs w:val="20"/>
        </w:rPr>
        <w:t xml:space="preserve"> Trestní řád I. § 1 až 156. Komentář.</w:t>
      </w:r>
      <w:r w:rsidRPr="007A76F9">
        <w:rPr>
          <w:rFonts w:eastAsia="Aptos"/>
          <w:sz w:val="20"/>
          <w:szCs w:val="20"/>
        </w:rPr>
        <w:t xml:space="preserve"> 7 vydání. Praha: C.H. Beck, 2013 s 521, stejně tak </w:t>
      </w:r>
      <w:r w:rsidRPr="007A76F9">
        <w:rPr>
          <w:sz w:val="20"/>
          <w:szCs w:val="20"/>
        </w:rPr>
        <w:t xml:space="preserve">DURDÍK, Tomáš In: DRAŠTÍK, Antonín a kol. </w:t>
      </w:r>
      <w:r w:rsidRPr="007A76F9">
        <w:rPr>
          <w:i/>
          <w:sz w:val="20"/>
          <w:szCs w:val="20"/>
        </w:rPr>
        <w:t>Trestní řád. Komentář. I. díl. § 1 až 179h.</w:t>
      </w:r>
      <w:r w:rsidRPr="007A76F9">
        <w:rPr>
          <w:sz w:val="20"/>
          <w:szCs w:val="20"/>
        </w:rPr>
        <w:t xml:space="preserve"> Praha: Wolters Kluwer, 2017, s</w:t>
      </w:r>
      <w:r w:rsidRPr="007A76F9">
        <w:rPr>
          <w:rFonts w:eastAsia="Aptos"/>
          <w:sz w:val="20"/>
          <w:szCs w:val="20"/>
        </w:rPr>
        <w:t>. 346.</w:t>
      </w:r>
    </w:p>
  </w:footnote>
  <w:footnote w:id="195">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Usnesení Krajského soudu v Plzni ze dne 06.10.1999, sp. zn. 8 To 335/99.</w:t>
      </w:r>
    </w:p>
  </w:footnote>
  <w:footnote w:id="196">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Důvodová zpráva k ustanovení § 70 zákona č. 250/206 Sb., zákon o odpovědnosti za přestupky a řízení o nich, zvláštní část, s. 187-188.</w:t>
      </w:r>
    </w:p>
  </w:footnote>
  <w:footnote w:id="197">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w:t>
      </w:r>
      <w:r w:rsidRPr="007A76F9">
        <w:rPr>
          <w:rFonts w:eastAsia="Aptos"/>
          <w:sz w:val="20"/>
          <w:szCs w:val="20"/>
        </w:rPr>
        <w:t xml:space="preserve">PRÁŠKOVÁ, Helena. </w:t>
      </w:r>
      <w:r w:rsidRPr="007A76F9">
        <w:rPr>
          <w:rFonts w:eastAsia="Aptos"/>
          <w:i/>
          <w:sz w:val="20"/>
          <w:szCs w:val="20"/>
        </w:rPr>
        <w:t xml:space="preserve">Přestupkové právo. </w:t>
      </w:r>
      <w:r w:rsidRPr="007A76F9">
        <w:rPr>
          <w:rFonts w:eastAsia="Aptos"/>
          <w:sz w:val="20"/>
          <w:szCs w:val="20"/>
        </w:rPr>
        <w:t>2. vydání</w:t>
      </w:r>
      <w:r w:rsidRPr="007A76F9">
        <w:rPr>
          <w:rFonts w:eastAsia="Aptos"/>
          <w:i/>
          <w:sz w:val="20"/>
          <w:szCs w:val="20"/>
        </w:rPr>
        <w:t xml:space="preserve">. </w:t>
      </w:r>
      <w:r w:rsidRPr="007A76F9">
        <w:rPr>
          <w:rFonts w:eastAsia="Aptos"/>
          <w:sz w:val="20"/>
          <w:szCs w:val="20"/>
        </w:rPr>
        <w:t xml:space="preserve">Praha: Leges, 2022, s. </w:t>
      </w:r>
      <w:r w:rsidRPr="007A76F9">
        <w:rPr>
          <w:sz w:val="20"/>
          <w:szCs w:val="20"/>
        </w:rPr>
        <w:t>347.</w:t>
      </w:r>
    </w:p>
  </w:footnote>
  <w:footnote w:id="198">
    <w:p w:rsidR="00AF5227"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Ustanovení § 41 odst. 2 věta první zákona č. 500/2004 Sb., správní řád, ve znění pozdějších předpisů.</w:t>
      </w:r>
    </w:p>
  </w:footnote>
  <w:footnote w:id="199">
    <w:p w:rsidR="00AF5227" w:rsidRPr="007A76F9" w:rsidRDefault="00AF5227" w:rsidP="006A3693">
      <w:pPr>
        <w:spacing w:line="240" w:lineRule="auto"/>
        <w:ind w:right="567"/>
        <w:rPr>
          <w:sz w:val="20"/>
          <w:szCs w:val="20"/>
        </w:rPr>
      </w:pPr>
      <w:r w:rsidRPr="007A76F9">
        <w:rPr>
          <w:sz w:val="20"/>
          <w:szCs w:val="20"/>
          <w:vertAlign w:val="superscript"/>
        </w:rPr>
        <w:footnoteRef/>
      </w:r>
      <w:r w:rsidRPr="007A76F9">
        <w:rPr>
          <w:sz w:val="20"/>
          <w:szCs w:val="20"/>
        </w:rPr>
        <w:t xml:space="preserve"> Ustanovení § 61 zákona č. 141/1961 Sb., o trestním řízení soudním, ve znění pozdějších předpisů.</w:t>
      </w:r>
    </w:p>
  </w:footnote>
  <w:footnote w:id="200">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JELÍNEK, Jiří. In: JELÍNEK, Jiří a kol. </w:t>
      </w:r>
      <w:r w:rsidRPr="004456B9">
        <w:rPr>
          <w:i/>
          <w:sz w:val="20"/>
          <w:szCs w:val="20"/>
        </w:rPr>
        <w:t>Trestní právo procesní.</w:t>
      </w:r>
      <w:r w:rsidRPr="004456B9">
        <w:rPr>
          <w:sz w:val="20"/>
          <w:szCs w:val="20"/>
        </w:rPr>
        <w:t xml:space="preserve"> Praha: Leges, 6. Vydání, 2022, s. 254.</w:t>
      </w:r>
    </w:p>
  </w:footnote>
  <w:footnote w:id="201">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Nález Úst</w:t>
      </w:r>
      <w:r>
        <w:rPr>
          <w:sz w:val="20"/>
          <w:szCs w:val="20"/>
        </w:rPr>
        <w:t xml:space="preserve">avního soudu ze dne 8.8. 2017, </w:t>
      </w:r>
      <w:r w:rsidRPr="004456B9">
        <w:rPr>
          <w:sz w:val="20"/>
          <w:szCs w:val="20"/>
        </w:rPr>
        <w:t>sp. zn. Pl. ÚS 32/16.</w:t>
      </w:r>
    </w:p>
  </w:footnote>
  <w:footnote w:id="202">
    <w:p w:rsidR="00AF5227" w:rsidRPr="004257C9" w:rsidRDefault="00AF5227" w:rsidP="006A3693">
      <w:pPr>
        <w:pStyle w:val="Textpoznpodarou"/>
        <w:ind w:right="567"/>
        <w:rPr>
          <w:lang w:val="cs-CZ"/>
        </w:rPr>
      </w:pPr>
      <w:r>
        <w:rPr>
          <w:rStyle w:val="Znakapoznpodarou"/>
        </w:rPr>
        <w:footnoteRef/>
      </w:r>
      <w:r>
        <w:t xml:space="preserve"> </w:t>
      </w:r>
      <w:r w:rsidRPr="004456B9">
        <w:t xml:space="preserve">MELZER, FIlip. </w:t>
      </w:r>
      <w:r w:rsidRPr="004456B9">
        <w:rPr>
          <w:i/>
        </w:rPr>
        <w:t>Metodologie nalézání práva. Úvod do právní argumentace</w:t>
      </w:r>
      <w:r w:rsidRPr="004456B9">
        <w:t>, 2. Vydání. Praha: C.H. Beck, 2011, s. 16</w:t>
      </w:r>
      <w:r>
        <w:t>8, 170</w:t>
      </w:r>
    </w:p>
  </w:footnote>
  <w:footnote w:id="203">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Důvodová zpráva zákonu č. 250/206 Sb., zvláštní část, s. 187-188.</w:t>
      </w:r>
    </w:p>
  </w:footnote>
  <w:footnote w:id="204">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Ustanovení § 41 odst. 5 zákona č. 500/2004 Sb., správní řád, ve znění pozdějších předpisů.</w:t>
      </w:r>
    </w:p>
  </w:footnote>
  <w:footnote w:id="205">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 2 odst. 4 zákona č. 141/1961 Sb., o trestním řízení soudním, ve znění pozdějších předpisů.</w:t>
      </w:r>
    </w:p>
  </w:footnote>
  <w:footnote w:id="206">
    <w:p w:rsidR="00AF5227"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Ustanovení § 6 </w:t>
      </w:r>
      <w:r w:rsidRPr="004456B9">
        <w:rPr>
          <w:rFonts w:eastAsia="Aptos"/>
          <w:sz w:val="20"/>
          <w:szCs w:val="20"/>
        </w:rPr>
        <w:t>zákona č. 500/2004 Sb., správní řád, ve znění pozdějších předpisů.</w:t>
      </w:r>
    </w:p>
  </w:footnote>
  <w:footnote w:id="207">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Nález Ústavního soudu ze dne 8.8. 2017</w:t>
      </w:r>
      <w:r>
        <w:rPr>
          <w:sz w:val="20"/>
          <w:szCs w:val="20"/>
        </w:rPr>
        <w:t>,</w:t>
      </w:r>
      <w:r w:rsidRPr="004456B9">
        <w:rPr>
          <w:sz w:val="20"/>
          <w:szCs w:val="20"/>
        </w:rPr>
        <w:t xml:space="preserve"> sp. </w:t>
      </w:r>
      <w:r>
        <w:rPr>
          <w:sz w:val="20"/>
          <w:szCs w:val="20"/>
        </w:rPr>
        <w:t>z</w:t>
      </w:r>
      <w:r w:rsidRPr="004456B9">
        <w:rPr>
          <w:sz w:val="20"/>
          <w:szCs w:val="20"/>
        </w:rPr>
        <w:t>n. Pl. ús. 32/16.</w:t>
      </w:r>
    </w:p>
  </w:footnote>
  <w:footnote w:id="208">
    <w:p w:rsidR="00AF5227"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MELZER, FIlip. </w:t>
      </w:r>
      <w:r w:rsidRPr="004456B9">
        <w:rPr>
          <w:i/>
          <w:sz w:val="20"/>
          <w:szCs w:val="20"/>
        </w:rPr>
        <w:t>Metodologie nalézání práva. Úvod do právní argumentace</w:t>
      </w:r>
      <w:r w:rsidRPr="004456B9">
        <w:rPr>
          <w:sz w:val="20"/>
          <w:szCs w:val="20"/>
        </w:rPr>
        <w:t>, 2. Vydání. Praha: C.H. Beck, 2011, s. 166.</w:t>
      </w:r>
    </w:p>
  </w:footnote>
  <w:footnote w:id="209">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rFonts w:eastAsia="Aptos"/>
          <w:sz w:val="20"/>
          <w:szCs w:val="20"/>
        </w:rPr>
        <w:t xml:space="preserve"> JEMELKA, Luboš. In: JEMELKA, Luboš, VETEŠNÍK, Pavel. </w:t>
      </w:r>
      <w:r w:rsidRPr="004456B9">
        <w:rPr>
          <w:rFonts w:eastAsia="Aptos"/>
          <w:i/>
          <w:sz w:val="20"/>
          <w:szCs w:val="20"/>
        </w:rPr>
        <w:t>Zákon o odpovědnosti za přestupky a řízení o nich. Zákon o některých přestupcích. Komentář.</w:t>
      </w:r>
      <w:r w:rsidRPr="004456B9">
        <w:rPr>
          <w:rFonts w:eastAsia="Aptos"/>
          <w:sz w:val="20"/>
          <w:szCs w:val="20"/>
        </w:rPr>
        <w:t xml:space="preserve"> 2. vydání. Praha: C.H. Beck. 2020, s.</w:t>
      </w:r>
      <w:r w:rsidRPr="004456B9">
        <w:rPr>
          <w:sz w:val="20"/>
          <w:szCs w:val="20"/>
        </w:rPr>
        <w:t xml:space="preserve"> 526.</w:t>
      </w:r>
    </w:p>
  </w:footnote>
  <w:footnote w:id="210">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Ustanovení §</w:t>
      </w:r>
      <w:r>
        <w:rPr>
          <w:sz w:val="20"/>
          <w:szCs w:val="20"/>
        </w:rPr>
        <w:t xml:space="preserve"> 70 odst. 1 zákona č. 250/2016 </w:t>
      </w:r>
      <w:r w:rsidRPr="004456B9">
        <w:rPr>
          <w:sz w:val="20"/>
          <w:szCs w:val="20"/>
        </w:rPr>
        <w:t>Sb., zákon o odpovědnosti za přestupky a řízení o nich, ve znění pozdějších předpisů.</w:t>
      </w:r>
    </w:p>
  </w:footnote>
  <w:footnote w:id="211">
    <w:p w:rsidR="00AF5227" w:rsidRPr="004456B9" w:rsidRDefault="00AF5227" w:rsidP="006A3693">
      <w:pPr>
        <w:spacing w:line="240" w:lineRule="auto"/>
        <w:ind w:right="567"/>
        <w:rPr>
          <w:sz w:val="20"/>
          <w:szCs w:val="20"/>
        </w:rPr>
      </w:pPr>
      <w:r w:rsidRPr="004456B9">
        <w:rPr>
          <w:sz w:val="20"/>
          <w:szCs w:val="20"/>
          <w:vertAlign w:val="superscript"/>
        </w:rPr>
        <w:footnoteRef/>
      </w:r>
      <w:r>
        <w:rPr>
          <w:sz w:val="20"/>
          <w:szCs w:val="20"/>
        </w:rPr>
        <w:t xml:space="preserve"> </w:t>
      </w:r>
      <w:r w:rsidRPr="004456B9">
        <w:rPr>
          <w:sz w:val="20"/>
          <w:szCs w:val="20"/>
        </w:rPr>
        <w:t>Důvodová zpráva k zákonu č. 250/206 Sb., zvláštní část, s. 186-188.</w:t>
      </w:r>
    </w:p>
  </w:footnote>
  <w:footnote w:id="212">
    <w:p w:rsidR="00AF5227" w:rsidRPr="004456B9" w:rsidRDefault="00AF5227" w:rsidP="006A3693">
      <w:pPr>
        <w:spacing w:line="240" w:lineRule="auto"/>
        <w:ind w:right="567"/>
        <w:rPr>
          <w:i/>
          <w:sz w:val="20"/>
          <w:szCs w:val="20"/>
        </w:rPr>
      </w:pPr>
      <w:r w:rsidRPr="004456B9">
        <w:rPr>
          <w:sz w:val="20"/>
          <w:szCs w:val="20"/>
          <w:vertAlign w:val="superscript"/>
        </w:rPr>
        <w:footnoteRef/>
      </w:r>
      <w:r w:rsidRPr="004456B9">
        <w:rPr>
          <w:sz w:val="20"/>
          <w:szCs w:val="20"/>
        </w:rPr>
        <w:t xml:space="preserve"> PRŮCHA, Petr. In: BOHADLO, David a kol. </w:t>
      </w:r>
      <w:r w:rsidRPr="004456B9">
        <w:rPr>
          <w:i/>
          <w:sz w:val="20"/>
          <w:szCs w:val="20"/>
        </w:rPr>
        <w:t>Zákon o odpovědnosti za přestupky a řízení o.</w:t>
      </w:r>
    </w:p>
    <w:p w:rsidR="00AF5227" w:rsidRPr="004456B9" w:rsidRDefault="00AF5227" w:rsidP="006A3693">
      <w:pPr>
        <w:spacing w:line="240" w:lineRule="auto"/>
        <w:ind w:right="567"/>
        <w:rPr>
          <w:sz w:val="20"/>
          <w:szCs w:val="20"/>
        </w:rPr>
      </w:pPr>
      <w:r w:rsidRPr="004456B9">
        <w:rPr>
          <w:i/>
          <w:sz w:val="20"/>
          <w:szCs w:val="20"/>
        </w:rPr>
        <w:t xml:space="preserve"> nich. Komentář.</w:t>
      </w:r>
      <w:r w:rsidRPr="004456B9">
        <w:rPr>
          <w:sz w:val="20"/>
          <w:szCs w:val="20"/>
        </w:rPr>
        <w:t xml:space="preserve"> Praha: Wolters Kluwer, 2018, s. 412.</w:t>
      </w:r>
    </w:p>
  </w:footnote>
  <w:footnote w:id="213">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w:t>
      </w:r>
      <w:r w:rsidRPr="004456B9">
        <w:rPr>
          <w:rFonts w:eastAsia="Aptos"/>
          <w:sz w:val="20"/>
          <w:szCs w:val="20"/>
        </w:rPr>
        <w:t xml:space="preserve">JEMELKA, Luboš. In: JEMELKA, Luboš, VETEŠNÍK, Pavel. </w:t>
      </w:r>
      <w:r w:rsidRPr="004456B9">
        <w:rPr>
          <w:rFonts w:eastAsia="Aptos"/>
          <w:i/>
          <w:sz w:val="20"/>
          <w:szCs w:val="20"/>
        </w:rPr>
        <w:t>Zákon o odpovědnosti za přestupky a řízení o nich. Zákon o některých přestupcích. Komentář.</w:t>
      </w:r>
      <w:r w:rsidRPr="004456B9">
        <w:rPr>
          <w:rFonts w:eastAsia="Aptos"/>
          <w:sz w:val="20"/>
          <w:szCs w:val="20"/>
        </w:rPr>
        <w:t xml:space="preserve"> 2. vydání. Praha: C.H. Beck. 2020, </w:t>
      </w:r>
      <w:r w:rsidRPr="004456B9">
        <w:rPr>
          <w:sz w:val="20"/>
          <w:szCs w:val="20"/>
        </w:rPr>
        <w:t>s. 545.</w:t>
      </w:r>
    </w:p>
  </w:footnote>
  <w:footnote w:id="214">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w:t>
      </w:r>
      <w:r w:rsidRPr="004456B9">
        <w:rPr>
          <w:rFonts w:eastAsia="Aptos"/>
          <w:sz w:val="20"/>
          <w:szCs w:val="20"/>
        </w:rPr>
        <w:t xml:space="preserve">KUČEROVÁ, Helena, HORZINKOVÁ, Eva. </w:t>
      </w:r>
      <w:r w:rsidRPr="004456B9">
        <w:rPr>
          <w:rFonts w:eastAsia="Aptos"/>
          <w:i/>
          <w:sz w:val="20"/>
          <w:szCs w:val="20"/>
        </w:rPr>
        <w:t xml:space="preserve">Zákon o odpovědnosti za přestupky a řízení o nich a zákon o některých přestupcích s komentářem a judikaturou. </w:t>
      </w:r>
      <w:r w:rsidRPr="004456B9">
        <w:rPr>
          <w:rFonts w:eastAsia="Aptos"/>
          <w:sz w:val="20"/>
          <w:szCs w:val="20"/>
        </w:rPr>
        <w:t>2. vydání</w:t>
      </w:r>
      <w:r w:rsidRPr="004456B9">
        <w:rPr>
          <w:rFonts w:eastAsia="Aptos"/>
          <w:i/>
          <w:sz w:val="20"/>
          <w:szCs w:val="20"/>
        </w:rPr>
        <w:t xml:space="preserve">. </w:t>
      </w:r>
      <w:r w:rsidRPr="004456B9">
        <w:rPr>
          <w:rFonts w:eastAsia="Aptos"/>
          <w:sz w:val="20"/>
          <w:szCs w:val="20"/>
        </w:rPr>
        <w:t>Praha: Leges,</w:t>
      </w:r>
      <w:r w:rsidRPr="004456B9">
        <w:rPr>
          <w:rFonts w:eastAsia="Aptos"/>
          <w:i/>
          <w:sz w:val="20"/>
          <w:szCs w:val="20"/>
        </w:rPr>
        <w:t xml:space="preserve"> </w:t>
      </w:r>
      <w:r w:rsidRPr="004456B9">
        <w:rPr>
          <w:rFonts w:eastAsia="Aptos"/>
          <w:sz w:val="20"/>
          <w:szCs w:val="20"/>
        </w:rPr>
        <w:t>2019,</w:t>
      </w:r>
      <w:r w:rsidRPr="004456B9">
        <w:rPr>
          <w:rFonts w:eastAsia="Aptos"/>
          <w:i/>
          <w:sz w:val="20"/>
          <w:szCs w:val="20"/>
        </w:rPr>
        <w:t xml:space="preserve"> </w:t>
      </w:r>
      <w:r w:rsidRPr="004456B9">
        <w:rPr>
          <w:rFonts w:eastAsia="Aptos"/>
          <w:sz w:val="20"/>
          <w:szCs w:val="20"/>
        </w:rPr>
        <w:t>s</w:t>
      </w:r>
      <w:r w:rsidRPr="004456B9">
        <w:rPr>
          <w:sz w:val="20"/>
          <w:szCs w:val="20"/>
        </w:rPr>
        <w:t>. 402.</w:t>
      </w:r>
    </w:p>
  </w:footnote>
  <w:footnote w:id="215">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highlight w:val="white"/>
        </w:rPr>
        <w:t xml:space="preserve"> Ustanovení § 70 odst. 1 věta první z. č. 250/2016 Sb. “Zákon o odpovědnosti za přestupky a řízení o nich”: “</w:t>
      </w:r>
      <w:r w:rsidRPr="004456B9">
        <w:rPr>
          <w:i/>
          <w:sz w:val="20"/>
          <w:szCs w:val="20"/>
          <w:highlight w:val="white"/>
        </w:rPr>
        <w:t>Správní orgán bezodkladně vyrozumí o možnosti uplatnit nárok…</w:t>
      </w:r>
      <w:r w:rsidRPr="004456B9">
        <w:rPr>
          <w:sz w:val="20"/>
          <w:szCs w:val="20"/>
          <w:highlight w:val="white"/>
        </w:rPr>
        <w:t>”, ve znění pozdějších předpisů</w:t>
      </w:r>
    </w:p>
  </w:footnote>
  <w:footnote w:id="216">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w:t>
      </w:r>
      <w:r w:rsidRPr="004456B9">
        <w:rPr>
          <w:rFonts w:eastAsia="Aptos"/>
          <w:sz w:val="20"/>
          <w:szCs w:val="20"/>
        </w:rPr>
        <w:t xml:space="preserve">KUČEROVÁ, Helena, HORZINKOVÁ, Eva. </w:t>
      </w:r>
      <w:r w:rsidRPr="004456B9">
        <w:rPr>
          <w:rFonts w:eastAsia="Aptos"/>
          <w:i/>
          <w:sz w:val="20"/>
          <w:szCs w:val="20"/>
        </w:rPr>
        <w:t xml:space="preserve">Zákon o odpovědnosti za přestupky a řízení o nich a zákon o některých přestupcích s komentářem a judikaturou. </w:t>
      </w:r>
      <w:r w:rsidRPr="004456B9">
        <w:rPr>
          <w:rFonts w:eastAsia="Aptos"/>
          <w:sz w:val="20"/>
          <w:szCs w:val="20"/>
        </w:rPr>
        <w:t>2. vydání</w:t>
      </w:r>
      <w:r w:rsidRPr="004456B9">
        <w:rPr>
          <w:rFonts w:eastAsia="Aptos"/>
          <w:i/>
          <w:sz w:val="20"/>
          <w:szCs w:val="20"/>
        </w:rPr>
        <w:t xml:space="preserve">. </w:t>
      </w:r>
      <w:r w:rsidRPr="004456B9">
        <w:rPr>
          <w:rFonts w:eastAsia="Aptos"/>
          <w:sz w:val="20"/>
          <w:szCs w:val="20"/>
        </w:rPr>
        <w:t>Praha: Leges, 2019,</w:t>
      </w:r>
      <w:r w:rsidRPr="004456B9">
        <w:rPr>
          <w:rFonts w:eastAsia="Aptos"/>
          <w:i/>
          <w:sz w:val="20"/>
          <w:szCs w:val="20"/>
        </w:rPr>
        <w:t xml:space="preserve"> </w:t>
      </w:r>
      <w:r w:rsidRPr="004456B9">
        <w:rPr>
          <w:rFonts w:eastAsia="Aptos"/>
          <w:sz w:val="20"/>
          <w:szCs w:val="20"/>
        </w:rPr>
        <w:t>s</w:t>
      </w:r>
      <w:r w:rsidRPr="004456B9">
        <w:rPr>
          <w:sz w:val="20"/>
          <w:szCs w:val="20"/>
        </w:rPr>
        <w:t>. 400.</w:t>
      </w:r>
    </w:p>
  </w:footnote>
  <w:footnote w:id="217">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w:t>
      </w:r>
      <w:r w:rsidRPr="004456B9">
        <w:rPr>
          <w:rFonts w:eastAsia="Aptos"/>
          <w:sz w:val="20"/>
          <w:szCs w:val="20"/>
        </w:rPr>
        <w:t xml:space="preserve"> JEMELKA, Luboš. In: JEMELKA, Luboš, VETEŠNÍK, Pavel. </w:t>
      </w:r>
      <w:r w:rsidRPr="004456B9">
        <w:rPr>
          <w:rFonts w:eastAsia="Aptos"/>
          <w:i/>
          <w:sz w:val="20"/>
          <w:szCs w:val="20"/>
        </w:rPr>
        <w:t>Zákon o odpovědnosti za přestupky a řízení o nich. Zákon o některých přestupcích. Komentář.</w:t>
      </w:r>
      <w:r w:rsidRPr="004456B9">
        <w:rPr>
          <w:rFonts w:eastAsia="Aptos"/>
          <w:sz w:val="20"/>
          <w:szCs w:val="20"/>
        </w:rPr>
        <w:t xml:space="preserve"> 2. vydání. Praha: C.H. Beck. 2020, s. </w:t>
      </w:r>
      <w:r w:rsidRPr="004456B9">
        <w:rPr>
          <w:sz w:val="20"/>
          <w:szCs w:val="20"/>
        </w:rPr>
        <w:t>546.</w:t>
      </w:r>
    </w:p>
  </w:footnote>
  <w:footnote w:id="218">
    <w:p w:rsidR="00AF5227"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PRŮCHA, Petr. In: BOHADLO, David a kol. </w:t>
      </w:r>
      <w:r w:rsidRPr="004456B9">
        <w:rPr>
          <w:i/>
          <w:sz w:val="20"/>
          <w:szCs w:val="20"/>
        </w:rPr>
        <w:t>Zákon o odpovědnosti za přestupky a řízení o nich. Komentář.</w:t>
      </w:r>
      <w:r w:rsidRPr="004456B9">
        <w:rPr>
          <w:sz w:val="20"/>
          <w:szCs w:val="20"/>
        </w:rPr>
        <w:t xml:space="preserve"> Praha: Wolters Kluwer, 2018, s. 412.</w:t>
      </w:r>
    </w:p>
  </w:footnote>
  <w:footnote w:id="219">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w:t>
      </w:r>
      <w:r w:rsidRPr="004456B9">
        <w:rPr>
          <w:rFonts w:eastAsia="Aptos"/>
          <w:sz w:val="20"/>
          <w:szCs w:val="20"/>
        </w:rPr>
        <w:t xml:space="preserve">PRÁŠKOVÁ, Helena. </w:t>
      </w:r>
      <w:r w:rsidRPr="004456B9">
        <w:rPr>
          <w:rFonts w:eastAsia="Aptos"/>
          <w:i/>
          <w:sz w:val="20"/>
          <w:szCs w:val="20"/>
        </w:rPr>
        <w:t xml:space="preserve">Přestupkové právo. </w:t>
      </w:r>
      <w:r w:rsidRPr="004456B9">
        <w:rPr>
          <w:rFonts w:eastAsia="Aptos"/>
          <w:sz w:val="20"/>
          <w:szCs w:val="20"/>
        </w:rPr>
        <w:t>2. vydání</w:t>
      </w:r>
      <w:r w:rsidRPr="004456B9">
        <w:rPr>
          <w:rFonts w:eastAsia="Aptos"/>
          <w:i/>
          <w:sz w:val="20"/>
          <w:szCs w:val="20"/>
        </w:rPr>
        <w:t xml:space="preserve">, </w:t>
      </w:r>
      <w:r w:rsidRPr="004456B9">
        <w:rPr>
          <w:rFonts w:eastAsia="Aptos"/>
          <w:sz w:val="20"/>
          <w:szCs w:val="20"/>
        </w:rPr>
        <w:t xml:space="preserve">Praha: Leges. 2022, s. </w:t>
      </w:r>
      <w:r w:rsidRPr="004456B9">
        <w:rPr>
          <w:sz w:val="20"/>
          <w:szCs w:val="20"/>
        </w:rPr>
        <w:t>484.</w:t>
      </w:r>
    </w:p>
  </w:footnote>
  <w:footnote w:id="220">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FRUMAROVÁ, Kateřina. In: FRUMAROVÁ, Kateřina a kol. </w:t>
      </w:r>
      <w:r w:rsidRPr="004456B9">
        <w:rPr>
          <w:i/>
          <w:sz w:val="20"/>
          <w:szCs w:val="20"/>
        </w:rPr>
        <w:t>Správní právo procesní</w:t>
      </w:r>
      <w:r w:rsidRPr="004456B9">
        <w:rPr>
          <w:sz w:val="20"/>
          <w:szCs w:val="20"/>
        </w:rPr>
        <w:t>. Praha: C. H. Beck, 2021, s. 462.</w:t>
      </w:r>
    </w:p>
  </w:footnote>
  <w:footnote w:id="221">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rFonts w:eastAsia="Aptos"/>
          <w:sz w:val="20"/>
          <w:szCs w:val="20"/>
        </w:rPr>
        <w:t xml:space="preserve"> Ustanovení § 80 odst. 4. Písm. a) zákona č. 500/2004 Sb., správní řád, ve znění pozdějších předpisů.</w:t>
      </w:r>
      <w:r w:rsidRPr="004456B9">
        <w:rPr>
          <w:sz w:val="20"/>
          <w:szCs w:val="20"/>
        </w:rPr>
        <w:t xml:space="preserve"> </w:t>
      </w:r>
      <w:r w:rsidRPr="004456B9">
        <w:rPr>
          <w:rFonts w:eastAsia="Aptos"/>
          <w:sz w:val="20"/>
          <w:szCs w:val="20"/>
        </w:rPr>
        <w:t xml:space="preserve"> </w:t>
      </w:r>
    </w:p>
  </w:footnote>
  <w:footnote w:id="222">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JEMELKA, Luboš a kol. </w:t>
      </w:r>
      <w:r w:rsidRPr="004456B9">
        <w:rPr>
          <w:i/>
          <w:sz w:val="20"/>
          <w:szCs w:val="20"/>
        </w:rPr>
        <w:t>Správní řád.</w:t>
      </w:r>
      <w:r w:rsidRPr="004456B9">
        <w:rPr>
          <w:sz w:val="20"/>
          <w:szCs w:val="20"/>
        </w:rPr>
        <w:t xml:space="preserve"> </w:t>
      </w:r>
      <w:r w:rsidRPr="004456B9">
        <w:rPr>
          <w:i/>
          <w:sz w:val="20"/>
          <w:szCs w:val="20"/>
        </w:rPr>
        <w:t xml:space="preserve">Komentář. </w:t>
      </w:r>
      <w:r w:rsidRPr="004456B9">
        <w:rPr>
          <w:sz w:val="20"/>
          <w:szCs w:val="20"/>
        </w:rPr>
        <w:t>7. Vydání</w:t>
      </w:r>
      <w:r w:rsidRPr="004456B9">
        <w:rPr>
          <w:i/>
          <w:sz w:val="20"/>
          <w:szCs w:val="20"/>
        </w:rPr>
        <w:t>.</w:t>
      </w:r>
      <w:r w:rsidRPr="004456B9">
        <w:rPr>
          <w:sz w:val="20"/>
          <w:szCs w:val="20"/>
        </w:rPr>
        <w:t xml:space="preserve"> Praha: C.H. Beck, 2023, s. 215.</w:t>
      </w:r>
    </w:p>
  </w:footnote>
  <w:footnote w:id="223">
    <w:p w:rsidR="00AF5227"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MADLEŇÁKOVÁ, Lucia, MIČKALOVÁ, Lenka. </w:t>
      </w:r>
      <w:r w:rsidRPr="004456B9">
        <w:rPr>
          <w:i/>
          <w:sz w:val="20"/>
          <w:szCs w:val="20"/>
        </w:rPr>
        <w:t>Tvrzený účastník - poškozený v řízení o přestupku</w:t>
      </w:r>
      <w:r w:rsidRPr="004456B9">
        <w:rPr>
          <w:sz w:val="20"/>
          <w:szCs w:val="20"/>
        </w:rPr>
        <w:t>. Správní právo, 2016, roč. 49, č. 3, s. 463</w:t>
      </w:r>
      <w:r w:rsidR="005833E8">
        <w:rPr>
          <w:sz w:val="20"/>
          <w:szCs w:val="20"/>
        </w:rPr>
        <w:t>.</w:t>
      </w:r>
    </w:p>
  </w:footnote>
  <w:footnote w:id="224">
    <w:p w:rsidR="00AF5227" w:rsidRPr="004456B9" w:rsidRDefault="00AF5227" w:rsidP="006A3693">
      <w:pPr>
        <w:spacing w:line="240" w:lineRule="auto"/>
        <w:ind w:right="567"/>
        <w:jc w:val="both"/>
        <w:rPr>
          <w:sz w:val="20"/>
          <w:szCs w:val="20"/>
        </w:rPr>
      </w:pPr>
      <w:r w:rsidRPr="004456B9">
        <w:rPr>
          <w:sz w:val="20"/>
          <w:szCs w:val="20"/>
          <w:vertAlign w:val="superscript"/>
        </w:rPr>
        <w:footnoteRef/>
      </w:r>
      <w:r w:rsidRPr="004456B9">
        <w:rPr>
          <w:sz w:val="20"/>
          <w:szCs w:val="20"/>
        </w:rPr>
        <w:t xml:space="preserve">  BOHADLO, David. In: BOHADLO, David a kol. </w:t>
      </w:r>
      <w:r w:rsidRPr="004456B9">
        <w:rPr>
          <w:i/>
          <w:sz w:val="20"/>
          <w:szCs w:val="20"/>
        </w:rPr>
        <w:t>Zákon o odpovědnosti za přestupky a řízení o nich. Komentář.</w:t>
      </w:r>
      <w:r w:rsidRPr="004456B9">
        <w:rPr>
          <w:sz w:val="20"/>
          <w:szCs w:val="20"/>
        </w:rPr>
        <w:t xml:space="preserve"> Praha: Wolters Kluwer, 2018, s. 515.</w:t>
      </w:r>
    </w:p>
  </w:footnote>
  <w:footnote w:id="225">
    <w:p w:rsidR="00AF5227" w:rsidRPr="004456B9" w:rsidRDefault="00AF5227" w:rsidP="006A3693">
      <w:pPr>
        <w:spacing w:line="240" w:lineRule="auto"/>
        <w:ind w:right="567"/>
        <w:jc w:val="both"/>
        <w:rPr>
          <w:sz w:val="20"/>
          <w:szCs w:val="20"/>
        </w:rPr>
      </w:pPr>
      <w:r w:rsidRPr="004456B9">
        <w:rPr>
          <w:sz w:val="20"/>
          <w:szCs w:val="20"/>
          <w:vertAlign w:val="superscript"/>
        </w:rPr>
        <w:footnoteRef/>
      </w:r>
      <w:r w:rsidRPr="004456B9">
        <w:rPr>
          <w:sz w:val="20"/>
          <w:szCs w:val="20"/>
        </w:rPr>
        <w:t xml:space="preserve"> Ustanovení § 70 odst. 2 zákona č. 250/2016 Sb., zákon o odpovědnosti za přestupky a řízení o nich, ve znění pozdějších předpisů.</w:t>
      </w:r>
    </w:p>
  </w:footnote>
  <w:footnote w:id="226">
    <w:p w:rsidR="00AF5227" w:rsidRPr="004456B9" w:rsidRDefault="00AF5227" w:rsidP="006A3693">
      <w:pPr>
        <w:spacing w:line="240" w:lineRule="auto"/>
        <w:ind w:right="567"/>
        <w:jc w:val="both"/>
        <w:rPr>
          <w:sz w:val="20"/>
          <w:szCs w:val="20"/>
        </w:rPr>
      </w:pPr>
      <w:r w:rsidRPr="004456B9">
        <w:rPr>
          <w:sz w:val="20"/>
          <w:szCs w:val="20"/>
          <w:vertAlign w:val="superscript"/>
        </w:rPr>
        <w:footnoteRef/>
      </w:r>
      <w:r w:rsidRPr="004456B9">
        <w:rPr>
          <w:sz w:val="20"/>
          <w:szCs w:val="20"/>
        </w:rPr>
        <w:t xml:space="preserve"> </w:t>
      </w:r>
      <w:r w:rsidRPr="004456B9">
        <w:rPr>
          <w:rFonts w:eastAsia="Aptos"/>
          <w:sz w:val="20"/>
          <w:szCs w:val="20"/>
        </w:rPr>
        <w:t xml:space="preserve">PRÁŠKOVÁ, Helena. </w:t>
      </w:r>
      <w:r w:rsidRPr="004456B9">
        <w:rPr>
          <w:rFonts w:eastAsia="Aptos"/>
          <w:i/>
          <w:sz w:val="20"/>
          <w:szCs w:val="20"/>
        </w:rPr>
        <w:t xml:space="preserve">Přestupkové právo. </w:t>
      </w:r>
      <w:r w:rsidRPr="004456B9">
        <w:rPr>
          <w:rFonts w:eastAsia="Aptos"/>
          <w:sz w:val="20"/>
          <w:szCs w:val="20"/>
        </w:rPr>
        <w:t>2. vydání</w:t>
      </w:r>
      <w:r w:rsidRPr="004456B9">
        <w:rPr>
          <w:rFonts w:eastAsia="Aptos"/>
          <w:i/>
          <w:sz w:val="20"/>
          <w:szCs w:val="20"/>
        </w:rPr>
        <w:t xml:space="preserve">, </w:t>
      </w:r>
      <w:r w:rsidRPr="004456B9">
        <w:rPr>
          <w:rFonts w:eastAsia="Aptos"/>
          <w:sz w:val="20"/>
          <w:szCs w:val="20"/>
        </w:rPr>
        <w:t>Praha: Leges. 2022, s. 482</w:t>
      </w:r>
      <w:r w:rsidRPr="004456B9">
        <w:rPr>
          <w:rFonts w:eastAsia="Aptos"/>
          <w:i/>
          <w:sz w:val="20"/>
          <w:szCs w:val="20"/>
        </w:rPr>
        <w:t>.</w:t>
      </w:r>
    </w:p>
  </w:footnote>
  <w:footnote w:id="227">
    <w:p w:rsidR="00AF5227" w:rsidRPr="004456B9" w:rsidRDefault="00AF5227" w:rsidP="006A3693">
      <w:pPr>
        <w:spacing w:line="240" w:lineRule="auto"/>
        <w:ind w:right="567"/>
        <w:jc w:val="both"/>
        <w:rPr>
          <w:sz w:val="20"/>
          <w:szCs w:val="20"/>
        </w:rPr>
      </w:pPr>
      <w:r w:rsidRPr="004456B9">
        <w:rPr>
          <w:sz w:val="20"/>
          <w:szCs w:val="20"/>
          <w:vertAlign w:val="superscript"/>
        </w:rPr>
        <w:footnoteRef/>
      </w:r>
      <w:r w:rsidRPr="004456B9">
        <w:rPr>
          <w:sz w:val="20"/>
          <w:szCs w:val="20"/>
        </w:rPr>
        <w:t xml:space="preserve"> JEMELKA, Luboš a kol. </w:t>
      </w:r>
      <w:r w:rsidRPr="004456B9">
        <w:rPr>
          <w:i/>
          <w:sz w:val="20"/>
          <w:szCs w:val="20"/>
        </w:rPr>
        <w:t>Správní řád.</w:t>
      </w:r>
      <w:r w:rsidRPr="004456B9">
        <w:rPr>
          <w:sz w:val="20"/>
          <w:szCs w:val="20"/>
        </w:rPr>
        <w:t xml:space="preserve"> </w:t>
      </w:r>
      <w:r w:rsidRPr="004456B9">
        <w:rPr>
          <w:i/>
          <w:sz w:val="20"/>
          <w:szCs w:val="20"/>
        </w:rPr>
        <w:t>Komentář. 7. Vydání.</w:t>
      </w:r>
      <w:r w:rsidRPr="004456B9">
        <w:rPr>
          <w:sz w:val="20"/>
          <w:szCs w:val="20"/>
        </w:rPr>
        <w:t xml:space="preserve"> Praha: C.H. Beck, 2023, s. 642.</w:t>
      </w:r>
    </w:p>
  </w:footnote>
  <w:footnote w:id="228">
    <w:p w:rsidR="00AF5227" w:rsidRPr="00BE6E49" w:rsidRDefault="00AF5227" w:rsidP="006A3693">
      <w:pPr>
        <w:pStyle w:val="Textpoznpodarou"/>
        <w:ind w:right="567"/>
        <w:rPr>
          <w:lang w:val="cs-CZ"/>
        </w:rPr>
      </w:pPr>
      <w:r>
        <w:rPr>
          <w:rStyle w:val="Znakapoznpodarou"/>
        </w:rPr>
        <w:footnoteRef/>
      </w:r>
      <w:r>
        <w:t xml:space="preserve"> </w:t>
      </w:r>
      <w:r>
        <w:rPr>
          <w:lang w:val="cs-CZ"/>
        </w:rPr>
        <w:t xml:space="preserve"> Což dovozuji ze skutečnosti, že obecně si osoba může způsob uplatnění vybrat. Viz </w:t>
      </w:r>
      <w:r w:rsidRPr="004977E3">
        <w:t xml:space="preserve">BERANOVÁ, Andrea. </w:t>
      </w:r>
      <w:r>
        <w:rPr>
          <w:i/>
        </w:rPr>
        <w:t>Úvahy nad právní úpravou a</w:t>
      </w:r>
      <w:r w:rsidRPr="004977E3">
        <w:rPr>
          <w:i/>
        </w:rPr>
        <w:t>dhezní</w:t>
      </w:r>
      <w:r>
        <w:rPr>
          <w:i/>
        </w:rPr>
        <w:t>ho</w:t>
      </w:r>
      <w:r w:rsidRPr="004977E3">
        <w:rPr>
          <w:i/>
        </w:rPr>
        <w:t xml:space="preserve"> řízení de lege ferenda</w:t>
      </w:r>
      <w:r w:rsidRPr="004977E3">
        <w:t>. Trestněprávní rev</w:t>
      </w:r>
      <w:r>
        <w:t>ue, 2016, roč. 15, č. 10, s. 221, jakož I z toho, že nikde není stanoven opak.</w:t>
      </w:r>
    </w:p>
  </w:footnote>
  <w:footnote w:id="229">
    <w:p w:rsidR="00AF5227" w:rsidRPr="004456B9" w:rsidRDefault="00AF5227" w:rsidP="006A3693">
      <w:pPr>
        <w:spacing w:line="240" w:lineRule="auto"/>
        <w:ind w:right="567"/>
        <w:jc w:val="both"/>
        <w:rPr>
          <w:sz w:val="20"/>
          <w:szCs w:val="20"/>
        </w:rPr>
      </w:pPr>
      <w:r w:rsidRPr="004456B9">
        <w:rPr>
          <w:sz w:val="20"/>
          <w:szCs w:val="20"/>
          <w:vertAlign w:val="superscript"/>
        </w:rPr>
        <w:footnoteRef/>
      </w:r>
      <w:r w:rsidRPr="004456B9">
        <w:rPr>
          <w:sz w:val="20"/>
          <w:szCs w:val="20"/>
        </w:rPr>
        <w:t xml:space="preserve"> </w:t>
      </w:r>
      <w:r w:rsidRPr="004456B9">
        <w:rPr>
          <w:rFonts w:eastAsia="Aptos"/>
          <w:sz w:val="20"/>
          <w:szCs w:val="20"/>
        </w:rPr>
        <w:t xml:space="preserve">ŠÁMAL, Pavel. In ŠÁMAL, Pavel a kol. </w:t>
      </w:r>
      <w:r w:rsidRPr="004456B9">
        <w:rPr>
          <w:rFonts w:eastAsia="Aptos"/>
          <w:i/>
          <w:sz w:val="20"/>
          <w:szCs w:val="20"/>
        </w:rPr>
        <w:t>Trestní řád I. § 1 až 156. Komentář.</w:t>
      </w:r>
      <w:r w:rsidRPr="004456B9">
        <w:rPr>
          <w:rFonts w:eastAsia="Aptos"/>
          <w:sz w:val="20"/>
          <w:szCs w:val="20"/>
        </w:rPr>
        <w:t xml:space="preserve"> 7 vydání. Praha: C.H. Beck, 2013, s. 521.</w:t>
      </w:r>
    </w:p>
  </w:footnote>
  <w:footnote w:id="230">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w:t>
      </w:r>
      <w:r w:rsidRPr="004456B9">
        <w:rPr>
          <w:rFonts w:eastAsia="Aptos"/>
          <w:sz w:val="20"/>
          <w:szCs w:val="20"/>
        </w:rPr>
        <w:t xml:space="preserve">Ustanovení § 81 odst. 1 </w:t>
      </w:r>
      <w:r w:rsidRPr="004456B9">
        <w:rPr>
          <w:rFonts w:eastAsia="Aptos"/>
          <w:i/>
          <w:sz w:val="20"/>
          <w:szCs w:val="20"/>
        </w:rPr>
        <w:t xml:space="preserve">a contrario </w:t>
      </w:r>
      <w:r w:rsidRPr="004456B9">
        <w:rPr>
          <w:rFonts w:eastAsia="Aptos"/>
          <w:sz w:val="20"/>
          <w:szCs w:val="20"/>
        </w:rPr>
        <w:t>zákona č. 500/2004 Sb., správní řád, ve znění pozdějších předpisů.</w:t>
      </w:r>
    </w:p>
  </w:footnote>
  <w:footnote w:id="231">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JEMELKA, Luboš a kol. </w:t>
      </w:r>
      <w:r w:rsidRPr="004456B9">
        <w:rPr>
          <w:i/>
          <w:sz w:val="20"/>
          <w:szCs w:val="20"/>
        </w:rPr>
        <w:t>Správní řád.</w:t>
      </w:r>
      <w:r w:rsidRPr="004456B9">
        <w:rPr>
          <w:sz w:val="20"/>
          <w:szCs w:val="20"/>
        </w:rPr>
        <w:t xml:space="preserve"> </w:t>
      </w:r>
      <w:r w:rsidRPr="004456B9">
        <w:rPr>
          <w:i/>
          <w:sz w:val="20"/>
          <w:szCs w:val="20"/>
        </w:rPr>
        <w:t>Komentář. 7. Vydání.</w:t>
      </w:r>
      <w:r w:rsidRPr="004456B9">
        <w:rPr>
          <w:sz w:val="20"/>
          <w:szCs w:val="20"/>
        </w:rPr>
        <w:t xml:space="preserve"> Praha: C.H. Beck, 2023, s. 690-691.</w:t>
      </w:r>
    </w:p>
  </w:footnote>
  <w:footnote w:id="232">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Ustanovení § 97 odst. 3 </w:t>
      </w:r>
      <w:r w:rsidRPr="004456B9">
        <w:rPr>
          <w:rFonts w:eastAsia="Aptos"/>
          <w:i/>
          <w:sz w:val="20"/>
          <w:szCs w:val="20"/>
        </w:rPr>
        <w:t>a contrario zákona č. 500/2004 Sb., správní řád, ve znění pozdějších předpisů.</w:t>
      </w:r>
    </w:p>
  </w:footnote>
  <w:footnote w:id="233">
    <w:p w:rsidR="00AF5227" w:rsidRPr="004456B9" w:rsidRDefault="00AF5227" w:rsidP="006A3693">
      <w:pPr>
        <w:spacing w:line="240" w:lineRule="auto"/>
        <w:ind w:right="567"/>
        <w:jc w:val="both"/>
        <w:rPr>
          <w:sz w:val="20"/>
          <w:szCs w:val="20"/>
        </w:rPr>
      </w:pPr>
      <w:r w:rsidRPr="004456B9">
        <w:rPr>
          <w:sz w:val="20"/>
          <w:szCs w:val="20"/>
          <w:vertAlign w:val="superscript"/>
        </w:rPr>
        <w:footnoteRef/>
      </w:r>
      <w:r w:rsidRPr="004456B9">
        <w:rPr>
          <w:sz w:val="20"/>
          <w:szCs w:val="20"/>
        </w:rPr>
        <w:t xml:space="preserve"> JEMELKA, Luboš a kol. </w:t>
      </w:r>
      <w:r w:rsidRPr="004456B9">
        <w:rPr>
          <w:i/>
          <w:sz w:val="20"/>
          <w:szCs w:val="20"/>
        </w:rPr>
        <w:t>Správní řád.</w:t>
      </w:r>
      <w:r w:rsidRPr="004456B9">
        <w:rPr>
          <w:sz w:val="20"/>
          <w:szCs w:val="20"/>
        </w:rPr>
        <w:t xml:space="preserve"> </w:t>
      </w:r>
      <w:r w:rsidRPr="004456B9">
        <w:rPr>
          <w:i/>
          <w:sz w:val="20"/>
          <w:szCs w:val="20"/>
        </w:rPr>
        <w:t>Komentář. 7. Vydání.</w:t>
      </w:r>
      <w:r w:rsidRPr="004456B9">
        <w:rPr>
          <w:sz w:val="20"/>
          <w:szCs w:val="20"/>
        </w:rPr>
        <w:t xml:space="preserve"> Praha: C.H. Beck, 2023, s. 695.</w:t>
      </w:r>
    </w:p>
  </w:footnote>
  <w:footnote w:id="234">
    <w:p w:rsidR="00AF5227" w:rsidRPr="004456B9" w:rsidRDefault="00AF5227" w:rsidP="006A3693">
      <w:pPr>
        <w:spacing w:line="240" w:lineRule="auto"/>
        <w:ind w:right="567"/>
        <w:jc w:val="both"/>
        <w:rPr>
          <w:sz w:val="20"/>
          <w:szCs w:val="20"/>
        </w:rPr>
      </w:pPr>
      <w:r w:rsidRPr="004456B9">
        <w:rPr>
          <w:sz w:val="20"/>
          <w:szCs w:val="20"/>
          <w:vertAlign w:val="superscript"/>
        </w:rPr>
        <w:footnoteRef/>
      </w:r>
      <w:r w:rsidRPr="004456B9">
        <w:rPr>
          <w:sz w:val="20"/>
          <w:szCs w:val="20"/>
        </w:rPr>
        <w:t xml:space="preserve"> FRUMAROVÁ, Kateřina. In: FRUMAROVÁ, Kateřina a kol. </w:t>
      </w:r>
      <w:r w:rsidRPr="004456B9">
        <w:rPr>
          <w:i/>
          <w:sz w:val="20"/>
          <w:szCs w:val="20"/>
        </w:rPr>
        <w:t xml:space="preserve">Správní právo procesní. </w:t>
      </w:r>
      <w:r w:rsidRPr="004456B9">
        <w:rPr>
          <w:sz w:val="20"/>
          <w:szCs w:val="20"/>
        </w:rPr>
        <w:t>Praha: C.H. Beck, 2021, s. 348.</w:t>
      </w:r>
    </w:p>
  </w:footnote>
  <w:footnote w:id="235">
    <w:p w:rsidR="00AF5227" w:rsidRPr="004456B9" w:rsidRDefault="00AF5227" w:rsidP="006A3693">
      <w:pPr>
        <w:spacing w:line="240" w:lineRule="auto"/>
        <w:ind w:right="567"/>
        <w:jc w:val="both"/>
        <w:rPr>
          <w:sz w:val="20"/>
          <w:szCs w:val="20"/>
        </w:rPr>
      </w:pPr>
      <w:r w:rsidRPr="004456B9">
        <w:rPr>
          <w:sz w:val="20"/>
          <w:szCs w:val="20"/>
          <w:vertAlign w:val="superscript"/>
        </w:rPr>
        <w:footnoteRef/>
      </w:r>
      <w:r w:rsidRPr="004456B9">
        <w:rPr>
          <w:sz w:val="20"/>
          <w:szCs w:val="20"/>
        </w:rPr>
        <w:t xml:space="preserve"> Rozhodnutí Krajského soudu v Ostravě ze dne 31. Března 2013, sp. Zn. 22 A 160/2010 - 32</w:t>
      </w:r>
    </w:p>
  </w:footnote>
  <w:footnote w:id="236">
    <w:p w:rsidR="00AF5227" w:rsidRPr="004456B9" w:rsidRDefault="00AF5227" w:rsidP="006A3693">
      <w:pPr>
        <w:spacing w:line="240" w:lineRule="auto"/>
        <w:ind w:right="567"/>
        <w:jc w:val="both"/>
        <w:rPr>
          <w:sz w:val="20"/>
          <w:szCs w:val="20"/>
        </w:rPr>
      </w:pPr>
      <w:r w:rsidRPr="004456B9">
        <w:rPr>
          <w:sz w:val="20"/>
          <w:szCs w:val="20"/>
          <w:vertAlign w:val="superscript"/>
        </w:rPr>
        <w:footnoteRef/>
      </w:r>
      <w:r w:rsidRPr="004456B9">
        <w:rPr>
          <w:sz w:val="20"/>
          <w:szCs w:val="20"/>
        </w:rPr>
        <w:t xml:space="preserve"> Ustanovení § 2 </w:t>
      </w:r>
      <w:r w:rsidRPr="004456B9">
        <w:rPr>
          <w:rFonts w:eastAsia="Aptos"/>
          <w:sz w:val="20"/>
          <w:szCs w:val="20"/>
        </w:rPr>
        <w:t>zákona č. 500/2004 Sb., správní řád, ve znění pozdějších předpisů.</w:t>
      </w:r>
    </w:p>
  </w:footnote>
  <w:footnote w:id="237">
    <w:p w:rsidR="00AF5227" w:rsidRDefault="00AF5227" w:rsidP="006A3693">
      <w:pPr>
        <w:spacing w:line="240" w:lineRule="auto"/>
        <w:ind w:right="567"/>
        <w:jc w:val="both"/>
        <w:rPr>
          <w:sz w:val="20"/>
          <w:szCs w:val="20"/>
        </w:rPr>
      </w:pPr>
      <w:r w:rsidRPr="004456B9">
        <w:rPr>
          <w:sz w:val="20"/>
          <w:szCs w:val="20"/>
          <w:vertAlign w:val="superscript"/>
        </w:rPr>
        <w:footnoteRef/>
      </w:r>
      <w:r w:rsidRPr="004456B9">
        <w:rPr>
          <w:sz w:val="20"/>
          <w:szCs w:val="20"/>
        </w:rPr>
        <w:t xml:space="preserve"> </w:t>
      </w:r>
      <w:r w:rsidRPr="004456B9">
        <w:rPr>
          <w:rFonts w:eastAsia="Aptos"/>
          <w:sz w:val="20"/>
          <w:szCs w:val="20"/>
        </w:rPr>
        <w:t>PRÁŠKOVÁ, Helena</w:t>
      </w:r>
      <w:r w:rsidRPr="004456B9">
        <w:rPr>
          <w:rFonts w:eastAsia="Aptos"/>
          <w:i/>
          <w:sz w:val="20"/>
          <w:szCs w:val="20"/>
        </w:rPr>
        <w:t>. Přestupkové právo</w:t>
      </w:r>
      <w:r w:rsidRPr="004456B9">
        <w:rPr>
          <w:rFonts w:eastAsia="Aptos"/>
          <w:sz w:val="20"/>
          <w:szCs w:val="20"/>
        </w:rPr>
        <w:t>, 2. vydání. Praha: Leges. 2022. s. 344.</w:t>
      </w:r>
    </w:p>
  </w:footnote>
  <w:footnote w:id="238">
    <w:p w:rsidR="00AF5227" w:rsidRPr="004456B9" w:rsidRDefault="00AF5227" w:rsidP="006A3693">
      <w:pPr>
        <w:spacing w:line="240" w:lineRule="auto"/>
        <w:ind w:right="567"/>
        <w:jc w:val="both"/>
        <w:rPr>
          <w:sz w:val="20"/>
          <w:szCs w:val="20"/>
        </w:rPr>
      </w:pPr>
      <w:r w:rsidRPr="004456B9">
        <w:rPr>
          <w:sz w:val="20"/>
          <w:szCs w:val="20"/>
          <w:vertAlign w:val="superscript"/>
        </w:rPr>
        <w:footnoteRef/>
      </w:r>
      <w:r w:rsidRPr="004456B9">
        <w:rPr>
          <w:sz w:val="20"/>
          <w:szCs w:val="20"/>
        </w:rPr>
        <w:t xml:space="preserve"> Tamtéž, s. 488</w:t>
      </w:r>
      <w:r>
        <w:rPr>
          <w:sz w:val="20"/>
          <w:szCs w:val="20"/>
        </w:rPr>
        <w:t>.</w:t>
      </w:r>
    </w:p>
  </w:footnote>
  <w:footnote w:id="239">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PÚRY, František. In: FENYK, Jaroslav, CÍSAŘOVÁ, Dagmar a kol. </w:t>
      </w:r>
      <w:r w:rsidRPr="004456B9">
        <w:rPr>
          <w:i/>
          <w:sz w:val="20"/>
          <w:szCs w:val="20"/>
        </w:rPr>
        <w:t>Trestní právo procesní.</w:t>
      </w:r>
      <w:r w:rsidRPr="004456B9">
        <w:rPr>
          <w:sz w:val="20"/>
          <w:szCs w:val="20"/>
        </w:rPr>
        <w:t xml:space="preserve"> 8. Vydání. Praha: Wolters Kluwer a.s., 2024, s. 545.</w:t>
      </w:r>
    </w:p>
  </w:footnote>
  <w:footnote w:id="240">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BERANOVÁ, Andrea. </w:t>
      </w:r>
      <w:r w:rsidRPr="004456B9">
        <w:rPr>
          <w:i/>
          <w:sz w:val="20"/>
          <w:szCs w:val="20"/>
        </w:rPr>
        <w:t>K přípustnosti opravných prostředků v adhezním řízení.</w:t>
      </w:r>
      <w:r w:rsidRPr="004456B9">
        <w:rPr>
          <w:sz w:val="20"/>
          <w:szCs w:val="20"/>
        </w:rPr>
        <w:t xml:space="preserve"> Trestněprávní revue, 2024, roč. 23, č. 4, s. 197.</w:t>
      </w:r>
    </w:p>
  </w:footnote>
  <w:footnote w:id="241">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Tamtéž, s. 194</w:t>
      </w:r>
      <w:r>
        <w:rPr>
          <w:sz w:val="20"/>
          <w:szCs w:val="20"/>
        </w:rPr>
        <w:t>.</w:t>
      </w:r>
    </w:p>
  </w:footnote>
  <w:footnote w:id="242">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Ustanovení § 266 a násl. zákona č. 141/1961 Sb., o trestním řízení soudním, ve znění pozdějších předpisů.</w:t>
      </w:r>
    </w:p>
  </w:footnote>
  <w:footnote w:id="243">
    <w:p w:rsidR="00AF5227" w:rsidRPr="004456B9"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Rozsudek Nejvyššího soudu ze dne 20. 12. 2011, sp. Zn. 4 Tz 105/2011., převzato z: BERANOVÁ, Andrea. </w:t>
      </w:r>
      <w:r w:rsidRPr="004456B9">
        <w:rPr>
          <w:i/>
          <w:sz w:val="20"/>
          <w:szCs w:val="20"/>
        </w:rPr>
        <w:t>K přípustnosti opravných prostředků v adhezním řízení.</w:t>
      </w:r>
      <w:r w:rsidRPr="004456B9">
        <w:rPr>
          <w:sz w:val="20"/>
          <w:szCs w:val="20"/>
        </w:rPr>
        <w:t xml:space="preserve"> Trestněprávní revue, 2024, roč. 23, č. 4, s. 19</w:t>
      </w:r>
    </w:p>
  </w:footnote>
  <w:footnote w:id="244">
    <w:p w:rsidR="00AF5227" w:rsidRDefault="00AF5227" w:rsidP="006A3693">
      <w:pPr>
        <w:spacing w:line="240" w:lineRule="auto"/>
        <w:ind w:right="567"/>
        <w:rPr>
          <w:sz w:val="20"/>
          <w:szCs w:val="20"/>
        </w:rPr>
      </w:pPr>
      <w:r w:rsidRPr="004456B9">
        <w:rPr>
          <w:sz w:val="20"/>
          <w:szCs w:val="20"/>
          <w:vertAlign w:val="superscript"/>
        </w:rPr>
        <w:footnoteRef/>
      </w:r>
      <w:r w:rsidRPr="004456B9">
        <w:rPr>
          <w:sz w:val="20"/>
          <w:szCs w:val="20"/>
        </w:rPr>
        <w:t xml:space="preserve"> </w:t>
      </w:r>
      <w:r w:rsidRPr="004456B9">
        <w:rPr>
          <w:rFonts w:eastAsia="Aptos"/>
          <w:sz w:val="20"/>
          <w:szCs w:val="20"/>
        </w:rPr>
        <w:t>ŠÁMAL, Pavel, PÚRY, František</w:t>
      </w:r>
      <w:r w:rsidR="002A5DFD">
        <w:rPr>
          <w:rFonts w:eastAsia="Aptos"/>
          <w:sz w:val="20"/>
          <w:szCs w:val="20"/>
        </w:rPr>
        <w:t>.</w:t>
      </w:r>
      <w:r w:rsidRPr="004456B9">
        <w:rPr>
          <w:rFonts w:eastAsia="Aptos"/>
          <w:sz w:val="20"/>
          <w:szCs w:val="20"/>
        </w:rPr>
        <w:t xml:space="preserve"> In: ŠÁMAL, Pavel a kol.</w:t>
      </w:r>
      <w:r w:rsidRPr="004456B9">
        <w:rPr>
          <w:rFonts w:eastAsia="Aptos"/>
          <w:i/>
          <w:sz w:val="20"/>
          <w:szCs w:val="20"/>
        </w:rPr>
        <w:t xml:space="preserve"> Trestní řád I. § 1 až 156. Komentář.</w:t>
      </w:r>
      <w:r w:rsidRPr="004456B9">
        <w:rPr>
          <w:rFonts w:eastAsia="Aptos"/>
          <w:sz w:val="20"/>
          <w:szCs w:val="20"/>
        </w:rPr>
        <w:t xml:space="preserve"> 7 vydání. Praha: C.H. Beck, 2013 </w:t>
      </w:r>
      <w:r w:rsidRPr="004456B9">
        <w:rPr>
          <w:sz w:val="20"/>
          <w:szCs w:val="20"/>
        </w:rPr>
        <w:t xml:space="preserve"> s. 3336.</w:t>
      </w:r>
    </w:p>
  </w:footnote>
  <w:footnote w:id="245">
    <w:p w:rsidR="00AF5227" w:rsidRPr="00222FDD" w:rsidRDefault="00AF5227" w:rsidP="006A3693">
      <w:pPr>
        <w:pStyle w:val="Textpoznpodarou"/>
        <w:ind w:right="567"/>
        <w:rPr>
          <w:lang w:val="cs-CZ"/>
        </w:rPr>
      </w:pPr>
      <w:r w:rsidRPr="00222FDD">
        <w:rPr>
          <w:rStyle w:val="Znakapoznpodarou"/>
        </w:rPr>
        <w:footnoteRef/>
      </w:r>
      <w:r w:rsidRPr="00222FDD">
        <w:t xml:space="preserve"> </w:t>
      </w:r>
      <w:r w:rsidRPr="00222FDD">
        <w:rPr>
          <w:rFonts w:eastAsia="Aptos"/>
        </w:rPr>
        <w:t>ŠÁMAL, Pavel. In: ŠÁMAL, Pavel a kol.</w:t>
      </w:r>
      <w:r w:rsidRPr="00222FDD">
        <w:rPr>
          <w:rFonts w:eastAsia="Aptos"/>
          <w:i/>
        </w:rPr>
        <w:t xml:space="preserve"> Trestní řád I. § 1 až 156. Komentář.</w:t>
      </w:r>
      <w:r w:rsidRPr="00222FDD">
        <w:rPr>
          <w:rFonts w:eastAsia="Aptos"/>
        </w:rPr>
        <w:t xml:space="preserve"> 7 vydání. Praha: C.H. Beck, 2013 s. 521-522.</w:t>
      </w:r>
    </w:p>
  </w:footnote>
  <w:footnote w:id="246">
    <w:p w:rsidR="00AF5227" w:rsidRPr="00222FDD" w:rsidRDefault="00AF5227" w:rsidP="006A3693">
      <w:pPr>
        <w:pStyle w:val="Textpoznpodarou"/>
        <w:ind w:right="567"/>
        <w:rPr>
          <w:lang w:val="cs-CZ"/>
        </w:rPr>
      </w:pPr>
      <w:r>
        <w:rPr>
          <w:rStyle w:val="Znakapoznpodarou"/>
        </w:rPr>
        <w:footnoteRef/>
      </w:r>
      <w:r>
        <w:t xml:space="preserve"> </w:t>
      </w:r>
      <w:r>
        <w:rPr>
          <w:lang w:val="cs-CZ"/>
        </w:rPr>
        <w:t xml:space="preserve">Což dovozuji ze skutečnosti, že obecně si osoba může způsob uplatnění vybrat. Viz </w:t>
      </w:r>
      <w:r w:rsidRPr="004977E3">
        <w:t xml:space="preserve">BERANOVÁ, Andrea. </w:t>
      </w:r>
      <w:r>
        <w:rPr>
          <w:i/>
        </w:rPr>
        <w:t>Úvahy nad právní úpravou a</w:t>
      </w:r>
      <w:r w:rsidRPr="004977E3">
        <w:rPr>
          <w:i/>
        </w:rPr>
        <w:t>dhezní</w:t>
      </w:r>
      <w:r>
        <w:rPr>
          <w:i/>
        </w:rPr>
        <w:t>ho</w:t>
      </w:r>
      <w:r w:rsidRPr="004977E3">
        <w:rPr>
          <w:i/>
        </w:rPr>
        <w:t xml:space="preserve"> řízení de lege ferenda</w:t>
      </w:r>
      <w:r w:rsidRPr="004977E3">
        <w:t>. Trestněprávní rev</w:t>
      </w:r>
      <w:r>
        <w:t xml:space="preserve">ue, 2016, roč. 15, č. 10, s. 221, jakož I z toho, že nikde není stanoven opak. </w:t>
      </w:r>
    </w:p>
  </w:footnote>
  <w:footnote w:id="247">
    <w:p w:rsidR="00AF5227" w:rsidRPr="00222FDD" w:rsidRDefault="00AF5227" w:rsidP="006A3693">
      <w:pPr>
        <w:spacing w:line="240" w:lineRule="auto"/>
        <w:ind w:right="567"/>
        <w:rPr>
          <w:sz w:val="20"/>
          <w:szCs w:val="20"/>
        </w:rPr>
      </w:pPr>
      <w:r w:rsidRPr="00222FDD">
        <w:rPr>
          <w:sz w:val="20"/>
          <w:szCs w:val="20"/>
          <w:vertAlign w:val="superscript"/>
        </w:rPr>
        <w:footnoteRef/>
      </w:r>
      <w:r w:rsidRPr="00222FDD">
        <w:rPr>
          <w:sz w:val="20"/>
          <w:szCs w:val="20"/>
        </w:rPr>
        <w:t xml:space="preserve"> Ustanovení § 80 zákona č. 250/2016 Sb., zákon o odpovědnosti za přestupky a řízení o nich, ve znění pozdějších předpisů. </w:t>
      </w:r>
    </w:p>
  </w:footnote>
  <w:footnote w:id="248">
    <w:p w:rsidR="00AF5227" w:rsidRPr="00222FDD" w:rsidRDefault="00AF5227" w:rsidP="006A3693">
      <w:pPr>
        <w:pStyle w:val="Textpoznpodarou"/>
        <w:ind w:right="567"/>
        <w:rPr>
          <w:lang w:val="cs-CZ"/>
        </w:rPr>
      </w:pPr>
      <w:r w:rsidRPr="00222FDD">
        <w:rPr>
          <w:rStyle w:val="Znakapoznpodarou"/>
        </w:rPr>
        <w:footnoteRef/>
      </w:r>
      <w:r w:rsidRPr="00222FDD">
        <w:t xml:space="preserve"> </w:t>
      </w:r>
      <w:r w:rsidRPr="00222FDD">
        <w:rPr>
          <w:lang w:val="cs-CZ"/>
        </w:rPr>
        <w:t xml:space="preserve">Ustanovení 70 odst. 2 </w:t>
      </w:r>
      <w:r w:rsidRPr="00222FDD">
        <w:t>zákona č. 250/2016 Sb., zákon o odpovědnosti za přestupky a řízení o nich, ve znění pozdějších předpisů.</w:t>
      </w:r>
    </w:p>
  </w:footnote>
  <w:footnote w:id="249">
    <w:p w:rsidR="00AF5227" w:rsidRPr="00BE6E49" w:rsidRDefault="00AF5227" w:rsidP="006A3693">
      <w:pPr>
        <w:spacing w:line="240" w:lineRule="auto"/>
        <w:ind w:right="567"/>
        <w:rPr>
          <w:sz w:val="20"/>
          <w:szCs w:val="20"/>
        </w:rPr>
      </w:pPr>
      <w:r w:rsidRPr="00222FDD">
        <w:rPr>
          <w:sz w:val="20"/>
          <w:szCs w:val="20"/>
          <w:vertAlign w:val="superscript"/>
        </w:rPr>
        <w:footnoteRef/>
      </w:r>
      <w:r w:rsidRPr="00222FDD">
        <w:rPr>
          <w:sz w:val="20"/>
          <w:szCs w:val="20"/>
        </w:rPr>
        <w:t xml:space="preserve"> </w:t>
      </w:r>
      <w:r w:rsidRPr="00222FDD">
        <w:rPr>
          <w:sz w:val="20"/>
          <w:szCs w:val="20"/>
          <w:lang w:val="cs-CZ"/>
        </w:rPr>
        <w:t xml:space="preserve">Ustanovení  </w:t>
      </w:r>
      <w:r w:rsidRPr="00222FDD">
        <w:rPr>
          <w:sz w:val="20"/>
          <w:szCs w:val="20"/>
        </w:rPr>
        <w:t>§ 82 odst. 3 zákona č. 250/2016 Sb., zákon o odpovědnosti za přestupky a řízení o nich, ve znění pozdějších předpisů.</w:t>
      </w:r>
      <w:r w:rsidRPr="00BE6E49">
        <w:rPr>
          <w:sz w:val="20"/>
          <w:szCs w:val="20"/>
        </w:rPr>
        <w:t xml:space="preserve"> </w:t>
      </w:r>
    </w:p>
  </w:footnote>
  <w:footnote w:id="250">
    <w:p w:rsidR="00AF5227" w:rsidRPr="00BE6E49" w:rsidRDefault="00AF5227" w:rsidP="006A3693">
      <w:pPr>
        <w:spacing w:line="240" w:lineRule="auto"/>
        <w:ind w:right="567"/>
        <w:rPr>
          <w:sz w:val="20"/>
          <w:szCs w:val="20"/>
        </w:rPr>
      </w:pPr>
      <w:r w:rsidRPr="00BE6E49">
        <w:rPr>
          <w:sz w:val="20"/>
          <w:szCs w:val="20"/>
          <w:vertAlign w:val="superscript"/>
        </w:rPr>
        <w:footnoteRef/>
      </w:r>
      <w:r w:rsidRPr="00BE6E49">
        <w:rPr>
          <w:sz w:val="20"/>
          <w:szCs w:val="20"/>
        </w:rPr>
        <w:t xml:space="preserve"> </w:t>
      </w:r>
      <w:r w:rsidRPr="00BE6E49">
        <w:rPr>
          <w:rFonts w:eastAsia="Aptos"/>
          <w:sz w:val="20"/>
          <w:szCs w:val="20"/>
        </w:rPr>
        <w:t xml:space="preserve">PRÁŠKOVÁ, Helena. </w:t>
      </w:r>
      <w:r w:rsidRPr="00BE6E49">
        <w:rPr>
          <w:rFonts w:eastAsia="Aptos"/>
          <w:i/>
          <w:sz w:val="20"/>
          <w:szCs w:val="20"/>
        </w:rPr>
        <w:t xml:space="preserve">Přestupkové právo. </w:t>
      </w:r>
      <w:r w:rsidRPr="00BE6E49">
        <w:rPr>
          <w:rFonts w:eastAsia="Aptos"/>
          <w:sz w:val="20"/>
          <w:szCs w:val="20"/>
        </w:rPr>
        <w:t>2. vydání</w:t>
      </w:r>
      <w:r w:rsidRPr="00BE6E49">
        <w:rPr>
          <w:rFonts w:eastAsia="Aptos"/>
          <w:i/>
          <w:sz w:val="20"/>
          <w:szCs w:val="20"/>
        </w:rPr>
        <w:t xml:space="preserve">. </w:t>
      </w:r>
      <w:r w:rsidRPr="00BE6E49">
        <w:rPr>
          <w:rFonts w:eastAsia="Aptos"/>
          <w:sz w:val="20"/>
          <w:szCs w:val="20"/>
        </w:rPr>
        <w:t>Praha: Leges, 2022, s.</w:t>
      </w:r>
      <w:r w:rsidRPr="00BE6E49">
        <w:rPr>
          <w:sz w:val="20"/>
          <w:szCs w:val="20"/>
        </w:rPr>
        <w:t xml:space="preserve"> 347.</w:t>
      </w:r>
    </w:p>
  </w:footnote>
  <w:footnote w:id="251">
    <w:p w:rsidR="00AF5227" w:rsidRPr="00BE6E49" w:rsidRDefault="00AF5227" w:rsidP="006A3693">
      <w:pPr>
        <w:spacing w:line="240" w:lineRule="auto"/>
        <w:ind w:right="567"/>
        <w:rPr>
          <w:sz w:val="20"/>
          <w:szCs w:val="20"/>
        </w:rPr>
      </w:pPr>
      <w:r w:rsidRPr="00BE6E49">
        <w:rPr>
          <w:sz w:val="20"/>
          <w:szCs w:val="20"/>
          <w:vertAlign w:val="superscript"/>
        </w:rPr>
        <w:footnoteRef/>
      </w:r>
      <w:r w:rsidRPr="00BE6E49">
        <w:rPr>
          <w:sz w:val="20"/>
          <w:szCs w:val="20"/>
        </w:rPr>
        <w:t xml:space="preserve"> Ustanovení § 36 odst. 1 </w:t>
      </w:r>
      <w:r w:rsidRPr="00BE6E49">
        <w:rPr>
          <w:rFonts w:eastAsia="Aptos"/>
          <w:sz w:val="20"/>
          <w:szCs w:val="20"/>
        </w:rPr>
        <w:t>zákona č. 500/2004 Sb., správní řád, ve znění pozdějších předpisů.</w:t>
      </w:r>
    </w:p>
  </w:footnote>
  <w:footnote w:id="252">
    <w:p w:rsidR="00AF5227" w:rsidRDefault="00AF5227" w:rsidP="006A3693">
      <w:pPr>
        <w:spacing w:line="240" w:lineRule="auto"/>
        <w:ind w:right="567"/>
        <w:rPr>
          <w:sz w:val="20"/>
          <w:szCs w:val="20"/>
        </w:rPr>
      </w:pPr>
      <w:r w:rsidRPr="00BE6E49">
        <w:rPr>
          <w:sz w:val="20"/>
          <w:szCs w:val="20"/>
          <w:vertAlign w:val="superscript"/>
        </w:rPr>
        <w:footnoteRef/>
      </w:r>
      <w:r w:rsidRPr="00BE6E49">
        <w:rPr>
          <w:sz w:val="20"/>
          <w:szCs w:val="20"/>
        </w:rPr>
        <w:t xml:space="preserve"> Tamtéž</w:t>
      </w:r>
    </w:p>
  </w:footnote>
  <w:footnote w:id="253">
    <w:p w:rsidR="00AF5227" w:rsidRDefault="00AF5227" w:rsidP="006A3693">
      <w:pPr>
        <w:spacing w:line="240" w:lineRule="auto"/>
        <w:ind w:right="567"/>
        <w:rPr>
          <w:sz w:val="20"/>
          <w:szCs w:val="20"/>
        </w:rPr>
      </w:pPr>
      <w:r>
        <w:rPr>
          <w:vertAlign w:val="superscript"/>
        </w:rPr>
        <w:footnoteRef/>
      </w:r>
      <w:r>
        <w:rPr>
          <w:sz w:val="20"/>
          <w:szCs w:val="20"/>
        </w:rPr>
        <w:t xml:space="preserve"> JEMELKA, Luboš a kol. </w:t>
      </w:r>
      <w:r>
        <w:rPr>
          <w:i/>
          <w:sz w:val="20"/>
          <w:szCs w:val="20"/>
        </w:rPr>
        <w:t>Správní řád.</w:t>
      </w:r>
      <w:r>
        <w:rPr>
          <w:sz w:val="20"/>
          <w:szCs w:val="20"/>
        </w:rPr>
        <w:t xml:space="preserve"> </w:t>
      </w:r>
      <w:r>
        <w:rPr>
          <w:i/>
          <w:sz w:val="20"/>
          <w:szCs w:val="20"/>
        </w:rPr>
        <w:t>Komentář. 7. Vydání.</w:t>
      </w:r>
      <w:r>
        <w:rPr>
          <w:sz w:val="20"/>
          <w:szCs w:val="20"/>
        </w:rPr>
        <w:t xml:space="preserve"> Praha: C.H. Beck, 2023, s. 264</w:t>
      </w:r>
    </w:p>
  </w:footnote>
  <w:footnote w:id="254">
    <w:p w:rsidR="00AF5227" w:rsidRPr="00A3474F" w:rsidRDefault="00AF5227" w:rsidP="006A3693">
      <w:pPr>
        <w:spacing w:line="240" w:lineRule="auto"/>
        <w:ind w:right="567"/>
        <w:rPr>
          <w:sz w:val="20"/>
          <w:szCs w:val="20"/>
        </w:rPr>
      </w:pPr>
      <w:r w:rsidRPr="00A3474F">
        <w:rPr>
          <w:sz w:val="20"/>
          <w:szCs w:val="20"/>
          <w:vertAlign w:val="superscript"/>
        </w:rPr>
        <w:footnoteRef/>
      </w:r>
      <w:r w:rsidRPr="00A3474F">
        <w:rPr>
          <w:sz w:val="20"/>
          <w:szCs w:val="20"/>
        </w:rPr>
        <w:t xml:space="preserve"> Tamtéž, s. 265</w:t>
      </w:r>
    </w:p>
  </w:footnote>
  <w:footnote w:id="255">
    <w:p w:rsidR="00AF5227" w:rsidRPr="00A3474F" w:rsidRDefault="00AF5227" w:rsidP="006A3693">
      <w:pPr>
        <w:spacing w:line="240" w:lineRule="auto"/>
        <w:ind w:right="567"/>
        <w:rPr>
          <w:sz w:val="20"/>
          <w:szCs w:val="20"/>
        </w:rPr>
      </w:pPr>
      <w:r w:rsidRPr="00A3474F">
        <w:rPr>
          <w:sz w:val="20"/>
          <w:szCs w:val="20"/>
          <w:vertAlign w:val="superscript"/>
        </w:rPr>
        <w:footnoteRef/>
      </w:r>
      <w:r w:rsidRPr="00A3474F">
        <w:rPr>
          <w:sz w:val="20"/>
          <w:szCs w:val="20"/>
        </w:rPr>
        <w:t xml:space="preserve"> HEPOVÁ, Adéla. </w:t>
      </w:r>
      <w:r w:rsidRPr="00A3474F">
        <w:rPr>
          <w:i/>
          <w:sz w:val="20"/>
          <w:szCs w:val="20"/>
        </w:rPr>
        <w:t>Sekundární viktimizace – věrná přítelkyně obětí přestupkového jednání</w:t>
      </w:r>
      <w:r w:rsidRPr="00A3474F">
        <w:rPr>
          <w:sz w:val="20"/>
          <w:szCs w:val="20"/>
        </w:rPr>
        <w:t xml:space="preserve"> [online]. Iurium.cz, 6.1. 2024. [citováno 30.11. 2024] Dostupné z: </w:t>
      </w:r>
      <w:hyperlink r:id="rId8">
        <w:r w:rsidRPr="00A3474F">
          <w:rPr>
            <w:sz w:val="20"/>
            <w:szCs w:val="20"/>
            <w:u w:val="single"/>
          </w:rPr>
          <w:t>https://www.iurium.cz/denik/denik-odborne-clanky/sekundarni-viktimizace</w:t>
        </w:r>
      </w:hyperlink>
      <w:r w:rsidRPr="00A3474F">
        <w:rPr>
          <w:sz w:val="20"/>
          <w:szCs w:val="20"/>
        </w:rPr>
        <w:t xml:space="preserve">  </w:t>
      </w:r>
    </w:p>
  </w:footnote>
  <w:footnote w:id="256">
    <w:p w:rsidR="00AF5227" w:rsidRPr="00A3474F" w:rsidRDefault="00AF5227" w:rsidP="006A3693">
      <w:pPr>
        <w:spacing w:line="240" w:lineRule="auto"/>
        <w:ind w:right="567"/>
        <w:rPr>
          <w:sz w:val="20"/>
          <w:szCs w:val="20"/>
        </w:rPr>
      </w:pPr>
      <w:r w:rsidRPr="00A3474F">
        <w:rPr>
          <w:sz w:val="20"/>
          <w:szCs w:val="20"/>
          <w:vertAlign w:val="superscript"/>
        </w:rPr>
        <w:footnoteRef/>
      </w:r>
      <w:r w:rsidRPr="00A3474F">
        <w:rPr>
          <w:sz w:val="20"/>
          <w:szCs w:val="20"/>
        </w:rPr>
        <w:t xml:space="preserve"> Ustanovení § 38 odst. 1, odst. 4 </w:t>
      </w:r>
      <w:r w:rsidRPr="00A3474F">
        <w:rPr>
          <w:rFonts w:eastAsia="Aptos"/>
          <w:sz w:val="20"/>
          <w:szCs w:val="20"/>
        </w:rPr>
        <w:t>zákona č. 500/2004 Sb., správní řád, ve znění pozdějších předpisů.</w:t>
      </w:r>
    </w:p>
  </w:footnote>
  <w:footnote w:id="257">
    <w:p w:rsidR="00AF5227" w:rsidRPr="00A3474F" w:rsidRDefault="00AF5227" w:rsidP="006A3693">
      <w:pPr>
        <w:spacing w:line="240" w:lineRule="auto"/>
        <w:ind w:right="567"/>
        <w:rPr>
          <w:sz w:val="20"/>
          <w:szCs w:val="20"/>
        </w:rPr>
      </w:pPr>
      <w:r w:rsidRPr="00A3474F">
        <w:rPr>
          <w:sz w:val="20"/>
          <w:szCs w:val="20"/>
          <w:vertAlign w:val="superscript"/>
        </w:rPr>
        <w:footnoteRef/>
      </w:r>
      <w:r w:rsidRPr="00A3474F">
        <w:rPr>
          <w:sz w:val="20"/>
          <w:szCs w:val="20"/>
        </w:rPr>
        <w:t xml:space="preserve"> JEMELKA, Luboš a kol. </w:t>
      </w:r>
      <w:r w:rsidRPr="00A3474F">
        <w:rPr>
          <w:i/>
          <w:sz w:val="20"/>
          <w:szCs w:val="20"/>
        </w:rPr>
        <w:t>Správní řád.</w:t>
      </w:r>
      <w:r w:rsidRPr="00A3474F">
        <w:rPr>
          <w:sz w:val="20"/>
          <w:szCs w:val="20"/>
        </w:rPr>
        <w:t xml:space="preserve"> </w:t>
      </w:r>
      <w:r w:rsidRPr="00A3474F">
        <w:rPr>
          <w:i/>
          <w:sz w:val="20"/>
          <w:szCs w:val="20"/>
        </w:rPr>
        <w:t>Komentář. 7. Vydání.</w:t>
      </w:r>
      <w:r w:rsidRPr="00A3474F">
        <w:rPr>
          <w:sz w:val="20"/>
          <w:szCs w:val="20"/>
        </w:rPr>
        <w:t xml:space="preserve"> Praha: C.H. Beck, 2023, s. 265</w:t>
      </w:r>
    </w:p>
  </w:footnote>
  <w:footnote w:id="258">
    <w:p w:rsidR="00AF5227" w:rsidRPr="00A3474F" w:rsidRDefault="00AF5227" w:rsidP="006A3693">
      <w:pPr>
        <w:spacing w:line="240" w:lineRule="auto"/>
        <w:ind w:right="567"/>
        <w:rPr>
          <w:sz w:val="20"/>
          <w:szCs w:val="20"/>
        </w:rPr>
      </w:pPr>
      <w:r w:rsidRPr="00A3474F">
        <w:rPr>
          <w:sz w:val="20"/>
          <w:szCs w:val="20"/>
          <w:vertAlign w:val="superscript"/>
        </w:rPr>
        <w:footnoteRef/>
      </w:r>
      <w:r w:rsidRPr="00A3474F">
        <w:rPr>
          <w:sz w:val="20"/>
          <w:szCs w:val="20"/>
        </w:rPr>
        <w:t xml:space="preserve"> Tamtéž, s. 267</w:t>
      </w:r>
    </w:p>
  </w:footnote>
  <w:footnote w:id="259">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Üstanovení § 96 odst. 1 zákona č. 250/2016 Sb., zákon o odpovědnosti za přestupky a řízení o nich, ve znění pozdějších předpisů.</w:t>
      </w:r>
    </w:p>
  </w:footnote>
  <w:footnote w:id="260">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w:t>
      </w:r>
      <w:r w:rsidRPr="00284190">
        <w:rPr>
          <w:rFonts w:eastAsia="Aptos"/>
          <w:sz w:val="20"/>
          <w:szCs w:val="20"/>
        </w:rPr>
        <w:t xml:space="preserve">PRÁŠKOVÁ, Helena. </w:t>
      </w:r>
      <w:r w:rsidRPr="00284190">
        <w:rPr>
          <w:rFonts w:eastAsia="Aptos"/>
          <w:i/>
          <w:sz w:val="20"/>
          <w:szCs w:val="20"/>
        </w:rPr>
        <w:t xml:space="preserve">Přestupkové právo. </w:t>
      </w:r>
      <w:r w:rsidRPr="00284190">
        <w:rPr>
          <w:rFonts w:eastAsia="Aptos"/>
          <w:sz w:val="20"/>
          <w:szCs w:val="20"/>
        </w:rPr>
        <w:t>2. vydání</w:t>
      </w:r>
      <w:r w:rsidRPr="00284190">
        <w:rPr>
          <w:rFonts w:eastAsia="Aptos"/>
          <w:i/>
          <w:sz w:val="20"/>
          <w:szCs w:val="20"/>
        </w:rPr>
        <w:t xml:space="preserve">. </w:t>
      </w:r>
      <w:r w:rsidRPr="00284190">
        <w:rPr>
          <w:rFonts w:eastAsia="Aptos"/>
          <w:sz w:val="20"/>
          <w:szCs w:val="20"/>
        </w:rPr>
        <w:t>Praha: Leges, 2022, s.</w:t>
      </w:r>
      <w:r w:rsidRPr="00284190">
        <w:rPr>
          <w:sz w:val="20"/>
          <w:szCs w:val="20"/>
        </w:rPr>
        <w:t xml:space="preserve"> 389.</w:t>
      </w:r>
    </w:p>
  </w:footnote>
  <w:footnote w:id="261">
    <w:p w:rsidR="00AF5227" w:rsidRPr="00284190" w:rsidRDefault="00AF5227" w:rsidP="006A3693">
      <w:pPr>
        <w:spacing w:line="240" w:lineRule="auto"/>
        <w:ind w:right="567"/>
        <w:rPr>
          <w:sz w:val="20"/>
          <w:szCs w:val="20"/>
        </w:rPr>
      </w:pPr>
      <w:r w:rsidRPr="00284190">
        <w:rPr>
          <w:sz w:val="20"/>
          <w:szCs w:val="20"/>
          <w:vertAlign w:val="superscript"/>
        </w:rPr>
        <w:footnoteRef/>
      </w:r>
      <w:r w:rsidR="008C0081">
        <w:rPr>
          <w:sz w:val="20"/>
          <w:szCs w:val="20"/>
        </w:rPr>
        <w:t xml:space="preserve"> </w:t>
      </w:r>
      <w:r w:rsidRPr="00284190">
        <w:rPr>
          <w:sz w:val="20"/>
          <w:szCs w:val="20"/>
        </w:rPr>
        <w:t xml:space="preserve">Usnesení Ústavního soudu ze dne 17.5. 2012, sp. Zn. </w:t>
      </w:r>
      <w:r w:rsidRPr="00284190">
        <w:rPr>
          <w:rFonts w:eastAsia="Georgia"/>
          <w:sz w:val="20"/>
          <w:szCs w:val="20"/>
        </w:rPr>
        <w:t>IV.ÚS 1455/12 (U 3/65 SbNU 669)</w:t>
      </w:r>
    </w:p>
  </w:footnote>
  <w:footnote w:id="262">
    <w:p w:rsidR="00AF5227"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ŠČERBA, Filip. </w:t>
      </w:r>
      <w:r w:rsidRPr="00284190">
        <w:rPr>
          <w:i/>
          <w:sz w:val="20"/>
          <w:szCs w:val="20"/>
        </w:rPr>
        <w:t>Právo na účinné vyšetřování ve světle judikatury ústavního soudu</w:t>
      </w:r>
      <w:r w:rsidRPr="00284190">
        <w:rPr>
          <w:sz w:val="20"/>
          <w:szCs w:val="20"/>
        </w:rPr>
        <w:t>. Trestněprávní revue. 2016., roč. 15, č. 7-8, s. 515.</w:t>
      </w:r>
    </w:p>
  </w:footnote>
  <w:footnote w:id="263">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w:t>
      </w:r>
      <w:r w:rsidRPr="00284190">
        <w:rPr>
          <w:rFonts w:eastAsia="Aptos"/>
          <w:sz w:val="20"/>
          <w:szCs w:val="20"/>
        </w:rPr>
        <w:t>ŠÁMAL, Pavel. In: ŠÁMAL, Pavel a kol.</w:t>
      </w:r>
      <w:r w:rsidRPr="00284190">
        <w:rPr>
          <w:rFonts w:eastAsia="Aptos"/>
          <w:i/>
          <w:sz w:val="20"/>
          <w:szCs w:val="20"/>
        </w:rPr>
        <w:t xml:space="preserve"> Trestní řád I. § 1 až 156. Komentář.</w:t>
      </w:r>
      <w:r w:rsidRPr="00284190">
        <w:rPr>
          <w:rFonts w:eastAsia="Aptos"/>
          <w:sz w:val="20"/>
          <w:szCs w:val="20"/>
        </w:rPr>
        <w:t xml:space="preserve"> 7 vydání. Praha: C.H. Beck, 2013 s.</w:t>
      </w:r>
      <w:r w:rsidRPr="00284190">
        <w:rPr>
          <w:sz w:val="20"/>
          <w:szCs w:val="20"/>
        </w:rPr>
        <w:t xml:space="preserve"> 515</w:t>
      </w:r>
      <w:r>
        <w:rPr>
          <w:sz w:val="20"/>
          <w:szCs w:val="20"/>
        </w:rPr>
        <w:t>.</w:t>
      </w:r>
    </w:p>
  </w:footnote>
  <w:footnote w:id="264">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Nález Ústavního soudu ze dne 14.8. 2014, sp. Zn. 3196/12.</w:t>
      </w:r>
      <w:r>
        <w:rPr>
          <w:sz w:val="20"/>
          <w:szCs w:val="20"/>
        </w:rPr>
        <w:t>.</w:t>
      </w:r>
    </w:p>
  </w:footnote>
  <w:footnote w:id="265">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Tamtéž. </w:t>
      </w:r>
    </w:p>
  </w:footnote>
  <w:footnote w:id="266">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Tamtéž.</w:t>
      </w:r>
    </w:p>
  </w:footnote>
  <w:footnote w:id="267">
    <w:p w:rsidR="00AF5227"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w:t>
      </w:r>
      <w:r w:rsidRPr="00284190">
        <w:rPr>
          <w:rFonts w:eastAsia="Aptos"/>
          <w:sz w:val="20"/>
          <w:szCs w:val="20"/>
        </w:rPr>
        <w:t xml:space="preserve">PRÁŠKOVÁ, Helena. </w:t>
      </w:r>
      <w:r w:rsidRPr="00284190">
        <w:rPr>
          <w:rFonts w:eastAsia="Aptos"/>
          <w:i/>
          <w:sz w:val="20"/>
          <w:szCs w:val="20"/>
        </w:rPr>
        <w:t xml:space="preserve">Přestupkové právo. </w:t>
      </w:r>
      <w:r w:rsidRPr="00284190">
        <w:rPr>
          <w:rFonts w:eastAsia="Aptos"/>
          <w:sz w:val="20"/>
          <w:szCs w:val="20"/>
        </w:rPr>
        <w:t>2. vydání</w:t>
      </w:r>
      <w:r w:rsidRPr="00284190">
        <w:rPr>
          <w:rFonts w:eastAsia="Aptos"/>
          <w:i/>
          <w:sz w:val="20"/>
          <w:szCs w:val="20"/>
        </w:rPr>
        <w:t xml:space="preserve">. </w:t>
      </w:r>
      <w:r w:rsidRPr="00284190">
        <w:rPr>
          <w:rFonts w:eastAsia="Aptos"/>
          <w:sz w:val="20"/>
          <w:szCs w:val="20"/>
        </w:rPr>
        <w:t>Praha: Leges, 2022, s.</w:t>
      </w:r>
      <w:r w:rsidRPr="00284190">
        <w:rPr>
          <w:sz w:val="20"/>
          <w:szCs w:val="20"/>
        </w:rPr>
        <w:t xml:space="preserve"> 344</w:t>
      </w:r>
    </w:p>
  </w:footnote>
  <w:footnote w:id="268">
    <w:p w:rsidR="00AF5227" w:rsidRPr="00A3474F" w:rsidRDefault="00AF5227" w:rsidP="006A3693">
      <w:pPr>
        <w:spacing w:line="240" w:lineRule="auto"/>
        <w:ind w:right="567"/>
        <w:rPr>
          <w:sz w:val="20"/>
          <w:szCs w:val="20"/>
        </w:rPr>
      </w:pPr>
      <w:r w:rsidRPr="00A3474F">
        <w:rPr>
          <w:sz w:val="20"/>
          <w:szCs w:val="20"/>
          <w:vertAlign w:val="superscript"/>
        </w:rPr>
        <w:footnoteRef/>
      </w:r>
      <w:r w:rsidRPr="00A3474F">
        <w:rPr>
          <w:sz w:val="20"/>
          <w:szCs w:val="20"/>
        </w:rPr>
        <w:t xml:space="preserve"> </w:t>
      </w:r>
      <w:r w:rsidRPr="00A3474F">
        <w:rPr>
          <w:rFonts w:eastAsia="Aptos"/>
          <w:sz w:val="20"/>
          <w:szCs w:val="20"/>
        </w:rPr>
        <w:t xml:space="preserve"> JEMELKA, Luboš In JEMELKA, Luboš, VETEŠNÍK, Pavel. </w:t>
      </w:r>
      <w:r w:rsidRPr="00A3474F">
        <w:rPr>
          <w:rFonts w:eastAsia="Aptos"/>
          <w:i/>
          <w:sz w:val="20"/>
          <w:szCs w:val="20"/>
        </w:rPr>
        <w:t>Zákon o odpovědnosti za přestupky a řízení o nich. Zákon o některých přestupcích. Komentář.</w:t>
      </w:r>
      <w:r w:rsidRPr="00A3474F">
        <w:rPr>
          <w:rFonts w:eastAsia="Aptos"/>
          <w:sz w:val="20"/>
          <w:szCs w:val="20"/>
        </w:rPr>
        <w:t xml:space="preserve"> 2. vydání. Praha: C.H. Beck. 2020, s..</w:t>
      </w:r>
      <w:r w:rsidRPr="00A3474F">
        <w:rPr>
          <w:sz w:val="20"/>
          <w:szCs w:val="20"/>
        </w:rPr>
        <w:t xml:space="preserve"> 730; o zpětvzetí a následcích také BOHADLO, David In BOHADLO, David a kol. </w:t>
      </w:r>
      <w:r w:rsidRPr="00A3474F">
        <w:rPr>
          <w:i/>
          <w:sz w:val="20"/>
          <w:szCs w:val="20"/>
        </w:rPr>
        <w:t>Zákon o odpovědnosti za přestupky a řízení o nich. Komentář.</w:t>
      </w:r>
      <w:r w:rsidRPr="00A3474F">
        <w:rPr>
          <w:sz w:val="20"/>
          <w:szCs w:val="20"/>
        </w:rPr>
        <w:t xml:space="preserve"> Praha: Wolters Kluwer, 2018, s. 515</w:t>
      </w:r>
    </w:p>
  </w:footnote>
  <w:footnote w:id="269">
    <w:p w:rsidR="00AF5227" w:rsidRPr="00A3474F" w:rsidRDefault="00AF5227" w:rsidP="006A3693">
      <w:pPr>
        <w:spacing w:line="240" w:lineRule="auto"/>
        <w:ind w:right="567"/>
        <w:rPr>
          <w:sz w:val="20"/>
          <w:szCs w:val="20"/>
        </w:rPr>
      </w:pPr>
      <w:r w:rsidRPr="00A3474F">
        <w:rPr>
          <w:sz w:val="20"/>
          <w:szCs w:val="20"/>
          <w:vertAlign w:val="superscript"/>
        </w:rPr>
        <w:footnoteRef/>
      </w:r>
      <w:r w:rsidRPr="00A3474F">
        <w:rPr>
          <w:rFonts w:eastAsia="Aptos"/>
          <w:sz w:val="20"/>
          <w:szCs w:val="20"/>
        </w:rPr>
        <w:t xml:space="preserve"> JEMELKA, Luboš. In JEMELKA, Luboš, VETEŠNÍK, Pavel. </w:t>
      </w:r>
      <w:r w:rsidRPr="00A3474F">
        <w:rPr>
          <w:rFonts w:eastAsia="Aptos"/>
          <w:i/>
          <w:sz w:val="20"/>
          <w:szCs w:val="20"/>
        </w:rPr>
        <w:t>Zákon o odpovědnosti za přestupky a řízení o nich. Zákon o některých přestupcích. Komentář.</w:t>
      </w:r>
      <w:r w:rsidRPr="00A3474F">
        <w:rPr>
          <w:rFonts w:eastAsia="Aptos"/>
          <w:sz w:val="20"/>
          <w:szCs w:val="20"/>
        </w:rPr>
        <w:t xml:space="preserve"> 2. vydání. Praha: C.H. Beck. 2020, s.</w:t>
      </w:r>
      <w:r w:rsidRPr="00A3474F">
        <w:rPr>
          <w:sz w:val="20"/>
          <w:szCs w:val="20"/>
        </w:rPr>
        <w:t xml:space="preserve"> 730</w:t>
      </w:r>
    </w:p>
  </w:footnote>
  <w:footnote w:id="270">
    <w:p w:rsidR="00AF5227" w:rsidRPr="00A3474F" w:rsidRDefault="00AF5227" w:rsidP="006A3693">
      <w:pPr>
        <w:spacing w:line="240" w:lineRule="auto"/>
        <w:ind w:right="567"/>
        <w:rPr>
          <w:sz w:val="20"/>
          <w:szCs w:val="20"/>
        </w:rPr>
      </w:pPr>
      <w:r w:rsidRPr="00A3474F">
        <w:rPr>
          <w:sz w:val="20"/>
          <w:szCs w:val="20"/>
          <w:vertAlign w:val="superscript"/>
        </w:rPr>
        <w:footnoteRef/>
      </w:r>
      <w:r w:rsidRPr="00A3474F">
        <w:rPr>
          <w:sz w:val="20"/>
          <w:szCs w:val="20"/>
        </w:rPr>
        <w:t xml:space="preserve">MADLEŇÁKOVÁ, Lucia, MIČKALOVA, Lenka. </w:t>
      </w:r>
      <w:r w:rsidRPr="00A3474F">
        <w:rPr>
          <w:i/>
          <w:sz w:val="20"/>
          <w:szCs w:val="20"/>
        </w:rPr>
        <w:t>Tvrzený účastník - poškozený v řízení o přestupku</w:t>
      </w:r>
      <w:r w:rsidRPr="00A3474F">
        <w:rPr>
          <w:sz w:val="20"/>
          <w:szCs w:val="20"/>
        </w:rPr>
        <w:t>. Správní právo, 2016, roč. 49, č. 3, s.</w:t>
      </w:r>
      <w:r>
        <w:rPr>
          <w:sz w:val="20"/>
          <w:szCs w:val="20"/>
        </w:rPr>
        <w:t>469,</w:t>
      </w:r>
      <w:r w:rsidRPr="00A3474F">
        <w:rPr>
          <w:sz w:val="20"/>
          <w:szCs w:val="20"/>
        </w:rPr>
        <w:t xml:space="preserve"> 488.</w:t>
      </w:r>
    </w:p>
  </w:footnote>
  <w:footnote w:id="271">
    <w:p w:rsidR="00AF5227" w:rsidRPr="008E622D" w:rsidRDefault="00AF5227" w:rsidP="006A3693">
      <w:pPr>
        <w:spacing w:line="240" w:lineRule="auto"/>
        <w:ind w:right="567"/>
        <w:rPr>
          <w:sz w:val="20"/>
          <w:szCs w:val="20"/>
        </w:rPr>
      </w:pPr>
      <w:r w:rsidRPr="008E622D">
        <w:rPr>
          <w:sz w:val="20"/>
          <w:szCs w:val="20"/>
          <w:vertAlign w:val="superscript"/>
        </w:rPr>
        <w:footnoteRef/>
      </w:r>
      <w:r w:rsidRPr="008E622D">
        <w:rPr>
          <w:sz w:val="20"/>
          <w:szCs w:val="20"/>
        </w:rPr>
        <w:t xml:space="preserve"> Tamtéž.</w:t>
      </w:r>
    </w:p>
  </w:footnote>
  <w:footnote w:id="272">
    <w:p w:rsidR="00AF5227" w:rsidRPr="00260B89" w:rsidRDefault="00AF5227" w:rsidP="006A3693">
      <w:pPr>
        <w:spacing w:line="240" w:lineRule="auto"/>
        <w:ind w:right="567"/>
        <w:rPr>
          <w:sz w:val="20"/>
          <w:szCs w:val="20"/>
        </w:rPr>
      </w:pPr>
      <w:r w:rsidRPr="00260B89">
        <w:rPr>
          <w:sz w:val="20"/>
          <w:szCs w:val="20"/>
          <w:vertAlign w:val="superscript"/>
        </w:rPr>
        <w:footnoteRef/>
      </w:r>
      <w:r w:rsidRPr="00260B89">
        <w:rPr>
          <w:sz w:val="20"/>
          <w:szCs w:val="20"/>
        </w:rPr>
        <w:t xml:space="preserve"> Ustanovení § 43 odst. 3 zákona č. 141/1961 Sb., o trestním řízení soudním, ve znění pozdějších předpisů. </w:t>
      </w:r>
    </w:p>
  </w:footnote>
  <w:footnote w:id="273">
    <w:p w:rsidR="00AF5227" w:rsidRPr="00260B89" w:rsidRDefault="00AF5227" w:rsidP="006A3693">
      <w:pPr>
        <w:spacing w:line="240" w:lineRule="auto"/>
        <w:ind w:right="567"/>
        <w:rPr>
          <w:sz w:val="20"/>
          <w:szCs w:val="20"/>
        </w:rPr>
      </w:pPr>
      <w:r w:rsidRPr="00260B89">
        <w:rPr>
          <w:sz w:val="20"/>
          <w:szCs w:val="20"/>
          <w:vertAlign w:val="superscript"/>
        </w:rPr>
        <w:footnoteRef/>
      </w:r>
      <w:r w:rsidRPr="00260B89">
        <w:rPr>
          <w:sz w:val="20"/>
          <w:szCs w:val="20"/>
        </w:rPr>
        <w:t xml:space="preserve"> </w:t>
      </w:r>
      <w:r w:rsidRPr="00260B89">
        <w:rPr>
          <w:rFonts w:eastAsia="Aptos"/>
          <w:sz w:val="20"/>
          <w:szCs w:val="20"/>
        </w:rPr>
        <w:t>ŠÁMAL, Pavel. In: ŠÁMAL, Pavel a kol.</w:t>
      </w:r>
      <w:r w:rsidRPr="00260B89">
        <w:rPr>
          <w:rFonts w:eastAsia="Aptos"/>
          <w:i/>
          <w:sz w:val="20"/>
          <w:szCs w:val="20"/>
        </w:rPr>
        <w:t xml:space="preserve"> Trestní řád I. § 1 až 156. Komentář.</w:t>
      </w:r>
      <w:r w:rsidRPr="00260B89">
        <w:rPr>
          <w:rFonts w:eastAsia="Aptos"/>
          <w:sz w:val="20"/>
          <w:szCs w:val="20"/>
        </w:rPr>
        <w:t xml:space="preserve"> 7 vydání. Praha: C.H. Beck, 2013 s. 521.</w:t>
      </w:r>
    </w:p>
  </w:footnote>
  <w:footnote w:id="274">
    <w:p w:rsidR="00AF5227" w:rsidRPr="00260B89" w:rsidRDefault="00AF5227" w:rsidP="006A3693">
      <w:pPr>
        <w:spacing w:line="240" w:lineRule="auto"/>
        <w:ind w:right="567"/>
        <w:rPr>
          <w:sz w:val="20"/>
          <w:szCs w:val="20"/>
        </w:rPr>
      </w:pPr>
      <w:r w:rsidRPr="00260B89">
        <w:rPr>
          <w:sz w:val="20"/>
          <w:szCs w:val="20"/>
          <w:vertAlign w:val="superscript"/>
        </w:rPr>
        <w:footnoteRef/>
      </w:r>
      <w:r w:rsidRPr="00260B89">
        <w:rPr>
          <w:sz w:val="20"/>
          <w:szCs w:val="20"/>
        </w:rPr>
        <w:t xml:space="preserve"> </w:t>
      </w:r>
      <w:r w:rsidRPr="00260B89">
        <w:rPr>
          <w:rFonts w:eastAsia="Aptos"/>
          <w:sz w:val="20"/>
          <w:szCs w:val="20"/>
        </w:rPr>
        <w:t>Tamtéž, s.</w:t>
      </w:r>
      <w:r w:rsidRPr="00260B89">
        <w:rPr>
          <w:sz w:val="20"/>
          <w:szCs w:val="20"/>
        </w:rPr>
        <w:t xml:space="preserve"> 527-528.</w:t>
      </w:r>
    </w:p>
  </w:footnote>
  <w:footnote w:id="275">
    <w:p w:rsidR="00AF5227" w:rsidRPr="00260B89" w:rsidRDefault="00AF5227" w:rsidP="006A3693">
      <w:pPr>
        <w:spacing w:line="240" w:lineRule="auto"/>
        <w:ind w:right="567"/>
        <w:rPr>
          <w:sz w:val="20"/>
          <w:szCs w:val="20"/>
        </w:rPr>
      </w:pPr>
      <w:r w:rsidRPr="00260B89">
        <w:rPr>
          <w:sz w:val="20"/>
          <w:szCs w:val="20"/>
          <w:vertAlign w:val="superscript"/>
        </w:rPr>
        <w:footnoteRef/>
      </w:r>
      <w:r w:rsidRPr="00260B89">
        <w:rPr>
          <w:sz w:val="20"/>
          <w:szCs w:val="20"/>
        </w:rPr>
        <w:t xml:space="preserve"> Zde užito ve smyslu civilněprávním - osoby, které byla způsobena újma, nikoli ve smyslu procesního označení poškozeného v přestupkovém řízení.</w:t>
      </w:r>
    </w:p>
  </w:footnote>
  <w:footnote w:id="276">
    <w:p w:rsidR="00AF5227" w:rsidRPr="00260B89" w:rsidRDefault="00AF5227" w:rsidP="006A3693">
      <w:pPr>
        <w:spacing w:line="240" w:lineRule="auto"/>
        <w:ind w:right="567"/>
        <w:rPr>
          <w:sz w:val="20"/>
          <w:szCs w:val="20"/>
        </w:rPr>
      </w:pPr>
      <w:r w:rsidRPr="00260B89">
        <w:rPr>
          <w:sz w:val="20"/>
          <w:szCs w:val="20"/>
          <w:vertAlign w:val="superscript"/>
        </w:rPr>
        <w:footnoteRef/>
      </w:r>
      <w:r w:rsidRPr="00260B89">
        <w:rPr>
          <w:sz w:val="20"/>
          <w:szCs w:val="20"/>
        </w:rPr>
        <w:t xml:space="preserve"> MELZER, Filip. In: MELZER, Filip. </w:t>
      </w:r>
      <w:r w:rsidRPr="00260B89">
        <w:rPr>
          <w:i/>
          <w:sz w:val="20"/>
          <w:szCs w:val="20"/>
        </w:rPr>
        <w:t>Občanský zákoník. § 2894 - 3081. Velký komentář</w:t>
      </w:r>
      <w:r w:rsidRPr="00260B89">
        <w:rPr>
          <w:sz w:val="20"/>
          <w:szCs w:val="20"/>
        </w:rPr>
        <w:t>. Praha: Leges, s. 43.</w:t>
      </w:r>
    </w:p>
  </w:footnote>
  <w:footnote w:id="277">
    <w:p w:rsidR="00AF5227" w:rsidRPr="00260B89" w:rsidRDefault="00AF5227" w:rsidP="006A3693">
      <w:pPr>
        <w:spacing w:line="240" w:lineRule="auto"/>
        <w:ind w:right="567"/>
        <w:rPr>
          <w:sz w:val="20"/>
          <w:szCs w:val="20"/>
        </w:rPr>
      </w:pPr>
      <w:r w:rsidRPr="00260B89">
        <w:rPr>
          <w:sz w:val="20"/>
          <w:szCs w:val="20"/>
          <w:vertAlign w:val="superscript"/>
        </w:rPr>
        <w:footnoteRef/>
      </w:r>
      <w:r w:rsidRPr="00260B89">
        <w:rPr>
          <w:sz w:val="20"/>
          <w:szCs w:val="20"/>
        </w:rPr>
        <w:t xml:space="preserve"> Tamtéž.</w:t>
      </w:r>
    </w:p>
  </w:footnote>
  <w:footnote w:id="278">
    <w:p w:rsidR="00AF5227" w:rsidRPr="00260B89" w:rsidRDefault="00AF5227" w:rsidP="006A3693">
      <w:pPr>
        <w:spacing w:line="240" w:lineRule="auto"/>
        <w:ind w:right="567"/>
        <w:rPr>
          <w:sz w:val="20"/>
          <w:szCs w:val="20"/>
        </w:rPr>
      </w:pPr>
      <w:r w:rsidRPr="00260B89">
        <w:rPr>
          <w:sz w:val="20"/>
          <w:szCs w:val="20"/>
          <w:vertAlign w:val="superscript"/>
        </w:rPr>
        <w:footnoteRef/>
      </w:r>
      <w:r w:rsidRPr="00260B89">
        <w:rPr>
          <w:sz w:val="20"/>
          <w:szCs w:val="20"/>
        </w:rPr>
        <w:t xml:space="preserve"> Tamtéž.</w:t>
      </w:r>
    </w:p>
  </w:footnote>
  <w:footnote w:id="279">
    <w:p w:rsidR="00AF5227" w:rsidRPr="00260B89" w:rsidRDefault="00AF5227" w:rsidP="006A3693">
      <w:pPr>
        <w:spacing w:line="240" w:lineRule="auto"/>
        <w:ind w:right="567"/>
        <w:rPr>
          <w:sz w:val="20"/>
          <w:szCs w:val="20"/>
        </w:rPr>
      </w:pPr>
      <w:r w:rsidRPr="00260B89">
        <w:rPr>
          <w:sz w:val="20"/>
          <w:szCs w:val="20"/>
          <w:vertAlign w:val="superscript"/>
        </w:rPr>
        <w:footnoteRef/>
      </w:r>
      <w:r w:rsidRPr="00260B89">
        <w:rPr>
          <w:sz w:val="20"/>
          <w:szCs w:val="20"/>
        </w:rPr>
        <w:t xml:space="preserve"> Tamtéž.</w:t>
      </w:r>
    </w:p>
  </w:footnote>
  <w:footnote w:id="280">
    <w:p w:rsidR="00AF5227" w:rsidRPr="00260B89" w:rsidRDefault="00AF5227" w:rsidP="006A3693">
      <w:pPr>
        <w:spacing w:line="240" w:lineRule="auto"/>
        <w:ind w:right="567"/>
        <w:rPr>
          <w:i/>
          <w:sz w:val="20"/>
          <w:szCs w:val="20"/>
        </w:rPr>
      </w:pPr>
      <w:r w:rsidRPr="00260B89">
        <w:rPr>
          <w:sz w:val="20"/>
          <w:szCs w:val="20"/>
          <w:vertAlign w:val="superscript"/>
        </w:rPr>
        <w:footnoteRef/>
      </w:r>
      <w:r w:rsidRPr="00260B89">
        <w:rPr>
          <w:sz w:val="20"/>
          <w:szCs w:val="20"/>
        </w:rPr>
        <w:t xml:space="preserve"> Ustanovení § 70 odst. 1 zákona č. 250/2016 Sb., zákon o odpovědnosti za přestupky a řízení o nich, ve znění pozdějších předpisů  </w:t>
      </w:r>
      <w:r w:rsidRPr="00260B89">
        <w:rPr>
          <w:i/>
          <w:sz w:val="20"/>
          <w:szCs w:val="20"/>
        </w:rPr>
        <w:t>a contrario.</w:t>
      </w:r>
    </w:p>
  </w:footnote>
  <w:footnote w:id="281">
    <w:p w:rsidR="00AF5227" w:rsidRPr="00260B89" w:rsidRDefault="00AF5227" w:rsidP="006A3693">
      <w:pPr>
        <w:spacing w:line="240" w:lineRule="auto"/>
        <w:ind w:right="567"/>
        <w:rPr>
          <w:sz w:val="20"/>
          <w:szCs w:val="20"/>
        </w:rPr>
      </w:pPr>
      <w:r w:rsidRPr="00260B89">
        <w:rPr>
          <w:sz w:val="20"/>
          <w:szCs w:val="20"/>
          <w:vertAlign w:val="superscript"/>
        </w:rPr>
        <w:footnoteRef/>
      </w:r>
      <w:r w:rsidRPr="00260B89">
        <w:rPr>
          <w:sz w:val="20"/>
          <w:szCs w:val="20"/>
        </w:rPr>
        <w:t xml:space="preserve"> PRÁŠKOVÁ, Helena. </w:t>
      </w:r>
      <w:r w:rsidRPr="00260B89">
        <w:rPr>
          <w:i/>
          <w:sz w:val="20"/>
          <w:szCs w:val="20"/>
        </w:rPr>
        <w:t>Postavení osoby, které byla přestupkem způsobena nemajetková újma.</w:t>
      </w:r>
      <w:r w:rsidRPr="00260B89">
        <w:rPr>
          <w:sz w:val="20"/>
          <w:szCs w:val="20"/>
        </w:rPr>
        <w:t xml:space="preserve"> Správní právo, 2016, roč. 49, č. 4, s. 229.</w:t>
      </w:r>
    </w:p>
  </w:footnote>
  <w:footnote w:id="282">
    <w:p w:rsidR="00AF5227" w:rsidRPr="00260B89" w:rsidRDefault="00AF5227" w:rsidP="006A3693">
      <w:pPr>
        <w:spacing w:line="240" w:lineRule="auto"/>
        <w:ind w:right="567"/>
        <w:rPr>
          <w:sz w:val="20"/>
          <w:szCs w:val="20"/>
        </w:rPr>
      </w:pPr>
      <w:r w:rsidRPr="00260B89">
        <w:rPr>
          <w:sz w:val="20"/>
          <w:szCs w:val="20"/>
          <w:vertAlign w:val="superscript"/>
        </w:rPr>
        <w:footnoteRef/>
      </w:r>
      <w:r w:rsidRPr="00260B89">
        <w:rPr>
          <w:sz w:val="20"/>
          <w:szCs w:val="20"/>
        </w:rPr>
        <w:t xml:space="preserve"> Tamtéž, s. 227.</w:t>
      </w:r>
    </w:p>
  </w:footnote>
  <w:footnote w:id="283">
    <w:p w:rsidR="00AF5227" w:rsidRPr="00260B89" w:rsidRDefault="00AF5227" w:rsidP="006A3693">
      <w:pPr>
        <w:spacing w:line="240" w:lineRule="auto"/>
        <w:ind w:right="567"/>
        <w:rPr>
          <w:sz w:val="20"/>
          <w:szCs w:val="20"/>
        </w:rPr>
      </w:pPr>
      <w:r w:rsidRPr="00260B89">
        <w:rPr>
          <w:sz w:val="20"/>
          <w:szCs w:val="20"/>
          <w:vertAlign w:val="superscript"/>
        </w:rPr>
        <w:footnoteRef/>
      </w:r>
      <w:r w:rsidRPr="00260B89">
        <w:rPr>
          <w:sz w:val="20"/>
          <w:szCs w:val="20"/>
        </w:rPr>
        <w:t xml:space="preserve"> KUČEROVÁ, Helena. In: HORZINKOVÁ, Eva, KUČEROVÁ, Helena. </w:t>
      </w:r>
      <w:r w:rsidRPr="00260B89">
        <w:rPr>
          <w:i/>
          <w:sz w:val="20"/>
          <w:szCs w:val="20"/>
        </w:rPr>
        <w:t xml:space="preserve">Zákon o přestupcích s komentářem a judikaturou. </w:t>
      </w:r>
      <w:r w:rsidRPr="00260B89">
        <w:rPr>
          <w:sz w:val="20"/>
          <w:szCs w:val="20"/>
        </w:rPr>
        <w:t>3. vydání. Praha: Leges, 2016, s. 415.</w:t>
      </w:r>
    </w:p>
  </w:footnote>
  <w:footnote w:id="284">
    <w:p w:rsidR="00AF5227" w:rsidRPr="00260B89" w:rsidRDefault="00AF5227" w:rsidP="006A3693">
      <w:pPr>
        <w:spacing w:line="240" w:lineRule="auto"/>
        <w:ind w:right="567"/>
        <w:rPr>
          <w:sz w:val="20"/>
          <w:szCs w:val="20"/>
        </w:rPr>
      </w:pPr>
      <w:r w:rsidRPr="00260B89">
        <w:rPr>
          <w:sz w:val="20"/>
          <w:szCs w:val="20"/>
          <w:vertAlign w:val="superscript"/>
        </w:rPr>
        <w:footnoteRef/>
      </w:r>
      <w:r w:rsidRPr="00260B89">
        <w:rPr>
          <w:sz w:val="20"/>
          <w:szCs w:val="20"/>
        </w:rPr>
        <w:t xml:space="preserve"> PRÁŠKOVÁ, Helena. </w:t>
      </w:r>
      <w:r w:rsidRPr="00260B89">
        <w:rPr>
          <w:i/>
          <w:sz w:val="20"/>
          <w:szCs w:val="20"/>
        </w:rPr>
        <w:t>Postavení osoby, které byla přestupkem způsobena nemajetková újma.</w:t>
      </w:r>
      <w:r w:rsidRPr="00260B89">
        <w:rPr>
          <w:sz w:val="20"/>
          <w:szCs w:val="20"/>
        </w:rPr>
        <w:t xml:space="preserve"> Správní právo, 2016, roč. 49, č. 4, s. 235.</w:t>
      </w:r>
    </w:p>
  </w:footnote>
  <w:footnote w:id="285">
    <w:p w:rsidR="00AF5227" w:rsidRPr="00260B89" w:rsidRDefault="00AF5227" w:rsidP="006A3693">
      <w:pPr>
        <w:spacing w:line="240" w:lineRule="auto"/>
        <w:ind w:right="567"/>
        <w:rPr>
          <w:sz w:val="20"/>
          <w:szCs w:val="20"/>
        </w:rPr>
      </w:pPr>
      <w:r w:rsidRPr="00260B89">
        <w:rPr>
          <w:sz w:val="20"/>
          <w:szCs w:val="20"/>
          <w:vertAlign w:val="superscript"/>
        </w:rPr>
        <w:footnoteRef/>
      </w:r>
      <w:r w:rsidRPr="00260B89">
        <w:rPr>
          <w:sz w:val="20"/>
          <w:szCs w:val="20"/>
        </w:rPr>
        <w:t xml:space="preserve"> Tamtéž, s. 229.</w:t>
      </w:r>
    </w:p>
  </w:footnote>
  <w:footnote w:id="286">
    <w:p w:rsidR="00AF5227" w:rsidRPr="00260B89" w:rsidRDefault="00AF5227" w:rsidP="006A3693">
      <w:pPr>
        <w:spacing w:line="240" w:lineRule="auto"/>
        <w:ind w:right="567"/>
        <w:rPr>
          <w:sz w:val="20"/>
          <w:szCs w:val="20"/>
        </w:rPr>
      </w:pPr>
      <w:r w:rsidRPr="00260B89">
        <w:rPr>
          <w:sz w:val="20"/>
          <w:szCs w:val="20"/>
          <w:vertAlign w:val="superscript"/>
        </w:rPr>
        <w:footnoteRef/>
      </w:r>
      <w:r w:rsidRPr="00260B89">
        <w:rPr>
          <w:sz w:val="20"/>
          <w:szCs w:val="20"/>
        </w:rPr>
        <w:t xml:space="preserve"> Tamtéž.</w:t>
      </w:r>
    </w:p>
  </w:footnote>
  <w:footnote w:id="287">
    <w:p w:rsidR="00AF5227" w:rsidRPr="00260B89" w:rsidRDefault="00AF5227" w:rsidP="006A3693">
      <w:pPr>
        <w:spacing w:line="240" w:lineRule="auto"/>
        <w:ind w:right="567"/>
        <w:rPr>
          <w:sz w:val="20"/>
          <w:szCs w:val="20"/>
        </w:rPr>
      </w:pPr>
      <w:r w:rsidRPr="00260B89">
        <w:rPr>
          <w:sz w:val="20"/>
          <w:szCs w:val="20"/>
          <w:vertAlign w:val="superscript"/>
        </w:rPr>
        <w:footnoteRef/>
      </w:r>
      <w:r w:rsidRPr="00260B89">
        <w:rPr>
          <w:sz w:val="20"/>
          <w:szCs w:val="20"/>
        </w:rPr>
        <w:t xml:space="preserve"> Tamtéž s. 237.</w:t>
      </w:r>
    </w:p>
  </w:footnote>
  <w:footnote w:id="288">
    <w:p w:rsidR="00AF5227" w:rsidRPr="00260B89" w:rsidRDefault="00AF5227" w:rsidP="006A3693">
      <w:pPr>
        <w:spacing w:line="240" w:lineRule="auto"/>
        <w:ind w:right="567"/>
        <w:rPr>
          <w:sz w:val="20"/>
          <w:szCs w:val="20"/>
        </w:rPr>
      </w:pPr>
      <w:r w:rsidRPr="00260B89">
        <w:rPr>
          <w:sz w:val="20"/>
          <w:szCs w:val="20"/>
          <w:vertAlign w:val="superscript"/>
        </w:rPr>
        <w:footnoteRef/>
      </w:r>
      <w:r w:rsidRPr="00260B89">
        <w:rPr>
          <w:sz w:val="20"/>
          <w:szCs w:val="20"/>
        </w:rPr>
        <w:t xml:space="preserve"> Tamtéž, s. 235-237.</w:t>
      </w:r>
    </w:p>
  </w:footnote>
  <w:footnote w:id="289">
    <w:p w:rsidR="00AF5227" w:rsidRDefault="00AF5227" w:rsidP="006A3693">
      <w:pPr>
        <w:spacing w:line="240" w:lineRule="auto"/>
        <w:ind w:right="567"/>
        <w:rPr>
          <w:sz w:val="20"/>
          <w:szCs w:val="20"/>
        </w:rPr>
      </w:pPr>
      <w:r w:rsidRPr="00260B89">
        <w:rPr>
          <w:sz w:val="20"/>
          <w:szCs w:val="20"/>
          <w:vertAlign w:val="superscript"/>
        </w:rPr>
        <w:footnoteRef/>
      </w:r>
      <w:r w:rsidRPr="00260B89">
        <w:rPr>
          <w:sz w:val="20"/>
          <w:szCs w:val="20"/>
        </w:rPr>
        <w:t xml:space="preserve"> Tamtéž, s. 237.</w:t>
      </w:r>
    </w:p>
  </w:footnote>
  <w:footnote w:id="290">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MELZER, Filip.</w:t>
      </w:r>
      <w:r w:rsidRPr="00284190">
        <w:rPr>
          <w:i/>
          <w:sz w:val="20"/>
          <w:szCs w:val="20"/>
        </w:rPr>
        <w:t xml:space="preserve"> Metodologie nalézání práva. Úvod do právní argumentace</w:t>
      </w:r>
      <w:r w:rsidRPr="00284190">
        <w:rPr>
          <w:sz w:val="20"/>
          <w:szCs w:val="20"/>
        </w:rPr>
        <w:t>. 2. vydání, Praha: C.H. BECK, s. 252.</w:t>
      </w:r>
    </w:p>
  </w:footnote>
  <w:footnote w:id="291">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POTMĚŠIL, Jan. </w:t>
      </w:r>
      <w:r w:rsidRPr="00284190">
        <w:rPr>
          <w:i/>
          <w:sz w:val="20"/>
          <w:szCs w:val="20"/>
        </w:rPr>
        <w:t>Co přínáší novela zákona o přestupcích?</w:t>
      </w:r>
      <w:r w:rsidRPr="00284190">
        <w:rPr>
          <w:sz w:val="20"/>
          <w:szCs w:val="20"/>
        </w:rPr>
        <w:t xml:space="preserve"> [online] jinepravo.blogspot.com, 8. 12. 2015 , [cit. 20. 11. 2024]. Dostupné z: </w:t>
      </w:r>
      <w:hyperlink r:id="rId9">
        <w:r w:rsidRPr="00284190">
          <w:rPr>
            <w:sz w:val="20"/>
            <w:szCs w:val="20"/>
            <w:u w:val="single"/>
          </w:rPr>
          <w:t>https://prestupky.blogspot.com/2015/12/co-prinasi-novela-zakona-o-prestupcich.html</w:t>
        </w:r>
      </w:hyperlink>
      <w:r w:rsidRPr="00284190">
        <w:rPr>
          <w:sz w:val="20"/>
          <w:szCs w:val="20"/>
        </w:rPr>
        <w:t>.</w:t>
      </w:r>
    </w:p>
  </w:footnote>
  <w:footnote w:id="292">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STRAKOŠ, Jan. </w:t>
      </w:r>
      <w:r w:rsidRPr="00284190">
        <w:rPr>
          <w:i/>
          <w:sz w:val="20"/>
          <w:szCs w:val="20"/>
        </w:rPr>
        <w:t>Zákon o přestupcích po novele - vybrané problémy (I.)</w:t>
      </w:r>
      <w:r w:rsidRPr="00284190">
        <w:rPr>
          <w:sz w:val="20"/>
          <w:szCs w:val="20"/>
        </w:rPr>
        <w:t>. Správní právo, 2016, roč. 49, č. 1, s. 9-10.</w:t>
      </w:r>
    </w:p>
  </w:footnote>
  <w:footnote w:id="293">
    <w:p w:rsidR="00AF5227" w:rsidRPr="00260B89" w:rsidRDefault="00AF5227" w:rsidP="006A3693">
      <w:pPr>
        <w:spacing w:line="240" w:lineRule="auto"/>
        <w:ind w:right="567"/>
        <w:rPr>
          <w:sz w:val="20"/>
          <w:szCs w:val="20"/>
        </w:rPr>
      </w:pPr>
      <w:r w:rsidRPr="00260B89">
        <w:rPr>
          <w:sz w:val="20"/>
          <w:szCs w:val="20"/>
          <w:vertAlign w:val="superscript"/>
        </w:rPr>
        <w:footnoteRef/>
      </w:r>
      <w:r w:rsidRPr="00260B89">
        <w:rPr>
          <w:sz w:val="20"/>
          <w:szCs w:val="20"/>
        </w:rPr>
        <w:t xml:space="preserve"> Důvodová zpráva k zákonu č. 250/206 Sb., zvláštní část, str. 186.</w:t>
      </w:r>
    </w:p>
  </w:footnote>
  <w:footnote w:id="294">
    <w:p w:rsidR="00AF5227" w:rsidRPr="00260B89" w:rsidRDefault="00AF5227" w:rsidP="006A3693">
      <w:pPr>
        <w:spacing w:line="240" w:lineRule="auto"/>
        <w:ind w:right="567"/>
        <w:rPr>
          <w:sz w:val="20"/>
          <w:szCs w:val="20"/>
        </w:rPr>
      </w:pPr>
      <w:r w:rsidRPr="00260B89">
        <w:rPr>
          <w:sz w:val="20"/>
          <w:szCs w:val="20"/>
          <w:vertAlign w:val="superscript"/>
        </w:rPr>
        <w:footnoteRef/>
      </w:r>
      <w:r w:rsidRPr="00260B89">
        <w:rPr>
          <w:sz w:val="20"/>
          <w:szCs w:val="20"/>
        </w:rPr>
        <w:t xml:space="preserve"> STRAKOŠ Jan. </w:t>
      </w:r>
      <w:r w:rsidRPr="00260B89">
        <w:rPr>
          <w:i/>
          <w:sz w:val="20"/>
          <w:szCs w:val="20"/>
        </w:rPr>
        <w:t>Zákon o přestupcích po novele - vybrané problémy (I.)</w:t>
      </w:r>
      <w:r w:rsidRPr="00260B89">
        <w:rPr>
          <w:sz w:val="20"/>
          <w:szCs w:val="20"/>
        </w:rPr>
        <w:t>, Správní právo, 2016, roč. 49, č. 1, s. 10.</w:t>
      </w:r>
    </w:p>
  </w:footnote>
  <w:footnote w:id="295">
    <w:p w:rsidR="00AF5227" w:rsidRPr="00260B89" w:rsidRDefault="00AF5227" w:rsidP="006A3693">
      <w:pPr>
        <w:spacing w:line="240" w:lineRule="auto"/>
        <w:ind w:right="567"/>
        <w:rPr>
          <w:sz w:val="20"/>
          <w:szCs w:val="20"/>
        </w:rPr>
      </w:pPr>
      <w:r w:rsidRPr="00260B89">
        <w:rPr>
          <w:sz w:val="20"/>
          <w:szCs w:val="20"/>
          <w:vertAlign w:val="superscript"/>
        </w:rPr>
        <w:footnoteRef/>
      </w:r>
      <w:r w:rsidRPr="00260B89">
        <w:rPr>
          <w:sz w:val="20"/>
          <w:szCs w:val="20"/>
        </w:rPr>
        <w:t xml:space="preserve"> MATES, Pavel.</w:t>
      </w:r>
      <w:r w:rsidRPr="00260B89">
        <w:rPr>
          <w:i/>
          <w:sz w:val="20"/>
          <w:szCs w:val="20"/>
        </w:rPr>
        <w:t xml:space="preserve"> K některým procesním ustanovením zákona o odpovědnosti za přestupky.</w:t>
      </w:r>
      <w:r w:rsidRPr="00260B89">
        <w:rPr>
          <w:sz w:val="20"/>
          <w:szCs w:val="20"/>
        </w:rPr>
        <w:t xml:space="preserve"> Právní rozhledy, 2017, roč. 25, č. 3, s</w:t>
      </w:r>
      <w:r>
        <w:rPr>
          <w:sz w:val="20"/>
          <w:szCs w:val="20"/>
        </w:rPr>
        <w:t>. 78</w:t>
      </w:r>
      <w:r w:rsidRPr="00260B89">
        <w:rPr>
          <w:sz w:val="20"/>
          <w:szCs w:val="20"/>
        </w:rPr>
        <w:t>.</w:t>
      </w:r>
    </w:p>
  </w:footnote>
  <w:footnote w:id="296">
    <w:p w:rsidR="00AF5227" w:rsidRPr="00E52CEB" w:rsidRDefault="00AF5227" w:rsidP="006A3693">
      <w:pPr>
        <w:spacing w:line="240" w:lineRule="auto"/>
        <w:ind w:right="567"/>
        <w:rPr>
          <w:sz w:val="20"/>
          <w:szCs w:val="20"/>
        </w:rPr>
      </w:pPr>
      <w:r w:rsidRPr="00E52CEB">
        <w:rPr>
          <w:sz w:val="20"/>
          <w:szCs w:val="20"/>
          <w:vertAlign w:val="superscript"/>
        </w:rPr>
        <w:footnoteRef/>
      </w:r>
      <w:r w:rsidRPr="00E52CEB">
        <w:rPr>
          <w:sz w:val="20"/>
          <w:szCs w:val="20"/>
        </w:rPr>
        <w:t xml:space="preserve">  </w:t>
      </w:r>
      <w:r w:rsidRPr="00E52CEB">
        <w:rPr>
          <w:rFonts w:eastAsia="Aptos"/>
          <w:sz w:val="20"/>
          <w:szCs w:val="20"/>
        </w:rPr>
        <w:t xml:space="preserve">PRÁŠKOVÁ, Helena. </w:t>
      </w:r>
      <w:r w:rsidRPr="00E52CEB">
        <w:rPr>
          <w:rFonts w:eastAsia="Aptos"/>
          <w:i/>
          <w:sz w:val="20"/>
          <w:szCs w:val="20"/>
        </w:rPr>
        <w:t xml:space="preserve">Přestupkové právo. </w:t>
      </w:r>
      <w:r w:rsidRPr="00E52CEB">
        <w:rPr>
          <w:rFonts w:eastAsia="Aptos"/>
          <w:sz w:val="20"/>
          <w:szCs w:val="20"/>
        </w:rPr>
        <w:t>2. vydání</w:t>
      </w:r>
      <w:r w:rsidRPr="00E52CEB">
        <w:rPr>
          <w:rFonts w:eastAsia="Aptos"/>
          <w:i/>
          <w:sz w:val="20"/>
          <w:szCs w:val="20"/>
        </w:rPr>
        <w:t xml:space="preserve">. </w:t>
      </w:r>
      <w:r w:rsidRPr="00E52CEB">
        <w:rPr>
          <w:rFonts w:eastAsia="Aptos"/>
          <w:sz w:val="20"/>
          <w:szCs w:val="20"/>
        </w:rPr>
        <w:t>Praha: Leges, 2022, s.</w:t>
      </w:r>
      <w:r w:rsidRPr="00E52CEB">
        <w:rPr>
          <w:sz w:val="20"/>
          <w:szCs w:val="20"/>
        </w:rPr>
        <w:t xml:space="preserve"> 394-395.</w:t>
      </w:r>
    </w:p>
  </w:footnote>
  <w:footnote w:id="297">
    <w:p w:rsidR="00AF5227" w:rsidRPr="00E52CEB" w:rsidRDefault="00AF5227" w:rsidP="006A3693">
      <w:pPr>
        <w:spacing w:line="240" w:lineRule="auto"/>
        <w:ind w:right="567"/>
        <w:rPr>
          <w:sz w:val="20"/>
          <w:szCs w:val="20"/>
        </w:rPr>
      </w:pPr>
      <w:r w:rsidRPr="00E52CEB">
        <w:rPr>
          <w:sz w:val="20"/>
          <w:szCs w:val="20"/>
          <w:vertAlign w:val="superscript"/>
        </w:rPr>
        <w:footnoteRef/>
      </w:r>
      <w:r w:rsidRPr="00E52CEB">
        <w:rPr>
          <w:sz w:val="20"/>
          <w:szCs w:val="20"/>
        </w:rPr>
        <w:t xml:space="preserve">  MELZER, Filip. </w:t>
      </w:r>
      <w:r w:rsidRPr="00E52CEB">
        <w:rPr>
          <w:i/>
          <w:sz w:val="20"/>
          <w:szCs w:val="20"/>
        </w:rPr>
        <w:t>Metodologie nalézání práva. Uvod do právní argumentace</w:t>
      </w:r>
      <w:r w:rsidRPr="00E52CEB">
        <w:rPr>
          <w:sz w:val="20"/>
          <w:szCs w:val="20"/>
        </w:rPr>
        <w:t>. 2. Vydání. Praha: C.H. Beck, 2011, s. 222 a 230.</w:t>
      </w:r>
    </w:p>
  </w:footnote>
  <w:footnote w:id="298">
    <w:p w:rsidR="00AF5227" w:rsidRPr="00E52CEB" w:rsidRDefault="00AF5227" w:rsidP="006A3693">
      <w:pPr>
        <w:spacing w:line="240" w:lineRule="auto"/>
        <w:ind w:right="567"/>
        <w:rPr>
          <w:sz w:val="20"/>
          <w:szCs w:val="20"/>
        </w:rPr>
      </w:pPr>
      <w:r w:rsidRPr="00E52CEB">
        <w:rPr>
          <w:sz w:val="20"/>
          <w:szCs w:val="20"/>
          <w:vertAlign w:val="superscript"/>
        </w:rPr>
        <w:footnoteRef/>
      </w:r>
      <w:r w:rsidRPr="00E52CEB">
        <w:rPr>
          <w:sz w:val="20"/>
          <w:szCs w:val="20"/>
        </w:rPr>
        <w:t xml:space="preserve"> Důvodová zpráva k zákonu č. 250/206 Sb., zvláštní část, s. 186-188.</w:t>
      </w:r>
    </w:p>
  </w:footnote>
  <w:footnote w:id="299">
    <w:p w:rsidR="00AF5227" w:rsidRPr="00E52CEB" w:rsidRDefault="00AF5227" w:rsidP="006A3693">
      <w:pPr>
        <w:spacing w:line="240" w:lineRule="auto"/>
        <w:ind w:right="567"/>
        <w:rPr>
          <w:sz w:val="20"/>
          <w:szCs w:val="20"/>
        </w:rPr>
      </w:pPr>
      <w:r w:rsidRPr="00E52CEB">
        <w:rPr>
          <w:sz w:val="20"/>
          <w:szCs w:val="20"/>
          <w:vertAlign w:val="superscript"/>
        </w:rPr>
        <w:footnoteRef/>
      </w:r>
      <w:r w:rsidRPr="00E52CEB">
        <w:rPr>
          <w:sz w:val="20"/>
          <w:szCs w:val="20"/>
        </w:rPr>
        <w:t xml:space="preserve"> MELZER, Filip. </w:t>
      </w:r>
      <w:r w:rsidRPr="00E52CEB">
        <w:rPr>
          <w:i/>
          <w:sz w:val="20"/>
          <w:szCs w:val="20"/>
        </w:rPr>
        <w:t>Metodologie nalézání práva. Uvod do právní argumentace</w:t>
      </w:r>
      <w:r w:rsidRPr="00E52CEB">
        <w:rPr>
          <w:sz w:val="20"/>
          <w:szCs w:val="20"/>
        </w:rPr>
        <w:t>. 2. Vydání. Praha: C.H. Beck, 2011,  s. 222 a 230</w:t>
      </w:r>
    </w:p>
  </w:footnote>
  <w:footnote w:id="300">
    <w:p w:rsidR="00AF5227" w:rsidRPr="00E52CEB" w:rsidRDefault="00AF5227" w:rsidP="006A3693">
      <w:pPr>
        <w:spacing w:line="240" w:lineRule="auto"/>
        <w:ind w:right="567"/>
        <w:rPr>
          <w:sz w:val="20"/>
          <w:szCs w:val="20"/>
        </w:rPr>
      </w:pPr>
      <w:r w:rsidRPr="00E52CEB">
        <w:rPr>
          <w:sz w:val="20"/>
          <w:szCs w:val="20"/>
          <w:vertAlign w:val="superscript"/>
        </w:rPr>
        <w:footnoteRef/>
      </w:r>
      <w:r w:rsidRPr="00E52CEB">
        <w:rPr>
          <w:sz w:val="20"/>
          <w:szCs w:val="20"/>
        </w:rPr>
        <w:t xml:space="preserve"> HEPOVÁ, Adéla. </w:t>
      </w:r>
      <w:r w:rsidRPr="00E52CEB">
        <w:rPr>
          <w:i/>
          <w:sz w:val="20"/>
          <w:szCs w:val="20"/>
        </w:rPr>
        <w:t>Není úzké pojetí poškozeného v přestupkovém řízení příliš úzké?</w:t>
      </w:r>
      <w:r w:rsidRPr="00E52CEB">
        <w:rPr>
          <w:sz w:val="20"/>
          <w:szCs w:val="20"/>
        </w:rPr>
        <w:t>. Právní rozhledy, 2024, roč. 32, č. 15-16, s. 521.</w:t>
      </w:r>
    </w:p>
  </w:footnote>
  <w:footnote w:id="301">
    <w:p w:rsidR="00AF5227" w:rsidRPr="00E52CEB" w:rsidRDefault="00AF5227" w:rsidP="006A3693">
      <w:pPr>
        <w:spacing w:line="240" w:lineRule="auto"/>
        <w:ind w:right="567"/>
        <w:rPr>
          <w:sz w:val="20"/>
          <w:szCs w:val="20"/>
        </w:rPr>
      </w:pPr>
      <w:r w:rsidRPr="00E52CEB">
        <w:rPr>
          <w:sz w:val="20"/>
          <w:szCs w:val="20"/>
          <w:vertAlign w:val="superscript"/>
        </w:rPr>
        <w:footnoteRef/>
      </w:r>
      <w:r w:rsidRPr="00E52CEB">
        <w:rPr>
          <w:sz w:val="20"/>
          <w:szCs w:val="20"/>
        </w:rPr>
        <w:t>Důvodová zpráva k zákonu č. 250/206 Sb., zvláštní část, 186-188.</w:t>
      </w:r>
    </w:p>
  </w:footnote>
  <w:footnote w:id="302">
    <w:p w:rsidR="00AF5227" w:rsidRPr="00E52CEB" w:rsidRDefault="00AF5227" w:rsidP="006A3693">
      <w:pPr>
        <w:spacing w:line="240" w:lineRule="auto"/>
        <w:ind w:right="567"/>
        <w:rPr>
          <w:sz w:val="20"/>
          <w:szCs w:val="20"/>
        </w:rPr>
      </w:pPr>
      <w:r w:rsidRPr="00E52CEB">
        <w:rPr>
          <w:sz w:val="20"/>
          <w:szCs w:val="20"/>
          <w:vertAlign w:val="superscript"/>
        </w:rPr>
        <w:footnoteRef/>
      </w:r>
      <w:r w:rsidRPr="00E52CEB">
        <w:rPr>
          <w:sz w:val="20"/>
          <w:szCs w:val="20"/>
        </w:rPr>
        <w:t xml:space="preserve"> </w:t>
      </w:r>
      <w:r w:rsidRPr="00E52CEB">
        <w:rPr>
          <w:rFonts w:eastAsia="Aptos"/>
          <w:sz w:val="20"/>
          <w:szCs w:val="20"/>
        </w:rPr>
        <w:t xml:space="preserve">PRÁŠKOVÁ, Helena. </w:t>
      </w:r>
      <w:r w:rsidRPr="00E52CEB">
        <w:rPr>
          <w:rFonts w:eastAsia="Aptos"/>
          <w:i/>
          <w:sz w:val="20"/>
          <w:szCs w:val="20"/>
        </w:rPr>
        <w:t xml:space="preserve">Přestupkové právo. </w:t>
      </w:r>
      <w:r w:rsidRPr="00E52CEB">
        <w:rPr>
          <w:rFonts w:eastAsia="Aptos"/>
          <w:sz w:val="20"/>
          <w:szCs w:val="20"/>
        </w:rPr>
        <w:t>2. vydání</w:t>
      </w:r>
      <w:r w:rsidRPr="00E52CEB">
        <w:rPr>
          <w:rFonts w:eastAsia="Aptos"/>
          <w:i/>
          <w:sz w:val="20"/>
          <w:szCs w:val="20"/>
        </w:rPr>
        <w:t xml:space="preserve">. </w:t>
      </w:r>
      <w:r w:rsidRPr="00E52CEB">
        <w:rPr>
          <w:rFonts w:eastAsia="Aptos"/>
          <w:sz w:val="20"/>
          <w:szCs w:val="20"/>
        </w:rPr>
        <w:t xml:space="preserve">Praha: Leges, 2022, s. </w:t>
      </w:r>
      <w:r w:rsidRPr="00E52CEB">
        <w:rPr>
          <w:sz w:val="20"/>
          <w:szCs w:val="20"/>
        </w:rPr>
        <w:t>384.</w:t>
      </w:r>
    </w:p>
  </w:footnote>
  <w:footnote w:id="303">
    <w:p w:rsidR="00AF5227" w:rsidRPr="00E52CEB" w:rsidRDefault="00AF5227" w:rsidP="006A3693">
      <w:pPr>
        <w:spacing w:line="240" w:lineRule="auto"/>
        <w:ind w:right="567"/>
        <w:rPr>
          <w:sz w:val="20"/>
          <w:szCs w:val="20"/>
        </w:rPr>
      </w:pPr>
      <w:r w:rsidRPr="00E52CEB">
        <w:rPr>
          <w:sz w:val="20"/>
          <w:szCs w:val="20"/>
          <w:vertAlign w:val="superscript"/>
        </w:rPr>
        <w:footnoteRef/>
      </w:r>
      <w:r w:rsidRPr="00E52CEB">
        <w:rPr>
          <w:sz w:val="20"/>
          <w:szCs w:val="20"/>
        </w:rPr>
        <w:t xml:space="preserve"> VISINGER, Radek.</w:t>
      </w:r>
      <w:r w:rsidRPr="00E52CEB">
        <w:rPr>
          <w:i/>
          <w:sz w:val="20"/>
          <w:szCs w:val="20"/>
        </w:rPr>
        <w:t xml:space="preserve"> Náhrada nemajetkové újmy v adhezním řízení</w:t>
      </w:r>
      <w:r w:rsidRPr="00E52CEB">
        <w:rPr>
          <w:sz w:val="20"/>
          <w:szCs w:val="20"/>
        </w:rPr>
        <w:t>. Trestněprávní revue, 2011, roč. 10, č. 3, s. 77.</w:t>
      </w:r>
    </w:p>
  </w:footnote>
  <w:footnote w:id="304">
    <w:p w:rsidR="00AF5227" w:rsidRPr="00284190" w:rsidRDefault="00AF5227" w:rsidP="006A3693">
      <w:pPr>
        <w:spacing w:line="240" w:lineRule="auto"/>
        <w:ind w:right="567"/>
        <w:rPr>
          <w:sz w:val="20"/>
          <w:szCs w:val="20"/>
        </w:rPr>
      </w:pPr>
      <w:r w:rsidRPr="00E52CEB">
        <w:rPr>
          <w:sz w:val="20"/>
          <w:szCs w:val="20"/>
          <w:vertAlign w:val="superscript"/>
        </w:rPr>
        <w:footnoteRef/>
      </w:r>
      <w:r w:rsidRPr="00E52CEB">
        <w:rPr>
          <w:sz w:val="20"/>
          <w:szCs w:val="20"/>
        </w:rPr>
        <w:t xml:space="preserve"> Tamtéž.</w:t>
      </w:r>
    </w:p>
  </w:footnote>
  <w:footnote w:id="305">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Že toto není ojedinělé ani v trestním řízení zmiňuje ve svém článku Mifek. Viz:. MIFEK, Jan. </w:t>
      </w:r>
      <w:r w:rsidRPr="00284190">
        <w:rPr>
          <w:i/>
          <w:sz w:val="20"/>
          <w:szCs w:val="20"/>
        </w:rPr>
        <w:t xml:space="preserve">Adhezní řízení a sekundární viktimizace. </w:t>
      </w:r>
      <w:r w:rsidRPr="00284190">
        <w:rPr>
          <w:sz w:val="20"/>
          <w:szCs w:val="20"/>
        </w:rPr>
        <w:t>Trestněprávní revue, 2024, roč. 23, s. 92</w:t>
      </w:r>
    </w:p>
  </w:footnote>
  <w:footnote w:id="306">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rFonts w:eastAsia="Roboto"/>
          <w:sz w:val="20"/>
          <w:szCs w:val="20"/>
        </w:rPr>
        <w:t>Metodika</w:t>
      </w:r>
      <w:r w:rsidRPr="00284190">
        <w:rPr>
          <w:sz w:val="20"/>
          <w:szCs w:val="20"/>
        </w:rPr>
        <w:t xml:space="preserve"> Nejvyššího soudu k náhradě nemajetkové újmy na zdraví (bolest a ztížení společenského uplatnění podle § 2958 občanského zákoníku) ze dne 12.3. 2014, Sp. zn. / Č.j.: Cpjn 14/2014 [online], </w:t>
      </w:r>
      <w:r w:rsidRPr="00284190">
        <w:rPr>
          <w:rFonts w:eastAsia="Roboto"/>
          <w:sz w:val="20"/>
          <w:szCs w:val="20"/>
        </w:rPr>
        <w:t xml:space="preserve">Dostupné z: </w:t>
      </w:r>
      <w:hyperlink r:id="rId10">
        <w:r w:rsidRPr="00284190">
          <w:rPr>
            <w:sz w:val="20"/>
            <w:szCs w:val="20"/>
            <w:u w:val="single"/>
          </w:rPr>
          <w:t>https://nsoud.cz/judikatura/ns_web.nsf/0/21B4600D35F7065BC125866C004826AE/%24file/D%20-%20Technick%C3%A1%20%C4%8D%C3%A1st%202021.pdf</w:t>
        </w:r>
      </w:hyperlink>
      <w:r w:rsidRPr="00284190">
        <w:rPr>
          <w:sz w:val="20"/>
          <w:szCs w:val="20"/>
        </w:rPr>
        <w:t xml:space="preserve"> [citováno 12. listopadu 2024].</w:t>
      </w:r>
    </w:p>
  </w:footnote>
  <w:footnote w:id="307">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GIBALOVÁ, Diana. In: JELÍNEK, Jiří a kol.</w:t>
      </w:r>
      <w:r w:rsidRPr="00284190">
        <w:rPr>
          <w:i/>
          <w:sz w:val="20"/>
          <w:szCs w:val="20"/>
        </w:rPr>
        <w:t xml:space="preserve"> Poškozený a oběť trestného činu z trestněprávního a kriminologického pohledu</w:t>
      </w:r>
      <w:r w:rsidRPr="00284190">
        <w:rPr>
          <w:sz w:val="20"/>
          <w:szCs w:val="20"/>
        </w:rPr>
        <w:t>, Praha: Leges, 2012, s. 73.</w:t>
      </w:r>
    </w:p>
  </w:footnote>
  <w:footnote w:id="308">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VISINGER, Radek. </w:t>
      </w:r>
      <w:r w:rsidRPr="00284190">
        <w:rPr>
          <w:i/>
          <w:sz w:val="20"/>
          <w:szCs w:val="20"/>
        </w:rPr>
        <w:t>Náhrada nemajetkové újmy v adhezním řízení.</w:t>
      </w:r>
      <w:r w:rsidRPr="00284190">
        <w:rPr>
          <w:sz w:val="20"/>
          <w:szCs w:val="20"/>
        </w:rPr>
        <w:t xml:space="preserve"> Trestněprávní revue, 2011, roč. 10, č. 3, s. 77.</w:t>
      </w:r>
    </w:p>
  </w:footnote>
  <w:footnote w:id="309">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HEPOVÁ, Adéla. N</w:t>
      </w:r>
      <w:r w:rsidRPr="00284190">
        <w:rPr>
          <w:i/>
          <w:sz w:val="20"/>
          <w:szCs w:val="20"/>
        </w:rPr>
        <w:t>ení úzké pojetí poškozeného v přestupkovém řízení příliš úzké?.</w:t>
      </w:r>
      <w:r w:rsidRPr="00284190">
        <w:rPr>
          <w:sz w:val="20"/>
          <w:szCs w:val="20"/>
        </w:rPr>
        <w:t xml:space="preserve"> Právní rozhledy, roč. 32, č. 15-16, 2024, s. 524-526.</w:t>
      </w:r>
    </w:p>
  </w:footnote>
  <w:footnote w:id="310">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Tamtéž.</w:t>
      </w:r>
    </w:p>
  </w:footnote>
  <w:footnote w:id="311">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Tamtéž.</w:t>
      </w:r>
    </w:p>
  </w:footnote>
  <w:footnote w:id="312">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PRÁŠKOVÁ, HELENA. </w:t>
      </w:r>
      <w:r w:rsidRPr="00284190">
        <w:rPr>
          <w:i/>
          <w:sz w:val="20"/>
          <w:szCs w:val="20"/>
        </w:rPr>
        <w:t>Postavení osoby, které byla přestupkem způsobena nemajetková újma</w:t>
      </w:r>
      <w:r w:rsidRPr="00284190">
        <w:rPr>
          <w:sz w:val="20"/>
          <w:szCs w:val="20"/>
        </w:rPr>
        <w:t>. Správní právo, 2016, roč. 49, č. 4, s. 237 - 238.</w:t>
      </w:r>
    </w:p>
  </w:footnote>
  <w:footnote w:id="313">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HEPOVÁ, Adéla, N</w:t>
      </w:r>
      <w:r w:rsidRPr="00284190">
        <w:rPr>
          <w:i/>
          <w:sz w:val="20"/>
          <w:szCs w:val="20"/>
        </w:rPr>
        <w:t>ení úzké pojetí poškozeného v přestupkovém řízení příliš úzké?.</w:t>
      </w:r>
      <w:r w:rsidRPr="00284190">
        <w:rPr>
          <w:sz w:val="20"/>
          <w:szCs w:val="20"/>
        </w:rPr>
        <w:t xml:space="preserve"> Právní rozhledy, roč. 32, č. 15-16, 2024, s. 525-526.</w:t>
      </w:r>
    </w:p>
  </w:footnote>
  <w:footnote w:id="314">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w:t>
      </w:r>
      <w:r w:rsidRPr="00284190">
        <w:rPr>
          <w:rFonts w:eastAsia="Aptos"/>
          <w:sz w:val="20"/>
          <w:szCs w:val="20"/>
        </w:rPr>
        <w:t xml:space="preserve">PRÁŠKOVÁ, Helena. </w:t>
      </w:r>
      <w:r w:rsidRPr="00284190">
        <w:rPr>
          <w:rFonts w:eastAsia="Aptos"/>
          <w:i/>
          <w:sz w:val="20"/>
          <w:szCs w:val="20"/>
        </w:rPr>
        <w:t xml:space="preserve">Přestupkové právo. </w:t>
      </w:r>
      <w:r w:rsidRPr="00284190">
        <w:rPr>
          <w:rFonts w:eastAsia="Aptos"/>
          <w:sz w:val="20"/>
          <w:szCs w:val="20"/>
        </w:rPr>
        <w:t>2. vydání</w:t>
      </w:r>
      <w:r w:rsidRPr="00284190">
        <w:rPr>
          <w:rFonts w:eastAsia="Aptos"/>
          <w:i/>
          <w:sz w:val="20"/>
          <w:szCs w:val="20"/>
        </w:rPr>
        <w:t xml:space="preserve">. </w:t>
      </w:r>
      <w:r w:rsidRPr="00284190">
        <w:rPr>
          <w:rFonts w:eastAsia="Aptos"/>
          <w:sz w:val="20"/>
          <w:szCs w:val="20"/>
        </w:rPr>
        <w:t>Praha: Leges, 2022, s.</w:t>
      </w:r>
      <w:r w:rsidRPr="00284190">
        <w:rPr>
          <w:sz w:val="20"/>
          <w:szCs w:val="20"/>
        </w:rPr>
        <w:t xml:space="preserve"> 384.</w:t>
      </w:r>
    </w:p>
  </w:footnote>
  <w:footnote w:id="315">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Ustanovení § 70 odst. 1 zákona č. 250/2016 Sb., zákon o odpovědnosti za přestupky a řízení o nich, ve znění pozdějších předpisů.</w:t>
      </w:r>
    </w:p>
  </w:footnote>
  <w:footnote w:id="316">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Ustanovení § 2 odst. 4 </w:t>
      </w:r>
      <w:r w:rsidRPr="00284190">
        <w:rPr>
          <w:rFonts w:eastAsia="Aptos"/>
          <w:sz w:val="20"/>
          <w:szCs w:val="20"/>
        </w:rPr>
        <w:t>zákona č. 500/2004 Sb., správní řád, ve znění pozdějších předpisů.</w:t>
      </w:r>
    </w:p>
  </w:footnote>
  <w:footnote w:id="317">
    <w:p w:rsidR="00AF5227" w:rsidRDefault="00AF5227" w:rsidP="00C07033">
      <w:pPr>
        <w:spacing w:line="240" w:lineRule="auto"/>
        <w:ind w:right="567"/>
        <w:rPr>
          <w:sz w:val="20"/>
          <w:szCs w:val="20"/>
        </w:rPr>
      </w:pPr>
      <w:r w:rsidRPr="00284190">
        <w:rPr>
          <w:sz w:val="20"/>
          <w:szCs w:val="20"/>
          <w:vertAlign w:val="superscript"/>
        </w:rPr>
        <w:footnoteRef/>
      </w:r>
      <w:r w:rsidRPr="00284190">
        <w:rPr>
          <w:sz w:val="20"/>
          <w:szCs w:val="20"/>
        </w:rPr>
        <w:t xml:space="preserve"> VISINGER, Radek. </w:t>
      </w:r>
      <w:r w:rsidRPr="00284190">
        <w:rPr>
          <w:i/>
          <w:sz w:val="20"/>
          <w:szCs w:val="20"/>
        </w:rPr>
        <w:t>Náhrada nemajetkové újmy v adhezním řízení</w:t>
      </w:r>
      <w:r w:rsidRPr="00284190">
        <w:rPr>
          <w:sz w:val="20"/>
          <w:szCs w:val="20"/>
        </w:rPr>
        <w:t>. Trestněprávní rev</w:t>
      </w:r>
      <w:r>
        <w:rPr>
          <w:sz w:val="20"/>
          <w:szCs w:val="20"/>
        </w:rPr>
        <w:t>ue, 2011, roč. 10, č. 3, s. 77.</w:t>
      </w:r>
    </w:p>
  </w:footnote>
  <w:footnote w:id="318">
    <w:p w:rsidR="00AF5227" w:rsidRPr="00D55337" w:rsidRDefault="00AF5227" w:rsidP="006A3693">
      <w:pPr>
        <w:pStyle w:val="Textpoznpodarou"/>
        <w:ind w:right="567"/>
        <w:rPr>
          <w:lang w:val="cs-CZ"/>
        </w:rPr>
      </w:pPr>
      <w:r>
        <w:rPr>
          <w:rStyle w:val="Znakapoznpodarou"/>
        </w:rPr>
        <w:footnoteRef/>
      </w:r>
      <w:r>
        <w:t xml:space="preserve"> </w:t>
      </w:r>
      <w:r>
        <w:rPr>
          <w:lang w:val="cs-CZ"/>
        </w:rPr>
        <w:t>Ustanovení § 89 odst. 4 zákona č. 250/2016 Sb., zákon o odpovědnosti za přestupky a řízení o nich, ve znění pozdějších předpisů</w:t>
      </w:r>
    </w:p>
  </w:footnote>
  <w:footnote w:id="319">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Zde záměrně používám pouze označení “osoba”, neboť označení “poškozený” zde není vhodné s ohledem na jeho jasný procesní význam.</w:t>
      </w:r>
    </w:p>
  </w:footnote>
  <w:footnote w:id="320">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w:t>
      </w:r>
      <w:r w:rsidRPr="00284190">
        <w:rPr>
          <w:rFonts w:eastAsia="Aptos"/>
          <w:sz w:val="20"/>
          <w:szCs w:val="20"/>
        </w:rPr>
        <w:t xml:space="preserve">PRÁŠKOVÁ, Helena. </w:t>
      </w:r>
      <w:r w:rsidRPr="00284190">
        <w:rPr>
          <w:rFonts w:eastAsia="Aptos"/>
          <w:i/>
          <w:sz w:val="20"/>
          <w:szCs w:val="20"/>
        </w:rPr>
        <w:t xml:space="preserve">Přestupkové právo. </w:t>
      </w:r>
      <w:r w:rsidRPr="00284190">
        <w:rPr>
          <w:rFonts w:eastAsia="Aptos"/>
          <w:sz w:val="20"/>
          <w:szCs w:val="20"/>
        </w:rPr>
        <w:t>2. vydání</w:t>
      </w:r>
      <w:r w:rsidRPr="00284190">
        <w:rPr>
          <w:rFonts w:eastAsia="Aptos"/>
          <w:i/>
          <w:sz w:val="20"/>
          <w:szCs w:val="20"/>
        </w:rPr>
        <w:t xml:space="preserve">. </w:t>
      </w:r>
      <w:r w:rsidRPr="00284190">
        <w:rPr>
          <w:rFonts w:eastAsia="Aptos"/>
          <w:sz w:val="20"/>
          <w:szCs w:val="20"/>
        </w:rPr>
        <w:t xml:space="preserve">Praha: Leges. 2022, s. </w:t>
      </w:r>
      <w:r w:rsidRPr="00284190">
        <w:rPr>
          <w:sz w:val="20"/>
          <w:szCs w:val="20"/>
        </w:rPr>
        <w:t>386.</w:t>
      </w:r>
    </w:p>
  </w:footnote>
  <w:footnote w:id="321">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Tamtéž.</w:t>
      </w:r>
    </w:p>
  </w:footnote>
  <w:footnote w:id="322">
    <w:p w:rsidR="00AF5227"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Tamtéž.</w:t>
      </w:r>
    </w:p>
  </w:footnote>
  <w:footnote w:id="323">
    <w:p w:rsidR="00AF5227" w:rsidRDefault="00AF5227" w:rsidP="006A3693">
      <w:pPr>
        <w:spacing w:line="240" w:lineRule="auto"/>
        <w:ind w:right="567"/>
        <w:rPr>
          <w:sz w:val="20"/>
          <w:szCs w:val="20"/>
        </w:rPr>
      </w:pPr>
      <w:r>
        <w:rPr>
          <w:vertAlign w:val="superscript"/>
        </w:rPr>
        <w:footnoteRef/>
      </w:r>
      <w:r>
        <w:rPr>
          <w:sz w:val="20"/>
          <w:szCs w:val="20"/>
        </w:rPr>
        <w:t xml:space="preserve">  MADLEŇÁKOVÁ, Lucia, MIČKALOVÁ, Lenka. </w:t>
      </w:r>
      <w:r>
        <w:rPr>
          <w:i/>
          <w:sz w:val="20"/>
          <w:szCs w:val="20"/>
        </w:rPr>
        <w:t>Tvrzený účastník - poškozený v řízení o přestupku</w:t>
      </w:r>
      <w:r>
        <w:rPr>
          <w:sz w:val="20"/>
          <w:szCs w:val="20"/>
        </w:rPr>
        <w:t>. Správní právo, 2016, roč. 49, č. 3, s. 459.</w:t>
      </w:r>
    </w:p>
  </w:footnote>
  <w:footnote w:id="324">
    <w:p w:rsidR="00AF5227" w:rsidRPr="00631789" w:rsidRDefault="00AF5227" w:rsidP="006A3693">
      <w:pPr>
        <w:spacing w:line="240" w:lineRule="auto"/>
        <w:ind w:right="567"/>
        <w:rPr>
          <w:sz w:val="20"/>
          <w:szCs w:val="20"/>
        </w:rPr>
      </w:pPr>
      <w:r w:rsidRPr="00631789">
        <w:rPr>
          <w:sz w:val="20"/>
          <w:szCs w:val="20"/>
          <w:vertAlign w:val="superscript"/>
        </w:rPr>
        <w:footnoteRef/>
      </w:r>
      <w:r w:rsidRPr="00631789">
        <w:rPr>
          <w:sz w:val="20"/>
          <w:szCs w:val="20"/>
        </w:rPr>
        <w:t xml:space="preserve"> Tamtéž, s 465.</w:t>
      </w:r>
    </w:p>
  </w:footnote>
  <w:footnote w:id="325">
    <w:p w:rsidR="00AF5227" w:rsidRPr="00631789" w:rsidRDefault="00AF5227" w:rsidP="006A3693">
      <w:pPr>
        <w:spacing w:line="240" w:lineRule="auto"/>
        <w:ind w:right="567"/>
        <w:rPr>
          <w:sz w:val="20"/>
          <w:szCs w:val="20"/>
        </w:rPr>
      </w:pPr>
      <w:r w:rsidRPr="00631789">
        <w:rPr>
          <w:sz w:val="20"/>
          <w:szCs w:val="20"/>
          <w:vertAlign w:val="superscript"/>
        </w:rPr>
        <w:footnoteRef/>
      </w:r>
      <w:r w:rsidRPr="00631789">
        <w:rPr>
          <w:sz w:val="20"/>
          <w:szCs w:val="20"/>
        </w:rPr>
        <w:t xml:space="preserve"> </w:t>
      </w:r>
      <w:r w:rsidRPr="00631789">
        <w:rPr>
          <w:rFonts w:eastAsia="Aptos"/>
          <w:sz w:val="20"/>
          <w:szCs w:val="20"/>
        </w:rPr>
        <w:t>PÚRY, František. In: ŠÁMAL, Pavel a kol.</w:t>
      </w:r>
      <w:r w:rsidRPr="00631789">
        <w:rPr>
          <w:rFonts w:eastAsia="Aptos"/>
          <w:i/>
          <w:sz w:val="20"/>
          <w:szCs w:val="20"/>
        </w:rPr>
        <w:t xml:space="preserve"> Trestní řád II. § 157 až 314s. Komentář.</w:t>
      </w:r>
      <w:r w:rsidRPr="00631789">
        <w:rPr>
          <w:rFonts w:eastAsia="Aptos"/>
          <w:sz w:val="20"/>
          <w:szCs w:val="20"/>
        </w:rPr>
        <w:t xml:space="preserve"> 7 vydání. Praha: C.H. Beck, 2013, </w:t>
      </w:r>
      <w:r w:rsidRPr="00631789">
        <w:rPr>
          <w:sz w:val="20"/>
          <w:szCs w:val="20"/>
        </w:rPr>
        <w:t>s. 2589.</w:t>
      </w:r>
    </w:p>
  </w:footnote>
  <w:footnote w:id="326">
    <w:p w:rsidR="00AF5227" w:rsidRPr="00631789" w:rsidRDefault="00AF5227" w:rsidP="006A3693">
      <w:pPr>
        <w:spacing w:line="240" w:lineRule="auto"/>
        <w:ind w:right="567"/>
        <w:rPr>
          <w:sz w:val="20"/>
          <w:szCs w:val="20"/>
        </w:rPr>
      </w:pPr>
      <w:r w:rsidRPr="00631789">
        <w:rPr>
          <w:sz w:val="20"/>
          <w:szCs w:val="20"/>
          <w:vertAlign w:val="superscript"/>
        </w:rPr>
        <w:footnoteRef/>
      </w:r>
      <w:r w:rsidRPr="00631789">
        <w:rPr>
          <w:sz w:val="20"/>
          <w:szCs w:val="20"/>
        </w:rPr>
        <w:t xml:space="preserve"> Ustanovení § 93 odst. 1 písm. h) zákona č. 250/2016 Sb., zákon o odpovědnosti za přestupky a řízení o nich”, ve znění pozdějších předpisů.</w:t>
      </w:r>
    </w:p>
  </w:footnote>
  <w:footnote w:id="327">
    <w:p w:rsidR="00AF5227" w:rsidRPr="00631789" w:rsidRDefault="00AF5227" w:rsidP="006A3693">
      <w:pPr>
        <w:spacing w:line="240" w:lineRule="auto"/>
        <w:ind w:right="567"/>
        <w:rPr>
          <w:sz w:val="20"/>
          <w:szCs w:val="20"/>
        </w:rPr>
      </w:pPr>
      <w:r w:rsidRPr="00631789">
        <w:rPr>
          <w:sz w:val="20"/>
          <w:szCs w:val="20"/>
          <w:vertAlign w:val="superscript"/>
        </w:rPr>
        <w:footnoteRef/>
      </w:r>
      <w:r w:rsidRPr="00631789">
        <w:rPr>
          <w:sz w:val="20"/>
          <w:szCs w:val="20"/>
        </w:rPr>
        <w:t xml:space="preserve"> Ustanovení § 90 odst. 2. Písm. b) zákona č. 250/2016 Sb., zákon o odpovědnosti za přestupky a řízení o nich”, ve znění pozdějších předpisů..</w:t>
      </w:r>
    </w:p>
  </w:footnote>
  <w:footnote w:id="328">
    <w:p w:rsidR="00AF5227" w:rsidRPr="00631789" w:rsidRDefault="00AF5227" w:rsidP="006A3693">
      <w:pPr>
        <w:spacing w:line="240" w:lineRule="auto"/>
        <w:ind w:right="567"/>
        <w:rPr>
          <w:sz w:val="20"/>
          <w:szCs w:val="20"/>
        </w:rPr>
      </w:pPr>
      <w:r w:rsidRPr="00631789">
        <w:rPr>
          <w:sz w:val="20"/>
          <w:szCs w:val="20"/>
          <w:vertAlign w:val="superscript"/>
        </w:rPr>
        <w:footnoteRef/>
      </w:r>
      <w:r w:rsidRPr="00631789">
        <w:rPr>
          <w:sz w:val="20"/>
          <w:szCs w:val="20"/>
        </w:rPr>
        <w:t xml:space="preserve"> </w:t>
      </w:r>
      <w:r w:rsidRPr="00631789">
        <w:rPr>
          <w:rFonts w:eastAsia="Aptos"/>
          <w:sz w:val="20"/>
          <w:szCs w:val="20"/>
        </w:rPr>
        <w:t xml:space="preserve">PRÁŠKOVÁ, Helena. </w:t>
      </w:r>
      <w:r w:rsidRPr="00631789">
        <w:rPr>
          <w:rFonts w:eastAsia="Aptos"/>
          <w:i/>
          <w:sz w:val="20"/>
          <w:szCs w:val="20"/>
        </w:rPr>
        <w:t xml:space="preserve">Přestupkové právo. </w:t>
      </w:r>
      <w:r w:rsidRPr="00631789">
        <w:rPr>
          <w:rFonts w:eastAsia="Aptos"/>
          <w:sz w:val="20"/>
          <w:szCs w:val="20"/>
        </w:rPr>
        <w:t>2. vydání</w:t>
      </w:r>
      <w:r w:rsidRPr="00631789">
        <w:rPr>
          <w:rFonts w:eastAsia="Aptos"/>
          <w:i/>
          <w:sz w:val="20"/>
          <w:szCs w:val="20"/>
        </w:rPr>
        <w:t xml:space="preserve">. </w:t>
      </w:r>
      <w:r w:rsidRPr="00631789">
        <w:rPr>
          <w:rFonts w:eastAsia="Aptos"/>
          <w:sz w:val="20"/>
          <w:szCs w:val="20"/>
        </w:rPr>
        <w:t xml:space="preserve">Praha: Leges, 2022, s. </w:t>
      </w:r>
      <w:r w:rsidRPr="00631789">
        <w:rPr>
          <w:sz w:val="20"/>
          <w:szCs w:val="20"/>
        </w:rPr>
        <w:t>486.</w:t>
      </w:r>
    </w:p>
  </w:footnote>
  <w:footnote w:id="329">
    <w:p w:rsidR="00AF5227" w:rsidRDefault="00AF5227" w:rsidP="006A3693">
      <w:pPr>
        <w:spacing w:line="240" w:lineRule="auto"/>
        <w:ind w:right="567"/>
        <w:rPr>
          <w:sz w:val="20"/>
          <w:szCs w:val="20"/>
        </w:rPr>
      </w:pPr>
      <w:r w:rsidRPr="00631789">
        <w:rPr>
          <w:sz w:val="20"/>
          <w:szCs w:val="20"/>
          <w:vertAlign w:val="superscript"/>
        </w:rPr>
        <w:footnoteRef/>
      </w:r>
      <w:r w:rsidRPr="00631789">
        <w:rPr>
          <w:sz w:val="20"/>
          <w:szCs w:val="20"/>
        </w:rPr>
        <w:t xml:space="preserve"> Tamtéž s. 464.</w:t>
      </w:r>
    </w:p>
  </w:footnote>
  <w:footnote w:id="330">
    <w:p w:rsidR="00AF5227" w:rsidRPr="00284190" w:rsidRDefault="00AF5227" w:rsidP="006A3693">
      <w:pPr>
        <w:spacing w:line="240" w:lineRule="auto"/>
        <w:ind w:right="567"/>
        <w:rPr>
          <w:i/>
          <w:sz w:val="20"/>
          <w:szCs w:val="20"/>
        </w:rPr>
      </w:pPr>
      <w:r w:rsidRPr="00284190">
        <w:rPr>
          <w:sz w:val="20"/>
          <w:szCs w:val="20"/>
          <w:vertAlign w:val="superscript"/>
        </w:rPr>
        <w:footnoteRef/>
      </w:r>
      <w:r w:rsidRPr="00284190">
        <w:rPr>
          <w:sz w:val="20"/>
          <w:szCs w:val="20"/>
        </w:rPr>
        <w:t xml:space="preserve"> Článek 6, </w:t>
      </w:r>
      <w:r w:rsidRPr="00284190">
        <w:rPr>
          <w:rFonts w:eastAsia="Times New Roman"/>
          <w:sz w:val="20"/>
          <w:szCs w:val="20"/>
        </w:rPr>
        <w:t>Sdělení č. 209/1992 Sb., Sdělení federálního ministerstva zahraničních věcí o sjednání Úmluvy o ochraně lidských práv a základních svobod a Protokolů na tuto Úmluvu navazujících,</w:t>
      </w:r>
    </w:p>
    <w:p w:rsidR="00AF5227" w:rsidRPr="00284190" w:rsidRDefault="00AF5227" w:rsidP="006A3693">
      <w:pPr>
        <w:spacing w:line="240" w:lineRule="auto"/>
        <w:ind w:right="567"/>
        <w:rPr>
          <w:sz w:val="20"/>
          <w:szCs w:val="20"/>
        </w:rPr>
      </w:pPr>
      <w:r w:rsidRPr="00284190">
        <w:rPr>
          <w:sz w:val="20"/>
          <w:szCs w:val="20"/>
        </w:rPr>
        <w:t xml:space="preserve"> Úmluvy o lidských právech, čl. 40 odst. 2 zákona č. 2/1993 Sb, Listina základních práv a svobod, , </w:t>
      </w:r>
    </w:p>
  </w:footnote>
  <w:footnote w:id="331">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JEMELKA, Luboš in J</w:t>
      </w:r>
      <w:r w:rsidRPr="00284190">
        <w:rPr>
          <w:rFonts w:eastAsia="Aptos"/>
          <w:sz w:val="20"/>
          <w:szCs w:val="20"/>
        </w:rPr>
        <w:t xml:space="preserve">EMELKA, Luboš, VETEŠNÍK, Pavel. </w:t>
      </w:r>
      <w:r w:rsidRPr="00284190">
        <w:rPr>
          <w:rFonts w:eastAsia="Aptos"/>
          <w:i/>
          <w:sz w:val="20"/>
          <w:szCs w:val="20"/>
        </w:rPr>
        <w:t>Zákon o odpovědnosti za přestupky a řízení o nich</w:t>
      </w:r>
      <w:r w:rsidRPr="00284190">
        <w:rPr>
          <w:rFonts w:eastAsia="Aptos"/>
          <w:sz w:val="20"/>
          <w:szCs w:val="20"/>
        </w:rPr>
        <w:t xml:space="preserve">. </w:t>
      </w:r>
      <w:r w:rsidRPr="00284190">
        <w:rPr>
          <w:rFonts w:eastAsia="Aptos"/>
          <w:i/>
          <w:sz w:val="20"/>
          <w:szCs w:val="20"/>
        </w:rPr>
        <w:t>Zákon o některých přestupcích. Komentář</w:t>
      </w:r>
      <w:r w:rsidRPr="00284190">
        <w:rPr>
          <w:rFonts w:eastAsia="Aptos"/>
          <w:sz w:val="20"/>
          <w:szCs w:val="20"/>
        </w:rPr>
        <w:t>. 2. vydání. Praha: C.H. Beck, 2020, s.</w:t>
      </w:r>
      <w:r w:rsidRPr="00284190">
        <w:rPr>
          <w:sz w:val="20"/>
          <w:szCs w:val="20"/>
        </w:rPr>
        <w:t xml:space="preserve"> 728.</w:t>
      </w:r>
    </w:p>
  </w:footnote>
  <w:footnote w:id="332">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w:t>
      </w:r>
      <w:r w:rsidRPr="00284190">
        <w:rPr>
          <w:rFonts w:eastAsia="Aptos"/>
          <w:sz w:val="20"/>
          <w:szCs w:val="20"/>
        </w:rPr>
        <w:t xml:space="preserve">KUČEROVÁ, Helena, HORZINKOVÁ, Eva. </w:t>
      </w:r>
      <w:r w:rsidRPr="00284190">
        <w:rPr>
          <w:rFonts w:eastAsia="Aptos"/>
          <w:i/>
          <w:sz w:val="20"/>
          <w:szCs w:val="20"/>
        </w:rPr>
        <w:t xml:space="preserve">Zákon o odpovědnosti za přestupky a řízení o nich a zákon o některých přestupcích s komentářem a judikaturou. </w:t>
      </w:r>
      <w:r w:rsidRPr="00284190">
        <w:rPr>
          <w:rFonts w:eastAsia="Aptos"/>
          <w:sz w:val="20"/>
          <w:szCs w:val="20"/>
        </w:rPr>
        <w:t>2. vydání</w:t>
      </w:r>
      <w:r w:rsidRPr="00284190">
        <w:rPr>
          <w:rFonts w:eastAsia="Aptos"/>
          <w:i/>
          <w:sz w:val="20"/>
          <w:szCs w:val="20"/>
        </w:rPr>
        <w:t xml:space="preserve">. </w:t>
      </w:r>
      <w:r w:rsidRPr="00284190">
        <w:rPr>
          <w:rFonts w:eastAsia="Aptos"/>
          <w:sz w:val="20"/>
          <w:szCs w:val="20"/>
        </w:rPr>
        <w:t>Praha: Leges, 2019,</w:t>
      </w:r>
      <w:r w:rsidRPr="00284190">
        <w:rPr>
          <w:rFonts w:eastAsia="Aptos"/>
          <w:i/>
          <w:sz w:val="20"/>
          <w:szCs w:val="20"/>
        </w:rPr>
        <w:t xml:space="preserve"> </w:t>
      </w:r>
      <w:r w:rsidRPr="00284190">
        <w:rPr>
          <w:rFonts w:eastAsia="Aptos"/>
          <w:sz w:val="20"/>
          <w:szCs w:val="20"/>
        </w:rPr>
        <w:t>s</w:t>
      </w:r>
      <w:r w:rsidRPr="00284190">
        <w:rPr>
          <w:rFonts w:eastAsia="Aptos"/>
          <w:i/>
          <w:sz w:val="20"/>
          <w:szCs w:val="20"/>
        </w:rPr>
        <w:t>.</w:t>
      </w:r>
      <w:r w:rsidRPr="00284190">
        <w:rPr>
          <w:sz w:val="20"/>
          <w:szCs w:val="20"/>
        </w:rPr>
        <w:t xml:space="preserve"> 607-608.</w:t>
      </w:r>
    </w:p>
  </w:footnote>
  <w:footnote w:id="333">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Ustanovení § 89 odst. 4 zákona č. 250/2016 Sb., zákon o odpovědnosti za přestupky a řízení o nich, ve znění pozdějších předpisů.</w:t>
      </w:r>
    </w:p>
  </w:footnote>
  <w:footnote w:id="334">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BOHADLO, David In BOHADLO, David a kol. </w:t>
      </w:r>
      <w:r w:rsidRPr="00284190">
        <w:rPr>
          <w:i/>
          <w:sz w:val="20"/>
          <w:szCs w:val="20"/>
        </w:rPr>
        <w:t>Zákon o odpovědnosti za přestupky a řízení o nich. Komentář.</w:t>
      </w:r>
      <w:r w:rsidRPr="00284190">
        <w:rPr>
          <w:sz w:val="20"/>
          <w:szCs w:val="20"/>
        </w:rPr>
        <w:t xml:space="preserve"> Praha: Wolters Kluwer, 2018, s. 518</w:t>
      </w:r>
    </w:p>
  </w:footnote>
  <w:footnote w:id="335">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Tamtéž, s. 515</w:t>
      </w:r>
    </w:p>
  </w:footnote>
  <w:footnote w:id="336">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MADLEŇÁKOVÁ, Lucia, MIČKALOVÁ, Lenka. </w:t>
      </w:r>
      <w:r w:rsidRPr="00284190">
        <w:rPr>
          <w:i/>
          <w:sz w:val="20"/>
          <w:szCs w:val="20"/>
        </w:rPr>
        <w:t>Tvrzený účastník - poškozený v řízení o přestupku</w:t>
      </w:r>
      <w:r w:rsidRPr="00284190">
        <w:rPr>
          <w:sz w:val="20"/>
          <w:szCs w:val="20"/>
        </w:rPr>
        <w:t>. Správní právo, 2016, roč. 49, č.3, s. 463</w:t>
      </w:r>
    </w:p>
  </w:footnote>
  <w:footnote w:id="337">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BOHADLO, David. In: BOHADLO, David a kol. </w:t>
      </w:r>
      <w:r w:rsidRPr="00284190">
        <w:rPr>
          <w:i/>
          <w:sz w:val="20"/>
          <w:szCs w:val="20"/>
        </w:rPr>
        <w:t>Zákon o odpovědnosti za přestupky a řízení o nich. Komentář.</w:t>
      </w:r>
      <w:r w:rsidRPr="00284190">
        <w:rPr>
          <w:sz w:val="20"/>
          <w:szCs w:val="20"/>
        </w:rPr>
        <w:t xml:space="preserve"> Praha: Wolters Kluwer, 2018, s. 515</w:t>
      </w:r>
    </w:p>
  </w:footnote>
  <w:footnote w:id="338">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Ustanovení § 89 odst. 2 věta první, zákon o odpovědnosti za přestupky a řízení o nich, ve znění pozdějších předpisů.</w:t>
      </w:r>
    </w:p>
  </w:footnote>
  <w:footnote w:id="339">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BOHADLO, David. In: BOHADLO, David Jan a kol. </w:t>
      </w:r>
      <w:r w:rsidRPr="00284190">
        <w:rPr>
          <w:i/>
          <w:sz w:val="20"/>
          <w:szCs w:val="20"/>
        </w:rPr>
        <w:t>Zákon o odpovědnosti za přestupky a řízení o nich. Komentář.</w:t>
      </w:r>
      <w:r w:rsidRPr="00284190">
        <w:rPr>
          <w:sz w:val="20"/>
          <w:szCs w:val="20"/>
        </w:rPr>
        <w:t xml:space="preserve"> Praha: Wolters Kluwer, 2018, s. 515.</w:t>
      </w:r>
    </w:p>
  </w:footnote>
  <w:footnote w:id="340">
    <w:p w:rsidR="00AF5227"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Tamtéž</w:t>
      </w:r>
    </w:p>
  </w:footnote>
  <w:footnote w:id="341">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Nález Ústavního soudu ze dne 4.6. 2024, sp. Zn. IV. 405/24.</w:t>
      </w:r>
    </w:p>
  </w:footnote>
  <w:footnote w:id="342">
    <w:p w:rsidR="00AF5227" w:rsidRDefault="00AF5227" w:rsidP="006A3693">
      <w:pPr>
        <w:ind w:right="567"/>
      </w:pPr>
      <w:r w:rsidRPr="00284190">
        <w:rPr>
          <w:sz w:val="20"/>
          <w:szCs w:val="20"/>
          <w:vertAlign w:val="superscript"/>
        </w:rPr>
        <w:footnoteRef/>
      </w:r>
      <w:r w:rsidRPr="00284190">
        <w:rPr>
          <w:sz w:val="20"/>
          <w:szCs w:val="20"/>
        </w:rPr>
        <w:t xml:space="preserve"> Nález Ústavního soudu ze dne 20. 3. 2024, sp. zn. IV.ÚS 2637/23, podobně také </w:t>
      </w:r>
      <w:r w:rsidRPr="00284190">
        <w:rPr>
          <w:sz w:val="20"/>
          <w:szCs w:val="20"/>
          <w:highlight w:val="white"/>
        </w:rPr>
        <w:t xml:space="preserve">dále také Nález ÚS ze dne 4 6. 2024, sp. Zn. IV. ÚS 405/24: </w:t>
      </w:r>
      <w:r w:rsidRPr="00284190">
        <w:rPr>
          <w:i/>
          <w:sz w:val="20"/>
          <w:szCs w:val="20"/>
          <w:highlight w:val="white"/>
        </w:rPr>
        <w:t>“Je porušením práva na soudní ochranu podle čl. 36 odst. 1 Listiny základních práv a svobod, odkáže-li trestní soud poškozeného s nárokem na náhradu škody na řízení ve věcech občanskoprávních, byť ke stanovení výše náhrady škody není třeba provádět další dokazování, jež by podstatně protáhlo trestní řízení.”</w:t>
      </w:r>
    </w:p>
  </w:footnote>
  <w:footnote w:id="343">
    <w:p w:rsidR="00AF5227" w:rsidRPr="00284190" w:rsidRDefault="00AF5227" w:rsidP="006A3693">
      <w:pPr>
        <w:spacing w:line="240" w:lineRule="auto"/>
        <w:ind w:right="567"/>
        <w:rPr>
          <w:b/>
          <w:sz w:val="20"/>
          <w:szCs w:val="20"/>
        </w:rPr>
      </w:pPr>
      <w:r w:rsidRPr="00284190">
        <w:rPr>
          <w:sz w:val="20"/>
          <w:szCs w:val="20"/>
          <w:vertAlign w:val="superscript"/>
        </w:rPr>
        <w:footnoteRef/>
      </w:r>
      <w:r w:rsidRPr="00284190">
        <w:rPr>
          <w:sz w:val="20"/>
          <w:szCs w:val="20"/>
        </w:rPr>
        <w:t xml:space="preserve"> </w:t>
      </w:r>
      <w:r w:rsidRPr="00284190">
        <w:rPr>
          <w:rFonts w:eastAsia="Aptos"/>
          <w:sz w:val="20"/>
          <w:szCs w:val="20"/>
        </w:rPr>
        <w:t xml:space="preserve"> PRÁŠKOVÁ, Helena. </w:t>
      </w:r>
      <w:r w:rsidRPr="00284190">
        <w:rPr>
          <w:rFonts w:eastAsia="Aptos"/>
          <w:i/>
          <w:sz w:val="20"/>
          <w:szCs w:val="20"/>
        </w:rPr>
        <w:t xml:space="preserve">Přestupkové právo. </w:t>
      </w:r>
      <w:r w:rsidRPr="00284190">
        <w:rPr>
          <w:rFonts w:eastAsia="Aptos"/>
          <w:sz w:val="20"/>
          <w:szCs w:val="20"/>
        </w:rPr>
        <w:t>2. vydání</w:t>
      </w:r>
      <w:r w:rsidRPr="00284190">
        <w:rPr>
          <w:rFonts w:eastAsia="Aptos"/>
          <w:i/>
          <w:sz w:val="20"/>
          <w:szCs w:val="20"/>
        </w:rPr>
        <w:t xml:space="preserve">. </w:t>
      </w:r>
      <w:r w:rsidRPr="00284190">
        <w:rPr>
          <w:rFonts w:eastAsia="Aptos"/>
          <w:sz w:val="20"/>
          <w:szCs w:val="20"/>
        </w:rPr>
        <w:t>Praha: Leges, 2022, s.</w:t>
      </w:r>
      <w:r w:rsidRPr="00284190">
        <w:rPr>
          <w:sz w:val="20"/>
          <w:szCs w:val="20"/>
        </w:rPr>
        <w:t xml:space="preserve"> 468.</w:t>
      </w:r>
    </w:p>
  </w:footnote>
  <w:footnote w:id="344">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Tamtéž.</w:t>
      </w:r>
    </w:p>
  </w:footnote>
  <w:footnote w:id="345">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Ustanovení § 89 odst. 3, zákon o odpovědnosti za přestupky a řízení o nich, ve znění pozdějších předpisů.</w:t>
      </w:r>
    </w:p>
  </w:footnote>
  <w:footnote w:id="346">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BOHADLO, David. In: BOHADLO, David a kol. </w:t>
      </w:r>
      <w:r w:rsidRPr="00284190">
        <w:rPr>
          <w:i/>
          <w:sz w:val="20"/>
          <w:szCs w:val="20"/>
        </w:rPr>
        <w:t>Zákon o odpovědnosti za přestupky a řízení o nich. Komentář.</w:t>
      </w:r>
      <w:r w:rsidRPr="00284190">
        <w:rPr>
          <w:sz w:val="20"/>
          <w:szCs w:val="20"/>
        </w:rPr>
        <w:t xml:space="preserve"> Praha: Wolters Kluwer, 2018, s. 517.</w:t>
      </w:r>
    </w:p>
  </w:footnote>
  <w:footnote w:id="347">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w:t>
      </w:r>
      <w:r w:rsidRPr="00284190">
        <w:rPr>
          <w:rFonts w:eastAsia="Aptos"/>
          <w:sz w:val="20"/>
          <w:szCs w:val="20"/>
        </w:rPr>
        <w:t>PÚRY, František. In: ŠÁMAL, Pavel a kol.</w:t>
      </w:r>
      <w:r w:rsidRPr="00284190">
        <w:rPr>
          <w:rFonts w:eastAsia="Aptos"/>
          <w:i/>
          <w:sz w:val="20"/>
          <w:szCs w:val="20"/>
        </w:rPr>
        <w:t xml:space="preserve"> Trestní řád I. § 1 až 156. Komentář.</w:t>
      </w:r>
      <w:r w:rsidRPr="00284190">
        <w:rPr>
          <w:rFonts w:eastAsia="Aptos"/>
          <w:sz w:val="20"/>
          <w:szCs w:val="20"/>
        </w:rPr>
        <w:t xml:space="preserve"> 7 vydání. Praha: C.H. Beck, 2013, s.</w:t>
      </w:r>
      <w:r w:rsidRPr="00284190">
        <w:rPr>
          <w:sz w:val="20"/>
          <w:szCs w:val="20"/>
        </w:rPr>
        <w:t xml:space="preserve"> 2891.</w:t>
      </w:r>
    </w:p>
  </w:footnote>
  <w:footnote w:id="348">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Ustanovení § 89 odst. 2 věta druhá zákona č. 250/2016 Sb., zákon o odpovědnosti za přestupky a řízení o nich, ve znění pozdějších předpisů.</w:t>
      </w:r>
    </w:p>
  </w:footnote>
  <w:footnote w:id="349">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BOHADLO, David. In: BOHADLO, David a kol. </w:t>
      </w:r>
      <w:r w:rsidRPr="00284190">
        <w:rPr>
          <w:i/>
          <w:sz w:val="20"/>
          <w:szCs w:val="20"/>
        </w:rPr>
        <w:t>Zákon o odpovědnosti za přestupky a řízení o nich. Komentář.</w:t>
      </w:r>
      <w:r w:rsidRPr="00284190">
        <w:rPr>
          <w:sz w:val="20"/>
          <w:szCs w:val="20"/>
        </w:rPr>
        <w:t xml:space="preserve"> Praha: Wolters Kluwer, 2018, s. 515.</w:t>
      </w:r>
    </w:p>
  </w:footnote>
  <w:footnote w:id="350">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Ustanovení § 229 odst. 3 zákona č. 161/1961 Sb., zákon o trestním řízení soudním, ve znění pozdějších předpisů. </w:t>
      </w:r>
    </w:p>
  </w:footnote>
  <w:footnote w:id="351">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w:t>
      </w:r>
      <w:r w:rsidRPr="00284190">
        <w:rPr>
          <w:rFonts w:eastAsia="Aptos"/>
          <w:sz w:val="20"/>
          <w:szCs w:val="20"/>
        </w:rPr>
        <w:t xml:space="preserve">PRÁŠKOVÁ, Helena. </w:t>
      </w:r>
      <w:r w:rsidRPr="00284190">
        <w:rPr>
          <w:rFonts w:eastAsia="Aptos"/>
          <w:i/>
          <w:sz w:val="20"/>
          <w:szCs w:val="20"/>
        </w:rPr>
        <w:t xml:space="preserve">Přestupkové právo. </w:t>
      </w:r>
      <w:r w:rsidRPr="00284190">
        <w:rPr>
          <w:rFonts w:eastAsia="Aptos"/>
          <w:sz w:val="20"/>
          <w:szCs w:val="20"/>
        </w:rPr>
        <w:t>2. vydání</w:t>
      </w:r>
      <w:r w:rsidRPr="00284190">
        <w:rPr>
          <w:rFonts w:eastAsia="Aptos"/>
          <w:i/>
          <w:sz w:val="20"/>
          <w:szCs w:val="20"/>
        </w:rPr>
        <w:t xml:space="preserve">. </w:t>
      </w:r>
      <w:r w:rsidRPr="00284190">
        <w:rPr>
          <w:rFonts w:eastAsia="Aptos"/>
          <w:sz w:val="20"/>
          <w:szCs w:val="20"/>
        </w:rPr>
        <w:t>Praha: Leges, 2022, s.</w:t>
      </w:r>
      <w:r w:rsidRPr="00284190">
        <w:rPr>
          <w:sz w:val="20"/>
          <w:szCs w:val="20"/>
        </w:rPr>
        <w:t xml:space="preserve"> 487-488.</w:t>
      </w:r>
    </w:p>
  </w:footnote>
  <w:footnote w:id="352">
    <w:p w:rsidR="00AF5227"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Rozsudek Nejvyššího správního soudu ze dne 23. 11. 2011, sp. zn. 2 As 83/2010 - 84.</w:t>
      </w:r>
    </w:p>
  </w:footnote>
  <w:footnote w:id="353">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POTMĚŠIL, Jan. </w:t>
      </w:r>
      <w:r w:rsidRPr="00284190">
        <w:rPr>
          <w:i/>
          <w:sz w:val="20"/>
          <w:szCs w:val="20"/>
        </w:rPr>
        <w:t xml:space="preserve">Sporné přestupkové judikáty NSS IV, </w:t>
      </w:r>
      <w:r w:rsidRPr="00284190">
        <w:rPr>
          <w:sz w:val="20"/>
          <w:szCs w:val="20"/>
        </w:rPr>
        <w:t xml:space="preserve">[online]. jinepravo.blogspot.com. 24 srpna 2011, [citováno 25. listopadu. 2024] Dostupné z: </w:t>
      </w:r>
      <w:hyperlink r:id="rId11">
        <w:r w:rsidRPr="00284190">
          <w:rPr>
            <w:sz w:val="20"/>
            <w:szCs w:val="20"/>
          </w:rPr>
          <w:t>https://jinepravo.blogspot.com/2011/08/jan-potmesil-sporne-prestupkove.html</w:t>
        </w:r>
      </w:hyperlink>
      <w:r w:rsidRPr="00284190">
        <w:rPr>
          <w:rFonts w:eastAsia="Trebuchet MS"/>
          <w:sz w:val="20"/>
          <w:szCs w:val="20"/>
        </w:rPr>
        <w:t xml:space="preserve">. </w:t>
      </w:r>
    </w:p>
  </w:footnote>
  <w:footnote w:id="354">
    <w:p w:rsidR="00AF5227" w:rsidRPr="00284190"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Ustanovení § 95 odst. 2 zákona č. 250/2016 Sb., zákon o odpovědnosti za přestupky a řízení o nich, ve znění pozdějších předpisů.</w:t>
      </w:r>
    </w:p>
  </w:footnote>
  <w:footnote w:id="355">
    <w:p w:rsidR="00AF5227" w:rsidRDefault="00AF5227" w:rsidP="006A3693">
      <w:pPr>
        <w:spacing w:line="240" w:lineRule="auto"/>
        <w:ind w:right="567"/>
        <w:rPr>
          <w:sz w:val="20"/>
          <w:szCs w:val="20"/>
        </w:rPr>
      </w:pPr>
      <w:r w:rsidRPr="00284190">
        <w:rPr>
          <w:sz w:val="20"/>
          <w:szCs w:val="20"/>
          <w:vertAlign w:val="superscript"/>
        </w:rPr>
        <w:footnoteRef/>
      </w:r>
      <w:r w:rsidRPr="00284190">
        <w:rPr>
          <w:sz w:val="20"/>
          <w:szCs w:val="20"/>
        </w:rPr>
        <w:t xml:space="preserve"> JELÍNEK, Jiří, ŘÍHA, Jiří. </w:t>
      </w:r>
      <w:r w:rsidRPr="00284190">
        <w:rPr>
          <w:i/>
          <w:sz w:val="20"/>
          <w:szCs w:val="20"/>
        </w:rPr>
        <w:t>Rozhodnutí ve věcech trestních se vzory rozhodnutí soudů a podání advokátů</w:t>
      </w:r>
      <w:r w:rsidRPr="00284190">
        <w:rPr>
          <w:sz w:val="20"/>
          <w:szCs w:val="20"/>
        </w:rPr>
        <w:t>. 5. vydání, P</w:t>
      </w:r>
      <w:r>
        <w:rPr>
          <w:sz w:val="20"/>
          <w:szCs w:val="20"/>
        </w:rPr>
        <w:t>raha</w:t>
      </w:r>
      <w:r w:rsidRPr="00284190">
        <w:rPr>
          <w:sz w:val="20"/>
          <w:szCs w:val="20"/>
        </w:rPr>
        <w:t>: Leges, 2023, s. 386-389.</w:t>
      </w:r>
    </w:p>
  </w:footnote>
  <w:footnote w:id="356">
    <w:p w:rsidR="00AF5227" w:rsidRDefault="00AF5227" w:rsidP="006A3693">
      <w:pPr>
        <w:spacing w:line="240" w:lineRule="auto"/>
        <w:ind w:right="567"/>
        <w:rPr>
          <w:sz w:val="20"/>
          <w:szCs w:val="20"/>
        </w:rPr>
      </w:pPr>
      <w:r>
        <w:rPr>
          <w:vertAlign w:val="superscript"/>
        </w:rPr>
        <w:footnoteRef/>
      </w:r>
      <w:r>
        <w:rPr>
          <w:sz w:val="20"/>
          <w:szCs w:val="20"/>
        </w:rPr>
        <w:t xml:space="preserve"> BOHADLO, David. In: BOHADLO, David a kol. </w:t>
      </w:r>
      <w:r>
        <w:rPr>
          <w:i/>
          <w:sz w:val="20"/>
          <w:szCs w:val="20"/>
        </w:rPr>
        <w:t>Zákon o odpovědnosti za přestupky a řízení o nich. Komentář.</w:t>
      </w:r>
      <w:r>
        <w:rPr>
          <w:sz w:val="20"/>
          <w:szCs w:val="20"/>
        </w:rPr>
        <w:t xml:space="preserve"> Praha: Wolters Kluwer, 2018, s. 516; ohledně trestního řízení </w:t>
      </w:r>
      <w:r>
        <w:rPr>
          <w:rFonts w:ascii="Aptos" w:eastAsia="Aptos" w:hAnsi="Aptos" w:cs="Aptos"/>
          <w:sz w:val="20"/>
          <w:szCs w:val="20"/>
        </w:rPr>
        <w:t>ŠÁMAL, Pavel</w:t>
      </w:r>
      <w:r w:rsidR="002F0B6C">
        <w:rPr>
          <w:rFonts w:ascii="Aptos" w:eastAsia="Aptos" w:hAnsi="Aptos" w:cs="Aptos"/>
          <w:sz w:val="20"/>
          <w:szCs w:val="20"/>
        </w:rPr>
        <w:t>. In</w:t>
      </w:r>
      <w:r>
        <w:rPr>
          <w:rFonts w:ascii="Aptos" w:eastAsia="Aptos" w:hAnsi="Aptos" w:cs="Aptos"/>
          <w:sz w:val="20"/>
          <w:szCs w:val="20"/>
        </w:rPr>
        <w:t>: ŠÁMAL, Pavel a kol.</w:t>
      </w:r>
      <w:r>
        <w:rPr>
          <w:rFonts w:ascii="Aptos" w:eastAsia="Aptos" w:hAnsi="Aptos" w:cs="Aptos"/>
          <w:i/>
          <w:sz w:val="20"/>
          <w:szCs w:val="20"/>
        </w:rPr>
        <w:t xml:space="preserve"> Trestní řád I. § 1 až 156. Komentář.</w:t>
      </w:r>
      <w:r>
        <w:rPr>
          <w:rFonts w:ascii="Aptos" w:eastAsia="Aptos" w:hAnsi="Aptos" w:cs="Aptos"/>
          <w:sz w:val="20"/>
          <w:szCs w:val="20"/>
        </w:rPr>
        <w:t xml:space="preserve"> 7 vydání. Praha: C.H. Beck, 2013 s. 544.</w:t>
      </w:r>
    </w:p>
  </w:footnote>
  <w:footnote w:id="357">
    <w:p w:rsidR="00AF5227" w:rsidRDefault="00AF5227" w:rsidP="006A3693">
      <w:pPr>
        <w:spacing w:line="240" w:lineRule="auto"/>
        <w:ind w:right="567"/>
        <w:rPr>
          <w:sz w:val="20"/>
          <w:szCs w:val="20"/>
        </w:rPr>
      </w:pPr>
      <w:r>
        <w:rPr>
          <w:vertAlign w:val="superscript"/>
        </w:rPr>
        <w:footnoteRef/>
      </w:r>
      <w:r>
        <w:rPr>
          <w:sz w:val="20"/>
          <w:szCs w:val="20"/>
        </w:rPr>
        <w:t xml:space="preserve"> Ustanovení § 70 odst. 3 zákona č. 200/1990 Sb.: </w:t>
      </w:r>
      <w:r>
        <w:rPr>
          <w:i/>
          <w:sz w:val="20"/>
          <w:szCs w:val="20"/>
        </w:rPr>
        <w:t xml:space="preserve">“Pokud poškozený zemře, správní orgán o náhradě škody nerozhodne.” </w:t>
      </w:r>
      <w:r>
        <w:rPr>
          <w:sz w:val="20"/>
          <w:szCs w:val="20"/>
        </w:rPr>
        <w:t xml:space="preserve">Je otázkou, zda se mínil zánik účastenství opravdu pouze fyzické osoby, nebo zda přicházela v úvahu stejně zamítavý postoj i v případě právnických osob. </w:t>
      </w:r>
    </w:p>
  </w:footnote>
  <w:footnote w:id="358">
    <w:p w:rsidR="00AF5227" w:rsidRDefault="00AF5227" w:rsidP="006A3693">
      <w:pPr>
        <w:spacing w:line="240" w:lineRule="auto"/>
        <w:ind w:right="567"/>
        <w:rPr>
          <w:sz w:val="20"/>
          <w:szCs w:val="20"/>
        </w:rPr>
      </w:pPr>
      <w:r>
        <w:rPr>
          <w:vertAlign w:val="superscript"/>
        </w:rPr>
        <w:footnoteRef/>
      </w:r>
      <w:r>
        <w:rPr>
          <w:sz w:val="20"/>
          <w:szCs w:val="20"/>
        </w:rPr>
        <w:t xml:space="preserve"> DURDÍK, Tomáš. In: DRAŠTÍK, Antonín a kol. </w:t>
      </w:r>
      <w:r>
        <w:rPr>
          <w:i/>
          <w:sz w:val="20"/>
          <w:szCs w:val="20"/>
        </w:rPr>
        <w:t>Trestní řád. Komentář. I. díl. § 1 až 179h.</w:t>
      </w:r>
      <w:r>
        <w:rPr>
          <w:sz w:val="20"/>
          <w:szCs w:val="20"/>
        </w:rPr>
        <w:t xml:space="preserve"> Praha: Wolters Kluwer, 2017, s. 385.</w:t>
      </w:r>
    </w:p>
  </w:footnote>
  <w:footnote w:id="359">
    <w:p w:rsidR="00AF5227" w:rsidRDefault="00AF5227" w:rsidP="006A3693">
      <w:pPr>
        <w:spacing w:line="240" w:lineRule="auto"/>
        <w:ind w:right="567"/>
        <w:rPr>
          <w:sz w:val="20"/>
          <w:szCs w:val="20"/>
        </w:rPr>
      </w:pPr>
      <w:r>
        <w:rPr>
          <w:vertAlign w:val="superscript"/>
        </w:rPr>
        <w:footnoteRef/>
      </w:r>
      <w:r>
        <w:rPr>
          <w:rFonts w:ascii="Aptos" w:eastAsia="Aptos" w:hAnsi="Aptos" w:cs="Aptos"/>
          <w:sz w:val="20"/>
          <w:szCs w:val="20"/>
        </w:rPr>
        <w:t xml:space="preserve"> PRÁŠKOVÁ, Helena. </w:t>
      </w:r>
      <w:r>
        <w:rPr>
          <w:rFonts w:ascii="Aptos" w:eastAsia="Aptos" w:hAnsi="Aptos" w:cs="Aptos"/>
          <w:i/>
          <w:sz w:val="20"/>
          <w:szCs w:val="20"/>
        </w:rPr>
        <w:t xml:space="preserve">Přestupkové právo. </w:t>
      </w:r>
      <w:r>
        <w:rPr>
          <w:rFonts w:ascii="Aptos" w:eastAsia="Aptos" w:hAnsi="Aptos" w:cs="Aptos"/>
          <w:sz w:val="20"/>
          <w:szCs w:val="20"/>
        </w:rPr>
        <w:t>2. vydání</w:t>
      </w:r>
      <w:r>
        <w:rPr>
          <w:rFonts w:ascii="Aptos" w:eastAsia="Aptos" w:hAnsi="Aptos" w:cs="Aptos"/>
          <w:i/>
          <w:sz w:val="20"/>
          <w:szCs w:val="20"/>
        </w:rPr>
        <w:t xml:space="preserve">. </w:t>
      </w:r>
      <w:r>
        <w:rPr>
          <w:rFonts w:ascii="Aptos" w:eastAsia="Aptos" w:hAnsi="Aptos" w:cs="Aptos"/>
          <w:sz w:val="20"/>
          <w:szCs w:val="20"/>
        </w:rPr>
        <w:t>Praha: Leges, 2022, s. 391.</w:t>
      </w:r>
    </w:p>
  </w:footnote>
  <w:footnote w:id="360">
    <w:p w:rsidR="00AF5227" w:rsidRDefault="00AF5227" w:rsidP="006A3693">
      <w:pPr>
        <w:spacing w:line="240" w:lineRule="auto"/>
        <w:ind w:right="567"/>
        <w:rPr>
          <w:sz w:val="20"/>
          <w:szCs w:val="20"/>
        </w:rPr>
      </w:pPr>
      <w:r>
        <w:rPr>
          <w:vertAlign w:val="superscript"/>
        </w:rPr>
        <w:footnoteRef/>
      </w:r>
      <w:r>
        <w:rPr>
          <w:sz w:val="20"/>
          <w:szCs w:val="20"/>
        </w:rPr>
        <w:t xml:space="preserve"> BOHADLO, David. In: BOHADLO, David a kol. </w:t>
      </w:r>
      <w:r>
        <w:rPr>
          <w:i/>
          <w:sz w:val="20"/>
          <w:szCs w:val="20"/>
        </w:rPr>
        <w:t>Zákon o odpovědnosti za přestupky a řízení o nich. Komentář.</w:t>
      </w:r>
      <w:r>
        <w:rPr>
          <w:sz w:val="20"/>
          <w:szCs w:val="20"/>
        </w:rPr>
        <w:t xml:space="preserve"> Praha: Wolters Kluwer, 2018, s. 516.</w:t>
      </w:r>
    </w:p>
  </w:footnote>
  <w:footnote w:id="361">
    <w:p w:rsidR="00AF5227" w:rsidRPr="004F6478" w:rsidRDefault="00AF5227" w:rsidP="006A3693">
      <w:pPr>
        <w:spacing w:line="240" w:lineRule="auto"/>
        <w:ind w:right="567"/>
        <w:rPr>
          <w:sz w:val="20"/>
          <w:szCs w:val="20"/>
        </w:rPr>
      </w:pPr>
      <w:r w:rsidRPr="004F6478">
        <w:rPr>
          <w:sz w:val="20"/>
          <w:szCs w:val="20"/>
          <w:vertAlign w:val="superscript"/>
        </w:rPr>
        <w:footnoteRef/>
      </w:r>
      <w:r w:rsidRPr="004F6478">
        <w:rPr>
          <w:sz w:val="20"/>
          <w:szCs w:val="20"/>
        </w:rPr>
        <w:t xml:space="preserve"> </w:t>
      </w:r>
      <w:r w:rsidRPr="004F6478">
        <w:rPr>
          <w:rFonts w:eastAsia="Aptos"/>
          <w:sz w:val="20"/>
          <w:szCs w:val="20"/>
        </w:rPr>
        <w:t xml:space="preserve">KUČEROVÁ, Helena, HORZINKOVÁ, Eva. </w:t>
      </w:r>
      <w:r w:rsidRPr="004F6478">
        <w:rPr>
          <w:rFonts w:eastAsia="Aptos"/>
          <w:i/>
          <w:sz w:val="20"/>
          <w:szCs w:val="20"/>
        </w:rPr>
        <w:t xml:space="preserve">Zákon o odpovědnosti za přestupky a řízení o nich a zákon o některých přestupcích s komentářem a judikaturou. </w:t>
      </w:r>
      <w:r w:rsidRPr="004F6478">
        <w:rPr>
          <w:rFonts w:eastAsia="Aptos"/>
          <w:sz w:val="20"/>
          <w:szCs w:val="20"/>
        </w:rPr>
        <w:t>2. vydání</w:t>
      </w:r>
      <w:r w:rsidRPr="004F6478">
        <w:rPr>
          <w:rFonts w:eastAsia="Aptos"/>
          <w:i/>
          <w:sz w:val="20"/>
          <w:szCs w:val="20"/>
        </w:rPr>
        <w:t xml:space="preserve">. </w:t>
      </w:r>
      <w:r w:rsidRPr="004F6478">
        <w:rPr>
          <w:rFonts w:eastAsia="Aptos"/>
          <w:sz w:val="20"/>
          <w:szCs w:val="20"/>
        </w:rPr>
        <w:t>Praha: Leges, 2019,</w:t>
      </w:r>
      <w:r w:rsidRPr="004F6478">
        <w:rPr>
          <w:rFonts w:eastAsia="Aptos"/>
          <w:i/>
          <w:sz w:val="20"/>
          <w:szCs w:val="20"/>
        </w:rPr>
        <w:t xml:space="preserve"> </w:t>
      </w:r>
      <w:r w:rsidRPr="004F6478">
        <w:rPr>
          <w:rFonts w:eastAsia="Aptos"/>
          <w:sz w:val="20"/>
          <w:szCs w:val="20"/>
        </w:rPr>
        <w:t>s</w:t>
      </w:r>
      <w:r w:rsidRPr="004F6478">
        <w:rPr>
          <w:rFonts w:eastAsia="Aptos"/>
          <w:i/>
          <w:sz w:val="20"/>
          <w:szCs w:val="20"/>
        </w:rPr>
        <w:t>.</w:t>
      </w:r>
      <w:r w:rsidRPr="004F6478">
        <w:rPr>
          <w:sz w:val="20"/>
          <w:szCs w:val="20"/>
        </w:rPr>
        <w:t xml:space="preserve"> 402</w:t>
      </w:r>
    </w:p>
  </w:footnote>
  <w:footnote w:id="362">
    <w:p w:rsidR="00AF5227" w:rsidRPr="004F6478" w:rsidRDefault="00AF5227" w:rsidP="006A3693">
      <w:pPr>
        <w:spacing w:line="240" w:lineRule="auto"/>
        <w:ind w:right="567"/>
        <w:rPr>
          <w:sz w:val="20"/>
          <w:szCs w:val="20"/>
        </w:rPr>
      </w:pPr>
      <w:r w:rsidRPr="004F6478">
        <w:rPr>
          <w:sz w:val="20"/>
          <w:szCs w:val="20"/>
          <w:vertAlign w:val="superscript"/>
        </w:rPr>
        <w:footnoteRef/>
      </w:r>
      <w:r w:rsidRPr="004F6478">
        <w:rPr>
          <w:sz w:val="20"/>
          <w:szCs w:val="20"/>
        </w:rPr>
        <w:t xml:space="preserve"> Uvedené nechť není vnímano jako kritika, je jasné, že v praktickém komentáři není prostor pro detailní rozbor jakéhokoli sporného prvku právní úpravy.</w:t>
      </w:r>
    </w:p>
  </w:footnote>
  <w:footnote w:id="363">
    <w:p w:rsidR="00AF5227" w:rsidRPr="004F6478" w:rsidRDefault="00AF5227" w:rsidP="006A3693">
      <w:pPr>
        <w:spacing w:line="240" w:lineRule="auto"/>
        <w:ind w:right="567"/>
        <w:rPr>
          <w:sz w:val="20"/>
          <w:szCs w:val="20"/>
        </w:rPr>
      </w:pPr>
      <w:r w:rsidRPr="004F6478">
        <w:rPr>
          <w:sz w:val="20"/>
          <w:szCs w:val="20"/>
          <w:vertAlign w:val="superscript"/>
        </w:rPr>
        <w:footnoteRef/>
      </w:r>
      <w:r w:rsidRPr="004F6478">
        <w:rPr>
          <w:sz w:val="20"/>
          <w:szCs w:val="20"/>
        </w:rPr>
        <w:t xml:space="preserve"> </w:t>
      </w:r>
      <w:r w:rsidRPr="004F6478">
        <w:rPr>
          <w:rFonts w:eastAsia="Aptos"/>
          <w:sz w:val="20"/>
          <w:szCs w:val="20"/>
        </w:rPr>
        <w:t xml:space="preserve">KUČEROVÁ, Helena, HORZINKOVÁ, Eva. </w:t>
      </w:r>
      <w:r w:rsidRPr="004F6478">
        <w:rPr>
          <w:rFonts w:eastAsia="Aptos"/>
          <w:i/>
          <w:sz w:val="20"/>
          <w:szCs w:val="20"/>
        </w:rPr>
        <w:t xml:space="preserve">Zákon o odpovědnosti za přestupky a řízení o nich a zákon o některých přestupcích s komentářem a judikaturou. </w:t>
      </w:r>
      <w:r w:rsidRPr="004F6478">
        <w:rPr>
          <w:rFonts w:eastAsia="Aptos"/>
          <w:sz w:val="20"/>
          <w:szCs w:val="20"/>
        </w:rPr>
        <w:t>2. vydání</w:t>
      </w:r>
      <w:r w:rsidRPr="004F6478">
        <w:rPr>
          <w:rFonts w:eastAsia="Aptos"/>
          <w:i/>
          <w:sz w:val="20"/>
          <w:szCs w:val="20"/>
        </w:rPr>
        <w:t xml:space="preserve">. </w:t>
      </w:r>
      <w:r w:rsidRPr="004F6478">
        <w:rPr>
          <w:rFonts w:eastAsia="Aptos"/>
          <w:sz w:val="20"/>
          <w:szCs w:val="20"/>
        </w:rPr>
        <w:t>Praha: Leges, 2019,</w:t>
      </w:r>
      <w:r w:rsidRPr="004F6478">
        <w:rPr>
          <w:rFonts w:eastAsia="Aptos"/>
          <w:i/>
          <w:sz w:val="20"/>
          <w:szCs w:val="20"/>
        </w:rPr>
        <w:t xml:space="preserve"> </w:t>
      </w:r>
      <w:r w:rsidRPr="004F6478">
        <w:rPr>
          <w:rFonts w:eastAsia="Aptos"/>
          <w:sz w:val="20"/>
          <w:szCs w:val="20"/>
        </w:rPr>
        <w:t>s</w:t>
      </w:r>
      <w:r w:rsidRPr="004F6478">
        <w:rPr>
          <w:rFonts w:eastAsia="Aptos"/>
          <w:i/>
          <w:sz w:val="20"/>
          <w:szCs w:val="20"/>
        </w:rPr>
        <w:t>.</w:t>
      </w:r>
      <w:r w:rsidRPr="004F6478">
        <w:rPr>
          <w:sz w:val="20"/>
          <w:szCs w:val="20"/>
        </w:rPr>
        <w:t xml:space="preserve"> 402.</w:t>
      </w:r>
    </w:p>
  </w:footnote>
  <w:footnote w:id="364">
    <w:p w:rsidR="00AF5227" w:rsidRPr="004F6478" w:rsidRDefault="00AF5227" w:rsidP="006A3693">
      <w:pPr>
        <w:spacing w:line="240" w:lineRule="auto"/>
        <w:ind w:right="567"/>
        <w:rPr>
          <w:sz w:val="20"/>
          <w:szCs w:val="20"/>
        </w:rPr>
      </w:pPr>
      <w:r w:rsidRPr="004F6478">
        <w:rPr>
          <w:sz w:val="20"/>
          <w:szCs w:val="20"/>
          <w:vertAlign w:val="superscript"/>
        </w:rPr>
        <w:footnoteRef/>
      </w:r>
      <w:r w:rsidRPr="004F6478">
        <w:rPr>
          <w:sz w:val="20"/>
          <w:szCs w:val="20"/>
        </w:rPr>
        <w:t xml:space="preserve"> Ustanovení § 45 odst. 3 zákona č. 141/1961 Sb., o trestním řízení soudním, ve znění pozdějších předpisů.</w:t>
      </w:r>
    </w:p>
  </w:footnote>
  <w:footnote w:id="365">
    <w:p w:rsidR="00AF5227" w:rsidRPr="004F6478" w:rsidRDefault="00AF5227" w:rsidP="006A3693">
      <w:pPr>
        <w:pStyle w:val="Textpoznpodarou"/>
        <w:ind w:right="567"/>
        <w:rPr>
          <w:lang w:val="cs-CZ"/>
        </w:rPr>
      </w:pPr>
      <w:r w:rsidRPr="004F6478">
        <w:rPr>
          <w:rStyle w:val="Znakapoznpodarou"/>
        </w:rPr>
        <w:footnoteRef/>
      </w:r>
      <w:r w:rsidRPr="004F6478">
        <w:t xml:space="preserve"> </w:t>
      </w:r>
      <w:r w:rsidRPr="004F6478">
        <w:rPr>
          <w:lang w:val="cs-CZ"/>
        </w:rPr>
        <w:t xml:space="preserve">Opět odkazuji na již citované pasáže o analogii a dotváření práva v MELZER Filip. </w:t>
      </w:r>
      <w:r w:rsidRPr="004F6478">
        <w:rPr>
          <w:i/>
          <w:lang w:val="cs-CZ"/>
        </w:rPr>
        <w:t xml:space="preserve">Metodologie nalézání práva. </w:t>
      </w:r>
      <w:r w:rsidRPr="004F6478">
        <w:rPr>
          <w:lang w:val="cs-CZ"/>
        </w:rPr>
        <w:t>2 vydání. PRAHA: C.H. Beck, s. 166, 168</w:t>
      </w:r>
    </w:p>
  </w:footnote>
  <w:footnote w:id="366">
    <w:p w:rsidR="00AF5227" w:rsidRDefault="00AF5227" w:rsidP="006A3693">
      <w:pPr>
        <w:spacing w:line="240" w:lineRule="auto"/>
        <w:ind w:right="567"/>
        <w:rPr>
          <w:sz w:val="20"/>
          <w:szCs w:val="20"/>
        </w:rPr>
      </w:pPr>
      <w:r w:rsidRPr="004F6478">
        <w:rPr>
          <w:sz w:val="20"/>
          <w:szCs w:val="20"/>
          <w:vertAlign w:val="superscript"/>
        </w:rPr>
        <w:footnoteRef/>
      </w:r>
      <w:r w:rsidRPr="004F6478">
        <w:rPr>
          <w:sz w:val="20"/>
          <w:szCs w:val="20"/>
        </w:rPr>
        <w:t xml:space="preserve"> DURDÍK, Tomáš. In: DRAŠTÍK, Antonín a kol. </w:t>
      </w:r>
      <w:r w:rsidRPr="004F6478">
        <w:rPr>
          <w:i/>
          <w:sz w:val="20"/>
          <w:szCs w:val="20"/>
        </w:rPr>
        <w:t>Trestní řád. Komentář. I. díl. § 1 až 179h.</w:t>
      </w:r>
      <w:r w:rsidRPr="004F6478">
        <w:rPr>
          <w:sz w:val="20"/>
          <w:szCs w:val="20"/>
        </w:rPr>
        <w:t xml:space="preserve"> Praha: Wolters Kluwer, 2017, s. 386.</w:t>
      </w:r>
    </w:p>
  </w:footnote>
  <w:footnote w:id="367">
    <w:p w:rsidR="00AF5227" w:rsidRPr="00D55337" w:rsidRDefault="00AF5227" w:rsidP="006A3693">
      <w:pPr>
        <w:spacing w:line="240" w:lineRule="auto"/>
        <w:ind w:right="567"/>
        <w:rPr>
          <w:sz w:val="20"/>
          <w:szCs w:val="20"/>
        </w:rPr>
      </w:pPr>
      <w:r w:rsidRPr="00D55337">
        <w:rPr>
          <w:sz w:val="20"/>
          <w:szCs w:val="20"/>
          <w:vertAlign w:val="superscript"/>
        </w:rPr>
        <w:footnoteRef/>
      </w:r>
      <w:r w:rsidRPr="00D55337">
        <w:rPr>
          <w:sz w:val="20"/>
          <w:szCs w:val="20"/>
        </w:rPr>
        <w:t xml:space="preserve"> Opět se tedy bude jednat o analogii legis s jejími předpoklady - srov. MELZER, FILIP. </w:t>
      </w:r>
      <w:r w:rsidRPr="00D55337">
        <w:rPr>
          <w:i/>
          <w:sz w:val="20"/>
          <w:szCs w:val="20"/>
        </w:rPr>
        <w:t>Metodologie nalézání práva. Úvod do právní argumentace.</w:t>
      </w:r>
      <w:r w:rsidRPr="00D55337">
        <w:rPr>
          <w:sz w:val="20"/>
          <w:szCs w:val="20"/>
        </w:rPr>
        <w:t xml:space="preserve"> 2. Vydání. Praha: C. H. BECK, s. 222, 230.</w:t>
      </w:r>
    </w:p>
  </w:footnote>
  <w:footnote w:id="368">
    <w:p w:rsidR="00AF5227" w:rsidRDefault="00AF5227" w:rsidP="006A3693">
      <w:pPr>
        <w:spacing w:line="240" w:lineRule="auto"/>
        <w:ind w:right="567"/>
        <w:rPr>
          <w:sz w:val="20"/>
          <w:szCs w:val="20"/>
        </w:rPr>
      </w:pPr>
      <w:r w:rsidRPr="00D55337">
        <w:rPr>
          <w:sz w:val="20"/>
          <w:szCs w:val="20"/>
          <w:vertAlign w:val="superscript"/>
        </w:rPr>
        <w:footnoteRef/>
      </w:r>
      <w:r w:rsidRPr="00D55337">
        <w:rPr>
          <w:sz w:val="20"/>
          <w:szCs w:val="20"/>
        </w:rPr>
        <w:t xml:space="preserve"> BOHADLO, David. In: BOHADLO, David a kol. </w:t>
      </w:r>
      <w:r w:rsidRPr="00D55337">
        <w:rPr>
          <w:i/>
          <w:sz w:val="20"/>
          <w:szCs w:val="20"/>
        </w:rPr>
        <w:t>Zákon o odpovědnosti za přestupky a řízení o nich. Komentář.</w:t>
      </w:r>
      <w:r w:rsidRPr="00D55337">
        <w:rPr>
          <w:sz w:val="20"/>
          <w:szCs w:val="20"/>
        </w:rPr>
        <w:t xml:space="preserve"> Praha: Wolters Kluwer, 2018, s. 516</w:t>
      </w:r>
      <w:r>
        <w:rPr>
          <w:sz w:val="20"/>
          <w:szCs w:val="20"/>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083F47"/>
    <w:multiLevelType w:val="hybridMultilevel"/>
    <w:tmpl w:val="55B4755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512702D5"/>
    <w:multiLevelType w:val="hybridMultilevel"/>
    <w:tmpl w:val="B7167F1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55F3155F"/>
    <w:multiLevelType w:val="hybridMultilevel"/>
    <w:tmpl w:val="E94E02A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6D8"/>
    <w:rsid w:val="00053D38"/>
    <w:rsid w:val="000F2959"/>
    <w:rsid w:val="000F75CC"/>
    <w:rsid w:val="001614C7"/>
    <w:rsid w:val="00176632"/>
    <w:rsid w:val="001A2B55"/>
    <w:rsid w:val="00210F97"/>
    <w:rsid w:val="00215304"/>
    <w:rsid w:val="00222FDD"/>
    <w:rsid w:val="002318A7"/>
    <w:rsid w:val="00260B89"/>
    <w:rsid w:val="00277D47"/>
    <w:rsid w:val="00284190"/>
    <w:rsid w:val="002A46FF"/>
    <w:rsid w:val="002A5DFD"/>
    <w:rsid w:val="002D17EF"/>
    <w:rsid w:val="002E4654"/>
    <w:rsid w:val="002E52CC"/>
    <w:rsid w:val="002F005F"/>
    <w:rsid w:val="002F0B6C"/>
    <w:rsid w:val="00322E87"/>
    <w:rsid w:val="003247A4"/>
    <w:rsid w:val="00330489"/>
    <w:rsid w:val="00337FE5"/>
    <w:rsid w:val="003629BC"/>
    <w:rsid w:val="003826E5"/>
    <w:rsid w:val="00385452"/>
    <w:rsid w:val="003F1055"/>
    <w:rsid w:val="004257C9"/>
    <w:rsid w:val="004265B2"/>
    <w:rsid w:val="00433A4E"/>
    <w:rsid w:val="00436BE4"/>
    <w:rsid w:val="00441D68"/>
    <w:rsid w:val="004456B9"/>
    <w:rsid w:val="004862B1"/>
    <w:rsid w:val="004977E3"/>
    <w:rsid w:val="004D7A26"/>
    <w:rsid w:val="004E672D"/>
    <w:rsid w:val="004F6478"/>
    <w:rsid w:val="005006F4"/>
    <w:rsid w:val="005178F6"/>
    <w:rsid w:val="00546803"/>
    <w:rsid w:val="00575BDA"/>
    <w:rsid w:val="005833E8"/>
    <w:rsid w:val="005F503B"/>
    <w:rsid w:val="00614E8B"/>
    <w:rsid w:val="00631789"/>
    <w:rsid w:val="00686310"/>
    <w:rsid w:val="006A3693"/>
    <w:rsid w:val="007010B0"/>
    <w:rsid w:val="007279DA"/>
    <w:rsid w:val="007A4145"/>
    <w:rsid w:val="007A76F9"/>
    <w:rsid w:val="008123EF"/>
    <w:rsid w:val="008C0081"/>
    <w:rsid w:val="008E4530"/>
    <w:rsid w:val="008E622D"/>
    <w:rsid w:val="008E73B4"/>
    <w:rsid w:val="00932305"/>
    <w:rsid w:val="00941C55"/>
    <w:rsid w:val="00977BC4"/>
    <w:rsid w:val="00981F9E"/>
    <w:rsid w:val="00983089"/>
    <w:rsid w:val="009A2F2B"/>
    <w:rsid w:val="009B3816"/>
    <w:rsid w:val="009B7AEA"/>
    <w:rsid w:val="009C3EB0"/>
    <w:rsid w:val="009C58C7"/>
    <w:rsid w:val="009D574D"/>
    <w:rsid w:val="00A3474F"/>
    <w:rsid w:val="00A40F4E"/>
    <w:rsid w:val="00A44CD0"/>
    <w:rsid w:val="00AB4258"/>
    <w:rsid w:val="00AC1501"/>
    <w:rsid w:val="00AD477E"/>
    <w:rsid w:val="00AF3492"/>
    <w:rsid w:val="00AF5227"/>
    <w:rsid w:val="00AF7CCE"/>
    <w:rsid w:val="00B04661"/>
    <w:rsid w:val="00B3341D"/>
    <w:rsid w:val="00B425CE"/>
    <w:rsid w:val="00B63315"/>
    <w:rsid w:val="00B86473"/>
    <w:rsid w:val="00BE6E49"/>
    <w:rsid w:val="00C03402"/>
    <w:rsid w:val="00C03CB8"/>
    <w:rsid w:val="00C07033"/>
    <w:rsid w:val="00C07FEE"/>
    <w:rsid w:val="00C46201"/>
    <w:rsid w:val="00C462B6"/>
    <w:rsid w:val="00C85A10"/>
    <w:rsid w:val="00CC24F4"/>
    <w:rsid w:val="00D420AB"/>
    <w:rsid w:val="00D536D8"/>
    <w:rsid w:val="00D55337"/>
    <w:rsid w:val="00D6014A"/>
    <w:rsid w:val="00D62E64"/>
    <w:rsid w:val="00D845BD"/>
    <w:rsid w:val="00DA745E"/>
    <w:rsid w:val="00DC63DB"/>
    <w:rsid w:val="00E21352"/>
    <w:rsid w:val="00E52CEB"/>
    <w:rsid w:val="00E547D4"/>
    <w:rsid w:val="00E722DA"/>
    <w:rsid w:val="00EC41CD"/>
    <w:rsid w:val="00EF3A81"/>
    <w:rsid w:val="00EF59D5"/>
    <w:rsid w:val="00F024FF"/>
    <w:rsid w:val="00F67CAF"/>
    <w:rsid w:val="00FB1987"/>
    <w:rsid w:val="00FC5C43"/>
    <w:rsid w:val="00FF419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9CEB0EE-732B-4EE8-B58B-FF9B9BDF8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cs-CZ"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rsid w:val="004E672D"/>
  </w:style>
  <w:style w:type="paragraph" w:styleId="Nadpis1">
    <w:name w:val="heading 1"/>
    <w:basedOn w:val="Normln"/>
    <w:next w:val="Normln"/>
    <w:rsid w:val="00FB1987"/>
    <w:pPr>
      <w:keepNext/>
      <w:keepLines/>
      <w:spacing w:before="400" w:after="120"/>
      <w:outlineLvl w:val="0"/>
    </w:pPr>
    <w:rPr>
      <w:b/>
      <w:sz w:val="32"/>
      <w:szCs w:val="40"/>
    </w:rPr>
  </w:style>
  <w:style w:type="paragraph" w:styleId="Nadpis2">
    <w:name w:val="heading 2"/>
    <w:basedOn w:val="Normln"/>
    <w:next w:val="Normln"/>
    <w:rsid w:val="00FB1987"/>
    <w:pPr>
      <w:keepNext/>
      <w:keepLines/>
      <w:spacing w:before="360" w:after="120"/>
      <w:outlineLvl w:val="1"/>
    </w:pPr>
    <w:rPr>
      <w:b/>
      <w:sz w:val="28"/>
      <w:szCs w:val="32"/>
    </w:rPr>
  </w:style>
  <w:style w:type="paragraph" w:styleId="Nadpis3">
    <w:name w:val="heading 3"/>
    <w:basedOn w:val="Normln"/>
    <w:next w:val="Normln"/>
    <w:pPr>
      <w:keepNext/>
      <w:keepLines/>
      <w:spacing w:before="320" w:after="80"/>
      <w:outlineLvl w:val="2"/>
    </w:pPr>
    <w:rPr>
      <w:color w:val="434343"/>
      <w:sz w:val="28"/>
      <w:szCs w:val="28"/>
    </w:rPr>
  </w:style>
  <w:style w:type="paragraph" w:styleId="Nadpis4">
    <w:name w:val="heading 4"/>
    <w:basedOn w:val="Normln"/>
    <w:next w:val="Normln"/>
    <w:pPr>
      <w:keepNext/>
      <w:keepLines/>
      <w:spacing w:before="280" w:after="80"/>
      <w:outlineLvl w:val="3"/>
    </w:pPr>
    <w:rPr>
      <w:color w:val="666666"/>
      <w:sz w:val="24"/>
      <w:szCs w:val="24"/>
    </w:rPr>
  </w:style>
  <w:style w:type="paragraph" w:styleId="Nadpis5">
    <w:name w:val="heading 5"/>
    <w:basedOn w:val="Normln"/>
    <w:next w:val="Normln"/>
    <w:pPr>
      <w:keepNext/>
      <w:keepLines/>
      <w:spacing w:before="240" w:after="80"/>
      <w:outlineLvl w:val="4"/>
    </w:pPr>
    <w:rPr>
      <w:color w:val="666666"/>
    </w:rPr>
  </w:style>
  <w:style w:type="paragraph" w:styleId="Nadpis6">
    <w:name w:val="heading 6"/>
    <w:basedOn w:val="Normln"/>
    <w:next w:val="Normln"/>
    <w:pPr>
      <w:keepNext/>
      <w:keepLines/>
      <w:spacing w:before="240" w:after="80"/>
      <w:outlineLvl w:val="5"/>
    </w:pPr>
    <w:rPr>
      <w:i/>
      <w:color w:val="666666"/>
    </w:rPr>
  </w:style>
  <w:style w:type="paragraph" w:styleId="Nadpis7">
    <w:name w:val="heading 7"/>
    <w:basedOn w:val="Normln"/>
    <w:next w:val="Normln"/>
    <w:link w:val="Nadpis7Char"/>
    <w:uiPriority w:val="9"/>
    <w:unhideWhenUsed/>
    <w:qFormat/>
    <w:rsid w:val="00D62E64"/>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pPr>
      <w:keepNext/>
      <w:keepLines/>
      <w:spacing w:after="60"/>
    </w:pPr>
    <w:rPr>
      <w:sz w:val="52"/>
      <w:szCs w:val="52"/>
    </w:rPr>
  </w:style>
  <w:style w:type="paragraph" w:styleId="Podtitul">
    <w:name w:val="Subtitle"/>
    <w:basedOn w:val="Normln"/>
    <w:next w:val="Normln"/>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FFFFFF"/>
    </w:tcPr>
  </w:style>
  <w:style w:type="paragraph" w:styleId="Odstavecseseznamem">
    <w:name w:val="List Paragraph"/>
    <w:basedOn w:val="Normln"/>
    <w:uiPriority w:val="34"/>
    <w:qFormat/>
    <w:rsid w:val="00D62E64"/>
    <w:pPr>
      <w:ind w:left="720"/>
      <w:contextualSpacing/>
    </w:pPr>
  </w:style>
  <w:style w:type="character" w:customStyle="1" w:styleId="Nadpis7Char">
    <w:name w:val="Nadpis 7 Char"/>
    <w:basedOn w:val="Standardnpsmoodstavce"/>
    <w:link w:val="Nadpis7"/>
    <w:uiPriority w:val="9"/>
    <w:rsid w:val="00D62E64"/>
    <w:rPr>
      <w:rFonts w:asciiTheme="majorHAnsi" w:eastAsiaTheme="majorEastAsia" w:hAnsiTheme="majorHAnsi" w:cstheme="majorBidi"/>
      <w:i/>
      <w:iCs/>
      <w:color w:val="243F60" w:themeColor="accent1" w:themeShade="7F"/>
    </w:rPr>
  </w:style>
  <w:style w:type="paragraph" w:styleId="Bezmezer">
    <w:name w:val="No Spacing"/>
    <w:uiPriority w:val="1"/>
    <w:qFormat/>
    <w:rsid w:val="00D62E64"/>
    <w:pPr>
      <w:spacing w:line="240" w:lineRule="auto"/>
    </w:pPr>
  </w:style>
  <w:style w:type="paragraph" w:styleId="Textpoznpodarou">
    <w:name w:val="footnote text"/>
    <w:basedOn w:val="Normln"/>
    <w:link w:val="TextpoznpodarouChar"/>
    <w:uiPriority w:val="99"/>
    <w:semiHidden/>
    <w:unhideWhenUsed/>
    <w:rsid w:val="004977E3"/>
    <w:pPr>
      <w:spacing w:line="240" w:lineRule="auto"/>
    </w:pPr>
    <w:rPr>
      <w:sz w:val="20"/>
      <w:szCs w:val="20"/>
    </w:rPr>
  </w:style>
  <w:style w:type="character" w:customStyle="1" w:styleId="TextpoznpodarouChar">
    <w:name w:val="Text pozn. pod čarou Char"/>
    <w:basedOn w:val="Standardnpsmoodstavce"/>
    <w:link w:val="Textpoznpodarou"/>
    <w:uiPriority w:val="99"/>
    <w:semiHidden/>
    <w:rsid w:val="004977E3"/>
    <w:rPr>
      <w:sz w:val="20"/>
      <w:szCs w:val="20"/>
    </w:rPr>
  </w:style>
  <w:style w:type="character" w:styleId="Znakapoznpodarou">
    <w:name w:val="footnote reference"/>
    <w:basedOn w:val="Standardnpsmoodstavce"/>
    <w:uiPriority w:val="99"/>
    <w:semiHidden/>
    <w:unhideWhenUsed/>
    <w:rsid w:val="004977E3"/>
    <w:rPr>
      <w:vertAlign w:val="superscript"/>
    </w:rPr>
  </w:style>
  <w:style w:type="character" w:styleId="Zdraznnintenzivn">
    <w:name w:val="Intense Emphasis"/>
    <w:basedOn w:val="Standardnpsmoodstavce"/>
    <w:uiPriority w:val="21"/>
    <w:rsid w:val="009B3816"/>
    <w:rPr>
      <w:i/>
      <w:iCs/>
      <w:color w:val="4F81BD" w:themeColor="accent1"/>
    </w:rPr>
  </w:style>
  <w:style w:type="paragraph" w:styleId="Zhlav">
    <w:name w:val="header"/>
    <w:basedOn w:val="Normln"/>
    <w:link w:val="ZhlavChar"/>
    <w:uiPriority w:val="99"/>
    <w:unhideWhenUsed/>
    <w:rsid w:val="00AF7CCE"/>
    <w:pPr>
      <w:tabs>
        <w:tab w:val="center" w:pos="4536"/>
        <w:tab w:val="right" w:pos="9072"/>
      </w:tabs>
      <w:spacing w:line="240" w:lineRule="auto"/>
    </w:pPr>
  </w:style>
  <w:style w:type="character" w:customStyle="1" w:styleId="ZhlavChar">
    <w:name w:val="Záhlaví Char"/>
    <w:basedOn w:val="Standardnpsmoodstavce"/>
    <w:link w:val="Zhlav"/>
    <w:uiPriority w:val="99"/>
    <w:rsid w:val="00AF7CCE"/>
  </w:style>
  <w:style w:type="paragraph" w:styleId="Zpat">
    <w:name w:val="footer"/>
    <w:basedOn w:val="Normln"/>
    <w:link w:val="ZpatChar"/>
    <w:uiPriority w:val="99"/>
    <w:unhideWhenUsed/>
    <w:rsid w:val="00AF7CCE"/>
    <w:pPr>
      <w:tabs>
        <w:tab w:val="center" w:pos="4536"/>
        <w:tab w:val="right" w:pos="9072"/>
      </w:tabs>
      <w:spacing w:line="240" w:lineRule="auto"/>
    </w:pPr>
  </w:style>
  <w:style w:type="character" w:customStyle="1" w:styleId="ZpatChar">
    <w:name w:val="Zápatí Char"/>
    <w:basedOn w:val="Standardnpsmoodstavce"/>
    <w:link w:val="Zpat"/>
    <w:uiPriority w:val="99"/>
    <w:rsid w:val="00AF7CCE"/>
  </w:style>
  <w:style w:type="paragraph" w:styleId="Nadpisobsahu">
    <w:name w:val="TOC Heading"/>
    <w:basedOn w:val="Nadpis1"/>
    <w:next w:val="Normln"/>
    <w:uiPriority w:val="39"/>
    <w:unhideWhenUsed/>
    <w:qFormat/>
    <w:rsid w:val="00215304"/>
    <w:pPr>
      <w:spacing w:before="240" w:after="0" w:line="259" w:lineRule="auto"/>
      <w:outlineLvl w:val="9"/>
    </w:pPr>
    <w:rPr>
      <w:rFonts w:asciiTheme="majorHAnsi" w:eastAsiaTheme="majorEastAsia" w:hAnsiTheme="majorHAnsi" w:cstheme="majorBidi"/>
      <w:color w:val="365F91" w:themeColor="accent1" w:themeShade="BF"/>
      <w:szCs w:val="32"/>
      <w:lang w:val="cs-CZ"/>
    </w:rPr>
  </w:style>
  <w:style w:type="paragraph" w:styleId="Obsah1">
    <w:name w:val="toc 1"/>
    <w:basedOn w:val="Normln"/>
    <w:next w:val="Normln"/>
    <w:autoRedefine/>
    <w:uiPriority w:val="39"/>
    <w:unhideWhenUsed/>
    <w:rsid w:val="00215304"/>
    <w:pPr>
      <w:spacing w:after="100"/>
    </w:pPr>
  </w:style>
  <w:style w:type="character" w:styleId="Hypertextovodkaz">
    <w:name w:val="Hyperlink"/>
    <w:basedOn w:val="Standardnpsmoodstavce"/>
    <w:uiPriority w:val="99"/>
    <w:unhideWhenUsed/>
    <w:rsid w:val="00215304"/>
    <w:rPr>
      <w:color w:val="0000FF" w:themeColor="hyperlink"/>
      <w:u w:val="single"/>
    </w:rPr>
  </w:style>
  <w:style w:type="paragraph" w:styleId="Obsah2">
    <w:name w:val="toc 2"/>
    <w:basedOn w:val="Normln"/>
    <w:next w:val="Normln"/>
    <w:autoRedefine/>
    <w:uiPriority w:val="39"/>
    <w:unhideWhenUsed/>
    <w:rsid w:val="00215304"/>
    <w:pPr>
      <w:spacing w:after="100" w:line="259" w:lineRule="auto"/>
      <w:ind w:left="220"/>
    </w:pPr>
    <w:rPr>
      <w:rFonts w:asciiTheme="minorHAnsi" w:eastAsiaTheme="minorEastAsia" w:hAnsiTheme="minorHAnsi" w:cs="Times New Roman"/>
      <w:lang w:val="cs-CZ"/>
    </w:rPr>
  </w:style>
  <w:style w:type="paragraph" w:styleId="Obsah3">
    <w:name w:val="toc 3"/>
    <w:basedOn w:val="Normln"/>
    <w:next w:val="Normln"/>
    <w:autoRedefine/>
    <w:uiPriority w:val="39"/>
    <w:unhideWhenUsed/>
    <w:rsid w:val="00215304"/>
    <w:pPr>
      <w:spacing w:after="100" w:line="259" w:lineRule="auto"/>
      <w:ind w:left="440"/>
    </w:pPr>
    <w:rPr>
      <w:rFonts w:asciiTheme="minorHAnsi" w:eastAsiaTheme="minorEastAsia" w:hAnsiTheme="minorHAnsi" w:cs="Times New Roman"/>
      <w:lang w:val="cs-CZ"/>
    </w:rPr>
  </w:style>
  <w:style w:type="character" w:styleId="Zdraznn">
    <w:name w:val="Emphasis"/>
    <w:basedOn w:val="Standardnpsmoodstavce"/>
    <w:uiPriority w:val="20"/>
    <w:qFormat/>
    <w:rsid w:val="00215304"/>
    <w:rPr>
      <w:i/>
      <w:iCs/>
    </w:rPr>
  </w:style>
  <w:style w:type="character" w:styleId="slodku">
    <w:name w:val="line number"/>
    <w:basedOn w:val="Standardnpsmoodstavce"/>
    <w:uiPriority w:val="99"/>
    <w:semiHidden/>
    <w:unhideWhenUsed/>
    <w:rsid w:val="005006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84816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urium.cz/denik/denik-odborne-clanky/sekundarni-viktimizace" TargetMode="External"/><Relationship Id="rId13" Type="http://schemas.openxmlformats.org/officeDocument/2006/relationships/hyperlink" Target="https://jinepravo.blogspot.com/2011/08/jan-potmesil-sporne-prestupkove.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radecky.denik.cz/cesi-v-cislech/nejrychlejsi-a-nejpomalejsi-soudy-v-cesku-okresy-soudni-rizeni-delka.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chrance.cz/vystupy/edice-stanoviska/Prestupky.pdf" TargetMode="External"/><Relationship Id="rId5" Type="http://schemas.openxmlformats.org/officeDocument/2006/relationships/webSettings" Target="webSettings.xml"/><Relationship Id="rId15" Type="http://schemas.openxmlformats.org/officeDocument/2006/relationships/hyperlink" Target="https://nsoud.cz/judikatura/ns_web.nsf/0/21B4600D35F7065BC125866C004826AE/%24file/D%20-%20Technick%C3%A1%20%C4%8D%C3%A1st%202021.pdf" TargetMode="External"/><Relationship Id="rId10" Type="http://schemas.openxmlformats.org/officeDocument/2006/relationships/hyperlink" Target="https://kramerius.lib.cas.cz/view/uuid:cae436b3-4eb0-11e1-3052-001143e3f55c?page=uuid:cae4396f-4eb0-11e1-3052-001143e3f55c" TargetMode="External"/><Relationship Id="rId4" Type="http://schemas.openxmlformats.org/officeDocument/2006/relationships/settings" Target="settings.xml"/><Relationship Id="rId9" Type="http://schemas.openxmlformats.org/officeDocument/2006/relationships/hyperlink" Target="https://cdk.lib.cas.cz/view/uuid:a53a5663-4eb0-11e1-1872-001143e3f55c?page=uuid:a53a5664-4eb0-11e1-1872-001143e3f55c" TargetMode="External"/><Relationship Id="rId14" Type="http://schemas.openxmlformats.org/officeDocument/2006/relationships/hyperlink" Target="https://prestupky.blogspot.com/2015/12/co-prinasi-novela-zakona-o-prestupcich.htm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iurium.cz/denik/denik-odborne-clanky/sekundarni-viktimizace" TargetMode="External"/><Relationship Id="rId3" Type="http://schemas.openxmlformats.org/officeDocument/2006/relationships/hyperlink" Target="https://kramerius.lib.cas.cz/view/uuid:cae436b3-4eb0-11e1-3052-001143e3f55c?page=uuid:cae4396f-4eb0-11e1-3052-001143e3f55c" TargetMode="External"/><Relationship Id="rId7" Type="http://schemas.openxmlformats.org/officeDocument/2006/relationships/hyperlink" Target="https://www.zakonyprolidi.cz/cs/2011-428" TargetMode="External"/><Relationship Id="rId2" Type="http://schemas.openxmlformats.org/officeDocument/2006/relationships/hyperlink" Target="https://cdk.lib.cas.cz/view/uuid:a53a5663-4eb0-11e1-1872-001143e3f55c?page=uuid:a53a5664-4eb0-11e1-1872-001143e3f55c" TargetMode="External"/><Relationship Id="rId1" Type="http://schemas.openxmlformats.org/officeDocument/2006/relationships/hyperlink" Target="https://cdk.lib.cas.cz/view/uuid:a53a5663-4eb0-11e1-1872-001143e3f55c?page=uuid:a53a5664-4eb0-11e1-1872-001143e3f55c" TargetMode="External"/><Relationship Id="rId6" Type="http://schemas.openxmlformats.org/officeDocument/2006/relationships/hyperlink" Target="https://www.ochrance.cz/vystupy/edice-stanoviska/Prestupky.pdf" TargetMode="External"/><Relationship Id="rId11" Type="http://schemas.openxmlformats.org/officeDocument/2006/relationships/hyperlink" Target="https://jinepravo.blogspot.com/2011/08/jan-potmesil-sporne-prestupkove.html" TargetMode="External"/><Relationship Id="rId5" Type="http://schemas.openxmlformats.org/officeDocument/2006/relationships/hyperlink" Target="https://www.iurium.cz/denik/denik-odborne-clanky/sekundarni-viktimizace" TargetMode="External"/><Relationship Id="rId10" Type="http://schemas.openxmlformats.org/officeDocument/2006/relationships/hyperlink" Target="https://nsoud.cz/judikatura/ns_web.nsf/0/21B4600D35F7065BC125866C004826AE/%24file/D%20-%20Technick%C3%A1%20%C4%8D%C3%A1st%202021.pdf" TargetMode="External"/><Relationship Id="rId4" Type="http://schemas.openxmlformats.org/officeDocument/2006/relationships/hyperlink" Target="https://www.iurium.cz/denik/denik-odborne-clanky/sekundarni-viktimizace" TargetMode="External"/><Relationship Id="rId9" Type="http://schemas.openxmlformats.org/officeDocument/2006/relationships/hyperlink" Target="https://prestupky.blogspot.com/2015/12/co-prinasi-novela-zakona-o-prestupcich.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0373F-8889-4029-A34E-CCB1A2699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78</Pages>
  <Words>20612</Words>
  <Characters>121616</Characters>
  <Application>Microsoft Office Word</Application>
  <DocSecurity>0</DocSecurity>
  <Lines>1013</Lines>
  <Paragraphs>283</Paragraphs>
  <ScaleCrop>false</ScaleCrop>
  <HeadingPairs>
    <vt:vector size="2" baseType="variant">
      <vt:variant>
        <vt:lpstr>Název</vt:lpstr>
      </vt:variant>
      <vt:variant>
        <vt:i4>1</vt:i4>
      </vt:variant>
    </vt:vector>
  </HeadingPairs>
  <TitlesOfParts>
    <vt:vector size="1" baseType="lpstr">
      <vt:lpstr/>
    </vt:vector>
  </TitlesOfParts>
  <Company>Metrostav a.s.</Company>
  <LinksUpToDate>false</LinksUpToDate>
  <CharactersWithSpaces>141945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Vybíral</dc:creator>
  <cp:lastModifiedBy>Vybíral</cp:lastModifiedBy>
  <cp:revision>2</cp:revision>
  <dcterms:created xsi:type="dcterms:W3CDTF">2025-02-15T01:00:00Z</dcterms:created>
  <dcterms:modified xsi:type="dcterms:W3CDTF">2025-02-15T01:00:00Z</dcterms:modified>
</cp:coreProperties>
</file>