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2.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917" w:rsidRPr="00626AC8" w:rsidRDefault="006C1917" w:rsidP="0056117D">
      <w:pPr>
        <w:jc w:val="center"/>
        <w:rPr>
          <w:sz w:val="28"/>
          <w:szCs w:val="28"/>
        </w:rPr>
      </w:pPr>
      <w:r w:rsidRPr="00626AC8">
        <w:rPr>
          <w:sz w:val="28"/>
          <w:szCs w:val="28"/>
        </w:rPr>
        <w:t>Lékařská fakulta Univerzity Palackého v Olomouci</w:t>
      </w:r>
    </w:p>
    <w:p w:rsidR="006C1917" w:rsidRPr="009B1A48" w:rsidRDefault="006C1917" w:rsidP="0056117D">
      <w:pPr>
        <w:jc w:val="center"/>
        <w:rPr>
          <w:sz w:val="28"/>
          <w:szCs w:val="28"/>
        </w:rPr>
      </w:pPr>
      <w:r>
        <w:rPr>
          <w:sz w:val="28"/>
          <w:szCs w:val="28"/>
        </w:rPr>
        <w:t xml:space="preserve">I. </w:t>
      </w:r>
      <w:r w:rsidRPr="009B1A48">
        <w:rPr>
          <w:sz w:val="28"/>
          <w:szCs w:val="28"/>
        </w:rPr>
        <w:t>interní klinika</w:t>
      </w:r>
    </w:p>
    <w:p w:rsidR="006C1917" w:rsidRDefault="006C1917" w:rsidP="0056117D">
      <w:pPr>
        <w:jc w:val="center"/>
        <w:rPr>
          <w:sz w:val="40"/>
          <w:szCs w:val="40"/>
        </w:rPr>
      </w:pPr>
    </w:p>
    <w:p w:rsidR="006C1917" w:rsidRPr="00626AC8" w:rsidRDefault="006C1917" w:rsidP="0056117D">
      <w:pPr>
        <w:jc w:val="center"/>
        <w:rPr>
          <w:sz w:val="40"/>
          <w:szCs w:val="40"/>
        </w:rPr>
      </w:pPr>
      <w:r w:rsidRPr="00626AC8">
        <w:rPr>
          <w:sz w:val="40"/>
          <w:szCs w:val="40"/>
        </w:rPr>
        <w:t>Disertační práce</w:t>
      </w:r>
    </w:p>
    <w:p w:rsidR="006C1917" w:rsidRDefault="006C1917" w:rsidP="001242D7"/>
    <w:p w:rsidR="006C1917" w:rsidRPr="008D0E8D" w:rsidRDefault="006C1917" w:rsidP="0056117D">
      <w:pPr>
        <w:rPr>
          <w:sz w:val="28"/>
          <w:szCs w:val="28"/>
        </w:rPr>
      </w:pPr>
      <w:r w:rsidRPr="008D0E8D">
        <w:rPr>
          <w:sz w:val="28"/>
          <w:szCs w:val="28"/>
        </w:rPr>
        <w:t>MINIMÁLNÍ MYOKARDIÁLNÍ POŠKOZENÍ PO PRIMOIMPLANTACI KARDIOSTIMULÁTORU</w:t>
      </w:r>
    </w:p>
    <w:p w:rsidR="006C1917" w:rsidRDefault="006C1917" w:rsidP="001242D7">
      <w:pPr>
        <w:rPr>
          <w:sz w:val="24"/>
          <w:szCs w:val="24"/>
        </w:rPr>
      </w:pPr>
    </w:p>
    <w:p w:rsidR="00040C7A" w:rsidRDefault="00040C7A" w:rsidP="001242D7">
      <w:pPr>
        <w:rPr>
          <w:sz w:val="24"/>
          <w:szCs w:val="24"/>
        </w:rPr>
      </w:pPr>
    </w:p>
    <w:p w:rsidR="00040C7A" w:rsidRDefault="00040C7A" w:rsidP="001242D7">
      <w:pPr>
        <w:rPr>
          <w:sz w:val="24"/>
          <w:szCs w:val="24"/>
        </w:rPr>
      </w:pPr>
    </w:p>
    <w:p w:rsidR="006C1917" w:rsidRPr="008D0E8D" w:rsidRDefault="006C1917" w:rsidP="001242D7">
      <w:pPr>
        <w:rPr>
          <w:sz w:val="24"/>
          <w:szCs w:val="24"/>
        </w:rPr>
      </w:pPr>
      <w:r w:rsidRPr="008D0E8D">
        <w:rPr>
          <w:sz w:val="24"/>
          <w:szCs w:val="24"/>
        </w:rPr>
        <w:t>MUDr. Tomáš Hnátek</w:t>
      </w:r>
    </w:p>
    <w:p w:rsidR="006C1917" w:rsidRPr="008D0E8D" w:rsidRDefault="006C1917" w:rsidP="001242D7">
      <w:pPr>
        <w:rPr>
          <w:sz w:val="24"/>
          <w:szCs w:val="24"/>
        </w:rPr>
      </w:pPr>
      <w:r w:rsidRPr="008D0E8D">
        <w:rPr>
          <w:sz w:val="24"/>
          <w:szCs w:val="24"/>
        </w:rPr>
        <w:t>Školitel: Prof. MUDr.</w:t>
      </w:r>
      <w:r>
        <w:rPr>
          <w:sz w:val="24"/>
          <w:szCs w:val="24"/>
        </w:rPr>
        <w:t xml:space="preserve"> </w:t>
      </w:r>
      <w:r w:rsidRPr="008D0E8D">
        <w:rPr>
          <w:sz w:val="24"/>
          <w:szCs w:val="24"/>
        </w:rPr>
        <w:t>Miloš Táborský, CSc.</w:t>
      </w:r>
    </w:p>
    <w:p w:rsidR="006C1917" w:rsidRPr="008D0E8D" w:rsidRDefault="006C1917" w:rsidP="0056117D">
      <w:pPr>
        <w:tabs>
          <w:tab w:val="left" w:pos="6274"/>
        </w:tabs>
        <w:rPr>
          <w:sz w:val="24"/>
          <w:szCs w:val="24"/>
        </w:rPr>
      </w:pPr>
      <w:r w:rsidRPr="008D0E8D">
        <w:rPr>
          <w:sz w:val="24"/>
          <w:szCs w:val="24"/>
        </w:rPr>
        <w:t>OLOMOUC 2015</w:t>
      </w:r>
      <w:r>
        <w:rPr>
          <w:sz w:val="24"/>
          <w:szCs w:val="24"/>
        </w:rPr>
        <w:tab/>
      </w:r>
    </w:p>
    <w:p w:rsidR="006C1917" w:rsidRDefault="006C1917" w:rsidP="001242D7"/>
    <w:p w:rsidR="006C1917" w:rsidRDefault="006C1917" w:rsidP="001242D7"/>
    <w:p w:rsidR="006C1917" w:rsidRDefault="006C1917" w:rsidP="001242D7"/>
    <w:p w:rsidR="006C1917" w:rsidRDefault="006C1917" w:rsidP="0056117D">
      <w:pPr>
        <w:tabs>
          <w:tab w:val="left" w:pos="7594"/>
        </w:tabs>
      </w:pPr>
      <w:r>
        <w:tab/>
      </w:r>
    </w:p>
    <w:p w:rsidR="006C1917" w:rsidRDefault="006C1917" w:rsidP="0056117D">
      <w:pPr>
        <w:tabs>
          <w:tab w:val="left" w:pos="5657"/>
        </w:tabs>
      </w:pPr>
      <w:r>
        <w:tab/>
      </w:r>
    </w:p>
    <w:p w:rsidR="006C1917" w:rsidRDefault="006C1917" w:rsidP="001242D7"/>
    <w:p w:rsidR="006C1917" w:rsidRDefault="006C1917" w:rsidP="001242D7"/>
    <w:p w:rsidR="006C1917" w:rsidRPr="004750C1" w:rsidRDefault="006C1917" w:rsidP="0056117D">
      <w:pPr>
        <w:jc w:val="both"/>
        <w:rPr>
          <w:sz w:val="24"/>
          <w:szCs w:val="24"/>
        </w:rPr>
      </w:pPr>
      <w:r w:rsidRPr="004750C1">
        <w:rPr>
          <w:sz w:val="24"/>
          <w:szCs w:val="24"/>
        </w:rPr>
        <w:t>Děkuji svému školiteli prof.</w:t>
      </w:r>
      <w:r>
        <w:rPr>
          <w:sz w:val="24"/>
          <w:szCs w:val="24"/>
        </w:rPr>
        <w:t xml:space="preserve"> Miloši Táborskému za vstřícnost a cenné rady, </w:t>
      </w:r>
      <w:r w:rsidRPr="004750C1">
        <w:rPr>
          <w:sz w:val="24"/>
          <w:szCs w:val="24"/>
        </w:rPr>
        <w:t>s nimiž mě při práci na této studii doprovázel.</w:t>
      </w:r>
    </w:p>
    <w:p w:rsidR="006C1917" w:rsidRPr="004750C1" w:rsidRDefault="006C1917" w:rsidP="0056117D">
      <w:pPr>
        <w:jc w:val="both"/>
        <w:rPr>
          <w:sz w:val="24"/>
          <w:szCs w:val="24"/>
        </w:rPr>
      </w:pPr>
    </w:p>
    <w:p w:rsidR="006C1917" w:rsidRPr="004750C1" w:rsidRDefault="006C1917" w:rsidP="0056117D">
      <w:pPr>
        <w:jc w:val="both"/>
        <w:rPr>
          <w:sz w:val="24"/>
          <w:szCs w:val="24"/>
        </w:rPr>
      </w:pPr>
      <w:r w:rsidRPr="004750C1">
        <w:rPr>
          <w:sz w:val="24"/>
          <w:szCs w:val="24"/>
        </w:rPr>
        <w:t>Prohlašuji, že jsem disertační práci vypracoval samostatně pouze s pomocí zdrojů uvedených v seznamu literatury.</w:t>
      </w:r>
    </w:p>
    <w:p w:rsidR="006C1917" w:rsidRPr="004750C1" w:rsidRDefault="006C1917" w:rsidP="0056117D">
      <w:pPr>
        <w:jc w:val="both"/>
        <w:rPr>
          <w:sz w:val="24"/>
          <w:szCs w:val="24"/>
        </w:rPr>
      </w:pPr>
      <w:r>
        <w:rPr>
          <w:sz w:val="24"/>
          <w:szCs w:val="24"/>
        </w:rPr>
        <w:t>V Olomouci</w:t>
      </w:r>
      <w:r w:rsidR="00BF6B09">
        <w:rPr>
          <w:sz w:val="24"/>
          <w:szCs w:val="24"/>
        </w:rPr>
        <w:t xml:space="preserve"> dne 1</w:t>
      </w:r>
      <w:r w:rsidRPr="004750C1">
        <w:rPr>
          <w:sz w:val="24"/>
          <w:szCs w:val="24"/>
        </w:rPr>
        <w:t>.</w:t>
      </w:r>
      <w:r>
        <w:rPr>
          <w:sz w:val="24"/>
          <w:szCs w:val="24"/>
        </w:rPr>
        <w:t xml:space="preserve"> </w:t>
      </w:r>
      <w:r w:rsidR="00BF6B09">
        <w:rPr>
          <w:sz w:val="24"/>
          <w:szCs w:val="24"/>
        </w:rPr>
        <w:t>listopadu</w:t>
      </w:r>
      <w:r w:rsidRPr="004750C1">
        <w:rPr>
          <w:sz w:val="24"/>
          <w:szCs w:val="24"/>
        </w:rPr>
        <w:t xml:space="preserve"> 2015</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Pr="004750C1">
        <w:rPr>
          <w:sz w:val="24"/>
          <w:szCs w:val="24"/>
        </w:rPr>
        <w:t>MUDr. Tomáš Hnátek</w:t>
      </w:r>
    </w:p>
    <w:p w:rsidR="006C1917" w:rsidRPr="005E36CA" w:rsidRDefault="006C1917" w:rsidP="001242D7">
      <w:pPr>
        <w:rPr>
          <w:sz w:val="24"/>
          <w:szCs w:val="24"/>
        </w:rPr>
      </w:pPr>
    </w:p>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Default="006C1917" w:rsidP="001242D7"/>
    <w:p w:rsidR="006C1917" w:rsidRPr="005E36CA" w:rsidRDefault="006C1917" w:rsidP="009B1A48">
      <w:pPr>
        <w:jc w:val="both"/>
        <w:rPr>
          <w:sz w:val="24"/>
          <w:szCs w:val="24"/>
        </w:rPr>
      </w:pPr>
      <w:r w:rsidRPr="005E36CA">
        <w:rPr>
          <w:sz w:val="24"/>
          <w:szCs w:val="24"/>
        </w:rPr>
        <w:t>Poděkování:  Na tomto místě bych chtěl poděkovat za spolupráci RNDr.</w:t>
      </w:r>
      <w:r>
        <w:rPr>
          <w:sz w:val="24"/>
          <w:szCs w:val="24"/>
        </w:rPr>
        <w:t xml:space="preserve"> </w:t>
      </w:r>
      <w:r w:rsidRPr="005E36CA">
        <w:rPr>
          <w:sz w:val="24"/>
          <w:szCs w:val="24"/>
        </w:rPr>
        <w:t>Jiřímu Jarkovskému, PhD.</w:t>
      </w:r>
      <w:r>
        <w:rPr>
          <w:sz w:val="24"/>
          <w:szCs w:val="24"/>
        </w:rPr>
        <w:t>, a RND</w:t>
      </w:r>
      <w:r w:rsidRPr="005E36CA">
        <w:rPr>
          <w:sz w:val="24"/>
          <w:szCs w:val="24"/>
        </w:rPr>
        <w:t xml:space="preserve">r. Simoně Littnerové z Institutu biostatistiky a analýz </w:t>
      </w:r>
      <w:r>
        <w:rPr>
          <w:sz w:val="24"/>
          <w:szCs w:val="24"/>
        </w:rPr>
        <w:t xml:space="preserve">Masarykovy univerzity </w:t>
      </w:r>
      <w:r w:rsidRPr="005E36CA">
        <w:rPr>
          <w:sz w:val="24"/>
          <w:szCs w:val="24"/>
        </w:rPr>
        <w:t>Brno za pomoc při statistickém zpracování souboru, dále kolegům MUDr. Liborovi Kameníkovi, PhD., MUDr. Pavlovi Sedloňovi a MUDr. Patrikovi Jarkovskému za rady v oblasti kardiostimulační proble</w:t>
      </w:r>
      <w:r>
        <w:rPr>
          <w:sz w:val="24"/>
          <w:szCs w:val="24"/>
        </w:rPr>
        <w:t xml:space="preserve">matiky. Dále děkuji MUDr. Lence Pospíšilové  a  Mgr. Ireně </w:t>
      </w:r>
      <w:proofErr w:type="gramStart"/>
      <w:r>
        <w:rPr>
          <w:sz w:val="24"/>
          <w:szCs w:val="24"/>
        </w:rPr>
        <w:t>Knapovské</w:t>
      </w:r>
      <w:proofErr w:type="gramEnd"/>
      <w:r>
        <w:rPr>
          <w:sz w:val="24"/>
          <w:szCs w:val="24"/>
        </w:rPr>
        <w:t xml:space="preserve"> </w:t>
      </w:r>
      <w:r w:rsidRPr="005E36CA">
        <w:rPr>
          <w:sz w:val="24"/>
          <w:szCs w:val="24"/>
        </w:rPr>
        <w:t>z Odděle</w:t>
      </w:r>
      <w:r>
        <w:rPr>
          <w:sz w:val="24"/>
          <w:szCs w:val="24"/>
        </w:rPr>
        <w:t xml:space="preserve">ní klinické biochemie </w:t>
      </w:r>
      <w:r w:rsidRPr="005E36CA">
        <w:rPr>
          <w:sz w:val="24"/>
          <w:szCs w:val="24"/>
        </w:rPr>
        <w:t xml:space="preserve">ÚVN za pomoc v oblasti biochemické analýzy. </w:t>
      </w:r>
      <w:r>
        <w:rPr>
          <w:sz w:val="24"/>
          <w:szCs w:val="24"/>
        </w:rPr>
        <w:t xml:space="preserve">Poděkovat chci také Mgr. Evě Šilerové z Městské knihovny v Praze za překreslení schémat troponinu a svalových myofibril a pomoc při grafickém zpracování práce. </w:t>
      </w:r>
      <w:r w:rsidRPr="005E36CA">
        <w:rPr>
          <w:sz w:val="24"/>
          <w:szCs w:val="24"/>
        </w:rPr>
        <w:t>Za podporu při celé práci děkuji svým nadřízeným</w:t>
      </w:r>
      <w:r>
        <w:rPr>
          <w:sz w:val="24"/>
          <w:szCs w:val="24"/>
        </w:rPr>
        <w:t xml:space="preserve"> z mého pracoviště v Ústřední vojenské nemocnici</w:t>
      </w:r>
      <w:r w:rsidRPr="005E36CA">
        <w:rPr>
          <w:sz w:val="24"/>
          <w:szCs w:val="24"/>
        </w:rPr>
        <w:t xml:space="preserve">: </w:t>
      </w:r>
      <w:r>
        <w:rPr>
          <w:sz w:val="24"/>
          <w:szCs w:val="24"/>
        </w:rPr>
        <w:br/>
      </w:r>
      <w:r w:rsidRPr="005E36CA">
        <w:rPr>
          <w:sz w:val="24"/>
          <w:szCs w:val="24"/>
        </w:rPr>
        <w:t>MUDr. Miroslavu Černohousovi, Doc. MUDr. Martinovi Malému, PhD.</w:t>
      </w:r>
      <w:r>
        <w:rPr>
          <w:sz w:val="24"/>
          <w:szCs w:val="24"/>
        </w:rPr>
        <w:t>,</w:t>
      </w:r>
      <w:r w:rsidRPr="005E36CA">
        <w:rPr>
          <w:sz w:val="24"/>
          <w:szCs w:val="24"/>
        </w:rPr>
        <w:t xml:space="preserve"> a dále přednostovi naší kliniky prof.</w:t>
      </w:r>
      <w:r>
        <w:rPr>
          <w:sz w:val="24"/>
          <w:szCs w:val="24"/>
        </w:rPr>
        <w:t xml:space="preserve"> </w:t>
      </w:r>
      <w:r w:rsidRPr="005E36CA">
        <w:rPr>
          <w:sz w:val="24"/>
          <w:szCs w:val="24"/>
        </w:rPr>
        <w:t>MUDr.</w:t>
      </w:r>
      <w:r>
        <w:rPr>
          <w:sz w:val="24"/>
          <w:szCs w:val="24"/>
        </w:rPr>
        <w:t xml:space="preserve"> </w:t>
      </w:r>
      <w:r w:rsidRPr="005E36CA">
        <w:rPr>
          <w:sz w:val="24"/>
          <w:szCs w:val="24"/>
        </w:rPr>
        <w:t>Miroslavu Zavoralovi, PhD.  Dále děkuji za cenné rady a podporu svému školiteli Prof. MUDr. Miloši Táborskému, PhD</w:t>
      </w:r>
      <w:r>
        <w:rPr>
          <w:sz w:val="24"/>
          <w:szCs w:val="24"/>
        </w:rPr>
        <w:t>, FESC</w:t>
      </w:r>
      <w:r w:rsidRPr="005E36CA">
        <w:rPr>
          <w:sz w:val="24"/>
          <w:szCs w:val="24"/>
        </w:rPr>
        <w:t xml:space="preserve">. V neposlední řadě bych chtěl poděkovat </w:t>
      </w:r>
      <w:r>
        <w:rPr>
          <w:sz w:val="24"/>
          <w:szCs w:val="24"/>
        </w:rPr>
        <w:t xml:space="preserve">svým blízkým, zejména </w:t>
      </w:r>
      <w:r w:rsidRPr="005E36CA">
        <w:rPr>
          <w:sz w:val="24"/>
          <w:szCs w:val="24"/>
        </w:rPr>
        <w:t>své m</w:t>
      </w:r>
      <w:r>
        <w:rPr>
          <w:sz w:val="24"/>
          <w:szCs w:val="24"/>
        </w:rPr>
        <w:t>anželce Anně za její trpělivost</w:t>
      </w:r>
      <w:r w:rsidRPr="005E36CA">
        <w:rPr>
          <w:sz w:val="24"/>
          <w:szCs w:val="24"/>
        </w:rPr>
        <w:t xml:space="preserve"> a péči </w:t>
      </w:r>
      <w:r>
        <w:rPr>
          <w:sz w:val="24"/>
          <w:szCs w:val="24"/>
        </w:rPr>
        <w:t xml:space="preserve">o mě a naši rodinu </w:t>
      </w:r>
      <w:r w:rsidRPr="005E36CA">
        <w:rPr>
          <w:sz w:val="24"/>
          <w:szCs w:val="24"/>
        </w:rPr>
        <w:t>v průběhu celého mého doktorandského studia.</w:t>
      </w:r>
    </w:p>
    <w:p w:rsidR="006C1917" w:rsidRDefault="006C1917" w:rsidP="001242D7"/>
    <w:p w:rsidR="006C1917" w:rsidRPr="004B5C53" w:rsidRDefault="006C1917" w:rsidP="004B5C53">
      <w:pPr>
        <w:ind w:right="283"/>
        <w:rPr>
          <w:b/>
          <w:sz w:val="32"/>
          <w:szCs w:val="32"/>
        </w:rPr>
      </w:pPr>
      <w:r w:rsidRPr="00452E70">
        <w:rPr>
          <w:b/>
          <w:sz w:val="32"/>
          <w:szCs w:val="32"/>
        </w:rPr>
        <w:lastRenderedPageBreak/>
        <w:t>Obsah:</w:t>
      </w:r>
      <w:r>
        <w:rPr>
          <w:b/>
          <w:sz w:val="32"/>
          <w:szCs w:val="32"/>
        </w:rPr>
        <w:t xml:space="preserve"> </w:t>
      </w:r>
    </w:p>
    <w:p w:rsidR="006C1917" w:rsidRDefault="006C1917">
      <w:pPr>
        <w:pStyle w:val="Nadpisobsahu"/>
      </w:pPr>
    </w:p>
    <w:p w:rsidR="006C1917" w:rsidRPr="009856C9" w:rsidRDefault="00D904E8" w:rsidP="0056117D">
      <w:pPr>
        <w:pStyle w:val="Obsah1"/>
        <w:tabs>
          <w:tab w:val="left" w:pos="709"/>
          <w:tab w:val="right" w:leader="dot" w:pos="9062"/>
        </w:tabs>
        <w:rPr>
          <w:noProof/>
          <w:sz w:val="24"/>
          <w:szCs w:val="24"/>
        </w:rPr>
      </w:pPr>
      <w:r w:rsidRPr="009856C9">
        <w:rPr>
          <w:sz w:val="24"/>
          <w:szCs w:val="24"/>
        </w:rPr>
        <w:fldChar w:fldCharType="begin"/>
      </w:r>
      <w:r w:rsidR="006C1917" w:rsidRPr="009856C9">
        <w:rPr>
          <w:sz w:val="24"/>
          <w:szCs w:val="24"/>
        </w:rPr>
        <w:instrText xml:space="preserve"> TOC \o "1-3" \h \z \u </w:instrText>
      </w:r>
      <w:r w:rsidRPr="009856C9">
        <w:rPr>
          <w:sz w:val="24"/>
          <w:szCs w:val="24"/>
        </w:rPr>
        <w:fldChar w:fldCharType="separate"/>
      </w:r>
      <w:hyperlink w:anchor="_Toc422993214" w:history="1">
        <w:r w:rsidR="006C1917" w:rsidRPr="009856C9">
          <w:rPr>
            <w:rStyle w:val="Hypertextovodkaz"/>
            <w:noProof/>
            <w:sz w:val="24"/>
            <w:szCs w:val="24"/>
          </w:rPr>
          <w:t>Úvod</w:t>
        </w:r>
        <w:r w:rsidR="006C1917" w:rsidRPr="009856C9">
          <w:rPr>
            <w:noProof/>
            <w:webHidden/>
            <w:sz w:val="24"/>
            <w:szCs w:val="24"/>
          </w:rPr>
          <w:tab/>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_Toc422993214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9</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15" w:history="1">
        <w:r w:rsidR="006C1917" w:rsidRPr="009856C9">
          <w:rPr>
            <w:rStyle w:val="Hypertextovodkaz"/>
            <w:noProof/>
            <w:sz w:val="24"/>
            <w:szCs w:val="24"/>
          </w:rPr>
          <w:t>1</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Anatomická struktura srdeční sarkomery</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_Toc422993215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10</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16" w:history="1">
        <w:r w:rsidR="006C1917" w:rsidRPr="009856C9">
          <w:rPr>
            <w:rStyle w:val="Hypertextovodkaz"/>
            <w:noProof/>
            <w:sz w:val="24"/>
            <w:szCs w:val="24"/>
          </w:rPr>
          <w:t>1.1</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rPr>
          <w:t>Charakteristika srdečních troponinů</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_Toc422993216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11</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17" w:history="1">
        <w:r w:rsidR="006C1917" w:rsidRPr="009856C9">
          <w:rPr>
            <w:rStyle w:val="Hypertextovodkaz"/>
            <w:noProof/>
            <w:sz w:val="24"/>
            <w:szCs w:val="24"/>
            <w:lang w:eastAsia="ar-SA"/>
          </w:rPr>
          <w:t>1.1.1</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lang w:eastAsia="ar-SA"/>
          </w:rPr>
          <w:t>Troponin C</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_Toc422993217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11</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18" w:history="1">
        <w:r w:rsidR="006C1917" w:rsidRPr="009856C9">
          <w:rPr>
            <w:rStyle w:val="Hypertextovodkaz"/>
            <w:noProof/>
            <w:sz w:val="24"/>
            <w:szCs w:val="24"/>
            <w:lang w:eastAsia="ar-SA"/>
          </w:rPr>
          <w:t>1.1.2</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lang w:eastAsia="ar-SA"/>
          </w:rPr>
          <w:t>Troponin T</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_Toc422993218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11</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19" w:history="1">
        <w:r w:rsidR="006C1917" w:rsidRPr="009856C9">
          <w:rPr>
            <w:rStyle w:val="Hypertextovodkaz"/>
            <w:noProof/>
            <w:sz w:val="24"/>
            <w:szCs w:val="24"/>
            <w:lang w:eastAsia="ar-SA"/>
          </w:rPr>
          <w:t>1.1.3</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lang w:eastAsia="ar-SA"/>
          </w:rPr>
          <w:t>Troponin I</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_Toc422993219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11</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20" w:history="1">
        <w:r w:rsidR="006C1917" w:rsidRPr="009856C9">
          <w:rPr>
            <w:rStyle w:val="Hypertextovodkaz"/>
            <w:noProof/>
            <w:sz w:val="24"/>
            <w:szCs w:val="24"/>
          </w:rPr>
          <w:t>1.2</w:t>
        </w:r>
        <w:r w:rsidR="006C1917" w:rsidRPr="009856C9">
          <w:rPr>
            <w:noProof/>
            <w:sz w:val="24"/>
            <w:szCs w:val="24"/>
          </w:rPr>
          <w:tab/>
        </w:r>
        <w:r w:rsidR="006C1917" w:rsidRPr="009856C9">
          <w:rPr>
            <w:rStyle w:val="Hypertextovodkaz"/>
            <w:noProof/>
            <w:sz w:val="24"/>
            <w:szCs w:val="24"/>
          </w:rPr>
          <w:t>Struktura a funkce  troponin</w:t>
        </w:r>
        <w:r w:rsidR="00AE666B" w:rsidRPr="009856C9">
          <w:rPr>
            <w:rStyle w:val="Hypertextovodkaz"/>
            <w:noProof/>
            <w:sz w:val="24"/>
            <w:szCs w:val="24"/>
          </w:rPr>
          <w:t>-trop</w:t>
        </w:r>
        <w:r w:rsidR="006C1917" w:rsidRPr="009856C9">
          <w:rPr>
            <w:rStyle w:val="Hypertextovodkaz"/>
            <w:noProof/>
            <w:sz w:val="24"/>
            <w:szCs w:val="24"/>
          </w:rPr>
          <w:t>omyozinového komplexu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_Toc422993220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12</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21" w:history="1">
        <w:r w:rsidR="006C1917" w:rsidRPr="009856C9">
          <w:rPr>
            <w:rStyle w:val="Hypertextovodkaz"/>
            <w:noProof/>
            <w:sz w:val="24"/>
            <w:szCs w:val="24"/>
          </w:rPr>
          <w:t>2</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Molekulární základ srdeční kontrakce</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_Toc422993221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14</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22" w:history="1">
        <w:r w:rsidR="006C1917" w:rsidRPr="009856C9">
          <w:rPr>
            <w:rStyle w:val="Hypertextovodkaz"/>
            <w:noProof/>
            <w:sz w:val="24"/>
            <w:szCs w:val="24"/>
          </w:rPr>
          <w:t>2.1</w:t>
        </w:r>
        <w:r w:rsidR="006C1917" w:rsidRPr="009856C9">
          <w:rPr>
            <w:noProof/>
            <w:sz w:val="24"/>
            <w:szCs w:val="24"/>
          </w:rPr>
          <w:tab/>
        </w:r>
        <w:r w:rsidR="006C1917" w:rsidRPr="009856C9">
          <w:rPr>
            <w:rStyle w:val="Hypertextovodkaz"/>
            <w:noProof/>
            <w:sz w:val="24"/>
            <w:szCs w:val="24"/>
          </w:rPr>
          <w:t>Fyziologie regulace vazby troponinu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_Toc422993222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14</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27" w:history="1">
        <w:r w:rsidR="006C1917" w:rsidRPr="009856C9">
          <w:rPr>
            <w:rStyle w:val="Hypertextovodkaz"/>
            <w:noProof/>
            <w:sz w:val="24"/>
            <w:szCs w:val="24"/>
          </w:rPr>
          <w:t>2.2</w:t>
        </w:r>
        <w:r w:rsidR="006C1917" w:rsidRPr="009856C9">
          <w:rPr>
            <w:noProof/>
            <w:sz w:val="24"/>
            <w:szCs w:val="24"/>
          </w:rPr>
          <w:tab/>
        </w:r>
        <w:r w:rsidR="006C1917" w:rsidRPr="009856C9">
          <w:rPr>
            <w:rStyle w:val="Hypertextovodkaz"/>
            <w:noProof/>
            <w:sz w:val="24"/>
            <w:szCs w:val="24"/>
          </w:rPr>
          <w:t>Energetický proces vzniku troponin-tropomyozinového komplexu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_Toc422993227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16</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28" w:history="1">
        <w:r w:rsidR="006C1917" w:rsidRPr="009856C9">
          <w:rPr>
            <w:rStyle w:val="Hypertextovodkaz"/>
            <w:noProof/>
            <w:sz w:val="24"/>
            <w:szCs w:val="24"/>
          </w:rPr>
          <w:t>3</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Izoformy troponinů</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_Toc422993228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17</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29" w:history="1">
        <w:r w:rsidR="006C1917" w:rsidRPr="009856C9">
          <w:rPr>
            <w:rStyle w:val="Hypertextovodkaz"/>
            <w:noProof/>
            <w:sz w:val="24"/>
            <w:szCs w:val="24"/>
          </w:rPr>
          <w:t>4</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Detekce myokardiálního poškození pomocí troponinů</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_Toc422993229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19</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0" w:history="1">
        <w:r w:rsidR="006C1917" w:rsidRPr="009856C9">
          <w:rPr>
            <w:rStyle w:val="Hypertextovodkaz"/>
            <w:noProof/>
            <w:sz w:val="24"/>
            <w:szCs w:val="24"/>
          </w:rPr>
          <w:t>4.1</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rPr>
          <w:t>Mechanismy  myokardiálního poškození</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_Toc422993230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19</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31" w:history="1">
        <w:r w:rsidR="006C1917" w:rsidRPr="009856C9">
          <w:rPr>
            <w:rStyle w:val="Hypertextovodkaz"/>
            <w:noProof/>
            <w:sz w:val="24"/>
            <w:szCs w:val="24"/>
            <w:lang w:eastAsia="ar-SA"/>
          </w:rPr>
          <w:t>4.1.1</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lang w:eastAsia="ar-SA"/>
          </w:rPr>
          <w:t>Mechanismy ischemického poškození myokardu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_Toc422993231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19</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32" w:history="1">
        <w:r w:rsidR="006C1917" w:rsidRPr="009856C9">
          <w:rPr>
            <w:rStyle w:val="Hypertextovodkaz"/>
            <w:noProof/>
            <w:sz w:val="24"/>
            <w:szCs w:val="24"/>
            <w:lang w:eastAsia="ar-SA"/>
          </w:rPr>
          <w:t xml:space="preserve">4.1.2  </w:t>
        </w:r>
        <w:r w:rsidR="006C1917" w:rsidRPr="009856C9">
          <w:rPr>
            <w:noProof/>
            <w:sz w:val="24"/>
            <w:szCs w:val="24"/>
          </w:rPr>
          <w:t xml:space="preserve"> </w:t>
        </w:r>
        <w:r w:rsidR="006C1917" w:rsidRPr="009856C9">
          <w:rPr>
            <w:noProof/>
            <w:sz w:val="24"/>
            <w:szCs w:val="24"/>
          </w:rPr>
          <w:tab/>
        </w:r>
        <w:r w:rsidR="006C1917" w:rsidRPr="009856C9">
          <w:rPr>
            <w:rStyle w:val="Hypertextovodkaz"/>
            <w:noProof/>
            <w:sz w:val="24"/>
            <w:szCs w:val="24"/>
            <w:lang w:eastAsia="ar-SA"/>
          </w:rPr>
          <w:t>Možné mechanismy neischemického poškození myokardu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_Toc422993232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20</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33" w:history="1">
        <w:r w:rsidR="006C1917" w:rsidRPr="009856C9">
          <w:rPr>
            <w:rStyle w:val="Hypertextovodkaz"/>
            <w:noProof/>
            <w:sz w:val="24"/>
            <w:szCs w:val="24"/>
          </w:rPr>
          <w:t>5</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Detekce troponinu v séru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_Toc422993233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22</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4" w:history="1">
        <w:r w:rsidR="006C1917" w:rsidRPr="009856C9">
          <w:rPr>
            <w:rStyle w:val="Hypertextovodkaz"/>
            <w:noProof/>
            <w:sz w:val="24"/>
            <w:szCs w:val="24"/>
          </w:rPr>
          <w:t>5.1</w:t>
        </w:r>
        <w:r w:rsidR="006C1917" w:rsidRPr="009856C9">
          <w:rPr>
            <w:noProof/>
            <w:sz w:val="24"/>
            <w:szCs w:val="24"/>
          </w:rPr>
          <w:tab/>
        </w:r>
        <w:r w:rsidR="006C1917" w:rsidRPr="009856C9">
          <w:rPr>
            <w:rStyle w:val="Hypertextovodkaz"/>
            <w:noProof/>
            <w:sz w:val="24"/>
            <w:szCs w:val="24"/>
          </w:rPr>
          <w:t>Preanalytická fáze detekce troponinů v séru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_Toc422993234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22</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5" w:history="1">
        <w:r w:rsidR="006C1917" w:rsidRPr="009856C9">
          <w:rPr>
            <w:rStyle w:val="Hypertextovodkaz"/>
            <w:noProof/>
            <w:sz w:val="24"/>
            <w:szCs w:val="24"/>
          </w:rPr>
          <w:t>5.2</w:t>
        </w:r>
        <w:r w:rsidR="006C1917" w:rsidRPr="009856C9">
          <w:rPr>
            <w:noProof/>
            <w:sz w:val="24"/>
            <w:szCs w:val="24"/>
          </w:rPr>
          <w:tab/>
        </w:r>
        <w:r w:rsidR="006C1917" w:rsidRPr="009856C9">
          <w:rPr>
            <w:rStyle w:val="Hypertextovodkaz"/>
            <w:noProof/>
            <w:sz w:val="24"/>
            <w:szCs w:val="24"/>
          </w:rPr>
          <w:t>Princip stanovení hladiny troponinu v séru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_Toc422993235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22</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6" w:history="1">
        <w:r w:rsidR="006C1917" w:rsidRPr="009856C9">
          <w:rPr>
            <w:rStyle w:val="Hypertextovodkaz"/>
            <w:noProof/>
            <w:sz w:val="24"/>
            <w:szCs w:val="24"/>
          </w:rPr>
          <w:t>5.3</w:t>
        </w:r>
        <w:r w:rsidR="006C1917" w:rsidRPr="009856C9">
          <w:rPr>
            <w:noProof/>
            <w:sz w:val="24"/>
            <w:szCs w:val="24"/>
          </w:rPr>
          <w:tab/>
        </w:r>
        <w:r w:rsidR="006C1917" w:rsidRPr="009856C9">
          <w:rPr>
            <w:rStyle w:val="Hypertextovodkaz"/>
            <w:noProof/>
            <w:sz w:val="24"/>
            <w:szCs w:val="24"/>
          </w:rPr>
          <w:t>Zvláštnosti při stanovení troponinu T a I</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_Toc422993236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24</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7" w:history="1">
        <w:r w:rsidR="006C1917" w:rsidRPr="009856C9">
          <w:rPr>
            <w:rStyle w:val="Hypertextovodkaz"/>
            <w:noProof/>
            <w:sz w:val="24"/>
            <w:szCs w:val="24"/>
          </w:rPr>
          <w:t>5.4</w:t>
        </w:r>
        <w:r w:rsidR="006C1917" w:rsidRPr="009856C9">
          <w:rPr>
            <w:noProof/>
            <w:sz w:val="24"/>
            <w:szCs w:val="24"/>
          </w:rPr>
          <w:tab/>
        </w:r>
        <w:r w:rsidR="006C1917" w:rsidRPr="009856C9">
          <w:rPr>
            <w:rStyle w:val="Hypertextovodkaz"/>
            <w:noProof/>
            <w:sz w:val="24"/>
            <w:szCs w:val="24"/>
          </w:rPr>
          <w:t>Normální hodnoty troponinů</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_Toc422993237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26</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8" w:history="1">
        <w:r w:rsidR="006C1917" w:rsidRPr="009856C9">
          <w:rPr>
            <w:rStyle w:val="Hypertextovodkaz"/>
            <w:noProof/>
            <w:sz w:val="24"/>
            <w:szCs w:val="24"/>
          </w:rPr>
          <w:t>5.5</w:t>
        </w:r>
        <w:r w:rsidR="006C1917" w:rsidRPr="009856C9">
          <w:rPr>
            <w:noProof/>
            <w:sz w:val="24"/>
            <w:szCs w:val="24"/>
          </w:rPr>
          <w:tab/>
        </w:r>
        <w:r w:rsidR="006C1917" w:rsidRPr="009856C9">
          <w:rPr>
            <w:rStyle w:val="Hypertextovodkaz"/>
            <w:noProof/>
            <w:sz w:val="24"/>
            <w:szCs w:val="24"/>
          </w:rPr>
          <w:t>Sérová dynamika hladin troponinu při myokardiálním poškození</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_Toc422993238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28</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39" w:history="1">
        <w:r w:rsidR="006C1917" w:rsidRPr="009856C9">
          <w:rPr>
            <w:rStyle w:val="Hypertextovodkaz"/>
            <w:noProof/>
            <w:sz w:val="24"/>
            <w:szCs w:val="24"/>
          </w:rPr>
          <w:t>5.6</w:t>
        </w:r>
        <w:r w:rsidR="006C1917" w:rsidRPr="009856C9">
          <w:rPr>
            <w:noProof/>
            <w:sz w:val="24"/>
            <w:szCs w:val="24"/>
          </w:rPr>
          <w:tab/>
        </w:r>
        <w:r w:rsidR="006C1917" w:rsidRPr="009856C9">
          <w:rPr>
            <w:rStyle w:val="Hypertextovodkaz"/>
            <w:noProof/>
            <w:sz w:val="24"/>
            <w:szCs w:val="24"/>
          </w:rPr>
          <w:t>Ostatní markery myokardiálního poškození</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_Toc422993239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28</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40" w:history="1">
        <w:r w:rsidR="006C1917" w:rsidRPr="009856C9">
          <w:rPr>
            <w:rStyle w:val="Hypertextovodkaz"/>
            <w:noProof/>
            <w:sz w:val="24"/>
            <w:szCs w:val="24"/>
          </w:rPr>
          <w:t>6</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Problematika trvalé kardiostimulace</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_Toc422993240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29</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41" w:history="1">
        <w:r w:rsidR="006C1917" w:rsidRPr="009856C9">
          <w:rPr>
            <w:rStyle w:val="Hypertextovodkaz"/>
            <w:noProof/>
            <w:sz w:val="24"/>
            <w:szCs w:val="24"/>
          </w:rPr>
          <w:t>6.1</w:t>
        </w:r>
        <w:r w:rsidR="006C1917" w:rsidRPr="009856C9">
          <w:rPr>
            <w:noProof/>
            <w:sz w:val="24"/>
            <w:szCs w:val="24"/>
          </w:rPr>
          <w:tab/>
        </w:r>
        <w:r w:rsidR="006C1917" w:rsidRPr="009856C9">
          <w:rPr>
            <w:rStyle w:val="Hypertextovodkaz"/>
            <w:noProof/>
            <w:sz w:val="24"/>
            <w:szCs w:val="24"/>
          </w:rPr>
          <w:t>Anatomie a fyziologie převodní soustavy srdeční</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_Toc422993241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29</w:t>
        </w:r>
        <w:r w:rsidRPr="009856C9">
          <w:rPr>
            <w:noProof/>
            <w:webHidden/>
            <w:sz w:val="24"/>
            <w:szCs w:val="24"/>
          </w:rPr>
          <w:fldChar w:fldCharType="end"/>
        </w:r>
      </w:hyperlink>
    </w:p>
    <w:p w:rsidR="006C1917" w:rsidRPr="009856C9" w:rsidRDefault="00D904E8" w:rsidP="0056117D">
      <w:pPr>
        <w:pStyle w:val="Obsah2"/>
        <w:rPr>
          <w:noProof/>
          <w:sz w:val="24"/>
          <w:szCs w:val="24"/>
        </w:rPr>
      </w:pPr>
      <w:hyperlink w:anchor="_Toc422993242" w:history="1">
        <w:r w:rsidR="006C1917" w:rsidRPr="009856C9">
          <w:rPr>
            <w:rStyle w:val="Hypertextovodkaz"/>
            <w:noProof/>
            <w:sz w:val="24"/>
            <w:szCs w:val="24"/>
          </w:rPr>
          <w:t>6.2</w:t>
        </w:r>
        <w:r w:rsidR="006C1917" w:rsidRPr="009856C9">
          <w:rPr>
            <w:noProof/>
            <w:sz w:val="24"/>
            <w:szCs w:val="24"/>
          </w:rPr>
          <w:tab/>
        </w:r>
        <w:r w:rsidR="006C1917" w:rsidRPr="009856C9">
          <w:rPr>
            <w:rStyle w:val="Hypertextovodkaz"/>
            <w:noProof/>
            <w:sz w:val="24"/>
            <w:szCs w:val="24"/>
          </w:rPr>
          <w:t>Trvalá kardiostimulace</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_Toc422993242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30</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43" w:history="1">
        <w:r w:rsidR="006C1917" w:rsidRPr="009856C9">
          <w:rPr>
            <w:rStyle w:val="Hypertextovodkaz"/>
            <w:noProof/>
            <w:sz w:val="24"/>
            <w:szCs w:val="24"/>
            <w:lang w:eastAsia="ar-SA"/>
          </w:rPr>
          <w:t>6.2.1</w:t>
        </w:r>
        <w:r w:rsidR="006C1917" w:rsidRPr="009856C9">
          <w:rPr>
            <w:noProof/>
            <w:sz w:val="24"/>
            <w:szCs w:val="24"/>
          </w:rPr>
          <w:tab/>
        </w:r>
        <w:r w:rsidR="006C1917" w:rsidRPr="009856C9">
          <w:rPr>
            <w:rStyle w:val="Hypertextovodkaz"/>
            <w:noProof/>
            <w:sz w:val="24"/>
            <w:szCs w:val="24"/>
            <w:lang w:eastAsia="ar-SA"/>
          </w:rPr>
          <w:t>Definice pojmů</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_Toc422993243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30</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44" w:history="1">
        <w:r w:rsidR="006C1917" w:rsidRPr="009856C9">
          <w:rPr>
            <w:rStyle w:val="Hypertextovodkaz"/>
            <w:noProof/>
            <w:sz w:val="24"/>
            <w:szCs w:val="24"/>
            <w:lang w:eastAsia="ar-SA"/>
          </w:rPr>
          <w:t>6.2.2</w:t>
        </w:r>
        <w:r w:rsidR="006C1917" w:rsidRPr="009856C9">
          <w:rPr>
            <w:noProof/>
            <w:sz w:val="24"/>
            <w:szCs w:val="24"/>
          </w:rPr>
          <w:tab/>
        </w:r>
        <w:r w:rsidR="006C1917" w:rsidRPr="009856C9">
          <w:rPr>
            <w:rStyle w:val="Hypertextovodkaz"/>
            <w:noProof/>
            <w:sz w:val="24"/>
            <w:szCs w:val="24"/>
            <w:lang w:eastAsia="ar-SA"/>
          </w:rPr>
          <w:t>Popis výkonu</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_Toc422993244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31</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45" w:history="1">
        <w:r w:rsidR="006C1917" w:rsidRPr="009856C9">
          <w:rPr>
            <w:rStyle w:val="Hypertextovodkaz"/>
            <w:noProof/>
            <w:sz w:val="24"/>
            <w:szCs w:val="24"/>
            <w:lang w:eastAsia="ar-SA"/>
          </w:rPr>
          <w:t>6.2.3</w:t>
        </w:r>
        <w:r w:rsidR="006C1917" w:rsidRPr="009856C9">
          <w:rPr>
            <w:noProof/>
            <w:sz w:val="24"/>
            <w:szCs w:val="24"/>
          </w:rPr>
          <w:tab/>
        </w:r>
        <w:r w:rsidR="006C1917" w:rsidRPr="009856C9">
          <w:rPr>
            <w:rStyle w:val="Hypertextovodkaz"/>
            <w:noProof/>
            <w:sz w:val="24"/>
            <w:szCs w:val="24"/>
            <w:lang w:eastAsia="ar-SA"/>
          </w:rPr>
          <w:t>Základní parametry kardiostimulace</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_Toc422993245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33</w:t>
        </w:r>
        <w:r w:rsidRPr="009856C9">
          <w:rPr>
            <w:noProof/>
            <w:webHidden/>
            <w:sz w:val="24"/>
            <w:szCs w:val="24"/>
          </w:rPr>
          <w:fldChar w:fldCharType="end"/>
        </w:r>
      </w:hyperlink>
    </w:p>
    <w:p w:rsidR="006C1917" w:rsidRPr="009856C9" w:rsidRDefault="00D904E8" w:rsidP="0056117D">
      <w:pPr>
        <w:pStyle w:val="Obsah3"/>
        <w:tabs>
          <w:tab w:val="left" w:pos="709"/>
          <w:tab w:val="left" w:pos="1320"/>
          <w:tab w:val="right" w:leader="dot" w:pos="9062"/>
        </w:tabs>
        <w:ind w:left="0"/>
        <w:rPr>
          <w:noProof/>
          <w:sz w:val="24"/>
          <w:szCs w:val="24"/>
        </w:rPr>
      </w:pPr>
      <w:hyperlink w:anchor="_Toc422993246" w:history="1">
        <w:r w:rsidR="006C1917" w:rsidRPr="009856C9">
          <w:rPr>
            <w:rStyle w:val="Hypertextovodkaz"/>
            <w:noProof/>
            <w:sz w:val="24"/>
            <w:szCs w:val="24"/>
            <w:lang w:eastAsia="ar-SA"/>
          </w:rPr>
          <w:t>6.2.4</w:t>
        </w:r>
        <w:r w:rsidR="006C1917" w:rsidRPr="009856C9">
          <w:rPr>
            <w:noProof/>
            <w:sz w:val="24"/>
            <w:szCs w:val="24"/>
          </w:rPr>
          <w:tab/>
        </w:r>
        <w:r w:rsidR="006C1917" w:rsidRPr="009856C9">
          <w:rPr>
            <w:rStyle w:val="Hypertextovodkaz"/>
            <w:noProof/>
            <w:sz w:val="24"/>
            <w:szCs w:val="24"/>
            <w:lang w:eastAsia="ar-SA"/>
          </w:rPr>
          <w:t>Kardiostimulátory</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_Toc422993246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37</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47" w:history="1">
        <w:r w:rsidR="006C1917" w:rsidRPr="009856C9">
          <w:rPr>
            <w:rStyle w:val="Hypertextovodkaz"/>
            <w:noProof/>
            <w:sz w:val="24"/>
            <w:szCs w:val="24"/>
          </w:rPr>
          <w:t>7</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Testovací hypotéza</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_Toc422993247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39</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48" w:history="1">
        <w:r w:rsidR="006C1917" w:rsidRPr="009856C9">
          <w:rPr>
            <w:rStyle w:val="Hypertextovodkaz"/>
            <w:noProof/>
            <w:sz w:val="24"/>
            <w:szCs w:val="24"/>
          </w:rPr>
          <w:t>8</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Cíle studie</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_Toc422993248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40</w:t>
        </w:r>
        <w:r w:rsidRPr="009856C9">
          <w:rPr>
            <w:noProof/>
            <w:webHidden/>
            <w:sz w:val="24"/>
            <w:szCs w:val="24"/>
          </w:rPr>
          <w:fldChar w:fldCharType="end"/>
        </w:r>
      </w:hyperlink>
    </w:p>
    <w:p w:rsidR="006C1917" w:rsidRPr="009856C9" w:rsidRDefault="00D904E8" w:rsidP="0056117D">
      <w:pPr>
        <w:pStyle w:val="Obsah1"/>
        <w:tabs>
          <w:tab w:val="left" w:pos="440"/>
          <w:tab w:val="left" w:pos="709"/>
          <w:tab w:val="right" w:leader="dot" w:pos="9062"/>
        </w:tabs>
        <w:rPr>
          <w:noProof/>
          <w:sz w:val="24"/>
          <w:szCs w:val="24"/>
        </w:rPr>
      </w:pPr>
      <w:hyperlink w:anchor="_Toc422993249" w:history="1">
        <w:r w:rsidR="006C1917" w:rsidRPr="009856C9">
          <w:rPr>
            <w:rStyle w:val="Hypertextovodkaz"/>
            <w:noProof/>
            <w:sz w:val="24"/>
            <w:szCs w:val="24"/>
          </w:rPr>
          <w:t>9</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Metodika</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_Toc422993249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41</w:t>
        </w:r>
        <w:r w:rsidRPr="009856C9">
          <w:rPr>
            <w:noProof/>
            <w:webHidden/>
            <w:sz w:val="24"/>
            <w:szCs w:val="24"/>
          </w:rPr>
          <w:fldChar w:fldCharType="end"/>
        </w:r>
      </w:hyperlink>
    </w:p>
    <w:p w:rsidR="006C1917" w:rsidRPr="009856C9" w:rsidRDefault="00D904E8" w:rsidP="0056117D">
      <w:pPr>
        <w:pStyle w:val="Obsah1"/>
        <w:tabs>
          <w:tab w:val="left" w:pos="660"/>
          <w:tab w:val="left" w:pos="709"/>
          <w:tab w:val="right" w:leader="dot" w:pos="9062"/>
        </w:tabs>
        <w:rPr>
          <w:noProof/>
          <w:sz w:val="24"/>
          <w:szCs w:val="24"/>
        </w:rPr>
      </w:pPr>
      <w:hyperlink w:anchor="_Toc422993250" w:history="1">
        <w:r w:rsidR="006C1917" w:rsidRPr="009856C9">
          <w:rPr>
            <w:rStyle w:val="Hypertextovodkaz"/>
            <w:noProof/>
            <w:sz w:val="24"/>
            <w:szCs w:val="24"/>
          </w:rPr>
          <w:t>10</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Výsledky</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_Toc422993250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45</w:t>
        </w:r>
        <w:r w:rsidRPr="009856C9">
          <w:rPr>
            <w:noProof/>
            <w:webHidden/>
            <w:sz w:val="24"/>
            <w:szCs w:val="24"/>
          </w:rPr>
          <w:fldChar w:fldCharType="end"/>
        </w:r>
      </w:hyperlink>
    </w:p>
    <w:p w:rsidR="006C1917" w:rsidRPr="009856C9" w:rsidRDefault="00D904E8" w:rsidP="0056117D">
      <w:pPr>
        <w:pStyle w:val="Obsah1"/>
        <w:tabs>
          <w:tab w:val="left" w:pos="660"/>
          <w:tab w:val="left" w:pos="709"/>
          <w:tab w:val="right" w:leader="dot" w:pos="9062"/>
        </w:tabs>
        <w:rPr>
          <w:noProof/>
          <w:sz w:val="24"/>
          <w:szCs w:val="24"/>
        </w:rPr>
      </w:pPr>
      <w:hyperlink w:anchor="_Toc422993251" w:history="1">
        <w:r w:rsidR="006C1917" w:rsidRPr="009856C9">
          <w:rPr>
            <w:rStyle w:val="Hypertextovodkaz"/>
            <w:noProof/>
            <w:sz w:val="24"/>
            <w:szCs w:val="24"/>
          </w:rPr>
          <w:t>11</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Diskuze</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_Toc422993251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57</w:t>
        </w:r>
        <w:r w:rsidRPr="009856C9">
          <w:rPr>
            <w:noProof/>
            <w:webHidden/>
            <w:sz w:val="24"/>
            <w:szCs w:val="24"/>
          </w:rPr>
          <w:fldChar w:fldCharType="end"/>
        </w:r>
      </w:hyperlink>
    </w:p>
    <w:p w:rsidR="006C1917" w:rsidRPr="009856C9" w:rsidRDefault="00D904E8" w:rsidP="0056117D">
      <w:pPr>
        <w:pStyle w:val="Obsah1"/>
        <w:tabs>
          <w:tab w:val="left" w:pos="660"/>
          <w:tab w:val="left" w:pos="709"/>
          <w:tab w:val="right" w:leader="dot" w:pos="9062"/>
        </w:tabs>
        <w:rPr>
          <w:noProof/>
          <w:sz w:val="24"/>
          <w:szCs w:val="24"/>
        </w:rPr>
      </w:pPr>
      <w:hyperlink w:anchor="_Toc422993252" w:history="1">
        <w:r w:rsidR="006C1917" w:rsidRPr="009856C9">
          <w:rPr>
            <w:rStyle w:val="Hypertextovodkaz"/>
            <w:noProof/>
            <w:sz w:val="24"/>
            <w:szCs w:val="24"/>
          </w:rPr>
          <w:t>12</w:t>
        </w:r>
        <w:r w:rsidR="006C1917" w:rsidRPr="009856C9">
          <w:rPr>
            <w:noProof/>
            <w:sz w:val="24"/>
            <w:szCs w:val="24"/>
          </w:rPr>
          <w:tab/>
        </w:r>
        <w:r w:rsidR="006C1917" w:rsidRPr="009856C9">
          <w:rPr>
            <w:noProof/>
            <w:sz w:val="24"/>
            <w:szCs w:val="24"/>
          </w:rPr>
          <w:tab/>
        </w:r>
        <w:r w:rsidR="006C1917" w:rsidRPr="009856C9">
          <w:rPr>
            <w:rStyle w:val="Hypertextovodkaz"/>
            <w:noProof/>
            <w:sz w:val="24"/>
            <w:szCs w:val="24"/>
          </w:rPr>
          <w:t>Závěr</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_Toc422993252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72</w:t>
        </w:r>
        <w:r w:rsidRPr="009856C9">
          <w:rPr>
            <w:noProof/>
            <w:webHidden/>
            <w:sz w:val="24"/>
            <w:szCs w:val="24"/>
          </w:rPr>
          <w:fldChar w:fldCharType="end"/>
        </w:r>
      </w:hyperlink>
    </w:p>
    <w:p w:rsidR="006C1917" w:rsidRPr="009856C9" w:rsidRDefault="00D904E8" w:rsidP="0056117D">
      <w:pPr>
        <w:pStyle w:val="Obsah1"/>
        <w:tabs>
          <w:tab w:val="left" w:pos="709"/>
          <w:tab w:val="right" w:leader="dot" w:pos="9062"/>
        </w:tabs>
        <w:rPr>
          <w:noProof/>
          <w:sz w:val="24"/>
          <w:szCs w:val="24"/>
        </w:rPr>
      </w:pPr>
      <w:hyperlink w:anchor="_Toc422993253" w:history="1">
        <w:r w:rsidR="006C1917" w:rsidRPr="009856C9">
          <w:rPr>
            <w:rStyle w:val="Hypertextovodkaz"/>
            <w:noProof/>
            <w:sz w:val="24"/>
            <w:szCs w:val="24"/>
          </w:rPr>
          <w:t>Seznam zkratek</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_Toc422993253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74</w:t>
        </w:r>
        <w:r w:rsidRPr="009856C9">
          <w:rPr>
            <w:noProof/>
            <w:webHidden/>
            <w:sz w:val="24"/>
            <w:szCs w:val="24"/>
          </w:rPr>
          <w:fldChar w:fldCharType="end"/>
        </w:r>
      </w:hyperlink>
    </w:p>
    <w:p w:rsidR="006C1917" w:rsidRPr="009856C9" w:rsidRDefault="00D904E8" w:rsidP="0056117D">
      <w:pPr>
        <w:pStyle w:val="Obsah1"/>
        <w:tabs>
          <w:tab w:val="left" w:pos="709"/>
          <w:tab w:val="right" w:leader="dot" w:pos="9062"/>
        </w:tabs>
        <w:rPr>
          <w:noProof/>
          <w:sz w:val="24"/>
          <w:szCs w:val="24"/>
        </w:rPr>
      </w:pPr>
      <w:hyperlink w:anchor="_Toc422993254" w:history="1">
        <w:r w:rsidR="006C1917" w:rsidRPr="009856C9">
          <w:rPr>
            <w:rStyle w:val="Hypertextovodkaz"/>
            <w:noProof/>
            <w:sz w:val="24"/>
            <w:szCs w:val="24"/>
          </w:rPr>
          <w:t>Literatura</w:t>
        </w:r>
        <w:r w:rsidR="006C1917" w:rsidRPr="009856C9">
          <w:rPr>
            <w:noProof/>
            <w:webHidden/>
            <w:sz w:val="24"/>
            <w:szCs w:val="24"/>
          </w:rPr>
          <w:tab/>
        </w:r>
        <w:r w:rsidRPr="009856C9">
          <w:rPr>
            <w:noProof/>
            <w:webHidden/>
            <w:sz w:val="24"/>
            <w:szCs w:val="24"/>
          </w:rPr>
          <w:fldChar w:fldCharType="begin"/>
        </w:r>
        <w:r w:rsidR="006C1917" w:rsidRPr="009856C9">
          <w:rPr>
            <w:noProof/>
            <w:webHidden/>
            <w:sz w:val="24"/>
            <w:szCs w:val="24"/>
          </w:rPr>
          <w:instrText xml:space="preserve"> PAGEREF _Toc422993254 \h </w:instrText>
        </w:r>
        <w:r w:rsidRPr="009856C9">
          <w:rPr>
            <w:noProof/>
            <w:webHidden/>
            <w:sz w:val="24"/>
            <w:szCs w:val="24"/>
          </w:rPr>
        </w:r>
        <w:r w:rsidRPr="009856C9">
          <w:rPr>
            <w:noProof/>
            <w:webHidden/>
            <w:sz w:val="24"/>
            <w:szCs w:val="24"/>
          </w:rPr>
          <w:fldChar w:fldCharType="separate"/>
        </w:r>
        <w:r w:rsidR="000A5780" w:rsidRPr="009856C9">
          <w:rPr>
            <w:noProof/>
            <w:webHidden/>
            <w:sz w:val="24"/>
            <w:szCs w:val="24"/>
          </w:rPr>
          <w:t>75</w:t>
        </w:r>
        <w:r w:rsidRPr="009856C9">
          <w:rPr>
            <w:noProof/>
            <w:webHidden/>
            <w:sz w:val="24"/>
            <w:szCs w:val="24"/>
          </w:rPr>
          <w:fldChar w:fldCharType="end"/>
        </w:r>
      </w:hyperlink>
    </w:p>
    <w:p w:rsidR="006C1917" w:rsidRDefault="00D904E8" w:rsidP="0056117D">
      <w:pPr>
        <w:tabs>
          <w:tab w:val="left" w:pos="709"/>
        </w:tabs>
      </w:pPr>
      <w:r w:rsidRPr="009856C9">
        <w:rPr>
          <w:sz w:val="24"/>
          <w:szCs w:val="24"/>
        </w:rPr>
        <w:fldChar w:fldCharType="end"/>
      </w:r>
    </w:p>
    <w:p w:rsidR="006C1917" w:rsidRPr="00F420AA" w:rsidRDefault="006C1917" w:rsidP="000C7FCD">
      <w:pPr>
        <w:jc w:val="both"/>
        <w:rPr>
          <w:sz w:val="24"/>
          <w:szCs w:val="24"/>
        </w:rPr>
      </w:pPr>
    </w:p>
    <w:p w:rsidR="006C1917" w:rsidRDefault="006C1917" w:rsidP="000C7FCD">
      <w:pPr>
        <w:jc w:val="both"/>
      </w:pPr>
    </w:p>
    <w:p w:rsidR="006C1917" w:rsidRDefault="006C1917" w:rsidP="000C7FCD">
      <w:pPr>
        <w:pStyle w:val="Odstavecseseznamem"/>
        <w:ind w:left="786"/>
        <w:jc w:val="both"/>
      </w:pPr>
    </w:p>
    <w:p w:rsidR="006C1917" w:rsidRDefault="006C1917" w:rsidP="000C7FCD">
      <w:pPr>
        <w:jc w:val="both"/>
      </w:pPr>
    </w:p>
    <w:p w:rsidR="006C1917" w:rsidRPr="00133633" w:rsidRDefault="006C1917" w:rsidP="000C7FCD">
      <w:pPr>
        <w:jc w:val="both"/>
      </w:pPr>
    </w:p>
    <w:p w:rsidR="006C1917" w:rsidRDefault="006C1917" w:rsidP="000F074E"/>
    <w:p w:rsidR="006C1917" w:rsidRDefault="006C1917" w:rsidP="006944B2">
      <w:pPr>
        <w:spacing w:line="360" w:lineRule="auto"/>
        <w:rPr>
          <w:b/>
          <w:sz w:val="32"/>
          <w:szCs w:val="32"/>
        </w:rPr>
      </w:pPr>
    </w:p>
    <w:p w:rsidR="006C1917" w:rsidRDefault="006C1917" w:rsidP="006944B2">
      <w:pPr>
        <w:spacing w:line="360" w:lineRule="auto"/>
        <w:rPr>
          <w:b/>
          <w:sz w:val="32"/>
          <w:szCs w:val="32"/>
        </w:rPr>
      </w:pPr>
    </w:p>
    <w:p w:rsidR="006C1917" w:rsidRDefault="006C1917">
      <w:pPr>
        <w:spacing w:after="0" w:line="240" w:lineRule="auto"/>
        <w:rPr>
          <w:b/>
          <w:bCs/>
          <w:kern w:val="1"/>
          <w:sz w:val="32"/>
          <w:szCs w:val="32"/>
          <w:lang w:eastAsia="ar-SA"/>
        </w:rPr>
      </w:pPr>
      <w:r>
        <w:br w:type="page"/>
      </w:r>
      <w:bookmarkStart w:id="0" w:name="_GoBack"/>
      <w:bookmarkEnd w:id="0"/>
    </w:p>
    <w:p w:rsidR="006C1917" w:rsidRDefault="006C1917" w:rsidP="00930B73">
      <w:pPr>
        <w:pStyle w:val="Styl1"/>
      </w:pPr>
      <w:bookmarkStart w:id="1" w:name="_Toc422993212"/>
      <w:r w:rsidRPr="00930B73">
        <w:lastRenderedPageBreak/>
        <w:t>Abstrakt</w:t>
      </w:r>
      <w:bookmarkEnd w:id="1"/>
    </w:p>
    <w:p w:rsidR="006C1917" w:rsidRPr="00930B73" w:rsidRDefault="006C1917" w:rsidP="00930B73">
      <w:pPr>
        <w:pStyle w:val="Styl1"/>
      </w:pPr>
    </w:p>
    <w:p w:rsidR="006C1917" w:rsidRPr="00F3651E" w:rsidRDefault="006C1917" w:rsidP="006944B2">
      <w:pPr>
        <w:pStyle w:val="Abstrakt-text"/>
        <w:spacing w:line="360" w:lineRule="auto"/>
        <w:rPr>
          <w:rFonts w:ascii="Calibri" w:hAnsi="Calibri"/>
          <w:b/>
          <w:sz w:val="24"/>
          <w:szCs w:val="24"/>
        </w:rPr>
      </w:pPr>
      <w:r w:rsidRPr="00F3651E">
        <w:rPr>
          <w:rFonts w:ascii="Calibri" w:hAnsi="Calibri"/>
          <w:b/>
          <w:sz w:val="24"/>
          <w:szCs w:val="24"/>
        </w:rPr>
        <w:t>Úvod</w:t>
      </w:r>
      <w:r>
        <w:rPr>
          <w:rFonts w:ascii="Calibri" w:hAnsi="Calibri"/>
          <w:b/>
          <w:sz w:val="24"/>
          <w:szCs w:val="24"/>
        </w:rPr>
        <w:t>:</w:t>
      </w:r>
    </w:p>
    <w:p w:rsidR="006C1917" w:rsidRPr="00F3651E" w:rsidRDefault="006C1917" w:rsidP="006944B2">
      <w:pPr>
        <w:pStyle w:val="Abstrakt-text"/>
        <w:spacing w:after="120" w:line="360" w:lineRule="auto"/>
        <w:rPr>
          <w:rFonts w:ascii="Calibri" w:hAnsi="Calibri"/>
          <w:sz w:val="24"/>
          <w:szCs w:val="24"/>
        </w:rPr>
      </w:pPr>
      <w:r w:rsidRPr="00F3651E">
        <w:rPr>
          <w:rFonts w:ascii="Calibri" w:hAnsi="Calibri"/>
          <w:sz w:val="24"/>
          <w:szCs w:val="24"/>
        </w:rPr>
        <w:t>Srdeční troponiny jsou vysoce specifické markery myokardiálního poškození. Elevace jejich sérových hodnot není vždy způsobena ischemií. Existuje mnoho dalších důvodů pro jejich zvýšení. V naší práci sledujeme faktory ovlivňující elevaci kardiospecifických markerů po primoimplantaci kardiostimulátoru.</w:t>
      </w:r>
    </w:p>
    <w:p w:rsidR="006C1917" w:rsidRPr="00F3651E"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Cíle</w:t>
      </w:r>
      <w:r>
        <w:rPr>
          <w:rFonts w:ascii="Calibri" w:hAnsi="Calibri"/>
          <w:b/>
          <w:sz w:val="24"/>
          <w:szCs w:val="24"/>
        </w:rPr>
        <w:t>:</w:t>
      </w:r>
    </w:p>
    <w:p w:rsidR="006C1917" w:rsidRPr="00F3651E" w:rsidRDefault="006C1917" w:rsidP="001429DD">
      <w:pPr>
        <w:pStyle w:val="Abstrakt-text"/>
        <w:numPr>
          <w:ilvl w:val="0"/>
          <w:numId w:val="5"/>
        </w:numPr>
        <w:spacing w:after="120" w:line="360" w:lineRule="auto"/>
        <w:ind w:left="426"/>
        <w:rPr>
          <w:rFonts w:ascii="Calibri" w:hAnsi="Calibri"/>
          <w:sz w:val="24"/>
          <w:szCs w:val="24"/>
        </w:rPr>
      </w:pPr>
      <w:r w:rsidRPr="00F3651E">
        <w:rPr>
          <w:rFonts w:ascii="Calibri" w:hAnsi="Calibri"/>
          <w:sz w:val="24"/>
          <w:szCs w:val="24"/>
        </w:rPr>
        <w:t xml:space="preserve">Zjistit, k jak velké elevaci kardiospecifických markerů dochází po primoimplantaci kardiostimulátoru při použití elektrodového systému s aktivní fixací u pacientů s jedno </w:t>
      </w:r>
      <w:r>
        <w:rPr>
          <w:rFonts w:ascii="Calibri" w:hAnsi="Calibri"/>
          <w:sz w:val="24"/>
          <w:szCs w:val="24"/>
        </w:rPr>
        <w:br/>
      </w:r>
      <w:r w:rsidRPr="00F3651E">
        <w:rPr>
          <w:rFonts w:ascii="Calibri" w:hAnsi="Calibri"/>
          <w:sz w:val="24"/>
          <w:szCs w:val="24"/>
        </w:rPr>
        <w:t>a dvoudutinovou kardiostimulací.</w:t>
      </w:r>
    </w:p>
    <w:p w:rsidR="006C1917" w:rsidRPr="00F3651E" w:rsidRDefault="006C1917" w:rsidP="001429DD">
      <w:pPr>
        <w:pStyle w:val="Abstrakt-text"/>
        <w:numPr>
          <w:ilvl w:val="0"/>
          <w:numId w:val="5"/>
        </w:numPr>
        <w:spacing w:after="0" w:line="360" w:lineRule="auto"/>
        <w:ind w:left="426"/>
        <w:rPr>
          <w:rFonts w:ascii="Calibri" w:hAnsi="Calibri"/>
          <w:sz w:val="24"/>
          <w:szCs w:val="24"/>
        </w:rPr>
      </w:pPr>
      <w:r w:rsidRPr="00F3651E">
        <w:rPr>
          <w:rFonts w:ascii="Calibri" w:hAnsi="Calibri"/>
          <w:sz w:val="24"/>
          <w:szCs w:val="24"/>
        </w:rPr>
        <w:t xml:space="preserve">Je skiaskopický čas provedeného výkonu přímo úměrný nárůstu hladin troponinu I </w:t>
      </w:r>
      <w:r>
        <w:rPr>
          <w:rFonts w:ascii="Calibri" w:hAnsi="Calibri"/>
          <w:sz w:val="24"/>
          <w:szCs w:val="24"/>
        </w:rPr>
        <w:br/>
      </w:r>
      <w:r w:rsidRPr="00F3651E">
        <w:rPr>
          <w:rFonts w:ascii="Calibri" w:hAnsi="Calibri"/>
          <w:sz w:val="24"/>
          <w:szCs w:val="24"/>
        </w:rPr>
        <w:t xml:space="preserve">po primoimplantaci přístroje? </w:t>
      </w:r>
    </w:p>
    <w:p w:rsidR="006C1917" w:rsidRPr="00F3651E" w:rsidRDefault="006C1917" w:rsidP="001429DD">
      <w:pPr>
        <w:pStyle w:val="Abstrakt-text"/>
        <w:numPr>
          <w:ilvl w:val="0"/>
          <w:numId w:val="5"/>
        </w:numPr>
        <w:spacing w:after="0" w:line="360" w:lineRule="auto"/>
        <w:ind w:left="426"/>
        <w:rPr>
          <w:rFonts w:ascii="Calibri" w:hAnsi="Calibri"/>
          <w:sz w:val="24"/>
          <w:szCs w:val="24"/>
        </w:rPr>
      </w:pPr>
      <w:r>
        <w:rPr>
          <w:rFonts w:ascii="Calibri" w:hAnsi="Calibri"/>
          <w:sz w:val="24"/>
          <w:szCs w:val="24"/>
        </w:rPr>
        <w:t>Jaká je</w:t>
      </w:r>
      <w:r w:rsidRPr="00F3651E">
        <w:rPr>
          <w:rFonts w:ascii="Calibri" w:hAnsi="Calibri"/>
          <w:sz w:val="24"/>
          <w:szCs w:val="24"/>
        </w:rPr>
        <w:t xml:space="preserve"> hodno</w:t>
      </w:r>
      <w:r>
        <w:rPr>
          <w:rFonts w:ascii="Calibri" w:hAnsi="Calibri"/>
          <w:sz w:val="24"/>
          <w:szCs w:val="24"/>
        </w:rPr>
        <w:t>ta troponinu I v  neselektované populaci</w:t>
      </w:r>
      <w:r w:rsidRPr="00F3651E">
        <w:rPr>
          <w:rFonts w:ascii="Calibri" w:hAnsi="Calibri"/>
          <w:sz w:val="24"/>
          <w:szCs w:val="24"/>
        </w:rPr>
        <w:t xml:space="preserve"> nem</w:t>
      </w:r>
      <w:r>
        <w:rPr>
          <w:rFonts w:ascii="Calibri" w:hAnsi="Calibri"/>
          <w:sz w:val="24"/>
          <w:szCs w:val="24"/>
        </w:rPr>
        <w:t>ocných se srdečním onemocněním?</w:t>
      </w:r>
    </w:p>
    <w:p w:rsidR="006C1917" w:rsidRPr="00F3651E"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Metodika</w:t>
      </w:r>
      <w:r>
        <w:rPr>
          <w:rFonts w:ascii="Calibri" w:hAnsi="Calibri"/>
          <w:b/>
          <w:sz w:val="24"/>
          <w:szCs w:val="24"/>
        </w:rPr>
        <w:t>:</w:t>
      </w:r>
    </w:p>
    <w:p w:rsidR="006C1917" w:rsidRPr="00F3651E" w:rsidRDefault="006C1917" w:rsidP="006944B2">
      <w:pPr>
        <w:pStyle w:val="Abstrakt-text"/>
        <w:spacing w:after="120" w:line="360" w:lineRule="auto"/>
        <w:rPr>
          <w:rFonts w:ascii="Calibri" w:hAnsi="Calibri"/>
          <w:sz w:val="24"/>
          <w:szCs w:val="24"/>
        </w:rPr>
      </w:pPr>
      <w:r w:rsidRPr="00F3651E">
        <w:rPr>
          <w:rFonts w:ascii="Calibri" w:hAnsi="Calibri"/>
          <w:sz w:val="24"/>
          <w:szCs w:val="24"/>
        </w:rPr>
        <w:t xml:space="preserve">Bylo zařazeno 230 pacientů indikovaných k primoimplantaci kardiostimulátoru, hodnoty markerů (troponin I, CKMB, myoglobin) byly stanoveny nejprve před primoimplantací </w:t>
      </w:r>
      <w:r>
        <w:rPr>
          <w:rFonts w:ascii="Calibri" w:hAnsi="Calibri"/>
          <w:sz w:val="24"/>
          <w:szCs w:val="24"/>
        </w:rPr>
        <w:br/>
      </w:r>
      <w:r w:rsidRPr="00F3651E">
        <w:rPr>
          <w:rFonts w:ascii="Calibri" w:hAnsi="Calibri"/>
          <w:sz w:val="24"/>
          <w:szCs w:val="24"/>
        </w:rPr>
        <w:t xml:space="preserve">a následně za </w:t>
      </w:r>
      <w:smartTag w:uri="urn:schemas-microsoft-com:office:smarttags" w:element="metricconverter">
        <w:smartTagPr>
          <w:attr w:name="ProductID" w:val="6 a"/>
        </w:smartTagPr>
        <w:r w:rsidRPr="00F3651E">
          <w:rPr>
            <w:rFonts w:ascii="Calibri" w:hAnsi="Calibri"/>
            <w:sz w:val="24"/>
            <w:szCs w:val="24"/>
          </w:rPr>
          <w:t>6 a</w:t>
        </w:r>
      </w:smartTag>
      <w:r w:rsidRPr="00F3651E">
        <w:rPr>
          <w:rFonts w:ascii="Calibri" w:hAnsi="Calibri"/>
          <w:sz w:val="24"/>
          <w:szCs w:val="24"/>
        </w:rPr>
        <w:t xml:space="preserve"> 18 hodin po výkonu. Byl sledován skiaskopický čas, počet pokusů </w:t>
      </w:r>
      <w:r>
        <w:rPr>
          <w:rFonts w:ascii="Calibri" w:hAnsi="Calibri"/>
          <w:sz w:val="24"/>
          <w:szCs w:val="24"/>
        </w:rPr>
        <w:br/>
      </w:r>
      <w:r w:rsidRPr="00F3651E">
        <w:rPr>
          <w:rFonts w:ascii="Calibri" w:hAnsi="Calibri"/>
          <w:sz w:val="24"/>
          <w:szCs w:val="24"/>
        </w:rPr>
        <w:t>o umístění aktivní elektrody, rozsah výkonu (jedno versus dvoudutinová stimulace), zhodnocena klinická data.</w:t>
      </w:r>
    </w:p>
    <w:p w:rsidR="006C1917" w:rsidRPr="00075C03"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Výsledky</w:t>
      </w:r>
      <w:r>
        <w:rPr>
          <w:rFonts w:ascii="Calibri" w:hAnsi="Calibri"/>
          <w:b/>
          <w:sz w:val="24"/>
          <w:szCs w:val="24"/>
        </w:rPr>
        <w:t>:</w:t>
      </w:r>
    </w:p>
    <w:p w:rsidR="006C1917" w:rsidRPr="00075C03" w:rsidRDefault="006C1917" w:rsidP="00075C03">
      <w:pPr>
        <w:spacing w:after="0" w:line="360" w:lineRule="auto"/>
        <w:jc w:val="both"/>
        <w:rPr>
          <w:sz w:val="24"/>
          <w:szCs w:val="24"/>
          <w:lang w:eastAsia="cs-CZ"/>
        </w:rPr>
      </w:pPr>
      <w:r w:rsidRPr="00F3651E">
        <w:rPr>
          <w:sz w:val="24"/>
          <w:szCs w:val="24"/>
        </w:rPr>
        <w:t>Průměrný věk nemocných činil 77,9 ± 8,0 roku (medián 79,5 let). Ženy tvořily 44</w:t>
      </w:r>
      <w:r>
        <w:rPr>
          <w:sz w:val="24"/>
          <w:szCs w:val="24"/>
        </w:rPr>
        <w:t xml:space="preserve"> </w:t>
      </w:r>
      <w:r w:rsidRPr="00F3651E">
        <w:rPr>
          <w:sz w:val="24"/>
          <w:szCs w:val="24"/>
        </w:rPr>
        <w:t xml:space="preserve">%. Bylo implantováno 136 dvoudutinových a 94 jednodutinových přístrojů. Průměrný skiaskopický čas byl 38,8 ± 22,0 s (medián 33,5 s). Sérové hladiny troponinu I narostly po primoimplantaci z původních 0,02±0,07 ug/l na 0,18±0,17 ug/l, p&lt;0,001 (Wilcoxon test), dokumentujeme statisticky signifikantní pokles po 18h. na 0,09±0,18 ug/l, p&lt;0,001 (Wilcoxon test). </w:t>
      </w:r>
      <w:r>
        <w:rPr>
          <w:sz w:val="24"/>
          <w:szCs w:val="24"/>
        </w:rPr>
        <w:br/>
      </w:r>
      <w:r w:rsidRPr="00F3651E">
        <w:rPr>
          <w:sz w:val="24"/>
          <w:szCs w:val="24"/>
        </w:rPr>
        <w:t xml:space="preserve">U ostatních markerů konstatujeme pouze drobný nárůst hladin. Prokázali jsme korelaci </w:t>
      </w:r>
      <w:r w:rsidRPr="00F3651E">
        <w:rPr>
          <w:sz w:val="24"/>
          <w:szCs w:val="24"/>
        </w:rPr>
        <w:lastRenderedPageBreak/>
        <w:t>nárůstu hladiny troponinu po primoimplantaci kardiostimulátoru k nárůstu skiaskopického času (Spearmanův kore</w:t>
      </w:r>
      <w:r>
        <w:rPr>
          <w:sz w:val="24"/>
          <w:szCs w:val="24"/>
        </w:rPr>
        <w:t>lační koeficient=-0,39, p&lt;</w:t>
      </w:r>
      <w:smartTag w:uri="urn:schemas-microsoft-com:office:smarttags" w:element="metricconverter">
        <w:smartTagPr>
          <w:attr w:name="ProductID" w:val="0,001 a"/>
        </w:smartTagPr>
        <w:r>
          <w:rPr>
            <w:sz w:val="24"/>
            <w:szCs w:val="24"/>
          </w:rPr>
          <w:t>0,001</w:t>
        </w:r>
        <w:r w:rsidRPr="00F3651E">
          <w:rPr>
            <w:sz w:val="24"/>
            <w:szCs w:val="24"/>
          </w:rPr>
          <w:t xml:space="preserve"> a</w:t>
        </w:r>
      </w:smartTag>
      <w:r w:rsidRPr="00F3651E">
        <w:rPr>
          <w:sz w:val="24"/>
          <w:szCs w:val="24"/>
        </w:rPr>
        <w:t xml:space="preserve"> 0,37, </w:t>
      </w:r>
      <w:r w:rsidR="00BF6B09">
        <w:rPr>
          <w:sz w:val="24"/>
          <w:szCs w:val="24"/>
        </w:rPr>
        <w:t>p</w:t>
      </w:r>
      <w:r w:rsidRPr="00F3651E">
        <w:rPr>
          <w:sz w:val="24"/>
          <w:szCs w:val="24"/>
        </w:rPr>
        <w:t xml:space="preserve">&lt;0,001) po 6 resp. </w:t>
      </w:r>
      <w:r>
        <w:rPr>
          <w:sz w:val="24"/>
          <w:szCs w:val="24"/>
        </w:rPr>
        <w:br/>
      </w:r>
      <w:r w:rsidRPr="00F3651E">
        <w:rPr>
          <w:sz w:val="24"/>
          <w:szCs w:val="24"/>
        </w:rPr>
        <w:t xml:space="preserve">18 hodinách. </w:t>
      </w:r>
      <w:r>
        <w:rPr>
          <w:sz w:val="24"/>
          <w:szCs w:val="24"/>
        </w:rPr>
        <w:t xml:space="preserve">Rovněž konstatujeme korelaci </w:t>
      </w:r>
      <w:r w:rsidRPr="00E2761A">
        <w:rPr>
          <w:sz w:val="24"/>
          <w:szCs w:val="24"/>
        </w:rPr>
        <w:t>mezi nárůstem troponin</w:t>
      </w:r>
      <w:r>
        <w:rPr>
          <w:sz w:val="24"/>
          <w:szCs w:val="24"/>
        </w:rPr>
        <w:t xml:space="preserve">u I a počtem pokusů </w:t>
      </w:r>
      <w:r>
        <w:rPr>
          <w:sz w:val="24"/>
          <w:szCs w:val="24"/>
        </w:rPr>
        <w:br/>
        <w:t xml:space="preserve">o umístění </w:t>
      </w:r>
      <w:r w:rsidRPr="00E2761A">
        <w:rPr>
          <w:sz w:val="24"/>
          <w:szCs w:val="24"/>
        </w:rPr>
        <w:t>kardiostimulační elektrody (penetrací do tkáně) za 6 resp. 18 hodin (p</w:t>
      </w:r>
      <w:r w:rsidRPr="00E2761A">
        <w:rPr>
          <w:bCs/>
          <w:sz w:val="24"/>
          <w:szCs w:val="24"/>
          <w:lang w:eastAsia="cs-CZ"/>
        </w:rPr>
        <w:t xml:space="preserve">&lt;0.001, </w:t>
      </w:r>
      <w:r>
        <w:rPr>
          <w:bCs/>
          <w:sz w:val="24"/>
          <w:szCs w:val="24"/>
          <w:lang w:eastAsia="cs-CZ"/>
        </w:rPr>
        <w:br/>
      </w:r>
      <w:r w:rsidRPr="00E2761A">
        <w:rPr>
          <w:bCs/>
          <w:sz w:val="24"/>
          <w:szCs w:val="24"/>
          <w:lang w:eastAsia="cs-CZ"/>
        </w:rPr>
        <w:t>resp</w:t>
      </w:r>
      <w:r>
        <w:rPr>
          <w:bCs/>
          <w:sz w:val="24"/>
          <w:szCs w:val="24"/>
          <w:lang w:eastAsia="cs-CZ"/>
        </w:rPr>
        <w:t>.</w:t>
      </w:r>
      <w:r w:rsidRPr="00E2761A">
        <w:rPr>
          <w:bCs/>
          <w:sz w:val="24"/>
          <w:szCs w:val="24"/>
          <w:lang w:eastAsia="cs-CZ"/>
        </w:rPr>
        <w:t xml:space="preserve"> p= 0,026, </w:t>
      </w:r>
      <w:r w:rsidRPr="00E2761A">
        <w:rPr>
          <w:sz w:val="24"/>
          <w:szCs w:val="24"/>
          <w:lang w:eastAsia="cs-CZ"/>
        </w:rPr>
        <w:t>Mann-Whitney test)</w:t>
      </w:r>
      <w:r>
        <w:rPr>
          <w:sz w:val="24"/>
          <w:szCs w:val="24"/>
          <w:lang w:eastAsia="cs-CZ"/>
        </w:rPr>
        <w:t>.</w:t>
      </w:r>
    </w:p>
    <w:p w:rsidR="006C1917" w:rsidRPr="00F3651E"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Závěr</w:t>
      </w:r>
      <w:r>
        <w:rPr>
          <w:rFonts w:ascii="Calibri" w:hAnsi="Calibri"/>
          <w:b/>
          <w:sz w:val="24"/>
          <w:szCs w:val="24"/>
        </w:rPr>
        <w:t>:</w:t>
      </w:r>
    </w:p>
    <w:p w:rsidR="006C1917" w:rsidRPr="00F3651E" w:rsidRDefault="006C1917" w:rsidP="00DB1005">
      <w:pPr>
        <w:pStyle w:val="Abstrakt-text"/>
        <w:spacing w:line="360" w:lineRule="auto"/>
        <w:rPr>
          <w:rFonts w:ascii="Calibri" w:hAnsi="Calibri"/>
          <w:sz w:val="24"/>
          <w:szCs w:val="24"/>
        </w:rPr>
      </w:pPr>
      <w:r w:rsidRPr="00F3651E">
        <w:rPr>
          <w:rFonts w:ascii="Calibri" w:hAnsi="Calibri"/>
          <w:sz w:val="24"/>
          <w:szCs w:val="24"/>
        </w:rPr>
        <w:t>Mírná elevace troponinu I po nekomplikované primoimplantaci kardiostimulátoru s aktivně fixovaným elektrodovým systéme</w:t>
      </w:r>
      <w:r>
        <w:rPr>
          <w:rFonts w:ascii="Calibri" w:hAnsi="Calibri"/>
          <w:sz w:val="24"/>
          <w:szCs w:val="24"/>
        </w:rPr>
        <w:t xml:space="preserve">m je běžným jevem. </w:t>
      </w:r>
      <w:r w:rsidR="002A5158">
        <w:rPr>
          <w:rFonts w:ascii="Calibri" w:hAnsi="Calibri"/>
          <w:sz w:val="24"/>
          <w:szCs w:val="24"/>
        </w:rPr>
        <w:t xml:space="preserve"> </w:t>
      </w:r>
    </w:p>
    <w:p w:rsidR="006C1917" w:rsidRDefault="006C1917" w:rsidP="00DB1005">
      <w:pPr>
        <w:spacing w:line="360" w:lineRule="auto"/>
        <w:jc w:val="both"/>
        <w:rPr>
          <w:b/>
          <w:sz w:val="24"/>
          <w:szCs w:val="24"/>
        </w:rPr>
      </w:pPr>
    </w:p>
    <w:p w:rsidR="006C1917" w:rsidRPr="00F3651E" w:rsidRDefault="006C1917" w:rsidP="00DB1005">
      <w:pPr>
        <w:spacing w:line="360" w:lineRule="auto"/>
        <w:jc w:val="both"/>
        <w:rPr>
          <w:bCs/>
          <w:sz w:val="24"/>
          <w:szCs w:val="24"/>
        </w:rPr>
      </w:pPr>
      <w:r w:rsidRPr="00075C03">
        <w:rPr>
          <w:b/>
          <w:sz w:val="24"/>
          <w:szCs w:val="24"/>
        </w:rPr>
        <w:t>Klíčová slova:</w:t>
      </w:r>
      <w:r w:rsidRPr="00F3651E">
        <w:rPr>
          <w:b/>
          <w:bCs/>
          <w:sz w:val="24"/>
          <w:szCs w:val="24"/>
        </w:rPr>
        <w:t xml:space="preserve"> </w:t>
      </w:r>
      <w:r w:rsidRPr="00F3651E">
        <w:rPr>
          <w:bCs/>
          <w:sz w:val="24"/>
          <w:szCs w:val="24"/>
        </w:rPr>
        <w:t>kardiostimulace, troponin, primoimplantace, myokardiální poškození</w:t>
      </w:r>
    </w:p>
    <w:p w:rsidR="006C1917" w:rsidRPr="00F3651E" w:rsidRDefault="006C1917" w:rsidP="00075C03">
      <w:pPr>
        <w:pStyle w:val="Abstrakt-text"/>
        <w:spacing w:before="240" w:line="360" w:lineRule="auto"/>
        <w:rPr>
          <w:rFonts w:ascii="Calibri" w:hAnsi="Calibri"/>
          <w:bCs/>
          <w:sz w:val="24"/>
          <w:szCs w:val="24"/>
        </w:rPr>
      </w:pPr>
    </w:p>
    <w:p w:rsidR="006C1917" w:rsidRDefault="006C1917">
      <w:pPr>
        <w:spacing w:after="0" w:line="240" w:lineRule="auto"/>
        <w:rPr>
          <w:sz w:val="32"/>
          <w:szCs w:val="32"/>
        </w:rPr>
      </w:pPr>
      <w:r>
        <w:rPr>
          <w:sz w:val="32"/>
          <w:szCs w:val="32"/>
        </w:rPr>
        <w:br w:type="page"/>
      </w:r>
    </w:p>
    <w:p w:rsidR="006C1917" w:rsidRDefault="006C1917" w:rsidP="00930B73">
      <w:pPr>
        <w:pStyle w:val="Styl1"/>
      </w:pPr>
      <w:bookmarkStart w:id="2" w:name="_Toc422993213"/>
      <w:r w:rsidRPr="006944B2">
        <w:lastRenderedPageBreak/>
        <w:t>Summary</w:t>
      </w:r>
      <w:bookmarkEnd w:id="2"/>
    </w:p>
    <w:p w:rsidR="006C1917" w:rsidRPr="00930B73" w:rsidRDefault="006C1917" w:rsidP="00930B73">
      <w:pPr>
        <w:pStyle w:val="Styl1"/>
      </w:pPr>
    </w:p>
    <w:p w:rsidR="006C1917" w:rsidRPr="00075C03"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Introduction</w:t>
      </w:r>
      <w:r>
        <w:rPr>
          <w:rFonts w:ascii="Calibri" w:hAnsi="Calibri"/>
          <w:b/>
          <w:sz w:val="24"/>
          <w:szCs w:val="24"/>
        </w:rPr>
        <w:t>:</w:t>
      </w:r>
    </w:p>
    <w:p w:rsidR="006C1917" w:rsidRPr="00F3651E" w:rsidRDefault="006C1917" w:rsidP="00DB1005">
      <w:pPr>
        <w:spacing w:after="120" w:line="360" w:lineRule="auto"/>
        <w:jc w:val="both"/>
        <w:rPr>
          <w:b/>
          <w:sz w:val="24"/>
          <w:szCs w:val="24"/>
        </w:rPr>
      </w:pPr>
      <w:r w:rsidRPr="00F3651E">
        <w:rPr>
          <w:sz w:val="24"/>
          <w:szCs w:val="24"/>
        </w:rPr>
        <w:t>Cardiac troponins are highly specific markers of myocardial damage, their elevation is not always connected with ischemia.  It exists many others reasons for their elevation. The aim of our investigation was to determine the correlation between  pacemaker implantation and  elevation of cardiospecific markers.</w:t>
      </w:r>
    </w:p>
    <w:p w:rsidR="006C1917"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Aim</w:t>
      </w:r>
      <w:r>
        <w:rPr>
          <w:rFonts w:ascii="Calibri" w:hAnsi="Calibri"/>
          <w:b/>
          <w:sz w:val="24"/>
          <w:szCs w:val="24"/>
        </w:rPr>
        <w:t>s:</w:t>
      </w:r>
    </w:p>
    <w:p w:rsidR="006C1917" w:rsidRPr="006A45CA" w:rsidRDefault="006C1917" w:rsidP="001429DD">
      <w:pPr>
        <w:pStyle w:val="Odstavecseseznamem"/>
        <w:numPr>
          <w:ilvl w:val="0"/>
          <w:numId w:val="6"/>
        </w:numPr>
        <w:spacing w:after="120" w:line="360" w:lineRule="auto"/>
        <w:ind w:left="426"/>
        <w:jc w:val="both"/>
        <w:rPr>
          <w:sz w:val="24"/>
          <w:szCs w:val="24"/>
        </w:rPr>
      </w:pPr>
      <w:r w:rsidRPr="006A45CA">
        <w:rPr>
          <w:sz w:val="24"/>
          <w:szCs w:val="24"/>
        </w:rPr>
        <w:t>1/ To determine the elevation of troponin I after the implantation of pacemaker (single or dual chamber) with active lead.</w:t>
      </w:r>
    </w:p>
    <w:p w:rsidR="006C1917" w:rsidRPr="00447E20" w:rsidRDefault="006C1917" w:rsidP="001429DD">
      <w:pPr>
        <w:pStyle w:val="Abstrakt-text"/>
        <w:numPr>
          <w:ilvl w:val="0"/>
          <w:numId w:val="6"/>
        </w:numPr>
        <w:spacing w:line="360" w:lineRule="auto"/>
        <w:ind w:left="426"/>
        <w:rPr>
          <w:rFonts w:ascii="Calibri" w:hAnsi="Calibri"/>
          <w:sz w:val="24"/>
          <w:szCs w:val="24"/>
        </w:rPr>
      </w:pPr>
      <w:r w:rsidRPr="00447E20">
        <w:rPr>
          <w:rFonts w:ascii="Calibri" w:hAnsi="Calibri"/>
          <w:sz w:val="24"/>
          <w:szCs w:val="24"/>
        </w:rPr>
        <w:t>2/ Is time of fluoroscopy in the correlation with troponin I elevation after pacemaker implantation?</w:t>
      </w:r>
    </w:p>
    <w:p w:rsidR="006C1917" w:rsidRPr="006A45CA" w:rsidRDefault="006C1917" w:rsidP="001429DD">
      <w:pPr>
        <w:pStyle w:val="Odstavecseseznamem"/>
        <w:numPr>
          <w:ilvl w:val="0"/>
          <w:numId w:val="6"/>
        </w:numPr>
        <w:spacing w:after="0" w:line="360" w:lineRule="auto"/>
        <w:ind w:left="426"/>
        <w:jc w:val="both"/>
        <w:rPr>
          <w:sz w:val="24"/>
          <w:szCs w:val="24"/>
        </w:rPr>
      </w:pPr>
      <w:r w:rsidRPr="006A45CA">
        <w:rPr>
          <w:sz w:val="24"/>
          <w:szCs w:val="24"/>
        </w:rPr>
        <w:t>3/ How much is elevated troponin I in unselected population of  cardiologic patients.</w:t>
      </w:r>
    </w:p>
    <w:p w:rsidR="006C1917" w:rsidRPr="00075C03"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Method</w:t>
      </w:r>
      <w:r>
        <w:rPr>
          <w:rFonts w:ascii="Calibri" w:hAnsi="Calibri"/>
          <w:b/>
          <w:sz w:val="24"/>
          <w:szCs w:val="24"/>
        </w:rPr>
        <w:t>:</w:t>
      </w:r>
    </w:p>
    <w:p w:rsidR="006C1917" w:rsidRPr="00F3651E" w:rsidRDefault="006C1917" w:rsidP="006944B2">
      <w:pPr>
        <w:pStyle w:val="Abstrakt-text"/>
        <w:spacing w:after="120" w:line="360" w:lineRule="auto"/>
        <w:rPr>
          <w:rFonts w:ascii="Calibri" w:hAnsi="Calibri"/>
          <w:sz w:val="24"/>
          <w:szCs w:val="24"/>
        </w:rPr>
      </w:pPr>
      <w:r>
        <w:rPr>
          <w:rFonts w:ascii="Calibri" w:hAnsi="Calibri"/>
          <w:sz w:val="24"/>
          <w:szCs w:val="24"/>
        </w:rPr>
        <w:t>A defined group of</w:t>
      </w:r>
      <w:r w:rsidRPr="00F3651E">
        <w:rPr>
          <w:rFonts w:ascii="Calibri" w:hAnsi="Calibri"/>
          <w:sz w:val="24"/>
          <w:szCs w:val="24"/>
        </w:rPr>
        <w:t xml:space="preserve"> 230  patients were indicated for the pacemaker implantation. The values of cardiospecific markers (troponin I, CKMB and myoglobin) were stated before the implantation and repeated 6 and 18 hours later. Monitored factors were fluoroscopic time, the number of attempts of pacemaker implantation (attachment to myocardium), single chamber versus dual chamber pacemaker implantation and other clinical data.</w:t>
      </w:r>
    </w:p>
    <w:p w:rsidR="006C1917" w:rsidRPr="00F3651E"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Results</w:t>
      </w:r>
      <w:r>
        <w:rPr>
          <w:rFonts w:ascii="Calibri" w:hAnsi="Calibri"/>
          <w:b/>
          <w:sz w:val="24"/>
          <w:szCs w:val="24"/>
        </w:rPr>
        <w:t>:</w:t>
      </w:r>
    </w:p>
    <w:p w:rsidR="006C1917" w:rsidRPr="00DB1005" w:rsidRDefault="006C1917" w:rsidP="00DB1005">
      <w:pPr>
        <w:spacing w:after="0" w:line="360" w:lineRule="auto"/>
        <w:jc w:val="both"/>
        <w:rPr>
          <w:sz w:val="24"/>
          <w:szCs w:val="24"/>
          <w:lang w:eastAsia="cs-CZ"/>
        </w:rPr>
      </w:pPr>
      <w:r w:rsidRPr="00F3651E">
        <w:rPr>
          <w:sz w:val="24"/>
          <w:szCs w:val="24"/>
        </w:rPr>
        <w:t xml:space="preserve">The mean patient age was 77,9 ± 8,0 years (median 79,5). Females formed 44% of the group. A total of 136 double chamber and 94 single chamber pacemakers were implanted. </w:t>
      </w:r>
      <w:r>
        <w:rPr>
          <w:sz w:val="24"/>
          <w:szCs w:val="24"/>
        </w:rPr>
        <w:br/>
      </w:r>
      <w:r w:rsidRPr="00F3651E">
        <w:rPr>
          <w:sz w:val="24"/>
          <w:szCs w:val="24"/>
        </w:rPr>
        <w:t>T</w:t>
      </w:r>
      <w:r>
        <w:rPr>
          <w:sz w:val="24"/>
          <w:szCs w:val="24"/>
        </w:rPr>
        <w:t>he average time of fluoroscopy</w:t>
      </w:r>
      <w:r w:rsidRPr="00F3651E">
        <w:rPr>
          <w:sz w:val="24"/>
          <w:szCs w:val="24"/>
        </w:rPr>
        <w:t xml:space="preserve"> was 38,8 ± 22,0 s</w:t>
      </w:r>
      <w:r>
        <w:rPr>
          <w:sz w:val="24"/>
          <w:szCs w:val="24"/>
        </w:rPr>
        <w:t xml:space="preserve">econds </w:t>
      </w:r>
      <w:r w:rsidRPr="00F3651E">
        <w:rPr>
          <w:sz w:val="24"/>
          <w:szCs w:val="24"/>
        </w:rPr>
        <w:t>(median 33,5 s). In the whole group of patients troponin I increased f</w:t>
      </w:r>
      <w:r>
        <w:rPr>
          <w:sz w:val="24"/>
          <w:szCs w:val="24"/>
        </w:rPr>
        <w:t xml:space="preserve">rom the initial 0,02±0,07 ug/l </w:t>
      </w:r>
      <w:r w:rsidRPr="00F3651E">
        <w:rPr>
          <w:sz w:val="24"/>
          <w:szCs w:val="24"/>
        </w:rPr>
        <w:t>to 0,18±</w:t>
      </w:r>
      <w:r>
        <w:rPr>
          <w:sz w:val="24"/>
          <w:szCs w:val="24"/>
        </w:rPr>
        <w:t xml:space="preserve">0,17, p&lt;0,001 (Wilcoxon test) </w:t>
      </w:r>
      <w:r w:rsidRPr="00F3651E">
        <w:rPr>
          <w:sz w:val="24"/>
          <w:szCs w:val="24"/>
        </w:rPr>
        <w:t>6 hours later and decrease to 0,09±0,18</w:t>
      </w:r>
      <w:r>
        <w:rPr>
          <w:sz w:val="24"/>
          <w:szCs w:val="24"/>
        </w:rPr>
        <w:t xml:space="preserve"> ug/l 18 hours later, p&lt;0,001 </w:t>
      </w:r>
      <w:r w:rsidRPr="00F3651E">
        <w:rPr>
          <w:sz w:val="24"/>
          <w:szCs w:val="24"/>
        </w:rPr>
        <w:t>(Wilcoxon test). There were minor changes in other cardiospecific markers. The correlation between serum levels of troponin I after the implantation of pacemaker and fluoroscopic time in the whole group of 230 patients was set, (Spearman correl</w:t>
      </w:r>
      <w:r>
        <w:rPr>
          <w:sz w:val="24"/>
          <w:szCs w:val="24"/>
        </w:rPr>
        <w:t xml:space="preserve">ation coeficient=-0,39, </w:t>
      </w:r>
      <w:r>
        <w:rPr>
          <w:sz w:val="24"/>
          <w:szCs w:val="24"/>
        </w:rPr>
        <w:lastRenderedPageBreak/>
        <w:t xml:space="preserve">p&lt;0,001 resp. </w:t>
      </w:r>
      <w:r w:rsidRPr="00F3651E">
        <w:rPr>
          <w:sz w:val="24"/>
          <w:szCs w:val="24"/>
        </w:rPr>
        <w:t>0,37, p</w:t>
      </w:r>
      <w:r>
        <w:rPr>
          <w:sz w:val="24"/>
          <w:szCs w:val="24"/>
        </w:rPr>
        <w:t xml:space="preserve">&lt;0,001) after 6 </w:t>
      </w:r>
      <w:r w:rsidRPr="00F3651E">
        <w:rPr>
          <w:sz w:val="24"/>
          <w:szCs w:val="24"/>
        </w:rPr>
        <w:t>and 18 hours respectively. We set also correlation between troponin I elevation and number of atte</w:t>
      </w:r>
      <w:r>
        <w:rPr>
          <w:sz w:val="24"/>
          <w:szCs w:val="24"/>
        </w:rPr>
        <w:t>mpts electrode implantation</w:t>
      </w:r>
      <w:r w:rsidRPr="00F3651E">
        <w:rPr>
          <w:sz w:val="24"/>
          <w:szCs w:val="24"/>
        </w:rPr>
        <w:t xml:space="preserve"> (deployments to myocardiu</w:t>
      </w:r>
      <w:r>
        <w:rPr>
          <w:sz w:val="24"/>
          <w:szCs w:val="24"/>
        </w:rPr>
        <w:t xml:space="preserve">m) in </w:t>
      </w:r>
      <w:r w:rsidRPr="00E2761A">
        <w:rPr>
          <w:sz w:val="24"/>
          <w:szCs w:val="24"/>
        </w:rPr>
        <w:t>6 resp. 18 ho</w:t>
      </w:r>
      <w:r>
        <w:rPr>
          <w:sz w:val="24"/>
          <w:szCs w:val="24"/>
        </w:rPr>
        <w:t>urs</w:t>
      </w:r>
      <w:r w:rsidRPr="00E2761A">
        <w:rPr>
          <w:sz w:val="24"/>
          <w:szCs w:val="24"/>
        </w:rPr>
        <w:t xml:space="preserve"> (p</w:t>
      </w:r>
      <w:r>
        <w:rPr>
          <w:bCs/>
          <w:sz w:val="24"/>
          <w:szCs w:val="24"/>
          <w:lang w:eastAsia="cs-CZ"/>
        </w:rPr>
        <w:t>&lt;0,</w:t>
      </w:r>
      <w:r w:rsidRPr="00E2761A">
        <w:rPr>
          <w:bCs/>
          <w:sz w:val="24"/>
          <w:szCs w:val="24"/>
          <w:lang w:eastAsia="cs-CZ"/>
        </w:rPr>
        <w:t>001, resp</w:t>
      </w:r>
      <w:r>
        <w:rPr>
          <w:bCs/>
          <w:sz w:val="24"/>
          <w:szCs w:val="24"/>
          <w:lang w:eastAsia="cs-CZ"/>
        </w:rPr>
        <w:t xml:space="preserve">. </w:t>
      </w:r>
      <w:r w:rsidRPr="00E2761A">
        <w:rPr>
          <w:bCs/>
          <w:sz w:val="24"/>
          <w:szCs w:val="24"/>
          <w:lang w:eastAsia="cs-CZ"/>
        </w:rPr>
        <w:t xml:space="preserve"> p= 0</w:t>
      </w:r>
      <w:r>
        <w:rPr>
          <w:bCs/>
          <w:sz w:val="24"/>
          <w:szCs w:val="24"/>
          <w:lang w:eastAsia="cs-CZ"/>
        </w:rPr>
        <w:t>,</w:t>
      </w:r>
      <w:r w:rsidRPr="00E2761A">
        <w:rPr>
          <w:bCs/>
          <w:sz w:val="24"/>
          <w:szCs w:val="24"/>
          <w:lang w:eastAsia="cs-CZ"/>
        </w:rPr>
        <w:t xml:space="preserve">026, </w:t>
      </w:r>
      <w:r w:rsidRPr="00E2761A">
        <w:rPr>
          <w:sz w:val="24"/>
          <w:szCs w:val="24"/>
          <w:lang w:eastAsia="cs-CZ"/>
        </w:rPr>
        <w:t>Mann-Whitney test)</w:t>
      </w:r>
      <w:r>
        <w:rPr>
          <w:sz w:val="24"/>
          <w:szCs w:val="24"/>
          <w:lang w:eastAsia="cs-CZ"/>
        </w:rPr>
        <w:t>.</w:t>
      </w:r>
    </w:p>
    <w:p w:rsidR="006C1917" w:rsidRPr="00075C03" w:rsidRDefault="006C1917" w:rsidP="00075C03">
      <w:pPr>
        <w:pStyle w:val="Abstrakt-text"/>
        <w:spacing w:before="240" w:line="360" w:lineRule="auto"/>
        <w:rPr>
          <w:rFonts w:ascii="Calibri" w:hAnsi="Calibri"/>
          <w:b/>
          <w:sz w:val="24"/>
          <w:szCs w:val="24"/>
        </w:rPr>
      </w:pPr>
      <w:r w:rsidRPr="00F3651E">
        <w:rPr>
          <w:rFonts w:ascii="Calibri" w:hAnsi="Calibri"/>
          <w:b/>
          <w:sz w:val="24"/>
          <w:szCs w:val="24"/>
        </w:rPr>
        <w:t>Conclusion</w:t>
      </w:r>
      <w:r>
        <w:rPr>
          <w:rFonts w:ascii="Calibri" w:hAnsi="Calibri"/>
          <w:b/>
          <w:sz w:val="24"/>
          <w:szCs w:val="24"/>
        </w:rPr>
        <w:t>:</w:t>
      </w:r>
    </w:p>
    <w:p w:rsidR="006C1917" w:rsidRPr="00075C03" w:rsidRDefault="006C1917" w:rsidP="00075C03">
      <w:pPr>
        <w:pStyle w:val="Abstrakt-text"/>
        <w:spacing w:after="120" w:line="360" w:lineRule="auto"/>
        <w:rPr>
          <w:rFonts w:ascii="Calibri" w:hAnsi="Calibri"/>
          <w:sz w:val="24"/>
          <w:szCs w:val="24"/>
        </w:rPr>
      </w:pPr>
      <w:r w:rsidRPr="00F3651E">
        <w:rPr>
          <w:rFonts w:ascii="Calibri" w:hAnsi="Calibri"/>
          <w:sz w:val="24"/>
          <w:szCs w:val="24"/>
        </w:rPr>
        <w:t xml:space="preserve">A mild troponin I elevation after the uncomplicated pacemaker implantation with active lead electrode system  is a common phenomenon. </w:t>
      </w:r>
      <w:r w:rsidR="002A5158">
        <w:rPr>
          <w:rFonts w:ascii="Calibri" w:hAnsi="Calibri"/>
          <w:sz w:val="24"/>
          <w:szCs w:val="24"/>
        </w:rPr>
        <w:t>Difficul</w:t>
      </w:r>
      <w:r w:rsidR="00BF6B09">
        <w:rPr>
          <w:rFonts w:ascii="Calibri" w:hAnsi="Calibri"/>
          <w:sz w:val="24"/>
          <w:szCs w:val="24"/>
        </w:rPr>
        <w:t xml:space="preserve">ty of the procedure </w:t>
      </w:r>
      <w:r>
        <w:rPr>
          <w:rFonts w:ascii="Calibri" w:hAnsi="Calibri"/>
          <w:sz w:val="24"/>
          <w:szCs w:val="24"/>
        </w:rPr>
        <w:t>corelates</w:t>
      </w:r>
      <w:r w:rsidR="00BF6B09">
        <w:rPr>
          <w:rFonts w:ascii="Calibri" w:hAnsi="Calibri"/>
          <w:sz w:val="24"/>
          <w:szCs w:val="24"/>
        </w:rPr>
        <w:t xml:space="preserve"> positively</w:t>
      </w:r>
      <w:r>
        <w:rPr>
          <w:rFonts w:ascii="Calibri" w:hAnsi="Calibri"/>
          <w:sz w:val="24"/>
          <w:szCs w:val="24"/>
        </w:rPr>
        <w:t xml:space="preserve"> with the troponin I levels after </w:t>
      </w:r>
      <w:r w:rsidR="00D339CD">
        <w:rPr>
          <w:rFonts w:ascii="Calibri" w:hAnsi="Calibri"/>
          <w:sz w:val="24"/>
          <w:szCs w:val="24"/>
        </w:rPr>
        <w:t xml:space="preserve">the </w:t>
      </w:r>
      <w:r>
        <w:rPr>
          <w:rFonts w:ascii="Calibri" w:hAnsi="Calibri"/>
          <w:sz w:val="24"/>
          <w:szCs w:val="24"/>
        </w:rPr>
        <w:t>implant procedure.</w:t>
      </w:r>
    </w:p>
    <w:p w:rsidR="006C1917" w:rsidRDefault="006C1917" w:rsidP="006944B2">
      <w:pPr>
        <w:spacing w:line="360" w:lineRule="auto"/>
        <w:rPr>
          <w:b/>
          <w:sz w:val="24"/>
          <w:szCs w:val="24"/>
        </w:rPr>
      </w:pPr>
    </w:p>
    <w:p w:rsidR="006C1917" w:rsidRDefault="006C1917" w:rsidP="006944B2">
      <w:pPr>
        <w:spacing w:line="360" w:lineRule="auto"/>
        <w:rPr>
          <w:sz w:val="24"/>
          <w:szCs w:val="24"/>
        </w:rPr>
        <w:sectPr w:rsidR="006C1917" w:rsidSect="0056117D">
          <w:footerReference w:type="default" r:id="rId8"/>
          <w:pgSz w:w="11906" w:h="16838"/>
          <w:pgMar w:top="1417" w:right="1417" w:bottom="1417" w:left="1417" w:header="708" w:footer="708" w:gutter="0"/>
          <w:cols w:space="708"/>
          <w:docGrid w:linePitch="360"/>
        </w:sectPr>
      </w:pPr>
      <w:r w:rsidRPr="00F3651E">
        <w:rPr>
          <w:b/>
          <w:sz w:val="24"/>
          <w:szCs w:val="24"/>
        </w:rPr>
        <w:t>Key words</w:t>
      </w:r>
      <w:r w:rsidRPr="00075C03">
        <w:rPr>
          <w:b/>
          <w:sz w:val="24"/>
          <w:szCs w:val="24"/>
        </w:rPr>
        <w:t>:</w:t>
      </w:r>
      <w:r w:rsidRPr="00F3651E">
        <w:rPr>
          <w:sz w:val="24"/>
          <w:szCs w:val="24"/>
          <w:lang w:val="en-GB"/>
        </w:rPr>
        <w:t xml:space="preserve"> </w:t>
      </w:r>
      <w:r w:rsidRPr="00F3651E">
        <w:rPr>
          <w:sz w:val="24"/>
          <w:szCs w:val="24"/>
        </w:rPr>
        <w:t>pacing, troponin, primoimplantation, my</w:t>
      </w:r>
      <w:r>
        <w:rPr>
          <w:sz w:val="24"/>
          <w:szCs w:val="24"/>
        </w:rPr>
        <w:t>ocardial dama</w:t>
      </w:r>
      <w:r w:rsidR="00AE666B">
        <w:rPr>
          <w:sz w:val="24"/>
          <w:szCs w:val="24"/>
        </w:rPr>
        <w:t>ge</w:t>
      </w:r>
    </w:p>
    <w:p w:rsidR="006C1917" w:rsidRDefault="006C1917" w:rsidP="00930B73">
      <w:pPr>
        <w:pStyle w:val="Styl1"/>
      </w:pPr>
      <w:bookmarkStart w:id="3" w:name="_Toc422993214"/>
      <w:r>
        <w:lastRenderedPageBreak/>
        <w:t>Úvod</w:t>
      </w:r>
      <w:bookmarkEnd w:id="3"/>
    </w:p>
    <w:p w:rsidR="006C1917" w:rsidRPr="00930B73" w:rsidRDefault="006C1917" w:rsidP="00930B73">
      <w:pPr>
        <w:pStyle w:val="Styl1"/>
      </w:pPr>
    </w:p>
    <w:p w:rsidR="006C1917" w:rsidRPr="00F420AA" w:rsidRDefault="006C1917" w:rsidP="00DB1005">
      <w:pPr>
        <w:spacing w:line="360" w:lineRule="auto"/>
        <w:jc w:val="both"/>
        <w:rPr>
          <w:sz w:val="24"/>
          <w:szCs w:val="24"/>
        </w:rPr>
      </w:pPr>
      <w:r w:rsidRPr="00F420AA">
        <w:rPr>
          <w:sz w:val="24"/>
          <w:szCs w:val="24"/>
        </w:rPr>
        <w:t>Srdeční troponiny jsou strukturálními proteiny srdeční myofibrily. Troponiny byly popsány Ebasim a Kodamou (1) v roce 1965 jako strukturální proteiny srdeční myofibrily. V</w:t>
      </w:r>
      <w:r>
        <w:rPr>
          <w:sz w:val="24"/>
          <w:szCs w:val="24"/>
        </w:rPr>
        <w:t xml:space="preserve"> té době byl rozsáhle studován </w:t>
      </w:r>
      <w:r w:rsidRPr="00F420AA">
        <w:rPr>
          <w:sz w:val="24"/>
          <w:szCs w:val="24"/>
        </w:rPr>
        <w:t xml:space="preserve">jejich význam pro srdeční kontrakci kardiomyocytu. S postupující elektronmikroskopickou technikou byla postupně poznávána celá struktura troponin-tropomyosinového komplexu. </w:t>
      </w:r>
    </w:p>
    <w:p w:rsidR="006C1917" w:rsidRPr="00F420AA" w:rsidRDefault="006C1917" w:rsidP="00DB1005">
      <w:pPr>
        <w:spacing w:line="360" w:lineRule="auto"/>
        <w:jc w:val="both"/>
        <w:rPr>
          <w:sz w:val="24"/>
          <w:szCs w:val="24"/>
        </w:rPr>
      </w:pPr>
      <w:r>
        <w:rPr>
          <w:sz w:val="24"/>
          <w:szCs w:val="24"/>
        </w:rPr>
        <w:t xml:space="preserve">Troponiny </w:t>
      </w:r>
      <w:r w:rsidRPr="00F420AA">
        <w:rPr>
          <w:sz w:val="24"/>
          <w:szCs w:val="24"/>
        </w:rPr>
        <w:t xml:space="preserve">byly označovány nejprve jako A a B. Teprve později se jejich označení změnilo </w:t>
      </w:r>
      <w:r>
        <w:rPr>
          <w:sz w:val="24"/>
          <w:szCs w:val="24"/>
        </w:rPr>
        <w:br/>
        <w:t>na troponin I</w:t>
      </w:r>
      <w:r w:rsidRPr="00F420AA">
        <w:rPr>
          <w:sz w:val="24"/>
          <w:szCs w:val="24"/>
        </w:rPr>
        <w:t>, T a C. Troponiny jsou klíčovými proteiny hrající zásadní roli ve složitém mechanismu srdeční kontrakce a relaxace. Mikroskopická struktura srdeč</w:t>
      </w:r>
      <w:r>
        <w:rPr>
          <w:sz w:val="24"/>
          <w:szCs w:val="24"/>
        </w:rPr>
        <w:t xml:space="preserve">ní myofibrily je léta předmětem </w:t>
      </w:r>
      <w:r w:rsidRPr="00F420AA">
        <w:rPr>
          <w:sz w:val="24"/>
          <w:szCs w:val="24"/>
        </w:rPr>
        <w:t xml:space="preserve">elektronmikroskopického výzkumu a již dlouhou dobu je známa detailní struktura myofibrily.  </w:t>
      </w:r>
    </w:p>
    <w:p w:rsidR="006C1917" w:rsidRDefault="006C1917" w:rsidP="00DB1005">
      <w:pPr>
        <w:spacing w:line="360" w:lineRule="auto"/>
        <w:jc w:val="both"/>
        <w:rPr>
          <w:sz w:val="24"/>
          <w:szCs w:val="24"/>
        </w:rPr>
      </w:pPr>
      <w:r w:rsidRPr="00F420AA">
        <w:rPr>
          <w:sz w:val="24"/>
          <w:szCs w:val="24"/>
        </w:rPr>
        <w:t>Zprv</w:t>
      </w:r>
      <w:r w:rsidR="002A5158">
        <w:rPr>
          <w:sz w:val="24"/>
          <w:szCs w:val="24"/>
        </w:rPr>
        <w:t>u byly tedy troponiny studovány</w:t>
      </w:r>
      <w:r w:rsidRPr="00F420AA">
        <w:rPr>
          <w:sz w:val="24"/>
          <w:szCs w:val="24"/>
        </w:rPr>
        <w:t xml:space="preserve"> s ohledem na objasnění problematiky kontrakce a relaxace, od</w:t>
      </w:r>
      <w:r w:rsidR="002A5158">
        <w:rPr>
          <w:sz w:val="24"/>
          <w:szCs w:val="24"/>
        </w:rPr>
        <w:t xml:space="preserve"> devadesátých let jsou </w:t>
      </w:r>
      <w:r w:rsidRPr="00F420AA">
        <w:rPr>
          <w:sz w:val="24"/>
          <w:szCs w:val="24"/>
        </w:rPr>
        <w:t>používány jako markery myokardiálního poškození a se vzrůstající citlivostí roste potřeba správné klinické interpretace jejich zvýšení. Abychom porozuměli mechanismu uvolnění troponinu z kardiomyocytu, je nutné nejprve popsat strukturální a funkční vztahy mezi jednotlivými strukturami.</w:t>
      </w:r>
    </w:p>
    <w:p w:rsidR="006C1917" w:rsidRPr="00F420AA" w:rsidRDefault="006C1917" w:rsidP="00930B73">
      <w:pPr>
        <w:spacing w:after="0" w:line="240" w:lineRule="auto"/>
        <w:rPr>
          <w:sz w:val="24"/>
          <w:szCs w:val="24"/>
        </w:rPr>
      </w:pPr>
      <w:r>
        <w:rPr>
          <w:sz w:val="24"/>
          <w:szCs w:val="24"/>
        </w:rPr>
        <w:br w:type="page"/>
      </w:r>
    </w:p>
    <w:p w:rsidR="006C1917" w:rsidRDefault="006C1917" w:rsidP="007F7222">
      <w:pPr>
        <w:pStyle w:val="Nadpis1"/>
      </w:pPr>
      <w:bookmarkStart w:id="4" w:name="_Toc422993215"/>
      <w:r w:rsidRPr="00F420AA">
        <w:lastRenderedPageBreak/>
        <w:t>Anatomi</w:t>
      </w:r>
      <w:r>
        <w:t>cká struktura srdeční sarkomery</w:t>
      </w:r>
      <w:bookmarkEnd w:id="4"/>
    </w:p>
    <w:p w:rsidR="006C1917" w:rsidRPr="00F420AA" w:rsidRDefault="006C1917" w:rsidP="00AB77F4">
      <w:pPr>
        <w:pStyle w:val="Nadpis1"/>
        <w:numPr>
          <w:ilvl w:val="0"/>
          <w:numId w:val="0"/>
        </w:numPr>
        <w:ind w:left="432"/>
      </w:pPr>
    </w:p>
    <w:p w:rsidR="006C1917" w:rsidRPr="00F420AA" w:rsidRDefault="006C1917" w:rsidP="00930B73">
      <w:pPr>
        <w:spacing w:line="360" w:lineRule="auto"/>
        <w:jc w:val="both"/>
        <w:rPr>
          <w:sz w:val="24"/>
          <w:szCs w:val="24"/>
        </w:rPr>
      </w:pPr>
      <w:r w:rsidRPr="00F420AA">
        <w:rPr>
          <w:sz w:val="24"/>
          <w:szCs w:val="24"/>
        </w:rPr>
        <w:t>Kardiomyocyt je válcovitě protažená buňka</w:t>
      </w:r>
      <w:r>
        <w:rPr>
          <w:sz w:val="24"/>
          <w:szCs w:val="24"/>
        </w:rPr>
        <w:t>,</w:t>
      </w:r>
      <w:r w:rsidRPr="00F420AA">
        <w:rPr>
          <w:sz w:val="24"/>
          <w:szCs w:val="24"/>
        </w:rPr>
        <w:t xml:space="preserve"> která s ostatními elementy tvoří funkční myokardiální svalové syncitium. Tyto elementy jsou navzájem spojeny interkalárními disky. V cytoplasmě kardiomyocytu jsou paralelně s jeho dlouhou osou přítomny svazky myofibril. Na povrchu myofibril je přítomno sarkoplasmatické ret</w:t>
      </w:r>
      <w:r>
        <w:rPr>
          <w:sz w:val="24"/>
          <w:szCs w:val="24"/>
        </w:rPr>
        <w:t>ikulum</w:t>
      </w:r>
      <w:r w:rsidRPr="00F420AA">
        <w:rPr>
          <w:sz w:val="24"/>
          <w:szCs w:val="24"/>
        </w:rPr>
        <w:t>. Myofibrily jsou rozděleny transverzálními Z liniemi na kratší, periodicky se opakující funkční jednotky kardiomyocytu</w:t>
      </w:r>
      <w:r w:rsidR="002A5158">
        <w:rPr>
          <w:sz w:val="24"/>
          <w:szCs w:val="24"/>
        </w:rPr>
        <w:t>,</w:t>
      </w:r>
      <w:r w:rsidRPr="00F420AA">
        <w:rPr>
          <w:sz w:val="24"/>
          <w:szCs w:val="24"/>
        </w:rPr>
        <w:t xml:space="preserve"> tzv. sarkomery. Rozdílným lomem světla na Z-liniích dané níže uvedeným pravidelným uspořádáním a</w:t>
      </w:r>
      <w:r>
        <w:rPr>
          <w:sz w:val="24"/>
          <w:szCs w:val="24"/>
        </w:rPr>
        <w:t xml:space="preserve">ktinových a myosinových vláken </w:t>
      </w:r>
      <w:r w:rsidRPr="00F420AA">
        <w:rPr>
          <w:sz w:val="24"/>
          <w:szCs w:val="24"/>
        </w:rPr>
        <w:t>vzniká charakteristický fenomén příčného pruhování, který je patrný na kosterním a srdečním svalu.</w:t>
      </w:r>
    </w:p>
    <w:p w:rsidR="006C1917" w:rsidRPr="00F420AA" w:rsidRDefault="006C1917" w:rsidP="00930B73">
      <w:pPr>
        <w:spacing w:line="360" w:lineRule="auto"/>
        <w:jc w:val="both"/>
        <w:rPr>
          <w:sz w:val="24"/>
          <w:szCs w:val="24"/>
        </w:rPr>
      </w:pPr>
      <w:r w:rsidRPr="00F420AA">
        <w:rPr>
          <w:sz w:val="24"/>
          <w:szCs w:val="24"/>
        </w:rPr>
        <w:t>V Z liniích sarkomer začínají tenká myofilamenta, jejichž šestice obklopuje vždy jedno aktinové vlákno. Aktinové vlákno je tvořeno z jednotlivých globulárních jednotek aktinu – viz schéma č.</w:t>
      </w:r>
      <w:r>
        <w:rPr>
          <w:sz w:val="24"/>
          <w:szCs w:val="24"/>
        </w:rPr>
        <w:t xml:space="preserve"> </w:t>
      </w:r>
      <w:r w:rsidRPr="00F420AA">
        <w:rPr>
          <w:sz w:val="24"/>
          <w:szCs w:val="24"/>
        </w:rPr>
        <w:t>1</w:t>
      </w:r>
    </w:p>
    <w:p w:rsidR="006C1917" w:rsidRPr="00F420AA" w:rsidRDefault="00D904E8" w:rsidP="002A5827">
      <w:pPr>
        <w:spacing w:line="360" w:lineRule="auto"/>
        <w:rPr>
          <w:sz w:val="24"/>
          <w:szCs w:val="24"/>
        </w:rPr>
      </w:pPr>
      <w:r w:rsidRPr="00D904E8">
        <w:rPr>
          <w:noProof/>
          <w:lang w:eastAsia="cs-CZ"/>
        </w:rPr>
        <w:pict>
          <v:shapetype id="_x0000_t32" coordsize="21600,21600" o:spt="32" o:oned="t" path="m,l21600,21600e" filled="f">
            <v:path arrowok="t" fillok="f" o:connecttype="none"/>
            <o:lock v:ext="edit" shapetype="t"/>
          </v:shapetype>
          <v:shape id="_x0000_s1026" type="#_x0000_t32" style="position:absolute;margin-left:121.15pt;margin-top:17.45pt;width:45pt;height:42pt;flip:x;z-index:251644928" o:connectortype="straight" strokeweight="1pt">
            <v:stroke endarrow="block"/>
          </v:shape>
        </w:pict>
      </w:r>
      <w:r w:rsidR="006C1917" w:rsidRPr="00F420AA">
        <w:rPr>
          <w:sz w:val="24"/>
          <w:szCs w:val="24"/>
        </w:rPr>
        <w:t xml:space="preserve">                                                      </w:t>
      </w:r>
      <w:r w:rsidR="006C1917">
        <w:rPr>
          <w:sz w:val="24"/>
          <w:szCs w:val="24"/>
        </w:rPr>
        <w:t>aktin</w:t>
      </w:r>
      <w:r w:rsidR="006C1917" w:rsidRPr="00F420AA">
        <w:rPr>
          <w:sz w:val="24"/>
          <w:szCs w:val="24"/>
        </w:rPr>
        <w:t xml:space="preserve">   </w:t>
      </w:r>
    </w:p>
    <w:p w:rsidR="006C1917" w:rsidRPr="00F420AA" w:rsidRDefault="00D904E8" w:rsidP="002A5827">
      <w:pPr>
        <w:spacing w:line="360" w:lineRule="auto"/>
        <w:rPr>
          <w:sz w:val="24"/>
          <w:szCs w:val="24"/>
        </w:rPr>
      </w:pPr>
      <w:r w:rsidRPr="00D904E8">
        <w:rPr>
          <w:noProof/>
          <w:lang w:eastAsia="cs-CZ"/>
        </w:rPr>
        <w:pict>
          <v:shape id="_x0000_s1027" type="#_x0000_t32" style="position:absolute;margin-left:185.65pt;margin-top:65.4pt;width:36pt;height:41.25pt;flip:x y;z-index:251645952" o:connectortype="straight" strokeweight="1pt">
            <v:stroke endarrow="block"/>
          </v:shape>
        </w:pict>
      </w:r>
      <w:r w:rsidR="000C52EC">
        <w:rPr>
          <w:noProof/>
          <w:sz w:val="24"/>
          <w:szCs w:val="24"/>
          <w:lang w:eastAsia="cs-CZ"/>
        </w:rPr>
        <w:drawing>
          <wp:inline distT="0" distB="0" distL="0" distR="0">
            <wp:extent cx="2486025" cy="1476375"/>
            <wp:effectExtent l="0" t="0" r="0" b="0"/>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a:srcRect l="34068" t="13756" r="44432" b="66634"/>
                    <a:stretch>
                      <a:fillRect/>
                    </a:stretch>
                  </pic:blipFill>
                  <pic:spPr bwMode="auto">
                    <a:xfrm>
                      <a:off x="0" y="0"/>
                      <a:ext cx="2486025" cy="1476375"/>
                    </a:xfrm>
                    <a:prstGeom prst="rect">
                      <a:avLst/>
                    </a:prstGeom>
                    <a:noFill/>
                    <a:ln w="9525">
                      <a:noFill/>
                      <a:miter lim="800000"/>
                      <a:headEnd/>
                      <a:tailEnd/>
                    </a:ln>
                  </pic:spPr>
                </pic:pic>
              </a:graphicData>
            </a:graphic>
          </wp:inline>
        </w:drawing>
      </w:r>
      <w:r w:rsidR="006C1917">
        <w:rPr>
          <w:sz w:val="24"/>
          <w:szCs w:val="24"/>
        </w:rPr>
        <w:t xml:space="preserve">  </w:t>
      </w:r>
      <w:r w:rsidR="006C1917" w:rsidRPr="00F420AA">
        <w:rPr>
          <w:sz w:val="24"/>
          <w:szCs w:val="24"/>
        </w:rPr>
        <w:t xml:space="preserve">  dvojšroubovice tropomyosinu</w:t>
      </w:r>
    </w:p>
    <w:p w:rsidR="006C1917" w:rsidRPr="00AE666B" w:rsidRDefault="00C4202A" w:rsidP="002A5827">
      <w:pPr>
        <w:spacing w:line="360" w:lineRule="auto"/>
        <w:rPr>
          <w:sz w:val="24"/>
          <w:szCs w:val="24"/>
        </w:rPr>
      </w:pPr>
      <w:r>
        <w:rPr>
          <w:sz w:val="24"/>
          <w:szCs w:val="24"/>
        </w:rPr>
        <w:t>S</w:t>
      </w:r>
      <w:r w:rsidR="006C1917" w:rsidRPr="00AE666B">
        <w:rPr>
          <w:sz w:val="24"/>
          <w:szCs w:val="24"/>
        </w:rPr>
        <w:t xml:space="preserve">chéma č. </w:t>
      </w:r>
      <w:r w:rsidR="00AE666B" w:rsidRPr="00AE666B">
        <w:rPr>
          <w:sz w:val="24"/>
          <w:szCs w:val="24"/>
        </w:rPr>
        <w:t xml:space="preserve">1 : podle  </w:t>
      </w:r>
      <w:r w:rsidR="00AE666B" w:rsidRPr="00AE666B">
        <w:rPr>
          <w:rFonts w:asciiTheme="minorHAnsi" w:hAnsiTheme="minorHAnsi"/>
          <w:sz w:val="24"/>
          <w:szCs w:val="24"/>
          <w:shd w:val="clear" w:color="auto" w:fill="FFFFFF"/>
        </w:rPr>
        <w:t>KITTNAR, Otomar.</w:t>
      </w:r>
      <w:r w:rsidR="00AE666B" w:rsidRPr="00AE666B">
        <w:rPr>
          <w:rFonts w:asciiTheme="minorHAnsi" w:hAnsiTheme="minorHAnsi"/>
          <w:sz w:val="24"/>
          <w:szCs w:val="24"/>
        </w:rPr>
        <w:t> </w:t>
      </w:r>
      <w:r w:rsidR="00AE666B" w:rsidRPr="00AE666B">
        <w:rPr>
          <w:rFonts w:asciiTheme="minorHAnsi" w:hAnsiTheme="minorHAnsi"/>
          <w:i/>
          <w:iCs/>
          <w:sz w:val="24"/>
          <w:szCs w:val="24"/>
          <w:shd w:val="clear" w:color="auto" w:fill="FFFFFF"/>
        </w:rPr>
        <w:t>Lékařská fyziologie</w:t>
      </w:r>
      <w:r w:rsidR="00AE666B" w:rsidRPr="00AE666B">
        <w:rPr>
          <w:rFonts w:asciiTheme="minorHAnsi" w:hAnsiTheme="minorHAnsi"/>
          <w:sz w:val="24"/>
          <w:szCs w:val="24"/>
          <w:shd w:val="clear" w:color="auto" w:fill="FFFFFF"/>
        </w:rPr>
        <w:t>. 1. vyd. Praha: Grada, 2011</w:t>
      </w:r>
      <w:r w:rsidR="00AE666B" w:rsidRPr="00AE666B">
        <w:rPr>
          <w:sz w:val="24"/>
          <w:szCs w:val="24"/>
        </w:rPr>
        <w:t>, strana 92</w:t>
      </w:r>
      <w:r w:rsidR="00D339CD">
        <w:rPr>
          <w:sz w:val="24"/>
          <w:szCs w:val="24"/>
        </w:rPr>
        <w:t>,</w:t>
      </w:r>
      <w:r w:rsidR="00AE666B" w:rsidRPr="00AE666B">
        <w:rPr>
          <w:sz w:val="24"/>
          <w:szCs w:val="24"/>
        </w:rPr>
        <w:t xml:space="preserve"> volně adaptovala </w:t>
      </w:r>
      <w:proofErr w:type="gramStart"/>
      <w:r w:rsidR="00AE666B" w:rsidRPr="00AE666B">
        <w:rPr>
          <w:sz w:val="24"/>
          <w:szCs w:val="24"/>
        </w:rPr>
        <w:t>Mgr.Eva</w:t>
      </w:r>
      <w:proofErr w:type="gramEnd"/>
      <w:r w:rsidR="00AE666B" w:rsidRPr="00AE666B">
        <w:rPr>
          <w:sz w:val="24"/>
          <w:szCs w:val="24"/>
        </w:rPr>
        <w:t xml:space="preserve"> Šilerová</w:t>
      </w:r>
      <w:r>
        <w:rPr>
          <w:sz w:val="24"/>
          <w:szCs w:val="24"/>
        </w:rPr>
        <w:t>.</w:t>
      </w:r>
    </w:p>
    <w:p w:rsidR="006C1917" w:rsidRPr="00F420AA" w:rsidRDefault="006C1917" w:rsidP="002A5827">
      <w:pPr>
        <w:spacing w:line="360" w:lineRule="auto"/>
        <w:rPr>
          <w:sz w:val="24"/>
          <w:szCs w:val="24"/>
        </w:rPr>
      </w:pPr>
    </w:p>
    <w:p w:rsidR="006C1917" w:rsidRPr="00F420AA" w:rsidRDefault="006C1917" w:rsidP="00930B73">
      <w:pPr>
        <w:spacing w:line="360" w:lineRule="auto"/>
        <w:jc w:val="both"/>
        <w:rPr>
          <w:sz w:val="24"/>
          <w:szCs w:val="24"/>
        </w:rPr>
      </w:pPr>
      <w:r w:rsidRPr="00F420AA">
        <w:rPr>
          <w:sz w:val="24"/>
          <w:szCs w:val="24"/>
        </w:rPr>
        <w:t>Na povrchu aktinu se obtáčí molekula tropomyosinu. Sama molekula je tvořena dvěm</w:t>
      </w:r>
      <w:r>
        <w:rPr>
          <w:sz w:val="24"/>
          <w:szCs w:val="24"/>
        </w:rPr>
        <w:t>a</w:t>
      </w:r>
      <w:r w:rsidRPr="00F420AA">
        <w:rPr>
          <w:sz w:val="24"/>
          <w:szCs w:val="24"/>
        </w:rPr>
        <w:t xml:space="preserve"> navz</w:t>
      </w:r>
      <w:r>
        <w:rPr>
          <w:sz w:val="24"/>
          <w:szCs w:val="24"/>
        </w:rPr>
        <w:t>ájem se helikoidně obtáčejícími</w:t>
      </w:r>
      <w:r w:rsidRPr="00F420AA">
        <w:rPr>
          <w:sz w:val="24"/>
          <w:szCs w:val="24"/>
        </w:rPr>
        <w:t xml:space="preserve"> polypeptidovými řetězci viz schéma č.</w:t>
      </w:r>
      <w:r>
        <w:rPr>
          <w:sz w:val="24"/>
          <w:szCs w:val="24"/>
        </w:rPr>
        <w:t xml:space="preserve"> </w:t>
      </w:r>
      <w:r w:rsidRPr="00F420AA">
        <w:rPr>
          <w:sz w:val="24"/>
          <w:szCs w:val="24"/>
        </w:rPr>
        <w:t>1 (3)</w:t>
      </w:r>
    </w:p>
    <w:p w:rsidR="006C1917" w:rsidRPr="00F420AA" w:rsidRDefault="006C1917" w:rsidP="00930B73">
      <w:pPr>
        <w:spacing w:line="360" w:lineRule="auto"/>
        <w:jc w:val="both"/>
        <w:rPr>
          <w:sz w:val="24"/>
          <w:szCs w:val="24"/>
        </w:rPr>
      </w:pPr>
      <w:r w:rsidRPr="00F420AA">
        <w:rPr>
          <w:sz w:val="24"/>
          <w:szCs w:val="24"/>
        </w:rPr>
        <w:t>Na povrchu tropomyosinu je vždy každých 40 nm uložen jeden troponinový komplex, který se sestává z 3 subjednotek, tedy troponinu C, T a I (schéma č.</w:t>
      </w:r>
      <w:r>
        <w:rPr>
          <w:sz w:val="24"/>
          <w:szCs w:val="24"/>
        </w:rPr>
        <w:t xml:space="preserve"> </w:t>
      </w:r>
      <w:r w:rsidRPr="00F420AA">
        <w:rPr>
          <w:sz w:val="24"/>
          <w:szCs w:val="24"/>
        </w:rPr>
        <w:t xml:space="preserve">2). </w:t>
      </w:r>
    </w:p>
    <w:p w:rsidR="006C1917" w:rsidRDefault="006C1917" w:rsidP="002A5827">
      <w:pPr>
        <w:spacing w:line="360" w:lineRule="auto"/>
        <w:rPr>
          <w:sz w:val="24"/>
          <w:szCs w:val="24"/>
        </w:rPr>
      </w:pPr>
    </w:p>
    <w:p w:rsidR="006C1917" w:rsidRPr="00F420AA" w:rsidRDefault="00D904E8" w:rsidP="002A5827">
      <w:pPr>
        <w:spacing w:line="360" w:lineRule="auto"/>
        <w:rPr>
          <w:sz w:val="24"/>
          <w:szCs w:val="24"/>
        </w:rPr>
      </w:pPr>
      <w:r w:rsidRPr="00D904E8">
        <w:rPr>
          <w:noProof/>
          <w:lang w:eastAsia="cs-CZ"/>
        </w:rPr>
        <w:pict>
          <v:shape id="_x0000_s1028" type="#_x0000_t32" style="position:absolute;margin-left:79.15pt;margin-top:14.8pt;width:9.75pt;height:38.25pt;flip:x;z-index:251640832" o:connectortype="straight" strokeweight="1pt">
            <v:stroke endarrow="block"/>
          </v:shape>
        </w:pict>
      </w:r>
      <w:r w:rsidRPr="00D904E8">
        <w:rPr>
          <w:noProof/>
          <w:lang w:eastAsia="cs-CZ"/>
        </w:rPr>
        <w:pict>
          <v:shape id="_x0000_s1029" type="#_x0000_t32" style="position:absolute;margin-left:45.4pt;margin-top:14.8pt;width:1.5pt;height:24.75pt;z-index:251639808" o:connectortype="straight" strokeweight="1pt">
            <v:stroke endarrow="block"/>
          </v:shape>
        </w:pict>
      </w:r>
      <w:r w:rsidRPr="00D904E8">
        <w:rPr>
          <w:noProof/>
          <w:lang w:eastAsia="cs-CZ"/>
        </w:rPr>
        <w:pict>
          <v:shape id="_x0000_s1030" type="#_x0000_t32" style="position:absolute;margin-left:7.9pt;margin-top:14.8pt;width:10.5pt;height:42pt;z-index:251638784" o:connectortype="straight" strokeweight="1pt">
            <v:stroke endarrow="block"/>
          </v:shape>
        </w:pict>
      </w:r>
      <w:r w:rsidR="006C1917" w:rsidRPr="00F420AA">
        <w:rPr>
          <w:sz w:val="24"/>
          <w:szCs w:val="24"/>
        </w:rPr>
        <w:t xml:space="preserve">TnC        </w:t>
      </w:r>
      <w:proofErr w:type="gramStart"/>
      <w:r w:rsidR="006C1917" w:rsidRPr="00F420AA">
        <w:rPr>
          <w:sz w:val="24"/>
          <w:szCs w:val="24"/>
        </w:rPr>
        <w:t>TnI            Aktin</w:t>
      </w:r>
      <w:proofErr w:type="gramEnd"/>
      <w:r w:rsidR="006C1917" w:rsidRPr="00F420AA">
        <w:rPr>
          <w:sz w:val="24"/>
          <w:szCs w:val="24"/>
        </w:rPr>
        <w:t xml:space="preserve">                          </w:t>
      </w:r>
    </w:p>
    <w:p w:rsidR="006C1917" w:rsidRPr="00F420AA" w:rsidRDefault="00D904E8" w:rsidP="002A5827">
      <w:pPr>
        <w:spacing w:line="360" w:lineRule="auto"/>
        <w:rPr>
          <w:sz w:val="24"/>
          <w:szCs w:val="24"/>
        </w:rPr>
      </w:pPr>
      <w:r w:rsidRPr="00D904E8">
        <w:rPr>
          <w:noProof/>
          <w:lang w:eastAsia="cs-CZ"/>
        </w:rPr>
        <w:pict>
          <v:shape id="_x0000_s1031" type="#_x0000_t32" style="position:absolute;margin-left:79.15pt;margin-top:49.35pt;width:21.75pt;height:28.5pt;flip:x y;z-index:251643904" o:connectortype="straight" strokeweight="1pt">
            <v:stroke endarrow="block"/>
          </v:shape>
        </w:pict>
      </w:r>
      <w:r w:rsidRPr="00D904E8">
        <w:rPr>
          <w:noProof/>
          <w:lang w:eastAsia="cs-CZ"/>
        </w:rPr>
        <w:pict>
          <v:shape id="_x0000_s1032" type="#_x0000_t32" style="position:absolute;margin-left:66.4pt;margin-top:67.35pt;width:6.75pt;height:42pt;flip:y;z-index:251642880" o:connectortype="straight" strokeweight="1pt">
            <v:stroke endarrow="block"/>
          </v:shape>
        </w:pict>
      </w:r>
      <w:r w:rsidRPr="00D904E8">
        <w:rPr>
          <w:noProof/>
          <w:lang w:eastAsia="cs-CZ"/>
        </w:rPr>
        <w:pict>
          <v:shape id="_x0000_s1033" type="#_x0000_t32" style="position:absolute;margin-left:11.65pt;margin-top:74.1pt;width:24.75pt;height:35.25pt;flip:y;z-index:251641856" o:connectortype="straight" strokeweight="1pt">
            <v:stroke endarrow="block"/>
          </v:shape>
        </w:pict>
      </w:r>
      <w:r w:rsidR="000C52EC">
        <w:rPr>
          <w:noProof/>
          <w:sz w:val="24"/>
          <w:szCs w:val="24"/>
          <w:lang w:eastAsia="cs-CZ"/>
        </w:rPr>
        <w:drawing>
          <wp:inline distT="0" distB="0" distL="0" distR="0">
            <wp:extent cx="1181100" cy="108585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l="33556" t="41795" r="43933" b="24339"/>
                    <a:stretch>
                      <a:fillRect/>
                    </a:stretch>
                  </pic:blipFill>
                  <pic:spPr bwMode="auto">
                    <a:xfrm>
                      <a:off x="0" y="0"/>
                      <a:ext cx="1181100" cy="1085850"/>
                    </a:xfrm>
                    <a:prstGeom prst="rect">
                      <a:avLst/>
                    </a:prstGeom>
                    <a:noFill/>
                    <a:ln w="9525">
                      <a:noFill/>
                      <a:miter lim="800000"/>
                      <a:headEnd/>
                      <a:tailEnd/>
                    </a:ln>
                  </pic:spPr>
                </pic:pic>
              </a:graphicData>
            </a:graphic>
          </wp:inline>
        </w:drawing>
      </w:r>
      <w:r w:rsidR="006C1917" w:rsidRPr="00F420AA">
        <w:rPr>
          <w:sz w:val="24"/>
          <w:szCs w:val="24"/>
        </w:rPr>
        <w:t>vazebné místo pro myosin</w:t>
      </w:r>
    </w:p>
    <w:p w:rsidR="006C1917" w:rsidRPr="00F420AA" w:rsidRDefault="006C1917" w:rsidP="002A5827">
      <w:pPr>
        <w:spacing w:line="360" w:lineRule="auto"/>
        <w:rPr>
          <w:sz w:val="24"/>
          <w:szCs w:val="24"/>
        </w:rPr>
      </w:pPr>
      <w:r w:rsidRPr="00F420AA">
        <w:rPr>
          <w:sz w:val="24"/>
          <w:szCs w:val="24"/>
        </w:rPr>
        <w:t>Tn T        tropomyosin</w:t>
      </w:r>
    </w:p>
    <w:p w:rsidR="006C1917" w:rsidRPr="00AE666B" w:rsidRDefault="00C4202A" w:rsidP="002A5827">
      <w:pPr>
        <w:spacing w:line="360" w:lineRule="auto"/>
        <w:rPr>
          <w:sz w:val="24"/>
          <w:szCs w:val="24"/>
        </w:rPr>
      </w:pPr>
      <w:r>
        <w:rPr>
          <w:sz w:val="24"/>
          <w:szCs w:val="24"/>
        </w:rPr>
        <w:t>S</w:t>
      </w:r>
      <w:r w:rsidR="006C1917" w:rsidRPr="00AE666B">
        <w:rPr>
          <w:sz w:val="24"/>
          <w:szCs w:val="24"/>
        </w:rPr>
        <w:t xml:space="preserve">chéma č. </w:t>
      </w:r>
      <w:r w:rsidR="00AE666B" w:rsidRPr="00AE666B">
        <w:rPr>
          <w:sz w:val="24"/>
          <w:szCs w:val="24"/>
        </w:rPr>
        <w:t xml:space="preserve">2 : podle  </w:t>
      </w:r>
      <w:r w:rsidR="00AE666B" w:rsidRPr="00AE666B">
        <w:rPr>
          <w:rFonts w:asciiTheme="minorHAnsi" w:hAnsiTheme="minorHAnsi"/>
          <w:sz w:val="24"/>
          <w:szCs w:val="24"/>
          <w:shd w:val="clear" w:color="auto" w:fill="FFFFFF"/>
        </w:rPr>
        <w:t>KITTNAR, Otomar.</w:t>
      </w:r>
      <w:r w:rsidR="00AE666B" w:rsidRPr="00AE666B">
        <w:rPr>
          <w:rFonts w:asciiTheme="minorHAnsi" w:hAnsiTheme="minorHAnsi"/>
          <w:sz w:val="24"/>
          <w:szCs w:val="24"/>
        </w:rPr>
        <w:t> </w:t>
      </w:r>
      <w:r w:rsidR="00AE666B" w:rsidRPr="00AE666B">
        <w:rPr>
          <w:rFonts w:asciiTheme="minorHAnsi" w:hAnsiTheme="minorHAnsi"/>
          <w:i/>
          <w:iCs/>
          <w:sz w:val="24"/>
          <w:szCs w:val="24"/>
          <w:shd w:val="clear" w:color="auto" w:fill="FFFFFF"/>
        </w:rPr>
        <w:t>Lékařská fyziologie</w:t>
      </w:r>
      <w:r w:rsidR="00AE666B" w:rsidRPr="00AE666B">
        <w:rPr>
          <w:rFonts w:asciiTheme="minorHAnsi" w:hAnsiTheme="minorHAnsi"/>
          <w:sz w:val="24"/>
          <w:szCs w:val="24"/>
          <w:shd w:val="clear" w:color="auto" w:fill="FFFFFF"/>
        </w:rPr>
        <w:t>. 1. vyd. Praha: Grada, 2011</w:t>
      </w:r>
      <w:r w:rsidR="00AE666B" w:rsidRPr="00AE666B">
        <w:rPr>
          <w:sz w:val="24"/>
          <w:szCs w:val="24"/>
        </w:rPr>
        <w:t>, strana 92</w:t>
      </w:r>
      <w:r w:rsidR="00D339CD">
        <w:rPr>
          <w:sz w:val="24"/>
          <w:szCs w:val="24"/>
        </w:rPr>
        <w:t>,</w:t>
      </w:r>
      <w:r w:rsidR="00AE666B" w:rsidRPr="00AE666B">
        <w:rPr>
          <w:sz w:val="24"/>
          <w:szCs w:val="24"/>
        </w:rPr>
        <w:t xml:space="preserve"> volně adaptovala </w:t>
      </w:r>
      <w:proofErr w:type="gramStart"/>
      <w:r w:rsidR="00AE666B" w:rsidRPr="00AE666B">
        <w:rPr>
          <w:sz w:val="24"/>
          <w:szCs w:val="24"/>
        </w:rPr>
        <w:t>Mgr.Eva</w:t>
      </w:r>
      <w:proofErr w:type="gramEnd"/>
      <w:r w:rsidR="00AE666B" w:rsidRPr="00AE666B">
        <w:rPr>
          <w:sz w:val="24"/>
          <w:szCs w:val="24"/>
        </w:rPr>
        <w:t xml:space="preserve"> Šilerová</w:t>
      </w:r>
      <w:r>
        <w:rPr>
          <w:sz w:val="24"/>
          <w:szCs w:val="24"/>
        </w:rPr>
        <w:t>.</w:t>
      </w:r>
    </w:p>
    <w:p w:rsidR="006C1917" w:rsidRDefault="006C1917" w:rsidP="002A5827">
      <w:pPr>
        <w:spacing w:line="360" w:lineRule="auto"/>
        <w:rPr>
          <w:sz w:val="24"/>
          <w:szCs w:val="24"/>
        </w:rPr>
      </w:pPr>
    </w:p>
    <w:p w:rsidR="006C1917" w:rsidRPr="007F7222" w:rsidRDefault="006C1917" w:rsidP="00312AA9">
      <w:pPr>
        <w:pStyle w:val="Nadpis2"/>
        <w:spacing w:after="240"/>
        <w:ind w:left="578" w:hanging="578"/>
      </w:pPr>
      <w:bookmarkStart w:id="5" w:name="_Toc422993216"/>
      <w:r w:rsidRPr="007F7222">
        <w:t>Charakteristika srdečních troponinů</w:t>
      </w:r>
      <w:bookmarkEnd w:id="5"/>
    </w:p>
    <w:p w:rsidR="006C1917" w:rsidRPr="007F7222" w:rsidRDefault="006C1917" w:rsidP="007F7222">
      <w:pPr>
        <w:pStyle w:val="Nadpis3"/>
        <w:rPr>
          <w:lang w:eastAsia="ar-SA"/>
        </w:rPr>
      </w:pPr>
      <w:bookmarkStart w:id="6" w:name="_Toc422993217"/>
      <w:r w:rsidRPr="007F7222">
        <w:rPr>
          <w:lang w:eastAsia="ar-SA"/>
        </w:rPr>
        <w:t>Troponin C</w:t>
      </w:r>
      <w:bookmarkEnd w:id="6"/>
    </w:p>
    <w:p w:rsidR="006C1917" w:rsidRPr="00F420AA" w:rsidRDefault="006C1917" w:rsidP="00312AA9">
      <w:pPr>
        <w:spacing w:line="360" w:lineRule="auto"/>
        <w:jc w:val="both"/>
        <w:rPr>
          <w:sz w:val="24"/>
          <w:szCs w:val="24"/>
        </w:rPr>
      </w:pPr>
      <w:r w:rsidRPr="00F420AA">
        <w:rPr>
          <w:sz w:val="24"/>
          <w:szCs w:val="24"/>
        </w:rPr>
        <w:t>Troponin C je polypeptid, kte</w:t>
      </w:r>
      <w:r>
        <w:rPr>
          <w:sz w:val="24"/>
          <w:szCs w:val="24"/>
        </w:rPr>
        <w:t xml:space="preserve">rý tvoří ovoidní </w:t>
      </w:r>
      <w:r w:rsidRPr="00F420AA">
        <w:rPr>
          <w:sz w:val="24"/>
          <w:szCs w:val="24"/>
        </w:rPr>
        <w:t>strukturu, která je ve své centrální části sedlovitě prohnutá. Prohnutí je vazebným místem pro kulovité C-terminální zakončení troponinu T.</w:t>
      </w:r>
      <w:r>
        <w:rPr>
          <w:sz w:val="24"/>
          <w:szCs w:val="24"/>
        </w:rPr>
        <w:t xml:space="preserve"> </w:t>
      </w:r>
      <w:r w:rsidRPr="00F420AA">
        <w:rPr>
          <w:sz w:val="24"/>
          <w:szCs w:val="24"/>
        </w:rPr>
        <w:t>Molekula troponinu C obsahuje ve své N-terminální doméně 2 vazebná místa pro kalciové ionty, dále na své C-terminální doméně obsahuje další 2 vazebná místa schopná vázat kalciový nebo hořčíkový iont.</w:t>
      </w:r>
    </w:p>
    <w:p w:rsidR="006C1917" w:rsidRPr="007F7222" w:rsidRDefault="006C1917" w:rsidP="007F7222">
      <w:pPr>
        <w:pStyle w:val="Nadpis3"/>
        <w:rPr>
          <w:lang w:eastAsia="ar-SA"/>
        </w:rPr>
      </w:pPr>
      <w:bookmarkStart w:id="7" w:name="_Toc422993218"/>
      <w:r w:rsidRPr="007F7222">
        <w:rPr>
          <w:lang w:eastAsia="ar-SA"/>
        </w:rPr>
        <w:t>Troponin T</w:t>
      </w:r>
      <w:bookmarkEnd w:id="7"/>
      <w:r w:rsidRPr="007F7222">
        <w:rPr>
          <w:lang w:eastAsia="ar-SA"/>
        </w:rPr>
        <w:t xml:space="preserve"> </w:t>
      </w:r>
    </w:p>
    <w:p w:rsidR="006C1917" w:rsidRPr="00F420AA" w:rsidRDefault="006C1917" w:rsidP="00312AA9">
      <w:pPr>
        <w:spacing w:line="360" w:lineRule="auto"/>
        <w:jc w:val="both"/>
        <w:rPr>
          <w:sz w:val="24"/>
          <w:szCs w:val="24"/>
        </w:rPr>
      </w:pPr>
      <w:r w:rsidRPr="00F420AA">
        <w:rPr>
          <w:sz w:val="24"/>
          <w:szCs w:val="24"/>
        </w:rPr>
        <w:t xml:space="preserve">Troponin T je globulární polypeptidový útvar s výše popsaným C-terminálním zakončením, kterým pevně </w:t>
      </w:r>
      <w:proofErr w:type="gramStart"/>
      <w:r w:rsidRPr="00F420AA">
        <w:rPr>
          <w:sz w:val="24"/>
          <w:szCs w:val="24"/>
        </w:rPr>
        <w:t>lne</w:t>
      </w:r>
      <w:proofErr w:type="gramEnd"/>
      <w:r w:rsidRPr="00F420AA">
        <w:rPr>
          <w:sz w:val="24"/>
          <w:szCs w:val="24"/>
        </w:rPr>
        <w:t xml:space="preserve"> k troponinu C. N-terminální konec troponinu T se </w:t>
      </w:r>
      <w:proofErr w:type="gramStart"/>
      <w:r w:rsidRPr="00F420AA">
        <w:rPr>
          <w:sz w:val="24"/>
          <w:szCs w:val="24"/>
        </w:rPr>
        <w:t>váže</w:t>
      </w:r>
      <w:proofErr w:type="gramEnd"/>
      <w:r w:rsidRPr="00F420AA">
        <w:rPr>
          <w:sz w:val="24"/>
          <w:szCs w:val="24"/>
        </w:rPr>
        <w:t xml:space="preserve"> k molekule tropomyosinu.</w:t>
      </w:r>
    </w:p>
    <w:p w:rsidR="006C1917" w:rsidRPr="00312AA9" w:rsidRDefault="006C1917" w:rsidP="00312AA9">
      <w:pPr>
        <w:pStyle w:val="Nadpis3"/>
        <w:rPr>
          <w:lang w:eastAsia="ar-SA"/>
        </w:rPr>
      </w:pPr>
      <w:bookmarkStart w:id="8" w:name="_Toc422993219"/>
      <w:r w:rsidRPr="00312AA9">
        <w:rPr>
          <w:lang w:eastAsia="ar-SA"/>
        </w:rPr>
        <w:t>Troponin I</w:t>
      </w:r>
      <w:bookmarkEnd w:id="8"/>
    </w:p>
    <w:p w:rsidR="006C1917" w:rsidRPr="00F420AA" w:rsidRDefault="006C1917" w:rsidP="00312AA9">
      <w:pPr>
        <w:spacing w:line="360" w:lineRule="auto"/>
        <w:jc w:val="both"/>
        <w:rPr>
          <w:sz w:val="24"/>
          <w:szCs w:val="24"/>
        </w:rPr>
      </w:pPr>
      <w:r w:rsidRPr="00F420AA">
        <w:rPr>
          <w:sz w:val="24"/>
          <w:szCs w:val="24"/>
        </w:rPr>
        <w:t>G</w:t>
      </w:r>
      <w:r>
        <w:rPr>
          <w:sz w:val="24"/>
          <w:szCs w:val="24"/>
        </w:rPr>
        <w:t xml:space="preserve">lobulární molekula troponinu I </w:t>
      </w:r>
      <w:r w:rsidRPr="00F420AA">
        <w:rPr>
          <w:sz w:val="24"/>
          <w:szCs w:val="24"/>
        </w:rPr>
        <w:t>j</w:t>
      </w:r>
      <w:r>
        <w:rPr>
          <w:sz w:val="24"/>
          <w:szCs w:val="24"/>
        </w:rPr>
        <w:t>e uložena po straně troponinu C,</w:t>
      </w:r>
      <w:r w:rsidRPr="00F420AA">
        <w:rPr>
          <w:sz w:val="24"/>
          <w:szCs w:val="24"/>
        </w:rPr>
        <w:t xml:space="preserve"> spolu s výše uvedenými tvoří tzv. troponinový komplex. Troponin I v době nepřítomnosti calciových iontů překrývá vazebné místo pro myosin a tím i nepřímo inhibuje aktin-myosinovou ATP-ázu na povrchu myosinových hlav, která je aktivována právě kontaktem s aktinem. </w:t>
      </w:r>
    </w:p>
    <w:p w:rsidR="006C1917" w:rsidRPr="00312AA9" w:rsidRDefault="006C1917" w:rsidP="00312AA9">
      <w:pPr>
        <w:pStyle w:val="Nadpis2"/>
      </w:pPr>
      <w:bookmarkStart w:id="9" w:name="_Toc422993220"/>
      <w:r>
        <w:lastRenderedPageBreak/>
        <w:t>Struktura</w:t>
      </w:r>
      <w:r w:rsidRPr="00312AA9">
        <w:t xml:space="preserve"> a funkce  troponin</w:t>
      </w:r>
      <w:r w:rsidR="00AE666B">
        <w:t>-trop</w:t>
      </w:r>
      <w:r w:rsidRPr="00312AA9">
        <w:t>omyozinového komplexu</w:t>
      </w:r>
      <w:bookmarkEnd w:id="9"/>
    </w:p>
    <w:p w:rsidR="006C1917" w:rsidRPr="00F420AA" w:rsidRDefault="006C1917" w:rsidP="00312AA9">
      <w:pPr>
        <w:spacing w:line="360" w:lineRule="auto"/>
        <w:jc w:val="both"/>
        <w:rPr>
          <w:sz w:val="24"/>
          <w:szCs w:val="24"/>
        </w:rPr>
      </w:pPr>
      <w:r w:rsidRPr="00F420AA">
        <w:rPr>
          <w:sz w:val="24"/>
          <w:szCs w:val="24"/>
        </w:rPr>
        <w:t xml:space="preserve">Mikroskopická struktura srdeční myofibrily je léta předmětem elektronmikroskopického výzkumu a již dlouhou dobu je známa detailní struktura myofibrily.  Myofibrila jakožto základní stavební jednotka svalu je tvořena </w:t>
      </w:r>
      <w:r>
        <w:rPr>
          <w:sz w:val="24"/>
          <w:szCs w:val="24"/>
        </w:rPr>
        <w:t>tvořena tlustými myozinovými a tenkými aktinovými vlákny</w:t>
      </w:r>
      <w:r w:rsidRPr="00F420AA">
        <w:rPr>
          <w:sz w:val="24"/>
          <w:szCs w:val="24"/>
        </w:rPr>
        <w:t xml:space="preserve">. Vzájemná interakce těchto struktur pomocí myosinových hlaviček vede za energetické podpory k složitému mechanismu srdeční kontrakce. Každé tlusté myozinové vlákno je obklopeno hexagonem aktinových vláken. </w:t>
      </w:r>
      <w:r>
        <w:rPr>
          <w:sz w:val="24"/>
          <w:szCs w:val="24"/>
        </w:rPr>
        <w:t>Každá aktinová jednotka je</w:t>
      </w:r>
      <w:r w:rsidRPr="00F420AA">
        <w:rPr>
          <w:sz w:val="24"/>
          <w:szCs w:val="24"/>
        </w:rPr>
        <w:t xml:space="preserve"> tvořena sedmi helikálně se stáčejícími monoméry aktinu. Na povrchu aktinových vlákem je přítomna mol</w:t>
      </w:r>
      <w:r>
        <w:rPr>
          <w:sz w:val="24"/>
          <w:szCs w:val="24"/>
        </w:rPr>
        <w:t>ekula tropomyosinu, skládá se z</w:t>
      </w:r>
      <w:r w:rsidRPr="00F420AA">
        <w:rPr>
          <w:sz w:val="24"/>
          <w:szCs w:val="24"/>
        </w:rPr>
        <w:t xml:space="preserve"> 2 polypeptidových řetězců, které se vzájemně helikoidně obtáčejí (4), schéma č.</w:t>
      </w:r>
      <w:r>
        <w:rPr>
          <w:sz w:val="24"/>
          <w:szCs w:val="24"/>
        </w:rPr>
        <w:t xml:space="preserve"> </w:t>
      </w:r>
      <w:r w:rsidRPr="00F420AA">
        <w:rPr>
          <w:sz w:val="24"/>
          <w:szCs w:val="24"/>
        </w:rPr>
        <w:t>1</w:t>
      </w:r>
      <w:r>
        <w:rPr>
          <w:sz w:val="24"/>
          <w:szCs w:val="24"/>
        </w:rPr>
        <w:t xml:space="preserve"> </w:t>
      </w:r>
      <w:r w:rsidRPr="00F420AA">
        <w:rPr>
          <w:sz w:val="24"/>
          <w:szCs w:val="24"/>
        </w:rPr>
        <w:t>a tyto také obtáčí aktinové vlákno.</w:t>
      </w:r>
    </w:p>
    <w:p w:rsidR="006C1917" w:rsidRPr="00F420AA" w:rsidRDefault="006C1917" w:rsidP="00312AA9">
      <w:pPr>
        <w:spacing w:line="360" w:lineRule="auto"/>
        <w:jc w:val="both"/>
        <w:rPr>
          <w:sz w:val="24"/>
          <w:szCs w:val="24"/>
        </w:rPr>
      </w:pPr>
      <w:r w:rsidRPr="00F420AA">
        <w:rPr>
          <w:sz w:val="24"/>
          <w:szCs w:val="24"/>
        </w:rPr>
        <w:t>Na každý tropomyosinový komplex se váže jeden komplex st</w:t>
      </w:r>
      <w:r>
        <w:rPr>
          <w:sz w:val="24"/>
          <w:szCs w:val="24"/>
        </w:rPr>
        <w:t>rukturálních proteinů troponinu</w:t>
      </w:r>
      <w:r w:rsidRPr="00F420AA">
        <w:rPr>
          <w:sz w:val="24"/>
          <w:szCs w:val="24"/>
        </w:rPr>
        <w:t>, konkrétně C, T a I. Má sedlovitý tvar</w:t>
      </w:r>
      <w:r>
        <w:rPr>
          <w:sz w:val="24"/>
          <w:szCs w:val="24"/>
        </w:rPr>
        <w:t>,</w:t>
      </w:r>
      <w:r w:rsidRPr="00F420AA">
        <w:rPr>
          <w:sz w:val="24"/>
          <w:szCs w:val="24"/>
        </w:rPr>
        <w:t xml:space="preserve"> v němž promin</w:t>
      </w:r>
      <w:r>
        <w:rPr>
          <w:sz w:val="24"/>
          <w:szCs w:val="24"/>
        </w:rPr>
        <w:t>uje terminální část troponinu T</w:t>
      </w:r>
      <w:r w:rsidRPr="00F420AA">
        <w:rPr>
          <w:sz w:val="24"/>
          <w:szCs w:val="24"/>
        </w:rPr>
        <w:t>, která přiléhá na povrch tropomyosinu.</w:t>
      </w:r>
      <w:r w:rsidR="00D339CD">
        <w:rPr>
          <w:sz w:val="24"/>
          <w:szCs w:val="24"/>
        </w:rPr>
        <w:t xml:space="preserve"> </w:t>
      </w:r>
      <w:r w:rsidRPr="00F420AA">
        <w:rPr>
          <w:sz w:val="24"/>
          <w:szCs w:val="24"/>
        </w:rPr>
        <w:t xml:space="preserve">Vazbu zprostředkovává troponin I. Třetí </w:t>
      </w:r>
      <w:proofErr w:type="gramStart"/>
      <w:r w:rsidRPr="00F420AA">
        <w:rPr>
          <w:sz w:val="24"/>
          <w:szCs w:val="24"/>
        </w:rPr>
        <w:t>podjednotka</w:t>
      </w:r>
      <w:r>
        <w:rPr>
          <w:sz w:val="24"/>
          <w:szCs w:val="24"/>
        </w:rPr>
        <w:t xml:space="preserve"> –</w:t>
      </w:r>
      <w:r w:rsidRPr="00F420AA">
        <w:rPr>
          <w:sz w:val="24"/>
          <w:szCs w:val="24"/>
        </w:rPr>
        <w:t>troponin</w:t>
      </w:r>
      <w:proofErr w:type="gramEnd"/>
      <w:r w:rsidRPr="00F420AA">
        <w:rPr>
          <w:sz w:val="24"/>
          <w:szCs w:val="24"/>
        </w:rPr>
        <w:t xml:space="preserve"> C obsahuje 2 vazebná místa pro vápníkový iont. Pevnost vazby mezi troponinem I </w:t>
      </w:r>
      <w:r>
        <w:rPr>
          <w:sz w:val="24"/>
          <w:szCs w:val="24"/>
        </w:rPr>
        <w:br/>
      </w:r>
      <w:r w:rsidRPr="00F420AA">
        <w:rPr>
          <w:sz w:val="24"/>
          <w:szCs w:val="24"/>
        </w:rPr>
        <w:t>a C je dána saturací troponinu C vápníkem.</w:t>
      </w:r>
    </w:p>
    <w:p w:rsidR="006C1917" w:rsidRDefault="006C1917" w:rsidP="00312AA9">
      <w:pPr>
        <w:spacing w:line="360" w:lineRule="auto"/>
        <w:jc w:val="both"/>
        <w:rPr>
          <w:sz w:val="24"/>
          <w:szCs w:val="24"/>
        </w:rPr>
      </w:pPr>
      <w:r w:rsidRPr="00F420AA">
        <w:rPr>
          <w:sz w:val="24"/>
          <w:szCs w:val="24"/>
        </w:rPr>
        <w:t>Tlustá myosinová vlákna jsou</w:t>
      </w:r>
      <w:r>
        <w:rPr>
          <w:sz w:val="24"/>
          <w:szCs w:val="24"/>
        </w:rPr>
        <w:t xml:space="preserve"> tvořena heteropolyméry myosinu.</w:t>
      </w:r>
      <w:r w:rsidRPr="00F420AA">
        <w:rPr>
          <w:sz w:val="24"/>
          <w:szCs w:val="24"/>
        </w:rPr>
        <w:t xml:space="preserve"> Dva těžké myosinové řetězce se</w:t>
      </w:r>
      <w:r>
        <w:rPr>
          <w:sz w:val="24"/>
          <w:szCs w:val="24"/>
        </w:rPr>
        <w:t xml:space="preserve"> kolem sebe helikoidně obtáčejí</w:t>
      </w:r>
      <w:r w:rsidRPr="00F420AA">
        <w:rPr>
          <w:sz w:val="24"/>
          <w:szCs w:val="24"/>
        </w:rPr>
        <w:t>, na jejich konci se nachází po dvou lehkých myosinových řetězcích, které tvoří tzv. hlavy. Hlavy svírají s dlouhou osou myosinu úhel  90°. Na jejich povrchu je vazebné místo pro aktin. Svalové vlákno jako celek vykazuje rozdílnou lomivost světla. Části příčného pr</w:t>
      </w:r>
      <w:r>
        <w:rPr>
          <w:sz w:val="24"/>
          <w:szCs w:val="24"/>
        </w:rPr>
        <w:t>uhování byly označeny písmeny</w:t>
      </w:r>
      <w:r w:rsidRPr="00F420AA">
        <w:rPr>
          <w:sz w:val="24"/>
          <w:szCs w:val="24"/>
        </w:rPr>
        <w:t>: Světlý proužek I je rozdělen tmavou linií Z a tmavý proužek A m</w:t>
      </w:r>
      <w:r>
        <w:rPr>
          <w:sz w:val="24"/>
          <w:szCs w:val="24"/>
        </w:rPr>
        <w:t>á uprostřed světlejší proužek H</w:t>
      </w:r>
      <w:r w:rsidRPr="00F420AA">
        <w:rPr>
          <w:sz w:val="24"/>
          <w:szCs w:val="24"/>
        </w:rPr>
        <w:t>. Příčná linie M je viditelná uprostřed H-proužku</w:t>
      </w:r>
      <w:r>
        <w:rPr>
          <w:sz w:val="24"/>
          <w:szCs w:val="24"/>
        </w:rPr>
        <w:t xml:space="preserve">. </w:t>
      </w:r>
      <w:r w:rsidRPr="00F420AA">
        <w:rPr>
          <w:sz w:val="24"/>
          <w:szCs w:val="24"/>
        </w:rPr>
        <w:t xml:space="preserve">Úsek mezi dvěma sousedními Z liniemi se nazývá sarkoméra. Střídající se uspořádání tenkých a tlustých svalových vláken je zodpovědné za obraz pruhování. Fyziologická délka </w:t>
      </w:r>
      <w:r>
        <w:rPr>
          <w:sz w:val="24"/>
          <w:szCs w:val="24"/>
        </w:rPr>
        <w:t>sarkoméry je zhruba 1,5 – 1,7 u</w:t>
      </w:r>
      <w:r w:rsidRPr="00F420AA">
        <w:rPr>
          <w:sz w:val="24"/>
          <w:szCs w:val="24"/>
        </w:rPr>
        <w:t>m za fyziologického (klidového) stavu, kdy dochází k překryvu tlustých myosinových a tenkých aktinových mikrofilament. Při optimálním p</w:t>
      </w:r>
      <w:r w:rsidR="00D339CD">
        <w:rPr>
          <w:sz w:val="24"/>
          <w:szCs w:val="24"/>
        </w:rPr>
        <w:t xml:space="preserve">ředtažení sarkoméry dochází </w:t>
      </w:r>
      <w:r w:rsidRPr="00F420AA">
        <w:rPr>
          <w:sz w:val="24"/>
          <w:szCs w:val="24"/>
        </w:rPr>
        <w:t>jednak k jejímu prodloužení, hlavně pak k optimalizaci vzájemného postavení vazebných míst aktinových a myozinových vláken, dále též k zvětšení počtu vazebných míst. Optimální délka je 2,2 um</w:t>
      </w:r>
      <w:r>
        <w:rPr>
          <w:sz w:val="24"/>
          <w:szCs w:val="24"/>
        </w:rPr>
        <w:t xml:space="preserve"> (</w:t>
      </w:r>
      <w:r w:rsidR="00EC6D7A">
        <w:rPr>
          <w:sz w:val="24"/>
          <w:szCs w:val="24"/>
        </w:rPr>
        <w:t xml:space="preserve">ref. </w:t>
      </w:r>
      <w:r>
        <w:rPr>
          <w:sz w:val="24"/>
          <w:szCs w:val="24"/>
        </w:rPr>
        <w:t>2</w:t>
      </w:r>
      <w:r w:rsidR="00EC6D7A">
        <w:rPr>
          <w:sz w:val="24"/>
          <w:szCs w:val="24"/>
        </w:rPr>
        <w:t>, strana</w:t>
      </w:r>
      <w:r w:rsidRPr="00F420AA">
        <w:rPr>
          <w:sz w:val="24"/>
          <w:szCs w:val="24"/>
        </w:rPr>
        <w:t xml:space="preserve"> 219).  Z</w:t>
      </w:r>
      <w:r>
        <w:rPr>
          <w:sz w:val="24"/>
          <w:szCs w:val="24"/>
        </w:rPr>
        <w:t> toho vyplývá následná silnější</w:t>
      </w:r>
      <w:r w:rsidRPr="00F420AA">
        <w:rPr>
          <w:sz w:val="24"/>
          <w:szCs w:val="24"/>
        </w:rPr>
        <w:t xml:space="preserve"> kontrakce.  Při pasivním předtažení nedochází jen k výše popsané optimalizaci pozice kontraktilních elementů, ale i k většímu uvolnění kalcia </w:t>
      </w:r>
      <w:r>
        <w:rPr>
          <w:sz w:val="24"/>
          <w:szCs w:val="24"/>
        </w:rPr>
        <w:br/>
      </w:r>
      <w:r w:rsidRPr="00F420AA">
        <w:rPr>
          <w:sz w:val="24"/>
          <w:szCs w:val="24"/>
        </w:rPr>
        <w:lastRenderedPageBreak/>
        <w:t>ze sarkoplasmatického retikula a následné silnější kontrakci. Tento jev není dosud uspokojivě patofy</w:t>
      </w:r>
      <w:r w:rsidR="00EC6D7A">
        <w:rPr>
          <w:sz w:val="24"/>
          <w:szCs w:val="24"/>
        </w:rPr>
        <w:t>ziologicky vysvětlen. (ref. 2, str</w:t>
      </w:r>
      <w:r w:rsidRPr="00F420AA">
        <w:rPr>
          <w:sz w:val="24"/>
          <w:szCs w:val="24"/>
        </w:rPr>
        <w:t>a</w:t>
      </w:r>
      <w:r w:rsidR="00EC6D7A">
        <w:rPr>
          <w:sz w:val="24"/>
          <w:szCs w:val="24"/>
        </w:rPr>
        <w:t>na</w:t>
      </w:r>
      <w:r w:rsidRPr="00F420AA">
        <w:rPr>
          <w:sz w:val="24"/>
          <w:szCs w:val="24"/>
        </w:rPr>
        <w:t xml:space="preserve"> 219) Pokud dojde ke kritickému pasivnímu předtažení srdeční myofibrily (např. pokročilé chlopenní vady s dilatací levé komory), dochází pak naopak k úbytku vazebných míst, dalšímu nežádoucímu prodlužování myofibrily, poklesu síly kontrakce. Popsaný jev je ireverzibilní a způsobí tak de facto zničení myofibrily. Klinicky se takový stav projeví progresivním srdečním selháním s dilatací a těžkou dysfunkcí levé komory srdeční. Této situace se musíme zejména vyvarovat u nemocných s regurgitačními vadami levého srdce (mitrální, aortální). Zejména je-li vada v aortální pozici</w:t>
      </w:r>
      <w:r>
        <w:rPr>
          <w:sz w:val="24"/>
          <w:szCs w:val="24"/>
        </w:rPr>
        <w:t>,</w:t>
      </w:r>
      <w:r w:rsidRPr="00F420AA">
        <w:rPr>
          <w:sz w:val="24"/>
          <w:szCs w:val="24"/>
        </w:rPr>
        <w:t xml:space="preserve"> zůstává dlouhou dobu asymptomatická, pasivní předtažení regurgitujícím objemem dlouhou dobu vadu „kompenzuje“, při výše uvedené op</w:t>
      </w:r>
      <w:r>
        <w:rPr>
          <w:sz w:val="24"/>
          <w:szCs w:val="24"/>
        </w:rPr>
        <w:t>timální délce myofibrily 2,2 um</w:t>
      </w:r>
      <w:r w:rsidRPr="00F420AA">
        <w:rPr>
          <w:sz w:val="24"/>
          <w:szCs w:val="24"/>
        </w:rPr>
        <w:t xml:space="preserve"> je následný stah vydatnější a to je patofyziologickým podkladem dobré klinické tolerance této vady. Následná </w:t>
      </w:r>
      <w:r>
        <w:rPr>
          <w:sz w:val="24"/>
          <w:szCs w:val="24"/>
        </w:rPr>
        <w:t>další dilatace srdeční sarkomery s</w:t>
      </w:r>
      <w:r w:rsidRPr="00F420AA">
        <w:rPr>
          <w:sz w:val="24"/>
          <w:szCs w:val="24"/>
        </w:rPr>
        <w:t xml:space="preserve"> již kritickým předtažením</w:t>
      </w:r>
      <w:r>
        <w:rPr>
          <w:sz w:val="24"/>
          <w:szCs w:val="24"/>
        </w:rPr>
        <w:t xml:space="preserve"> ale vede k oslabení síly stahu, </w:t>
      </w:r>
      <w:r w:rsidRPr="00F420AA">
        <w:rPr>
          <w:sz w:val="24"/>
          <w:szCs w:val="24"/>
        </w:rPr>
        <w:t>jak bylo vysvětleno výše. Nalezení optimálního bodu zlomu (kompenzace/dekompenzace regurgitační vady) je klíčové k načasování operačního výkonu u takového pacienta. Matematicky je tento fenomén vyjádřen Frank-Starlingovým zákonem, resp. Frank-Starlingovou křivkou.</w:t>
      </w:r>
    </w:p>
    <w:p w:rsidR="006C1917" w:rsidRPr="00754AF7" w:rsidRDefault="006C1917" w:rsidP="00754AF7">
      <w:r>
        <w:br w:type="page"/>
      </w:r>
    </w:p>
    <w:p w:rsidR="006C1917" w:rsidRPr="00754AF7" w:rsidRDefault="006C1917" w:rsidP="00754AF7">
      <w:pPr>
        <w:pStyle w:val="Nadpis1"/>
      </w:pPr>
      <w:bookmarkStart w:id="10" w:name="_Toc422993221"/>
      <w:r w:rsidRPr="00754AF7">
        <w:lastRenderedPageBreak/>
        <w:t>Molek</w:t>
      </w:r>
      <w:r>
        <w:t>ulární základ srdeční kontrakce</w:t>
      </w:r>
      <w:bookmarkEnd w:id="10"/>
      <w:r>
        <w:br/>
      </w:r>
    </w:p>
    <w:p w:rsidR="006C1917" w:rsidRPr="00754AF7" w:rsidRDefault="006C1917" w:rsidP="00754AF7">
      <w:pPr>
        <w:pStyle w:val="Nadpis2"/>
        <w:ind w:left="578" w:hanging="578"/>
      </w:pPr>
      <w:bookmarkStart w:id="11" w:name="_Toc422993222"/>
      <w:r w:rsidRPr="00754AF7">
        <w:t>Fyziologie regulace vazby troponinu</w:t>
      </w:r>
      <w:bookmarkEnd w:id="11"/>
    </w:p>
    <w:p w:rsidR="006C1917" w:rsidRPr="00F420AA" w:rsidRDefault="006C1917" w:rsidP="00754AF7">
      <w:pPr>
        <w:spacing w:line="360" w:lineRule="auto"/>
        <w:jc w:val="both"/>
        <w:rPr>
          <w:sz w:val="24"/>
          <w:szCs w:val="24"/>
        </w:rPr>
      </w:pPr>
      <w:r w:rsidRPr="00F420AA">
        <w:rPr>
          <w:sz w:val="24"/>
          <w:szCs w:val="24"/>
        </w:rPr>
        <w:t>Při spuštění podnětu ke kontrakci prochází akční potenciál sarkolemou do cytoplasmy kardiomyocytu</w:t>
      </w:r>
      <w:r>
        <w:rPr>
          <w:sz w:val="24"/>
          <w:szCs w:val="24"/>
        </w:rPr>
        <w:t>, kalciové ionty</w:t>
      </w:r>
      <w:r w:rsidRPr="00F420AA">
        <w:rPr>
          <w:sz w:val="24"/>
          <w:szCs w:val="24"/>
        </w:rPr>
        <w:t xml:space="preserve"> jsou uvolněny ze sarkoplasmatického retikula pomocí napěťově řízených kanálů. (schéma č.</w:t>
      </w:r>
      <w:r>
        <w:rPr>
          <w:sz w:val="24"/>
          <w:szCs w:val="24"/>
        </w:rPr>
        <w:t xml:space="preserve"> </w:t>
      </w:r>
      <w:r w:rsidRPr="00F420AA">
        <w:rPr>
          <w:sz w:val="24"/>
          <w:szCs w:val="24"/>
        </w:rPr>
        <w:t xml:space="preserve">3) </w:t>
      </w:r>
      <w:r>
        <w:rPr>
          <w:sz w:val="24"/>
          <w:szCs w:val="24"/>
        </w:rPr>
        <w:t>K</w:t>
      </w:r>
      <w:r w:rsidRPr="00F420AA">
        <w:rPr>
          <w:sz w:val="24"/>
          <w:szCs w:val="24"/>
        </w:rPr>
        <w:t>alciové ionty volně difundují do prostoru sarkomery mezi aktinová a myozinová vlákna.</w:t>
      </w:r>
    </w:p>
    <w:p w:rsidR="006C1917" w:rsidRPr="00F420AA" w:rsidRDefault="006C1917" w:rsidP="00754AF7">
      <w:pPr>
        <w:spacing w:line="360" w:lineRule="auto"/>
        <w:jc w:val="both"/>
        <w:rPr>
          <w:sz w:val="24"/>
          <w:szCs w:val="24"/>
        </w:rPr>
      </w:pPr>
      <w:r w:rsidRPr="00F420AA">
        <w:rPr>
          <w:sz w:val="24"/>
          <w:szCs w:val="24"/>
        </w:rPr>
        <w:t>Kalciové ionty se váží na troponin C, dochází k jeho okamžité konformaci s vytvořením hydrofobní kapsy pro troponin I. Konformace troponinu I odkryje vazebné místo pro</w:t>
      </w:r>
      <w:r>
        <w:rPr>
          <w:sz w:val="24"/>
          <w:szCs w:val="24"/>
        </w:rPr>
        <w:t xml:space="preserve"> myosin (resp. myosinové hlavy)</w:t>
      </w:r>
      <w:r w:rsidRPr="00F420AA">
        <w:rPr>
          <w:sz w:val="24"/>
          <w:szCs w:val="24"/>
        </w:rPr>
        <w:t xml:space="preserve"> na povrchu aktinu a dojde tak k možnosti v</w:t>
      </w:r>
      <w:r>
        <w:rPr>
          <w:sz w:val="24"/>
          <w:szCs w:val="24"/>
        </w:rPr>
        <w:t>zniku akto-myosinového komplexu</w:t>
      </w:r>
      <w:r w:rsidRPr="00F420AA">
        <w:rPr>
          <w:sz w:val="24"/>
          <w:szCs w:val="24"/>
        </w:rPr>
        <w:t>. Při této vazbě stimuluje aktin na povrchu myosinových hlav ATP-ázu, hydrolýzou ATP se uvolní chemická energie, která vychýlí myosinové hlavy o 45° a tím se obě vlákna proti sobě posunou, nebo se zvýší jejich napětí při isometrické kontrakci (schéma č.</w:t>
      </w:r>
      <w:r>
        <w:rPr>
          <w:sz w:val="24"/>
          <w:szCs w:val="24"/>
        </w:rPr>
        <w:t xml:space="preserve"> </w:t>
      </w:r>
      <w:r w:rsidRPr="00F420AA">
        <w:rPr>
          <w:sz w:val="24"/>
          <w:szCs w:val="24"/>
        </w:rPr>
        <w:t>4 a 5).</w:t>
      </w:r>
    </w:p>
    <w:p w:rsidR="006C1917" w:rsidRPr="00F420AA" w:rsidRDefault="006C1917" w:rsidP="002A5827">
      <w:pPr>
        <w:spacing w:line="360" w:lineRule="auto"/>
        <w:rPr>
          <w:sz w:val="24"/>
          <w:szCs w:val="24"/>
        </w:rPr>
      </w:pPr>
      <w:r w:rsidRPr="00F420AA">
        <w:rPr>
          <w:sz w:val="24"/>
          <w:szCs w:val="24"/>
        </w:rPr>
        <w:t xml:space="preserve">         </w:t>
      </w:r>
      <w:r>
        <w:rPr>
          <w:sz w:val="24"/>
          <w:szCs w:val="24"/>
        </w:rPr>
        <w:t xml:space="preserve">                             </w:t>
      </w:r>
      <w:r w:rsidRPr="00F420AA">
        <w:rPr>
          <w:sz w:val="24"/>
          <w:szCs w:val="24"/>
        </w:rPr>
        <w:t xml:space="preserve">                          </w:t>
      </w:r>
    </w:p>
    <w:p w:rsidR="006C1917" w:rsidRPr="00F420AA" w:rsidRDefault="00D904E8" w:rsidP="002A5827">
      <w:pPr>
        <w:spacing w:line="360" w:lineRule="auto"/>
        <w:rPr>
          <w:sz w:val="24"/>
          <w:szCs w:val="24"/>
        </w:rPr>
      </w:pPr>
      <w:r w:rsidRPr="00D904E8">
        <w:rPr>
          <w:noProof/>
          <w:lang w:eastAsia="cs-CZ"/>
        </w:rPr>
        <w:pict>
          <v:rect id="_x0000_s1094" style="position:absolute;margin-left:151.9pt;margin-top:193.2pt;width:36.75pt;height:5.65pt;z-index:251691008" fillcolor="#f79646 [3209]"/>
        </w:pict>
      </w:r>
      <w:r w:rsidRPr="00D904E8">
        <w:rPr>
          <w:noProof/>
          <w:lang w:eastAsia="cs-CZ"/>
        </w:rPr>
        <w:pict>
          <v:rect id="_x0000_s1093" style="position:absolute;margin-left:151.9pt;margin-top:205.95pt;width:36.75pt;height:5.65pt;z-index:251689984" fillcolor="#f79646 [3209]"/>
        </w:pict>
      </w:r>
      <w:r w:rsidRPr="00D904E8">
        <w:rPr>
          <w:noProof/>
          <w:lang w:eastAsia="cs-CZ"/>
        </w:rPr>
        <w:pict>
          <v:rect id="_x0000_s1092" style="position:absolute;margin-left:151.9pt;margin-top:216.05pt;width:36.75pt;height:5.65pt;z-index:251688960" fillcolor="#f79646 [3209]"/>
        </w:pict>
      </w:r>
      <w:r w:rsidRPr="00D904E8">
        <w:rPr>
          <w:noProof/>
          <w:lang w:eastAsia="cs-CZ"/>
        </w:rPr>
        <w:pict>
          <v:rect id="_x0000_s1088" style="position:absolute;margin-left:151.9pt;margin-top:226.95pt;width:36.75pt;height:5.65pt;z-index:251687936" fillcolor="#f79646 [3209]"/>
        </w:pict>
      </w:r>
      <w:r w:rsidRPr="00D904E8">
        <w:rPr>
          <w:noProof/>
          <w:lang w:eastAsia="cs-CZ"/>
        </w:rPr>
        <w:pict>
          <v:shape id="_x0000_s1034" type="#_x0000_t32" style="position:absolute;margin-left:76.15pt;margin-top:144.2pt;width:12pt;height:10pt;flip:y;z-index:251682816" o:connectortype="straight" strokeweight="1pt"/>
        </w:pict>
      </w:r>
      <w:r w:rsidRPr="00D904E8">
        <w:rPr>
          <w:noProof/>
          <w:lang w:eastAsia="cs-CZ"/>
        </w:rPr>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_x0000_s1035" type="#_x0000_t41" style="position:absolute;margin-left:82.15pt;margin-top:127.7pt;width:132.75pt;height:65.5pt;z-index:251681792" adj="-976,8739,-976,8739,-2058,7271,-976,8739" fillcolor="red" strokeweight="1pt">
            <v:fill opacity="0"/>
            <v:textbox style="mso-next-textbox:#_x0000_s1035">
              <w:txbxContent>
                <w:p w:rsidR="00BF6B09" w:rsidRDefault="00BF6B09">
                  <w:r>
                    <w:t>Sarkoplasmatické retikulum</w:t>
                  </w:r>
                </w:p>
              </w:txbxContent>
            </v:textbox>
          </v:shape>
        </w:pict>
      </w:r>
      <w:r w:rsidRPr="00D904E8">
        <w:rPr>
          <w:noProof/>
          <w:lang w:eastAsia="cs-CZ"/>
        </w:rPr>
        <w:pict>
          <v:shape id="_x0000_s1036" type="#_x0000_t41" style="position:absolute;margin-left:210.4pt;margin-top:-18.35pt;width:1in;height:48pt;z-index:251660288" adj="-3825,11475,,,-5820,9473,-3825,11475" fillcolor="red" strokeweight="1pt">
            <v:fill opacity="0"/>
            <v:textbox style="mso-next-textbox:#_x0000_s1036">
              <w:txbxContent>
                <w:p w:rsidR="00BF6B09" w:rsidRDefault="00BF6B09">
                  <w:r>
                    <w:t>axon</w:t>
                  </w:r>
                </w:p>
              </w:txbxContent>
            </v:textbox>
            <o:callout v:ext="edit" minusy="t"/>
          </v:shape>
        </w:pict>
      </w:r>
      <w:r w:rsidRPr="00D904E8">
        <w:rPr>
          <w:noProof/>
          <w:lang w:eastAsia="cs-CZ"/>
        </w:rPr>
        <w:pict>
          <v:shape id="_x0000_s1037" type="#_x0000_t41" style="position:absolute;margin-left:286.15pt;margin-top:106.2pt;width:1in;height:48pt;z-index:251659264" adj="-29700,7088,,,-31695,5085,-29700,7088" fillcolor="red" strokeweight="1pt">
            <v:fill opacity="0"/>
            <v:textbox style="mso-next-textbox:#_x0000_s1037">
              <w:txbxContent>
                <w:p w:rsidR="00BF6B09" w:rsidRDefault="00BF6B09">
                  <w:r>
                    <w:t>sodíkové ionty</w:t>
                  </w:r>
                </w:p>
              </w:txbxContent>
            </v:textbox>
            <o:callout v:ext="edit" minusy="t"/>
          </v:shape>
        </w:pict>
      </w:r>
      <w:r w:rsidRPr="00D904E8">
        <w:rPr>
          <w:noProof/>
          <w:lang w:eastAsia="cs-CZ"/>
        </w:rPr>
        <w:pict>
          <v:shapetype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_x0000_s1038" type="#_x0000_t42" style="position:absolute;margin-left:193.9pt;margin-top:138.45pt;width:92.25pt;height:48pt;z-index:251657216" adj="-5444,12825,-3407,,-1405,,-5444,12825" fillcolor="red" strokeweight="1pt">
            <v:fill opacity="0"/>
            <v:textbox style="mso-next-textbox:#_x0000_s1038">
              <w:txbxContent>
                <w:p w:rsidR="00BF6B09" w:rsidRPr="00E430D6" w:rsidRDefault="00BF6B09" w:rsidP="001A1E92">
                  <w:pPr>
                    <w:pStyle w:val="Nadpis1"/>
                    <w:numPr>
                      <w:ilvl w:val="0"/>
                      <w:numId w:val="0"/>
                    </w:numPr>
                    <w:shd w:val="clear" w:color="auto" w:fill="FFFFFF"/>
                    <w:spacing w:before="0" w:beforeAutospacing="0" w:after="300" w:afterAutospacing="0"/>
                    <w:rPr>
                      <w:rFonts w:ascii="Arial" w:hAnsi="Arial" w:cs="Arial"/>
                      <w:b w:val="0"/>
                      <w:bCs w:val="0"/>
                      <w:color w:val="222222"/>
                      <w:spacing w:val="-8"/>
                      <w:sz w:val="28"/>
                      <w:szCs w:val="28"/>
                    </w:rPr>
                  </w:pPr>
                  <w:bookmarkStart w:id="12" w:name="_Toc422993223"/>
                  <w:r w:rsidRPr="00E430D6">
                    <w:rPr>
                      <w:rFonts w:ascii="Arial" w:hAnsi="Arial" w:cs="Arial"/>
                      <w:b w:val="0"/>
                      <w:bCs w:val="0"/>
                      <w:color w:val="222222"/>
                      <w:spacing w:val="-8"/>
                      <w:sz w:val="22"/>
                      <w:szCs w:val="22"/>
                    </w:rPr>
                    <w:t>Ca</w:t>
                  </w:r>
                  <w:r w:rsidRPr="00E430D6">
                    <w:rPr>
                      <w:rFonts w:ascii="Arial" w:hAnsi="Arial" w:cs="Arial"/>
                      <w:b w:val="0"/>
                      <w:bCs w:val="0"/>
                      <w:color w:val="222222"/>
                      <w:spacing w:val="-8"/>
                      <w:sz w:val="22"/>
                      <w:szCs w:val="22"/>
                      <w:vertAlign w:val="superscript"/>
                    </w:rPr>
                    <w:t>2+</w:t>
                  </w:r>
                  <w:r>
                    <w:rPr>
                      <w:rFonts w:ascii="Arial" w:hAnsi="Arial" w:cs="Arial"/>
                      <w:b w:val="0"/>
                      <w:bCs w:val="0"/>
                      <w:color w:val="222222"/>
                      <w:spacing w:val="-8"/>
                      <w:sz w:val="22"/>
                      <w:szCs w:val="22"/>
                      <w:vertAlign w:val="superscript"/>
                    </w:rPr>
                    <w:t xml:space="preserve">   </w:t>
                  </w:r>
                  <w:r w:rsidRPr="00E430D6">
                    <w:rPr>
                      <w:b w:val="0"/>
                      <w:sz w:val="22"/>
                      <w:szCs w:val="22"/>
                    </w:rPr>
                    <w:t>pu</w:t>
                  </w:r>
                  <w:r>
                    <w:rPr>
                      <w:b w:val="0"/>
                      <w:sz w:val="22"/>
                      <w:szCs w:val="22"/>
                    </w:rPr>
                    <w:t>mpa</w:t>
                  </w:r>
                  <w:bookmarkEnd w:id="12"/>
                </w:p>
                <w:p w:rsidR="00BF6B09" w:rsidRDefault="00BF6B09"/>
              </w:txbxContent>
            </v:textbox>
            <o:callout v:ext="edit" minusy="t"/>
          </v:shape>
        </w:pict>
      </w:r>
      <w:r w:rsidRPr="00D904E8">
        <w:rPr>
          <w:noProof/>
          <w:lang w:eastAsia="cs-CZ"/>
        </w:rPr>
        <w:pict>
          <v:shape id="_x0000_s1039" type="#_x0000_t42" style="position:absolute;margin-left:83.65pt;margin-top:177.45pt;width:52.5pt;height:48pt;z-index:251658240" adj="12034,4050,12034,,12034,,12034,4050" fillcolor="red" strokeweight="1pt">
            <v:fill opacity="0"/>
            <v:textbox style="mso-next-textbox:#_x0000_s1039">
              <w:txbxContent>
                <w:p w:rsidR="00BF6B09" w:rsidRPr="00E430D6" w:rsidRDefault="00BF6B09" w:rsidP="001A1E92">
                  <w:pPr>
                    <w:pStyle w:val="Nadpis1"/>
                    <w:numPr>
                      <w:ilvl w:val="0"/>
                      <w:numId w:val="0"/>
                    </w:numPr>
                    <w:shd w:val="clear" w:color="auto" w:fill="FFFFFF"/>
                    <w:spacing w:before="0" w:beforeAutospacing="0" w:after="300" w:afterAutospacing="0"/>
                    <w:rPr>
                      <w:rFonts w:ascii="Arial" w:hAnsi="Arial" w:cs="Arial"/>
                      <w:b w:val="0"/>
                      <w:bCs w:val="0"/>
                      <w:color w:val="222222"/>
                      <w:spacing w:val="-8"/>
                      <w:sz w:val="43"/>
                      <w:szCs w:val="43"/>
                    </w:rPr>
                  </w:pPr>
                  <w:bookmarkStart w:id="13" w:name="_Toc422993224"/>
                  <w:r w:rsidRPr="00E430D6">
                    <w:rPr>
                      <w:rFonts w:ascii="Arial" w:hAnsi="Arial" w:cs="Arial"/>
                      <w:b w:val="0"/>
                      <w:bCs w:val="0"/>
                      <w:color w:val="222222"/>
                      <w:spacing w:val="-8"/>
                      <w:sz w:val="22"/>
                      <w:szCs w:val="22"/>
                    </w:rPr>
                    <w:t>Ca</w:t>
                  </w:r>
                  <w:r w:rsidRPr="00E430D6">
                    <w:rPr>
                      <w:rFonts w:ascii="Arial" w:hAnsi="Arial" w:cs="Arial"/>
                      <w:b w:val="0"/>
                      <w:bCs w:val="0"/>
                      <w:color w:val="222222"/>
                      <w:spacing w:val="-8"/>
                      <w:sz w:val="22"/>
                      <w:szCs w:val="22"/>
                      <w:vertAlign w:val="superscript"/>
                    </w:rPr>
                    <w:t>2+</w:t>
                  </w:r>
                  <w:bookmarkEnd w:id="13"/>
                </w:p>
                <w:p w:rsidR="00BF6B09" w:rsidRDefault="00BF6B09"/>
              </w:txbxContent>
            </v:textbox>
            <o:callout v:ext="edit" minusx="t"/>
          </v:shape>
        </w:pict>
      </w:r>
      <w:r w:rsidRPr="00D904E8">
        <w:rPr>
          <w:noProof/>
          <w:lang w:eastAsia="cs-CZ"/>
        </w:rPr>
        <w:pict>
          <v:shape id="_x0000_s1040" type="#_x0000_t42" style="position:absolute;margin-left:136.15pt;margin-top:173.7pt;width:1in;height:48pt;z-index:251656192" adj="-1800,5063,-1800,,,,-1800,5063" fillcolor="red" strokeweight="1pt">
            <v:fill opacity="0"/>
            <v:textbox style="mso-next-textbox:#_x0000_s1040">
              <w:txbxContent>
                <w:p w:rsidR="00BF6B09" w:rsidRDefault="00BF6B09">
                  <w:r>
                    <w:t xml:space="preserve">    kontrakce</w:t>
                  </w:r>
                </w:p>
              </w:txbxContent>
            </v:textbox>
            <o:callout v:ext="edit" minusy="t"/>
          </v:shape>
        </w:pict>
      </w:r>
      <w:r w:rsidRPr="00D904E8">
        <w:rPr>
          <w:noProof/>
          <w:lang w:eastAsia="cs-CZ"/>
        </w:rPr>
        <w:pict>
          <v:shape id="_x0000_s1041" type="#_x0000_t32" style="position:absolute;margin-left:193.9pt;margin-top:226.2pt;width:123pt;height:.75pt;flip:y;z-index:251655168" o:connectortype="straight" strokeweight="1pt"/>
        </w:pict>
      </w:r>
      <w:r w:rsidRPr="00D904E8">
        <w:rPr>
          <w:noProof/>
          <w:lang w:eastAsia="cs-CZ"/>
        </w:rPr>
        <w:pict>
          <v:shape id="_x0000_s1042" type="#_x0000_t42" style="position:absolute;margin-left:312.4pt;margin-top:189.45pt;width:1in;height:48pt;z-index:251654144" adj="-35550,6750,-18555,,,,-35550,6750" fillcolor="red" strokeweight="1pt">
            <v:fill opacity="0"/>
            <v:textbox style="mso-next-textbox:#_x0000_s1042">
              <w:txbxContent>
                <w:p w:rsidR="00BF6B09" w:rsidRDefault="00BF6B09">
                  <w:r>
                    <w:t xml:space="preserve">  aktin</w:t>
                  </w:r>
                </w:p>
                <w:p w:rsidR="00BF6B09" w:rsidRDefault="00BF6B09">
                  <w:r>
                    <w:t xml:space="preserve">   myosin</w:t>
                  </w:r>
                </w:p>
              </w:txbxContent>
            </v:textbox>
            <o:callout v:ext="edit" minusy="t"/>
          </v:shape>
        </w:pict>
      </w:r>
      <w:r w:rsidRPr="00D904E8">
        <w:rPr>
          <w:noProof/>
          <w:lang w:eastAsia="cs-CZ"/>
        </w:rPr>
        <w:pict>
          <v:shape id="_x0000_s1043" type="#_x0000_t32" style="position:absolute;margin-left:63.4pt;margin-top:240.45pt;width:151.5pt;height:18pt;flip:y;z-index:251653120" o:connectortype="straight" strokeweight="1pt">
            <v:stroke endarrow="block"/>
          </v:shape>
        </w:pict>
      </w:r>
      <w:r w:rsidRPr="00D904E8">
        <w:rPr>
          <w:noProof/>
          <w:lang w:eastAsia="cs-CZ"/>
        </w:rPr>
        <w:pict>
          <v:shape id="_x0000_s1044" type="#_x0000_t32" style="position:absolute;margin-left:51.4pt;margin-top:240.45pt;width:72.75pt;height:18pt;flip:y;z-index:251652096" o:connectortype="straight" strokeweight="1pt">
            <v:stroke endarrow="block"/>
          </v:shape>
        </w:pict>
      </w:r>
      <w:r w:rsidRPr="00D904E8">
        <w:rPr>
          <w:noProof/>
          <w:lang w:eastAsia="cs-CZ"/>
        </w:rPr>
        <w:pict>
          <v:shape id="_x0000_s1045" type="#_x0000_t32" style="position:absolute;margin-left:45.4pt;margin-top:240.45pt;width:0;height:18pt;flip:y;z-index:251651072" o:connectortype="straight" strokeweight="1pt">
            <v:stroke endarrow="block"/>
          </v:shape>
        </w:pict>
      </w:r>
      <w:r w:rsidRPr="00D904E8">
        <w:rPr>
          <w:noProof/>
          <w:lang w:eastAsia="cs-CZ"/>
        </w:rPr>
        <w:pict>
          <v:shape id="_x0000_s1046" type="#_x0000_t41" style="position:absolute;margin-left:286.15pt;margin-top:52.95pt;width:89.25pt;height:48pt;z-index:251650048" adj="-22326,13838,-1452,,-23935,11835,-22326,13838" fillcolor="red" strokeweight="1pt">
            <v:fill opacity="0"/>
            <v:textbox style="mso-next-textbox:#_x0000_s1046">
              <w:txbxContent>
                <w:p w:rsidR="00BF6B09" w:rsidRDefault="00BF6B09">
                  <w:r>
                    <w:t>acetylcholinové vesikuly</w:t>
                  </w:r>
                </w:p>
              </w:txbxContent>
            </v:textbox>
            <o:callout v:ext="edit" minusy="t"/>
          </v:shape>
        </w:pict>
      </w:r>
      <w:r w:rsidRPr="00D904E8">
        <w:rPr>
          <w:noProof/>
          <w:lang w:eastAsia="cs-CZ"/>
        </w:rPr>
        <w:pict>
          <v:shape id="_x0000_s1047" type="#_x0000_t32" style="position:absolute;margin-left:51.4pt;margin-top:61.95pt;width:32.25pt;height:.75pt;flip:x y;z-index:251649024" o:connectortype="straight" strokeweight="1pt">
            <v:stroke endarrow="block"/>
          </v:shape>
        </w:pict>
      </w:r>
      <w:r w:rsidRPr="00D904E8">
        <w:rPr>
          <w:noProof/>
          <w:lang w:eastAsia="cs-CZ"/>
        </w:rPr>
        <w:pict>
          <v:shape id="_x0000_s1048" type="#_x0000_t41" style="position:absolute;margin-left:58.15pt;margin-top:67.2pt;width:1in;height:48pt;z-index:251648000" adj="-4275,-1350,,,-6270,-3353,-4275,-1350" fillcolor="red" strokeweight="1pt">
            <v:fill opacity="0"/>
            <v:textbox style="mso-next-textbox:#_x0000_s1048">
              <w:txbxContent>
                <w:p w:rsidR="00BF6B09" w:rsidRDefault="00BF6B09">
                  <w:r>
                    <w:t>akční potenciál</w:t>
                  </w:r>
                </w:p>
              </w:txbxContent>
            </v:textbox>
          </v:shape>
        </w:pict>
      </w:r>
      <w:r w:rsidRPr="00D904E8">
        <w:rPr>
          <w:noProof/>
          <w:lang w:eastAsia="cs-CZ"/>
        </w:rPr>
        <w:pict>
          <v:shape id="_x0000_s1049" type="#_x0000_t41" style="position:absolute;margin-left:33.4pt;margin-top:27.45pt;width:85.5pt;height:21pt;z-index:251646976" adj="-2274,33943,-1516,9257,-3954,29366,-2274,33943" fillcolor="red" strokeweight="1pt">
            <v:fill opacity="0"/>
            <v:textbox style="mso-next-textbox:#_x0000_s1049">
              <w:txbxContent>
                <w:p w:rsidR="00BF6B09" w:rsidRDefault="00BF6B09">
                  <w:r>
                    <w:t>T- tubulus</w:t>
                  </w:r>
                </w:p>
              </w:txbxContent>
            </v:textbox>
            <o:callout v:ext="edit" minusy="t"/>
          </v:shape>
        </w:pict>
      </w:r>
      <w:r w:rsidR="000C52EC">
        <w:rPr>
          <w:noProof/>
          <w:sz w:val="24"/>
          <w:szCs w:val="24"/>
          <w:lang w:eastAsia="cs-CZ"/>
        </w:rPr>
        <w:drawing>
          <wp:inline distT="0" distB="0" distL="0" distR="0">
            <wp:extent cx="3314700" cy="3219450"/>
            <wp:effectExtent l="19050" t="0" r="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1"/>
                    <a:srcRect l="30910" t="11278" r="41243" b="45416"/>
                    <a:stretch>
                      <a:fillRect/>
                    </a:stretch>
                  </pic:blipFill>
                  <pic:spPr bwMode="auto">
                    <a:xfrm>
                      <a:off x="0" y="0"/>
                      <a:ext cx="3314700" cy="3219450"/>
                    </a:xfrm>
                    <a:prstGeom prst="rect">
                      <a:avLst/>
                    </a:prstGeom>
                    <a:noFill/>
                    <a:ln w="9525">
                      <a:noFill/>
                      <a:miter lim="800000"/>
                      <a:headEnd/>
                      <a:tailEnd/>
                    </a:ln>
                  </pic:spPr>
                </pic:pic>
              </a:graphicData>
            </a:graphic>
          </wp:inline>
        </w:drawing>
      </w:r>
    </w:p>
    <w:p w:rsidR="006C1917" w:rsidRPr="00F420AA" w:rsidRDefault="006C1917" w:rsidP="002A5827">
      <w:pPr>
        <w:spacing w:line="360" w:lineRule="auto"/>
        <w:rPr>
          <w:sz w:val="24"/>
          <w:szCs w:val="24"/>
        </w:rPr>
      </w:pPr>
      <w:r w:rsidRPr="00F420AA">
        <w:rPr>
          <w:sz w:val="24"/>
          <w:szCs w:val="24"/>
        </w:rPr>
        <w:t xml:space="preserve">               Z- linie</w:t>
      </w:r>
    </w:p>
    <w:p w:rsidR="006C1917" w:rsidRPr="00F420AA" w:rsidRDefault="00C4202A" w:rsidP="002A5827">
      <w:pPr>
        <w:spacing w:line="360" w:lineRule="auto"/>
        <w:rPr>
          <w:sz w:val="24"/>
          <w:szCs w:val="24"/>
        </w:rPr>
      </w:pPr>
      <w:r>
        <w:rPr>
          <w:sz w:val="24"/>
          <w:szCs w:val="24"/>
        </w:rPr>
        <w:t>S</w:t>
      </w:r>
      <w:r w:rsidR="006C1917" w:rsidRPr="00F420AA">
        <w:rPr>
          <w:sz w:val="24"/>
          <w:szCs w:val="24"/>
        </w:rPr>
        <w:t>chéma č.</w:t>
      </w:r>
      <w:r w:rsidR="006C1917">
        <w:rPr>
          <w:sz w:val="24"/>
          <w:szCs w:val="24"/>
        </w:rPr>
        <w:t xml:space="preserve"> </w:t>
      </w:r>
      <w:r w:rsidR="006C1917" w:rsidRPr="00F420AA">
        <w:rPr>
          <w:sz w:val="24"/>
          <w:szCs w:val="24"/>
        </w:rPr>
        <w:t>3</w:t>
      </w:r>
      <w:r w:rsidRPr="00AE666B">
        <w:rPr>
          <w:sz w:val="24"/>
          <w:szCs w:val="24"/>
        </w:rPr>
        <w:t xml:space="preserve">: podle </w:t>
      </w:r>
      <w:r w:rsidRPr="00AE666B">
        <w:rPr>
          <w:rFonts w:asciiTheme="minorHAnsi" w:hAnsiTheme="minorHAnsi"/>
          <w:sz w:val="24"/>
          <w:szCs w:val="24"/>
          <w:shd w:val="clear" w:color="auto" w:fill="FFFFFF"/>
        </w:rPr>
        <w:t>KITTNAR, Otomar.</w:t>
      </w:r>
      <w:r w:rsidRPr="00AE666B">
        <w:rPr>
          <w:rFonts w:asciiTheme="minorHAnsi" w:hAnsiTheme="minorHAnsi"/>
          <w:sz w:val="24"/>
          <w:szCs w:val="24"/>
        </w:rPr>
        <w:t> </w:t>
      </w:r>
      <w:r w:rsidRPr="00AE666B">
        <w:rPr>
          <w:rFonts w:asciiTheme="minorHAnsi" w:hAnsiTheme="minorHAnsi"/>
          <w:i/>
          <w:iCs/>
          <w:sz w:val="24"/>
          <w:szCs w:val="24"/>
          <w:shd w:val="clear" w:color="auto" w:fill="FFFFFF"/>
        </w:rPr>
        <w:t>Lékařská fyziologie</w:t>
      </w:r>
      <w:r w:rsidRPr="00AE666B">
        <w:rPr>
          <w:rFonts w:asciiTheme="minorHAnsi" w:hAnsiTheme="minorHAnsi"/>
          <w:sz w:val="24"/>
          <w:szCs w:val="24"/>
          <w:shd w:val="clear" w:color="auto" w:fill="FFFFFF"/>
        </w:rPr>
        <w:t xml:space="preserve">. 1. vyd. Praha: Grada, </w:t>
      </w:r>
      <w:proofErr w:type="gramStart"/>
      <w:r w:rsidRPr="00AE666B">
        <w:rPr>
          <w:rFonts w:asciiTheme="minorHAnsi" w:hAnsiTheme="minorHAnsi"/>
          <w:sz w:val="24"/>
          <w:szCs w:val="24"/>
          <w:shd w:val="clear" w:color="auto" w:fill="FFFFFF"/>
        </w:rPr>
        <w:t>2011</w:t>
      </w:r>
      <w:r w:rsidRPr="00AE666B">
        <w:rPr>
          <w:sz w:val="24"/>
          <w:szCs w:val="24"/>
        </w:rPr>
        <w:t xml:space="preserve">, </w:t>
      </w:r>
      <w:r w:rsidR="00BB5F5B">
        <w:rPr>
          <w:sz w:val="24"/>
          <w:szCs w:val="24"/>
        </w:rPr>
        <w:t xml:space="preserve"> strany</w:t>
      </w:r>
      <w:proofErr w:type="gramEnd"/>
      <w:r w:rsidR="006C1917" w:rsidRPr="00F420AA">
        <w:rPr>
          <w:sz w:val="24"/>
          <w:szCs w:val="24"/>
        </w:rPr>
        <w:t xml:space="preserve"> 93 – 94</w:t>
      </w:r>
      <w:r w:rsidR="00BB5F5B">
        <w:rPr>
          <w:sz w:val="24"/>
          <w:szCs w:val="24"/>
        </w:rPr>
        <w:t>,</w:t>
      </w:r>
      <w:r w:rsidR="006C1917" w:rsidRPr="00F420AA">
        <w:rPr>
          <w:sz w:val="24"/>
          <w:szCs w:val="24"/>
        </w:rPr>
        <w:t xml:space="preserve"> volně adaptovala Mgr.</w:t>
      </w:r>
      <w:r w:rsidR="006C1917">
        <w:rPr>
          <w:sz w:val="24"/>
          <w:szCs w:val="24"/>
        </w:rPr>
        <w:t xml:space="preserve"> </w:t>
      </w:r>
      <w:r>
        <w:rPr>
          <w:sz w:val="24"/>
          <w:szCs w:val="24"/>
        </w:rPr>
        <w:t>Eva Šilerová.</w:t>
      </w:r>
      <w:r w:rsidR="006C1917" w:rsidRPr="00F420AA">
        <w:rPr>
          <w:sz w:val="24"/>
          <w:szCs w:val="24"/>
        </w:rPr>
        <w:t xml:space="preserve">  </w:t>
      </w:r>
    </w:p>
    <w:p w:rsidR="006C1917" w:rsidRDefault="006C1917" w:rsidP="00281289">
      <w:pPr>
        <w:spacing w:line="360" w:lineRule="auto"/>
        <w:jc w:val="both"/>
        <w:rPr>
          <w:sz w:val="24"/>
          <w:szCs w:val="24"/>
        </w:rPr>
      </w:pPr>
      <w:r w:rsidRPr="00F420AA">
        <w:rPr>
          <w:sz w:val="24"/>
          <w:szCs w:val="24"/>
        </w:rPr>
        <w:lastRenderedPageBreak/>
        <w:t>Popsaný mechanismus je synchronizován a v reálu dochází k vzájemnému „šplhání“ aktinových a myozinových struktur navzájem.</w:t>
      </w:r>
      <w:r>
        <w:rPr>
          <w:sz w:val="24"/>
          <w:szCs w:val="24"/>
        </w:rPr>
        <w:t xml:space="preserve"> Jak již bylo zmíněno výše, jde</w:t>
      </w:r>
      <w:r w:rsidRPr="00F420AA">
        <w:rPr>
          <w:sz w:val="24"/>
          <w:szCs w:val="24"/>
        </w:rPr>
        <w:t xml:space="preserve"> o energeticky náročný proces, který je kryt štěpením ATP. Při</w:t>
      </w:r>
      <w:r w:rsidR="005A495C">
        <w:rPr>
          <w:sz w:val="24"/>
          <w:szCs w:val="24"/>
        </w:rPr>
        <w:t xml:space="preserve"> depleci energetických substrátů</w:t>
      </w:r>
      <w:r w:rsidRPr="00F420AA">
        <w:rPr>
          <w:sz w:val="24"/>
          <w:szCs w:val="24"/>
        </w:rPr>
        <w:t xml:space="preserve"> či při nedostatku kyslíku tento mechanismus rychle selhává.</w:t>
      </w:r>
    </w:p>
    <w:p w:rsidR="006C1917" w:rsidRPr="00A23ABA" w:rsidRDefault="006C1917" w:rsidP="00A23ABA"/>
    <w:p w:rsidR="006C1917" w:rsidRPr="004769A3" w:rsidRDefault="00D904E8" w:rsidP="004769A3">
      <w:r>
        <w:rPr>
          <w:noProof/>
          <w:lang w:eastAsia="cs-CZ"/>
        </w:rPr>
        <w:pict>
          <v:rect id="_x0000_s1097" style="position:absolute;margin-left:45.4pt;margin-top:199pt;width:15.75pt;height:9pt;z-index:251692032;mso-position-vertical:absolute" fillcolor="#eeece1 [3214]" strokecolor="#eeece1 [3214]"/>
        </w:pict>
      </w:r>
      <w:r>
        <w:rPr>
          <w:noProof/>
          <w:lang w:eastAsia="cs-CZ"/>
        </w:rPr>
        <w:pict>
          <v:shape id="_x0000_s1059" type="#_x0000_t32" style="position:absolute;margin-left:34.9pt;margin-top:184.15pt;width:43.5pt;height:15pt;flip:x;z-index:251668480" o:connectortype="straight" strokeweight="1pt"/>
        </w:pict>
      </w:r>
      <w:r>
        <w:rPr>
          <w:noProof/>
          <w:lang w:eastAsia="cs-CZ"/>
        </w:rPr>
        <w:pict>
          <v:shape id="_x0000_s1061" type="#_x0000_t41" style="position:absolute;margin-left:-31.1pt;margin-top:194.65pt;width:1in;height:48pt;z-index:251666432" adj="26550,4050,23400,,24555,2048,26550,4050" fillcolor="red" strokeweight="1pt">
            <v:fill opacity="0"/>
            <v:textbox style="mso-next-textbox:#_x0000_s1061">
              <w:txbxContent>
                <w:p w:rsidR="00BF6B09" w:rsidRDefault="00BF6B09">
                  <w:r>
                    <w:t xml:space="preserve">                TnT</w:t>
                  </w:r>
                </w:p>
              </w:txbxContent>
            </v:textbox>
            <o:callout v:ext="edit" minusx="t"/>
          </v:shape>
        </w:pict>
      </w:r>
      <w:r>
        <w:rPr>
          <w:noProof/>
          <w:lang w:eastAsia="cs-CZ"/>
        </w:rPr>
        <w:pict>
          <v:shape id="_x0000_s1077" type="#_x0000_t32" style="position:absolute;margin-left:84.4pt;margin-top:194.65pt;width:10.5pt;height:13.5pt;flip:y;z-index:251683840" o:connectortype="straight"/>
        </w:pict>
      </w:r>
      <w:r>
        <w:rPr>
          <w:noProof/>
          <w:lang w:eastAsia="cs-CZ"/>
        </w:rPr>
        <w:pict>
          <v:shape id="_x0000_s1058" type="#_x0000_t41" style="position:absolute;margin-left:27.4pt;margin-top:200.65pt;width:117.75pt;height:48pt;z-index:251669504" adj="-1101,4050,-1101,,6072,2048,7292,4050" fillcolor="red" strokeweight="1pt">
            <v:fill opacity="0"/>
            <v:textbox style="mso-next-textbox:#_x0000_s1058">
              <w:txbxContent>
                <w:p w:rsidR="00BF6B09" w:rsidRDefault="00BF6B09">
                  <w:r>
                    <w:t>tropomyosin</w:t>
                  </w:r>
                </w:p>
              </w:txbxContent>
            </v:textbox>
          </v:shape>
        </w:pict>
      </w:r>
      <w:r>
        <w:rPr>
          <w:noProof/>
          <w:lang w:eastAsia="cs-CZ"/>
        </w:rPr>
        <w:pict>
          <v:shape id="_x0000_s1050" type="#_x0000_t32" style="position:absolute;margin-left:205.9pt;margin-top:49.15pt;width:31.5pt;height:3.75pt;flip:y;z-index:251677696" o:connectortype="straight" strokeweight="1pt"/>
        </w:pict>
      </w:r>
      <w:r>
        <w:rPr>
          <w:noProof/>
          <w:lang w:eastAsia="cs-CZ"/>
        </w:rPr>
        <w:pict>
          <v:shape id="_x0000_s1051" type="#_x0000_t32" style="position:absolute;margin-left:274.15pt;margin-top:57.4pt;width:18.75pt;height:2.25pt;z-index:251676672" o:connectortype="straight" strokeweight="1pt"/>
        </w:pict>
      </w:r>
      <w:r>
        <w:rPr>
          <w:noProof/>
          <w:lang w:eastAsia="cs-CZ"/>
        </w:rPr>
        <w:pict>
          <v:shape id="_x0000_s1052" type="#_x0000_t42" style="position:absolute;margin-left:291.4pt;margin-top:49.15pt;width:80.25pt;height:48pt;z-index:251675648" adj="-1615,4050,-1615,,-1615,,-1615,4050" fillcolor="red" strokeweight="1pt">
            <v:fill opacity="0"/>
            <v:textbox style="mso-next-textbox:#_x0000_s1052">
              <w:txbxContent>
                <w:p w:rsidR="00BF6B09" w:rsidRDefault="00BF6B09">
                  <w:r>
                    <w:t>tropomyosin</w:t>
                  </w:r>
                </w:p>
              </w:txbxContent>
            </v:textbox>
          </v:shape>
        </w:pict>
      </w:r>
      <w:r>
        <w:rPr>
          <w:noProof/>
          <w:lang w:eastAsia="cs-CZ"/>
        </w:rPr>
        <w:pict>
          <v:shape id="_x0000_s1053" type="#_x0000_t32" style="position:absolute;margin-left:280.9pt;margin-top:9.4pt;width:18pt;height:5.25pt;flip:x y;z-index:251674624" o:connectortype="straight" strokeweight="1pt"/>
        </w:pict>
      </w:r>
      <w:r>
        <w:rPr>
          <w:noProof/>
          <w:lang w:eastAsia="cs-CZ"/>
        </w:rPr>
        <w:pict>
          <v:shape id="_x0000_s1054" type="#_x0000_t42" style="position:absolute;margin-left:145.15pt;margin-top:14.65pt;width:88.5pt;height:60.75pt;z-index:251673600" adj="-1464,7733,-1464,7733,-1464,7733,-1464,7733" fillcolor="red" strokeweight="1pt">
            <v:fill opacity="0"/>
            <v:textbox style="mso-next-textbox:#_x0000_s1054">
              <w:txbxContent>
                <w:p w:rsidR="00BF6B09" w:rsidRDefault="00BF6B09">
                  <w:r>
                    <w:t>Troponin-tropomyosinový komplex</w:t>
                  </w:r>
                </w:p>
              </w:txbxContent>
            </v:textbox>
          </v:shape>
        </w:pict>
      </w:r>
      <w:r>
        <w:rPr>
          <w:noProof/>
          <w:lang w:eastAsia="cs-CZ"/>
        </w:rPr>
        <w:pict>
          <v:shape id="_x0000_s1055" type="#_x0000_t41" style="position:absolute;margin-left:292.9pt;margin-top:4.9pt;width:1in;height:48pt;z-index:251672576" adj="-1800,4050,,,-3795,2048,-1800,4050" fillcolor="red" strokeweight="1pt">
            <v:fill opacity="0"/>
            <v:textbox style="mso-next-textbox:#_x0000_s1055">
              <w:txbxContent>
                <w:p w:rsidR="00BF6B09" w:rsidRDefault="00BF6B09">
                  <w:r>
                    <w:t>aktin</w:t>
                  </w:r>
                </w:p>
              </w:txbxContent>
            </v:textbox>
          </v:shape>
        </w:pict>
      </w:r>
      <w:r>
        <w:rPr>
          <w:noProof/>
          <w:lang w:eastAsia="cs-CZ"/>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56" type="#_x0000_t38" style="position:absolute;margin-left:88.15pt;margin-top:128.65pt;width:66pt;height:48pt;rotation:90;z-index:251671552" o:connectortype="curved" adj="10800,-85725,-70691" strokeweight="1pt">
            <v:stroke endarrow="block"/>
          </v:shape>
        </w:pict>
      </w:r>
      <w:r>
        <w:rPr>
          <w:noProof/>
          <w:lang w:eastAsia="cs-CZ"/>
        </w:rPr>
        <w:pict>
          <v:shape id="_x0000_s1057" type="#_x0000_t41" style="position:absolute;margin-left:96.4pt;margin-top:86.65pt;width:81.75pt;height:55.5pt;z-index:251670528" adj="-1783,3795,-1585,3503,-3541,2063,-1783,3795" fillcolor="red" strokeweight="1pt">
            <v:fill opacity="0"/>
            <v:textbox style="mso-next-textbox:#_x0000_s1057">
              <w:txbxContent>
                <w:p w:rsidR="00BF6B09" w:rsidRDefault="00BF6B09">
                  <w:r>
                    <w:t>vazebné místo pro myosin</w:t>
                  </w:r>
                </w:p>
              </w:txbxContent>
            </v:textbox>
            <o:callout v:ext="edit" minusy="t"/>
          </v:shape>
        </w:pict>
      </w:r>
      <w:r>
        <w:rPr>
          <w:noProof/>
          <w:lang w:eastAsia="cs-CZ"/>
        </w:rPr>
        <w:pict>
          <v:shape id="_x0000_s1062" type="#_x0000_t41" style="position:absolute;margin-left:49.9pt;margin-top:152.65pt;width:89.25pt;height:55.5pt;z-index:251665408" adj="2541,6714,2541,3503,932,4982,2541,6714" fillcolor="red" strokeweight="1pt">
            <v:fill opacity="0"/>
            <v:textbox style="mso-next-textbox:#_x0000_s1062">
              <w:txbxContent>
                <w:p w:rsidR="00BF6B09" w:rsidRDefault="00BF6B09">
                  <w:r>
                    <w:t>Tn</w:t>
                  </w:r>
                  <w:r w:rsidR="005A495C">
                    <w:t>C</w:t>
                  </w:r>
                  <w:r>
                    <w:tab/>
                  </w:r>
                  <w:r>
                    <w:tab/>
                  </w:r>
                </w:p>
              </w:txbxContent>
            </v:textbox>
            <o:callout v:ext="edit" minusy="t"/>
          </v:shape>
        </w:pict>
      </w:r>
      <w:r>
        <w:rPr>
          <w:noProof/>
          <w:lang w:eastAsia="cs-CZ"/>
        </w:rPr>
        <w:pict>
          <v:shape id="_x0000_s1063" type="#_x0000_t41" style="position:absolute;margin-left:172.9pt;margin-top:152.65pt;width:60.75pt;height:48pt;z-index:251664384" adj="1867,4050,1867,,-498,2048,1867,4050" fillcolor="red" strokeweight="1pt">
            <v:fill opacity="0"/>
            <v:textbox style="mso-next-textbox:#_x0000_s1063">
              <w:txbxContent>
                <w:p w:rsidR="00BF6B09" w:rsidRPr="00E430D6" w:rsidRDefault="00BF6B09" w:rsidP="001A1E92">
                  <w:pPr>
                    <w:pStyle w:val="Nadpis1"/>
                    <w:numPr>
                      <w:ilvl w:val="0"/>
                      <w:numId w:val="0"/>
                    </w:numPr>
                    <w:shd w:val="clear" w:color="auto" w:fill="FFFFFF"/>
                    <w:spacing w:before="0" w:beforeAutospacing="0" w:after="300" w:afterAutospacing="0"/>
                    <w:rPr>
                      <w:rFonts w:ascii="Arial" w:hAnsi="Arial" w:cs="Arial"/>
                      <w:b w:val="0"/>
                      <w:bCs w:val="0"/>
                      <w:color w:val="222222"/>
                      <w:spacing w:val="-8"/>
                      <w:sz w:val="43"/>
                      <w:szCs w:val="43"/>
                    </w:rPr>
                  </w:pPr>
                  <w:bookmarkStart w:id="14" w:name="_Toc422993225"/>
                  <w:r w:rsidRPr="00E430D6">
                    <w:rPr>
                      <w:rFonts w:ascii="Arial" w:hAnsi="Arial" w:cs="Arial"/>
                      <w:b w:val="0"/>
                      <w:bCs w:val="0"/>
                      <w:color w:val="222222"/>
                      <w:spacing w:val="-8"/>
                      <w:sz w:val="22"/>
                      <w:szCs w:val="22"/>
                    </w:rPr>
                    <w:t>Ca</w:t>
                  </w:r>
                  <w:r w:rsidRPr="00E430D6">
                    <w:rPr>
                      <w:rFonts w:ascii="Arial" w:hAnsi="Arial" w:cs="Arial"/>
                      <w:b w:val="0"/>
                      <w:bCs w:val="0"/>
                      <w:color w:val="222222"/>
                      <w:spacing w:val="-8"/>
                      <w:sz w:val="22"/>
                      <w:szCs w:val="22"/>
                      <w:vertAlign w:val="superscript"/>
                    </w:rPr>
                    <w:t>2+</w:t>
                  </w:r>
                  <w:bookmarkEnd w:id="14"/>
                </w:p>
                <w:p w:rsidR="00BF6B09" w:rsidRDefault="00BF6B09"/>
              </w:txbxContent>
            </v:textbox>
          </v:shape>
        </w:pict>
      </w:r>
      <w:r>
        <w:rPr>
          <w:noProof/>
          <w:lang w:eastAsia="cs-CZ"/>
        </w:rPr>
        <w:pict>
          <v:shape id="_x0000_s1064" type="#_x0000_t41" style="position:absolute;margin-left:110.65pt;margin-top:199.15pt;width:90.75pt;height:55.5pt;z-index:251663360" adj="2678,6422,2678,6422,1095,4690,2678,6422" fillcolor="red" strokeweight="1pt">
            <v:fill opacity="0"/>
            <v:textbox style="mso-next-textbox:#_x0000_s1064">
              <w:txbxContent>
                <w:p w:rsidR="00BF6B09" w:rsidRDefault="00BF6B09">
                  <w:r>
                    <w:t>myosinová hlava</w:t>
                  </w:r>
                </w:p>
              </w:txbxContent>
            </v:textbox>
          </v:shape>
        </w:pict>
      </w:r>
      <w:r>
        <w:rPr>
          <w:noProof/>
          <w:lang w:eastAsia="cs-CZ"/>
        </w:rPr>
        <w:pict>
          <v:shape id="_x0000_s1065" type="#_x0000_t41" style="position:absolute;margin-left:97.15pt;margin-top:161.65pt;width:90pt;height:54pt;z-index:251662336" adj="2880,6000,2880,6000,1284,4220,2880,6000" fillcolor="red" strokeweight="1pt">
            <v:fill opacity="0"/>
            <v:textbox style="mso-next-textbox:#_x0000_s1065">
              <w:txbxContent>
                <w:p w:rsidR="00BF6B09" w:rsidRDefault="00BF6B09">
                  <w:r>
                    <w:t>aktin</w:t>
                  </w:r>
                </w:p>
              </w:txbxContent>
            </v:textbox>
          </v:shape>
        </w:pict>
      </w:r>
      <w:r>
        <w:rPr>
          <w:noProof/>
          <w:lang w:eastAsia="cs-CZ"/>
        </w:rPr>
        <w:pict>
          <v:shape id="_x0000_s1066" type="#_x0000_t41" style="position:absolute;margin-left:78.4pt;margin-top:146.65pt;width:99.75pt;height:48pt;z-index:251661312" adj="4385,5063,4385,,2945,3060,4385,5063" fillcolor="red" strokeweight="1pt">
            <v:fill opacity="0"/>
            <v:textbox style="mso-next-textbox:#_x0000_s1066">
              <w:txbxContent>
                <w:p w:rsidR="00BF6B09" w:rsidRDefault="00BF6B09">
                  <w:r>
                    <w:t>TnI</w:t>
                  </w:r>
                </w:p>
              </w:txbxContent>
            </v:textbox>
            <o:callout v:ext="edit" minusy="t"/>
          </v:shape>
        </w:pict>
      </w:r>
      <w:r w:rsidR="000C52EC">
        <w:rPr>
          <w:noProof/>
          <w:sz w:val="24"/>
          <w:szCs w:val="24"/>
          <w:lang w:eastAsia="cs-CZ"/>
        </w:rPr>
        <w:drawing>
          <wp:inline distT="0" distB="0" distL="0" distR="0">
            <wp:extent cx="4572000" cy="2971800"/>
            <wp:effectExtent l="1905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l="30910" t="52283" r="30701" b="5823"/>
                    <a:stretch>
                      <a:fillRect/>
                    </a:stretch>
                  </pic:blipFill>
                  <pic:spPr bwMode="auto">
                    <a:xfrm>
                      <a:off x="0" y="0"/>
                      <a:ext cx="4572000" cy="2971800"/>
                    </a:xfrm>
                    <a:prstGeom prst="rect">
                      <a:avLst/>
                    </a:prstGeom>
                    <a:noFill/>
                    <a:ln w="9525">
                      <a:noFill/>
                      <a:miter lim="800000"/>
                      <a:headEnd/>
                      <a:tailEnd/>
                    </a:ln>
                  </pic:spPr>
                </pic:pic>
              </a:graphicData>
            </a:graphic>
          </wp:inline>
        </w:drawing>
      </w:r>
    </w:p>
    <w:p w:rsidR="006C1917" w:rsidRDefault="006C1917" w:rsidP="002A5827">
      <w:pPr>
        <w:spacing w:line="360" w:lineRule="auto"/>
        <w:rPr>
          <w:sz w:val="24"/>
          <w:szCs w:val="24"/>
        </w:rPr>
      </w:pPr>
      <w:r w:rsidRPr="00F420AA">
        <w:rPr>
          <w:sz w:val="24"/>
          <w:szCs w:val="24"/>
        </w:rPr>
        <w:t>Schéma č.</w:t>
      </w:r>
      <w:r>
        <w:rPr>
          <w:sz w:val="24"/>
          <w:szCs w:val="24"/>
        </w:rPr>
        <w:t xml:space="preserve"> </w:t>
      </w:r>
      <w:r w:rsidR="00C4202A">
        <w:rPr>
          <w:sz w:val="24"/>
          <w:szCs w:val="24"/>
        </w:rPr>
        <w:t xml:space="preserve">4: </w:t>
      </w:r>
      <w:r w:rsidR="00C4202A" w:rsidRPr="00AE666B">
        <w:rPr>
          <w:sz w:val="24"/>
          <w:szCs w:val="24"/>
        </w:rPr>
        <w:t xml:space="preserve">podle  </w:t>
      </w:r>
      <w:r w:rsidR="00C4202A" w:rsidRPr="00AE666B">
        <w:rPr>
          <w:rFonts w:asciiTheme="minorHAnsi" w:hAnsiTheme="minorHAnsi"/>
          <w:sz w:val="24"/>
          <w:szCs w:val="24"/>
          <w:shd w:val="clear" w:color="auto" w:fill="FFFFFF"/>
        </w:rPr>
        <w:t>KITTNAR, Otomar.</w:t>
      </w:r>
      <w:r w:rsidR="00C4202A" w:rsidRPr="00AE666B">
        <w:rPr>
          <w:rFonts w:asciiTheme="minorHAnsi" w:hAnsiTheme="minorHAnsi"/>
          <w:sz w:val="24"/>
          <w:szCs w:val="24"/>
        </w:rPr>
        <w:t> </w:t>
      </w:r>
      <w:r w:rsidR="00C4202A" w:rsidRPr="00AE666B">
        <w:rPr>
          <w:rFonts w:asciiTheme="minorHAnsi" w:hAnsiTheme="minorHAnsi"/>
          <w:i/>
          <w:iCs/>
          <w:sz w:val="24"/>
          <w:szCs w:val="24"/>
          <w:shd w:val="clear" w:color="auto" w:fill="FFFFFF"/>
        </w:rPr>
        <w:t>Lékařská fyziologie</w:t>
      </w:r>
      <w:r w:rsidR="00C4202A" w:rsidRPr="00AE666B">
        <w:rPr>
          <w:rFonts w:asciiTheme="minorHAnsi" w:hAnsiTheme="minorHAnsi"/>
          <w:sz w:val="24"/>
          <w:szCs w:val="24"/>
          <w:shd w:val="clear" w:color="auto" w:fill="FFFFFF"/>
        </w:rPr>
        <w:t>. 1. vyd. Praha: Grada, 2011</w:t>
      </w:r>
      <w:r w:rsidR="00C4202A" w:rsidRPr="00AE666B">
        <w:rPr>
          <w:sz w:val="24"/>
          <w:szCs w:val="24"/>
        </w:rPr>
        <w:t>,</w:t>
      </w:r>
      <w:r w:rsidR="00C4202A" w:rsidRPr="00C4202A">
        <w:rPr>
          <w:sz w:val="24"/>
          <w:szCs w:val="24"/>
        </w:rPr>
        <w:t xml:space="preserve"> </w:t>
      </w:r>
      <w:r w:rsidR="00C4202A" w:rsidRPr="00AE666B">
        <w:rPr>
          <w:sz w:val="24"/>
          <w:szCs w:val="24"/>
        </w:rPr>
        <w:t>strana 92</w:t>
      </w:r>
      <w:r w:rsidR="00BB5F5B">
        <w:rPr>
          <w:sz w:val="24"/>
          <w:szCs w:val="24"/>
        </w:rPr>
        <w:t>,</w:t>
      </w:r>
      <w:r w:rsidR="00C4202A" w:rsidRPr="00AE666B">
        <w:rPr>
          <w:sz w:val="24"/>
          <w:szCs w:val="24"/>
        </w:rPr>
        <w:t xml:space="preserve"> volně adaptovala </w:t>
      </w:r>
      <w:proofErr w:type="gramStart"/>
      <w:r w:rsidR="00C4202A" w:rsidRPr="00AE666B">
        <w:rPr>
          <w:sz w:val="24"/>
          <w:szCs w:val="24"/>
        </w:rPr>
        <w:t>Mgr.Eva</w:t>
      </w:r>
      <w:proofErr w:type="gramEnd"/>
      <w:r w:rsidR="00C4202A" w:rsidRPr="00AE666B">
        <w:rPr>
          <w:sz w:val="24"/>
          <w:szCs w:val="24"/>
        </w:rPr>
        <w:t xml:space="preserve"> Šilerová</w:t>
      </w:r>
      <w:r w:rsidR="00C4202A">
        <w:rPr>
          <w:sz w:val="24"/>
          <w:szCs w:val="24"/>
        </w:rPr>
        <w:t>.</w:t>
      </w:r>
    </w:p>
    <w:p w:rsidR="006C1917" w:rsidRPr="00F420AA" w:rsidRDefault="006C1917" w:rsidP="002A5827">
      <w:pPr>
        <w:spacing w:line="360" w:lineRule="auto"/>
        <w:rPr>
          <w:sz w:val="24"/>
          <w:szCs w:val="24"/>
        </w:rPr>
      </w:pPr>
    </w:p>
    <w:p w:rsidR="006C1917" w:rsidRDefault="00D904E8" w:rsidP="002A5827">
      <w:pPr>
        <w:spacing w:line="360" w:lineRule="auto"/>
        <w:rPr>
          <w:noProof/>
          <w:sz w:val="24"/>
          <w:szCs w:val="24"/>
          <w:lang w:eastAsia="cs-CZ"/>
        </w:rPr>
      </w:pPr>
      <w:r w:rsidRPr="00D904E8">
        <w:rPr>
          <w:noProof/>
          <w:lang w:eastAsia="cs-CZ"/>
        </w:rPr>
        <w:pict>
          <v:shape id="_x0000_s1083" type="#_x0000_t32" style="position:absolute;margin-left:128.65pt;margin-top:127.85pt;width:16.5pt;height:12.75pt;z-index:251684864" o:connectortype="straight"/>
        </w:pict>
      </w:r>
      <w:r w:rsidRPr="00D904E8">
        <w:rPr>
          <w:noProof/>
          <w:lang w:eastAsia="cs-CZ"/>
        </w:rPr>
        <w:pict>
          <v:shape id="_x0000_s1069" type="#_x0000_t41" style="position:absolute;margin-left:244.9pt;margin-top:79.1pt;width:139.5pt;height:56.25pt;z-index:251680768" adj="1394,3456,1394,3456,364,1747,1394,3456" fillcolor="red" strokeweight="1pt">
            <v:fill opacity="0"/>
            <v:textbox style="mso-next-textbox:#_x0000_s1069">
              <w:txbxContent>
                <w:p w:rsidR="00BF6B09" w:rsidRDefault="00BF6B09">
                  <w:r>
                    <w:t>aktino-myosinová vazba</w:t>
                  </w:r>
                </w:p>
              </w:txbxContent>
            </v:textbox>
          </v:shape>
        </w:pict>
      </w:r>
      <w:r w:rsidRPr="00D904E8">
        <w:rPr>
          <w:noProof/>
          <w:lang w:eastAsia="cs-CZ"/>
        </w:rPr>
        <w:pict>
          <v:shape id="_x0000_s1068" type="#_x0000_t41" style="position:absolute;margin-left:139.15pt;margin-top:127.85pt;width:105.75pt;height:60.95pt;z-index:251679744" adj="0,7779,0,7779,-1358,6202,,7779" fillcolor="red" strokeweight="1pt">
            <v:fill opacity="0"/>
            <v:textbox style="mso-next-textbox:#_x0000_s1068">
              <w:txbxContent>
                <w:p w:rsidR="00BF6B09" w:rsidRDefault="00BF6B09">
                  <w:r>
                    <w:t>ADP vzniklý rozštěpením z ATP</w:t>
                  </w:r>
                </w:p>
              </w:txbxContent>
            </v:textbox>
          </v:shape>
        </w:pict>
      </w:r>
      <w:r w:rsidRPr="00D904E8">
        <w:rPr>
          <w:noProof/>
          <w:lang w:eastAsia="cs-CZ"/>
        </w:rPr>
        <w:pict>
          <v:shape id="_x0000_s1067" type="#_x0000_t41" style="position:absolute;margin-left:94.9pt;margin-top:14.05pt;width:69.45pt;height:35.15pt;z-index:251678720" adj="-1866,5531,-1866,5531,-3934,2796,-1866,5531" fillcolor="red" strokeweight="1pt">
            <v:fill opacity="0"/>
            <v:textbox style="mso-next-textbox:#_x0000_s1067">
              <w:txbxContent>
                <w:p w:rsidR="00BF6B09" w:rsidRPr="00E430D6" w:rsidRDefault="00BF6B09" w:rsidP="001A1E92">
                  <w:pPr>
                    <w:pStyle w:val="Nadpis1"/>
                    <w:numPr>
                      <w:ilvl w:val="0"/>
                      <w:numId w:val="0"/>
                    </w:numPr>
                    <w:shd w:val="clear" w:color="auto" w:fill="FFFFFF"/>
                    <w:spacing w:before="0" w:beforeAutospacing="0" w:after="300" w:afterAutospacing="0"/>
                    <w:rPr>
                      <w:rFonts w:ascii="Arial" w:hAnsi="Arial" w:cs="Arial"/>
                      <w:b w:val="0"/>
                      <w:bCs w:val="0"/>
                      <w:color w:val="222222"/>
                      <w:spacing w:val="-8"/>
                      <w:sz w:val="43"/>
                      <w:szCs w:val="43"/>
                    </w:rPr>
                  </w:pPr>
                  <w:bookmarkStart w:id="15" w:name="_Toc422993226"/>
                  <w:r w:rsidRPr="00E430D6">
                    <w:rPr>
                      <w:rFonts w:ascii="Arial" w:hAnsi="Arial" w:cs="Arial"/>
                      <w:b w:val="0"/>
                      <w:bCs w:val="0"/>
                      <w:color w:val="222222"/>
                      <w:spacing w:val="-8"/>
                      <w:sz w:val="22"/>
                      <w:szCs w:val="22"/>
                    </w:rPr>
                    <w:t>Ca</w:t>
                  </w:r>
                  <w:r w:rsidRPr="00E430D6">
                    <w:rPr>
                      <w:rFonts w:ascii="Arial" w:hAnsi="Arial" w:cs="Arial"/>
                      <w:b w:val="0"/>
                      <w:bCs w:val="0"/>
                      <w:color w:val="222222"/>
                      <w:spacing w:val="-8"/>
                      <w:sz w:val="22"/>
                      <w:szCs w:val="22"/>
                      <w:vertAlign w:val="superscript"/>
                    </w:rPr>
                    <w:t>2+</w:t>
                  </w:r>
                  <w:bookmarkEnd w:id="15"/>
                </w:p>
                <w:p w:rsidR="00BF6B09" w:rsidRDefault="00BF6B09"/>
              </w:txbxContent>
            </v:textbox>
            <o:callout v:ext="edit" minusy="t"/>
          </v:shape>
        </w:pict>
      </w:r>
      <w:r w:rsidR="000C52EC">
        <w:rPr>
          <w:noProof/>
          <w:sz w:val="24"/>
          <w:szCs w:val="24"/>
          <w:lang w:eastAsia="cs-CZ"/>
        </w:rPr>
        <w:drawing>
          <wp:inline distT="0" distB="0" distL="0" distR="0">
            <wp:extent cx="4019550" cy="2047875"/>
            <wp:effectExtent l="19050" t="0" r="0" b="0"/>
            <wp:docPr id="5"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pic:cNvPicPr>
                      <a:picLocks noChangeAspect="1" noChangeArrowheads="1"/>
                    </pic:cNvPicPr>
                  </pic:nvPicPr>
                  <pic:blipFill>
                    <a:blip r:embed="rId12"/>
                    <a:srcRect l="32083" t="17722" r="31209" b="49695"/>
                    <a:stretch>
                      <a:fillRect/>
                    </a:stretch>
                  </pic:blipFill>
                  <pic:spPr bwMode="auto">
                    <a:xfrm>
                      <a:off x="0" y="0"/>
                      <a:ext cx="4019550" cy="2047875"/>
                    </a:xfrm>
                    <a:prstGeom prst="rect">
                      <a:avLst/>
                    </a:prstGeom>
                    <a:noFill/>
                    <a:ln w="9525">
                      <a:noFill/>
                      <a:miter lim="800000"/>
                      <a:headEnd/>
                      <a:tailEnd/>
                    </a:ln>
                  </pic:spPr>
                </pic:pic>
              </a:graphicData>
            </a:graphic>
          </wp:inline>
        </w:drawing>
      </w:r>
      <w:r w:rsidR="006C1917">
        <w:rPr>
          <w:noProof/>
          <w:sz w:val="24"/>
          <w:szCs w:val="24"/>
          <w:lang w:eastAsia="cs-CZ"/>
        </w:rPr>
        <w:t xml:space="preserve"> </w:t>
      </w:r>
    </w:p>
    <w:p w:rsidR="006C1917" w:rsidRDefault="006C1917" w:rsidP="002A5827">
      <w:pPr>
        <w:spacing w:line="360" w:lineRule="auto"/>
        <w:rPr>
          <w:sz w:val="24"/>
          <w:szCs w:val="24"/>
        </w:rPr>
      </w:pPr>
      <w:r w:rsidRPr="00F420AA">
        <w:rPr>
          <w:sz w:val="24"/>
          <w:szCs w:val="24"/>
        </w:rPr>
        <w:t>Schém</w:t>
      </w:r>
      <w:r w:rsidR="00C4202A">
        <w:rPr>
          <w:sz w:val="24"/>
          <w:szCs w:val="24"/>
        </w:rPr>
        <w:t xml:space="preserve">a č. 5: </w:t>
      </w:r>
      <w:r w:rsidR="00C4202A" w:rsidRPr="00AE666B">
        <w:rPr>
          <w:sz w:val="24"/>
          <w:szCs w:val="24"/>
        </w:rPr>
        <w:t xml:space="preserve">podle  </w:t>
      </w:r>
      <w:r w:rsidR="00C4202A" w:rsidRPr="00AE666B">
        <w:rPr>
          <w:rFonts w:asciiTheme="minorHAnsi" w:hAnsiTheme="minorHAnsi"/>
          <w:sz w:val="24"/>
          <w:szCs w:val="24"/>
          <w:shd w:val="clear" w:color="auto" w:fill="FFFFFF"/>
        </w:rPr>
        <w:t>KITTNAR, Otomar.</w:t>
      </w:r>
      <w:r w:rsidR="00C4202A" w:rsidRPr="00AE666B">
        <w:rPr>
          <w:rFonts w:asciiTheme="minorHAnsi" w:hAnsiTheme="minorHAnsi"/>
          <w:sz w:val="24"/>
          <w:szCs w:val="24"/>
        </w:rPr>
        <w:t> </w:t>
      </w:r>
      <w:r w:rsidR="00C4202A" w:rsidRPr="00AE666B">
        <w:rPr>
          <w:rFonts w:asciiTheme="minorHAnsi" w:hAnsiTheme="minorHAnsi"/>
          <w:i/>
          <w:iCs/>
          <w:sz w:val="24"/>
          <w:szCs w:val="24"/>
          <w:shd w:val="clear" w:color="auto" w:fill="FFFFFF"/>
        </w:rPr>
        <w:t>Lékařská fyziologie</w:t>
      </w:r>
      <w:r w:rsidR="00C4202A" w:rsidRPr="00AE666B">
        <w:rPr>
          <w:rFonts w:asciiTheme="minorHAnsi" w:hAnsiTheme="minorHAnsi"/>
          <w:sz w:val="24"/>
          <w:szCs w:val="24"/>
          <w:shd w:val="clear" w:color="auto" w:fill="FFFFFF"/>
        </w:rPr>
        <w:t>. 1. vyd. Praha: Grada, 2011</w:t>
      </w:r>
      <w:r w:rsidR="00C4202A" w:rsidRPr="00AE666B">
        <w:rPr>
          <w:sz w:val="24"/>
          <w:szCs w:val="24"/>
        </w:rPr>
        <w:t>,</w:t>
      </w:r>
      <w:r w:rsidR="00C4202A" w:rsidRPr="00C4202A">
        <w:rPr>
          <w:sz w:val="24"/>
          <w:szCs w:val="24"/>
        </w:rPr>
        <w:t xml:space="preserve"> </w:t>
      </w:r>
      <w:r w:rsidR="00C4202A" w:rsidRPr="00AE666B">
        <w:rPr>
          <w:sz w:val="24"/>
          <w:szCs w:val="24"/>
        </w:rPr>
        <w:t>strana 92</w:t>
      </w:r>
      <w:r w:rsidR="00BB5F5B">
        <w:rPr>
          <w:sz w:val="24"/>
          <w:szCs w:val="24"/>
        </w:rPr>
        <w:t>,</w:t>
      </w:r>
      <w:r w:rsidR="00C4202A" w:rsidRPr="00AE666B">
        <w:rPr>
          <w:sz w:val="24"/>
          <w:szCs w:val="24"/>
        </w:rPr>
        <w:t xml:space="preserve"> volně adaptovala </w:t>
      </w:r>
      <w:proofErr w:type="gramStart"/>
      <w:r w:rsidR="00C4202A" w:rsidRPr="00AE666B">
        <w:rPr>
          <w:sz w:val="24"/>
          <w:szCs w:val="24"/>
        </w:rPr>
        <w:t>Mgr.Eva</w:t>
      </w:r>
      <w:proofErr w:type="gramEnd"/>
      <w:r w:rsidR="00C4202A" w:rsidRPr="00AE666B">
        <w:rPr>
          <w:sz w:val="24"/>
          <w:szCs w:val="24"/>
        </w:rPr>
        <w:t xml:space="preserve"> Šilerová</w:t>
      </w:r>
      <w:r w:rsidR="00C4202A">
        <w:rPr>
          <w:sz w:val="24"/>
          <w:szCs w:val="24"/>
        </w:rPr>
        <w:t>.</w:t>
      </w:r>
    </w:p>
    <w:p w:rsidR="006C1917" w:rsidRPr="00281289" w:rsidRDefault="006C1917" w:rsidP="00281289">
      <w:pPr>
        <w:pStyle w:val="Nadpis2"/>
        <w:ind w:left="578" w:hanging="578"/>
      </w:pPr>
      <w:bookmarkStart w:id="16" w:name="_Toc422993227"/>
      <w:r w:rsidRPr="00281289">
        <w:lastRenderedPageBreak/>
        <w:t>Energetický proces vzniku troponin-tropomyozinového komplexu</w:t>
      </w:r>
      <w:bookmarkEnd w:id="16"/>
      <w:r w:rsidRPr="00281289">
        <w:t xml:space="preserve"> </w:t>
      </w:r>
    </w:p>
    <w:p w:rsidR="006C1917" w:rsidRPr="00F420AA" w:rsidRDefault="006C1917" w:rsidP="002A5827">
      <w:pPr>
        <w:spacing w:line="360" w:lineRule="auto"/>
        <w:jc w:val="both"/>
        <w:rPr>
          <w:sz w:val="24"/>
          <w:szCs w:val="24"/>
        </w:rPr>
      </w:pPr>
      <w:r w:rsidRPr="00F420AA">
        <w:rPr>
          <w:sz w:val="24"/>
          <w:szCs w:val="24"/>
        </w:rPr>
        <w:t>Srdeční sval je ostatně jako každý jiný sval vpodsta</w:t>
      </w:r>
      <w:r>
        <w:rPr>
          <w:sz w:val="24"/>
          <w:szCs w:val="24"/>
        </w:rPr>
        <w:t xml:space="preserve">tě zařízení schopné přeměňovat </w:t>
      </w:r>
      <w:r w:rsidRPr="00F420AA">
        <w:rPr>
          <w:sz w:val="24"/>
          <w:szCs w:val="24"/>
        </w:rPr>
        <w:t>chemickou energii na mechanickou. Základním energetickým zdrojem svalové kontrakce je hydrolýza ATP.  ATP se resyntetizuje z ADP přidáním fosfátu. Tato reakce je energeticky kryta rozštěpením glukosy na vodu a oxid uhličitý. Další energeticky bohat</w:t>
      </w:r>
      <w:r>
        <w:rPr>
          <w:sz w:val="24"/>
          <w:szCs w:val="24"/>
        </w:rPr>
        <w:t>ou sloučeninou je kreatinfosfát</w:t>
      </w:r>
      <w:r w:rsidRPr="00F420AA">
        <w:rPr>
          <w:sz w:val="24"/>
          <w:szCs w:val="24"/>
        </w:rPr>
        <w:t>, který při hydrolýze na kreatin a fosfát uvolní potřebnou energii. Naopak regenerace kreatinfosfátu probíhá při oxidativním metabolismu v mitochondriích. Při zátěži svalu je kreatinfosfát hydrolyzován mezi hlavičkami myosinu a aktinovým</w:t>
      </w:r>
      <w:r>
        <w:rPr>
          <w:sz w:val="24"/>
          <w:szCs w:val="24"/>
        </w:rPr>
        <w:t>i vlákny, čímž se uvolní energie</w:t>
      </w:r>
      <w:r w:rsidRPr="00F420AA">
        <w:rPr>
          <w:sz w:val="24"/>
          <w:szCs w:val="24"/>
        </w:rPr>
        <w:t xml:space="preserve"> pro vznik kontrakce.</w:t>
      </w:r>
    </w:p>
    <w:p w:rsidR="006C1917" w:rsidRPr="00F420AA" w:rsidRDefault="006C1917" w:rsidP="002A5827">
      <w:pPr>
        <w:spacing w:line="360" w:lineRule="auto"/>
        <w:jc w:val="both"/>
        <w:rPr>
          <w:sz w:val="24"/>
          <w:szCs w:val="24"/>
        </w:rPr>
      </w:pPr>
      <w:r w:rsidRPr="00F420AA">
        <w:rPr>
          <w:sz w:val="24"/>
          <w:szCs w:val="24"/>
        </w:rPr>
        <w:t>Zcela zásadní je vazba kalcia na troponin-tropomyosinový komplex. Kalcium je skladová</w:t>
      </w:r>
      <w:r>
        <w:rPr>
          <w:sz w:val="24"/>
          <w:szCs w:val="24"/>
        </w:rPr>
        <w:t>no v sarkoplazmatickém retikulu, o</w:t>
      </w:r>
      <w:r w:rsidRPr="00F420AA">
        <w:rPr>
          <w:sz w:val="24"/>
          <w:szCs w:val="24"/>
        </w:rPr>
        <w:t>dkud je uvolňováno prostřednictvím napěťově řízených rya</w:t>
      </w:r>
      <w:r>
        <w:rPr>
          <w:sz w:val="24"/>
          <w:szCs w:val="24"/>
        </w:rPr>
        <w:t>dinových kanálů a dále také ATP-</w:t>
      </w:r>
      <w:r w:rsidRPr="00F420AA">
        <w:rPr>
          <w:sz w:val="24"/>
          <w:szCs w:val="24"/>
        </w:rPr>
        <w:t>dependentní pum</w:t>
      </w:r>
      <w:r>
        <w:rPr>
          <w:sz w:val="24"/>
          <w:szCs w:val="24"/>
        </w:rPr>
        <w:t xml:space="preserve">py. Sarkolemálně jsou umístěny </w:t>
      </w:r>
      <w:r w:rsidRPr="00F420AA">
        <w:rPr>
          <w:sz w:val="24"/>
          <w:szCs w:val="24"/>
        </w:rPr>
        <w:t>kanály typu L a T, které zprostředkují výměnu s okolím buňky. Kanály typu L hrají významnou roli v genezi arytmií.</w:t>
      </w:r>
    </w:p>
    <w:p w:rsidR="006C1917" w:rsidRDefault="006C1917" w:rsidP="002A5827">
      <w:pPr>
        <w:spacing w:line="360" w:lineRule="auto"/>
        <w:jc w:val="both"/>
        <w:rPr>
          <w:sz w:val="24"/>
          <w:szCs w:val="24"/>
        </w:rPr>
      </w:pPr>
      <w:r w:rsidRPr="00F420AA">
        <w:rPr>
          <w:sz w:val="24"/>
          <w:szCs w:val="24"/>
        </w:rPr>
        <w:t>Metabolismus kardiomyocytu je primárně kryt jednak z mastných kys</w:t>
      </w:r>
      <w:r w:rsidR="000C52EC">
        <w:rPr>
          <w:sz w:val="24"/>
          <w:szCs w:val="24"/>
        </w:rPr>
        <w:t>e</w:t>
      </w:r>
      <w:r w:rsidRPr="00F420AA">
        <w:rPr>
          <w:sz w:val="24"/>
          <w:szCs w:val="24"/>
        </w:rPr>
        <w:t>lin, dále ze sacharidů</w:t>
      </w:r>
      <w:r>
        <w:rPr>
          <w:sz w:val="24"/>
          <w:szCs w:val="24"/>
        </w:rPr>
        <w:t xml:space="preserve"> – </w:t>
      </w:r>
      <w:r w:rsidRPr="00F420AA">
        <w:rPr>
          <w:sz w:val="24"/>
          <w:szCs w:val="24"/>
        </w:rPr>
        <w:t>cestou Krebsova cyklu. Pro fyziologický myokard je typická tato oxidační cesta za přítomnosti dostatku kyslíku. Při nepřítomnosti kyslíku dochází ke vzniku energie anaerobním metabolismem laktátu, kdy vzniká mnohonásobně méně energie, tato situace má na myokardiální buňku destrukční dopad. Při ischémii dochází v mitochondriích k přesmyku aerobního na anerobní metabolismus v mitochondriích, krom</w:t>
      </w:r>
      <w:r w:rsidR="000C52EC">
        <w:rPr>
          <w:sz w:val="24"/>
          <w:szCs w:val="24"/>
        </w:rPr>
        <w:t>ě</w:t>
      </w:r>
      <w:r w:rsidRPr="00F420AA">
        <w:rPr>
          <w:sz w:val="24"/>
          <w:szCs w:val="24"/>
        </w:rPr>
        <w:t xml:space="preserve"> nedostatku kyslíku vázne také odvod kyselých metabolitů anaerobního metabolismu</w:t>
      </w:r>
      <w:r>
        <w:rPr>
          <w:sz w:val="24"/>
          <w:szCs w:val="24"/>
        </w:rPr>
        <w:t>,</w:t>
      </w:r>
      <w:r w:rsidRPr="00F420AA">
        <w:rPr>
          <w:sz w:val="24"/>
          <w:szCs w:val="24"/>
        </w:rPr>
        <w:t xml:space="preserve"> což vede k hromadění kyselých metabolitů (zejména laktátu) uvnitř mitochondrie, postupně dochází k otoku mitochondrií, ztrátě jejich funkce, prasknutí mitochondriální stěny a k influxu těchto kyselých metabolitů do cytoplasmy kardiomyocytu a k odúmrti kardiomyocytu (</w:t>
      </w:r>
      <w:r w:rsidR="007F25E1">
        <w:rPr>
          <w:sz w:val="24"/>
          <w:szCs w:val="24"/>
        </w:rPr>
        <w:t xml:space="preserve">ref. </w:t>
      </w:r>
      <w:r w:rsidRPr="00F420AA">
        <w:rPr>
          <w:sz w:val="24"/>
          <w:szCs w:val="24"/>
        </w:rPr>
        <w:t>5, strana 58)</w:t>
      </w:r>
    </w:p>
    <w:p w:rsidR="006C1917" w:rsidRPr="00281289" w:rsidRDefault="006C1917" w:rsidP="00281289">
      <w:r>
        <w:br w:type="page"/>
      </w:r>
    </w:p>
    <w:p w:rsidR="006C1917" w:rsidRDefault="006C1917" w:rsidP="00281289">
      <w:pPr>
        <w:pStyle w:val="Nadpis1"/>
      </w:pPr>
      <w:bookmarkStart w:id="17" w:name="_Toc422993228"/>
      <w:r w:rsidRPr="00281289">
        <w:lastRenderedPageBreak/>
        <w:t>Izoformy troponinů</w:t>
      </w:r>
      <w:bookmarkEnd w:id="17"/>
      <w:r w:rsidRPr="00281289">
        <w:t xml:space="preserve"> </w:t>
      </w:r>
    </w:p>
    <w:p w:rsidR="006C1917" w:rsidRPr="00281289" w:rsidRDefault="006C1917" w:rsidP="00AB77F4">
      <w:pPr>
        <w:pStyle w:val="Nadpis1"/>
        <w:numPr>
          <w:ilvl w:val="0"/>
          <w:numId w:val="0"/>
        </w:numPr>
      </w:pPr>
    </w:p>
    <w:p w:rsidR="006C1917" w:rsidRPr="00F420AA" w:rsidRDefault="006C1917" w:rsidP="00281289">
      <w:pPr>
        <w:spacing w:line="360" w:lineRule="auto"/>
        <w:jc w:val="both"/>
        <w:rPr>
          <w:sz w:val="24"/>
          <w:szCs w:val="24"/>
        </w:rPr>
      </w:pPr>
      <w:r w:rsidRPr="00F420AA">
        <w:rPr>
          <w:sz w:val="24"/>
          <w:szCs w:val="24"/>
        </w:rPr>
        <w:t>Jednotlivé strukturální typy troponinu jsou kódovány samostatnými geny ostatně jako všechny proteiny. Troponiny obecně jsou obsaženy ve všech příčně pruhovaných svalech (kosterní, srdeční sval). Podle lokalizace existují jejich jednotlivé isoformy (sf-svalov</w:t>
      </w:r>
      <w:r>
        <w:rPr>
          <w:sz w:val="24"/>
          <w:szCs w:val="24"/>
        </w:rPr>
        <w:t>á pro rychlá vlákna</w:t>
      </w:r>
      <w:r w:rsidRPr="00F420AA">
        <w:rPr>
          <w:sz w:val="24"/>
          <w:szCs w:val="24"/>
        </w:rPr>
        <w:t xml:space="preserve">, ss svalová pro pomalá vlákna a </w:t>
      </w:r>
      <w:r>
        <w:rPr>
          <w:sz w:val="24"/>
          <w:szCs w:val="24"/>
        </w:rPr>
        <w:t xml:space="preserve">c- kardiální). </w:t>
      </w:r>
      <w:r w:rsidRPr="00F420AA">
        <w:rPr>
          <w:sz w:val="24"/>
          <w:szCs w:val="24"/>
        </w:rPr>
        <w:t>Troponin C je kalcium dependentní vazná komponenta troponinu, která má rovněž všechny  izoformy, které se ale  exprimují v obou tkáních (jak srdečním, tak kosterním svalu) Detekce troponinu C v séru tak postrádá diagnostický smysl, protož</w:t>
      </w:r>
      <w:r>
        <w:rPr>
          <w:sz w:val="24"/>
          <w:szCs w:val="24"/>
        </w:rPr>
        <w:t>e není specifický k myokardu (</w:t>
      </w:r>
      <w:r w:rsidR="007F25E1">
        <w:rPr>
          <w:sz w:val="24"/>
          <w:szCs w:val="24"/>
        </w:rPr>
        <w:t xml:space="preserve">ref. </w:t>
      </w:r>
      <w:r w:rsidRPr="00F420AA">
        <w:rPr>
          <w:sz w:val="24"/>
          <w:szCs w:val="24"/>
        </w:rPr>
        <w:t>3, strana 11</w:t>
      </w:r>
      <w:r>
        <w:rPr>
          <w:sz w:val="24"/>
          <w:szCs w:val="24"/>
        </w:rPr>
        <w:t>).</w:t>
      </w:r>
    </w:p>
    <w:p w:rsidR="006C1917" w:rsidRPr="007F25E1" w:rsidRDefault="006C1917" w:rsidP="007F25E1">
      <w:pPr>
        <w:spacing w:after="120" w:line="360" w:lineRule="auto"/>
        <w:rPr>
          <w:bCs/>
          <w:sz w:val="24"/>
          <w:szCs w:val="24"/>
        </w:rPr>
      </w:pPr>
      <w:r w:rsidRPr="00F420AA">
        <w:rPr>
          <w:sz w:val="24"/>
          <w:szCs w:val="24"/>
        </w:rPr>
        <w:t>U troponinu</w:t>
      </w:r>
      <w:r>
        <w:rPr>
          <w:sz w:val="24"/>
          <w:szCs w:val="24"/>
        </w:rPr>
        <w:t xml:space="preserve"> T</w:t>
      </w:r>
      <w:r w:rsidRPr="00F420AA">
        <w:rPr>
          <w:sz w:val="24"/>
          <w:szCs w:val="24"/>
        </w:rPr>
        <w:t xml:space="preserve"> může vlivem alternativního kombinatorního</w:t>
      </w:r>
      <w:r>
        <w:rPr>
          <w:sz w:val="24"/>
          <w:szCs w:val="24"/>
        </w:rPr>
        <w:t xml:space="preserve"> sestřihu</w:t>
      </w:r>
      <w:r w:rsidRPr="00F420AA">
        <w:rPr>
          <w:sz w:val="24"/>
          <w:szCs w:val="24"/>
        </w:rPr>
        <w:t xml:space="preserve"> (splicingu)</w:t>
      </w:r>
      <w:r>
        <w:rPr>
          <w:sz w:val="24"/>
          <w:szCs w:val="24"/>
        </w:rPr>
        <w:t xml:space="preserve"> dojít ke </w:t>
      </w:r>
      <w:r w:rsidRPr="00F420AA">
        <w:rPr>
          <w:sz w:val="24"/>
          <w:szCs w:val="24"/>
        </w:rPr>
        <w:t>vzniku mnoha mRNA</w:t>
      </w:r>
      <w:r>
        <w:rPr>
          <w:sz w:val="24"/>
          <w:szCs w:val="24"/>
        </w:rPr>
        <w:t>, a tak ke vzniku</w:t>
      </w:r>
      <w:r w:rsidRPr="00F420AA">
        <w:rPr>
          <w:sz w:val="24"/>
          <w:szCs w:val="24"/>
        </w:rPr>
        <w:t xml:space="preserve"> mnoha isoforem troponinu. Za určitých patologických onemocnění kosterního svalu může dojít k expresi kardiální formy troponinu T v kosterním svalu, jedná se ale spíše o raritní situaci (</w:t>
      </w:r>
      <w:r w:rsidR="007F25E1">
        <w:rPr>
          <w:sz w:val="24"/>
          <w:szCs w:val="24"/>
        </w:rPr>
        <w:t xml:space="preserve">ref. </w:t>
      </w:r>
      <w:r w:rsidRPr="00F420AA">
        <w:rPr>
          <w:sz w:val="24"/>
          <w:szCs w:val="24"/>
        </w:rPr>
        <w:t xml:space="preserve">3, strana 12). Konečně troponin I může být zdrojem chybné diagnostiky u novorozenců a kojenců do 9 měsíců věku, protože do 20. týdne fetálního vývoje jsou exprimovány v srdci i kosterních svalech pouze svalové nikoliv kardiální formy a tyto přetrvávají několik měsíců po narození, kdy je myokard ještě schopen regenerace metaplázií, tato přibližně v 9. měsíci věku ustává.  Výskyt  izoforem troponinů v myokardu se tedy mění v závislosti na ontogenetickém vývoji jedince, syntéza je kódována příslušnými geny, viz tab. </w:t>
      </w:r>
      <w:proofErr w:type="gramStart"/>
      <w:r w:rsidRPr="00F420AA">
        <w:rPr>
          <w:sz w:val="24"/>
          <w:szCs w:val="24"/>
        </w:rPr>
        <w:t>č.</w:t>
      </w:r>
      <w:proofErr w:type="gramEnd"/>
      <w:r>
        <w:rPr>
          <w:sz w:val="24"/>
          <w:szCs w:val="24"/>
        </w:rPr>
        <w:t xml:space="preserve"> </w:t>
      </w:r>
      <w:r w:rsidR="007F25E1">
        <w:rPr>
          <w:sz w:val="24"/>
          <w:szCs w:val="24"/>
        </w:rPr>
        <w:t xml:space="preserve">1 (Volně adaptováno podle: </w:t>
      </w:r>
      <w:r w:rsidR="007F25E1" w:rsidRPr="00434163">
        <w:rPr>
          <w:rFonts w:cs="Arial"/>
          <w:sz w:val="24"/>
          <w:szCs w:val="24"/>
          <w:shd w:val="clear" w:color="auto" w:fill="FFFFFF"/>
        </w:rPr>
        <w:t>ENGLIŠ, Miroslav; ŠOCHMAN, Jan.</w:t>
      </w:r>
      <w:r w:rsidR="007F25E1" w:rsidRPr="00434163">
        <w:rPr>
          <w:rStyle w:val="apple-converted-space"/>
          <w:rFonts w:cs="Arial"/>
          <w:sz w:val="24"/>
          <w:szCs w:val="24"/>
          <w:shd w:val="clear" w:color="auto" w:fill="FFFFFF"/>
        </w:rPr>
        <w:t> </w:t>
      </w:r>
      <w:r w:rsidR="007F25E1" w:rsidRPr="00434163">
        <w:rPr>
          <w:rFonts w:cs="Arial"/>
          <w:i/>
          <w:iCs/>
          <w:sz w:val="24"/>
          <w:szCs w:val="24"/>
          <w:shd w:val="clear" w:color="auto" w:fill="FFFFFF"/>
        </w:rPr>
        <w:t>Srdeční troponiny v klinické praxi</w:t>
      </w:r>
      <w:r w:rsidR="007F25E1" w:rsidRPr="00434163">
        <w:rPr>
          <w:rFonts w:cs="Arial"/>
          <w:sz w:val="24"/>
          <w:szCs w:val="24"/>
          <w:shd w:val="clear" w:color="auto" w:fill="FFFFFF"/>
        </w:rPr>
        <w:t>. TAC-TAC agency, 2009</w:t>
      </w:r>
      <w:r w:rsidRPr="00F420AA">
        <w:rPr>
          <w:sz w:val="24"/>
          <w:szCs w:val="24"/>
        </w:rPr>
        <w:t>,</w:t>
      </w:r>
      <w:r w:rsidR="007F25E1">
        <w:rPr>
          <w:sz w:val="24"/>
          <w:szCs w:val="24"/>
        </w:rPr>
        <w:t xml:space="preserve"> stran</w:t>
      </w:r>
      <w:r w:rsidRPr="00F420AA">
        <w:rPr>
          <w:sz w:val="24"/>
          <w:szCs w:val="24"/>
        </w:rPr>
        <w:t xml:space="preserve">a 9-13): </w:t>
      </w:r>
    </w:p>
    <w:p w:rsidR="006C1917" w:rsidRPr="00F420AA" w:rsidRDefault="006C1917" w:rsidP="002A5827">
      <w:pPr>
        <w:spacing w:line="360" w:lineRule="auto"/>
        <w:rPr>
          <w:sz w:val="24"/>
          <w:szCs w:val="24"/>
        </w:rPr>
      </w:pPr>
      <w:r w:rsidRPr="00F420AA">
        <w:rPr>
          <w:sz w:val="24"/>
          <w:szCs w:val="24"/>
        </w:rPr>
        <w:t>tabulka č.</w:t>
      </w:r>
      <w:r>
        <w:rPr>
          <w:sz w:val="24"/>
          <w:szCs w:val="24"/>
        </w:rPr>
        <w:t xml:space="preserve"> </w:t>
      </w:r>
      <w:r w:rsidRPr="00F420AA">
        <w:rPr>
          <w:sz w:val="24"/>
          <w:szCs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2"/>
      </w:tblGrid>
      <w:tr w:rsidR="006C1917" w:rsidRPr="00F420AA" w:rsidTr="00F43B97">
        <w:tc>
          <w:tcPr>
            <w:tcW w:w="9212" w:type="dxa"/>
          </w:tcPr>
          <w:p w:rsidR="006C1917" w:rsidRPr="00F420AA" w:rsidRDefault="006C1917" w:rsidP="00F43B97">
            <w:pPr>
              <w:spacing w:line="360" w:lineRule="auto"/>
            </w:pPr>
            <w:r w:rsidRPr="00F420AA">
              <w:t>Troponin                        isoforma                                   gen</w:t>
            </w:r>
          </w:p>
        </w:tc>
      </w:tr>
      <w:tr w:rsidR="006C1917" w:rsidRPr="00F420AA" w:rsidTr="00F43B97">
        <w:tc>
          <w:tcPr>
            <w:tcW w:w="9212" w:type="dxa"/>
          </w:tcPr>
          <w:p w:rsidR="006C1917" w:rsidRPr="00F420AA" w:rsidRDefault="006C1917" w:rsidP="00F43B97">
            <w:pPr>
              <w:spacing w:line="360" w:lineRule="auto"/>
            </w:pPr>
            <w:r w:rsidRPr="00F420AA">
              <w:t>Troponin C                    sTnCf                                          3p21.3</w:t>
            </w:r>
          </w:p>
        </w:tc>
      </w:tr>
      <w:tr w:rsidR="006C1917" w:rsidRPr="00F420AA" w:rsidTr="00F43B97">
        <w:tc>
          <w:tcPr>
            <w:tcW w:w="9212" w:type="dxa"/>
          </w:tcPr>
          <w:p w:rsidR="006C1917" w:rsidRPr="00F420AA" w:rsidRDefault="006C1917" w:rsidP="00F43B97">
            <w:pPr>
              <w:spacing w:line="360" w:lineRule="auto"/>
            </w:pPr>
            <w:r w:rsidRPr="00F420AA">
              <w:t xml:space="preserve">                                       sTnCs                                          3p14.3</w:t>
            </w:r>
          </w:p>
        </w:tc>
      </w:tr>
      <w:tr w:rsidR="006C1917" w:rsidRPr="00F420AA" w:rsidTr="00F43B97">
        <w:tc>
          <w:tcPr>
            <w:tcW w:w="9212" w:type="dxa"/>
          </w:tcPr>
          <w:p w:rsidR="006C1917" w:rsidRPr="00F420AA" w:rsidRDefault="006C1917" w:rsidP="00F43B97">
            <w:pPr>
              <w:spacing w:line="360" w:lineRule="auto"/>
            </w:pPr>
            <w:r w:rsidRPr="00F420AA">
              <w:t>Troponin I                     sTnIf                                            není známo</w:t>
            </w:r>
          </w:p>
        </w:tc>
      </w:tr>
      <w:tr w:rsidR="006C1917" w:rsidRPr="00F420AA" w:rsidTr="00F43B97">
        <w:tc>
          <w:tcPr>
            <w:tcW w:w="9212" w:type="dxa"/>
          </w:tcPr>
          <w:p w:rsidR="006C1917" w:rsidRPr="00F420AA" w:rsidRDefault="006C1917" w:rsidP="00F43B97">
            <w:pPr>
              <w:spacing w:line="360" w:lineRule="auto"/>
            </w:pPr>
            <w:r w:rsidRPr="00F420AA">
              <w:t>Troponin I                     sTnIs                                            1q12</w:t>
            </w:r>
          </w:p>
        </w:tc>
      </w:tr>
      <w:tr w:rsidR="006C1917" w:rsidRPr="00F420AA" w:rsidTr="00F43B97">
        <w:tc>
          <w:tcPr>
            <w:tcW w:w="9212" w:type="dxa"/>
          </w:tcPr>
          <w:p w:rsidR="006C1917" w:rsidRPr="00F420AA" w:rsidRDefault="006C1917" w:rsidP="00F43B97">
            <w:pPr>
              <w:spacing w:line="360" w:lineRule="auto"/>
            </w:pPr>
            <w:r w:rsidRPr="00F420AA">
              <w:t>Troponin I                     cTnI                                             19p13.2</w:t>
            </w:r>
          </w:p>
        </w:tc>
      </w:tr>
      <w:tr w:rsidR="006C1917" w:rsidRPr="00F420AA" w:rsidTr="00F43B97">
        <w:tc>
          <w:tcPr>
            <w:tcW w:w="9212" w:type="dxa"/>
          </w:tcPr>
          <w:p w:rsidR="006C1917" w:rsidRPr="00F420AA" w:rsidRDefault="006C1917" w:rsidP="00F43B97">
            <w:pPr>
              <w:spacing w:line="360" w:lineRule="auto"/>
            </w:pPr>
            <w:r w:rsidRPr="00F420AA">
              <w:lastRenderedPageBreak/>
              <w:t>Troponin T                    sTnTf                                           11p.15.5</w:t>
            </w:r>
          </w:p>
        </w:tc>
      </w:tr>
      <w:tr w:rsidR="006C1917" w:rsidRPr="00F420AA" w:rsidTr="00F43B97">
        <w:trPr>
          <w:trHeight w:val="375"/>
        </w:trPr>
        <w:tc>
          <w:tcPr>
            <w:tcW w:w="9212" w:type="dxa"/>
          </w:tcPr>
          <w:p w:rsidR="006C1917" w:rsidRPr="00F420AA" w:rsidRDefault="006C1917" w:rsidP="00F43B97">
            <w:pPr>
              <w:spacing w:line="360" w:lineRule="auto"/>
            </w:pPr>
            <w:r w:rsidRPr="00F420AA">
              <w:t>Troponin T                    sTnTs                                           19q13.4</w:t>
            </w:r>
          </w:p>
        </w:tc>
      </w:tr>
      <w:tr w:rsidR="006C1917" w:rsidRPr="00F420AA" w:rsidTr="00F43B97">
        <w:trPr>
          <w:trHeight w:val="345"/>
        </w:trPr>
        <w:tc>
          <w:tcPr>
            <w:tcW w:w="9212" w:type="dxa"/>
          </w:tcPr>
          <w:p w:rsidR="006C1917" w:rsidRPr="00F420AA" w:rsidRDefault="006C1917" w:rsidP="00F43B97">
            <w:pPr>
              <w:spacing w:line="360" w:lineRule="auto"/>
            </w:pPr>
            <w:r w:rsidRPr="00F420AA">
              <w:t>Troponin T                    cTn                                               1q32</w:t>
            </w:r>
          </w:p>
        </w:tc>
      </w:tr>
      <w:tr w:rsidR="006C1917" w:rsidRPr="00F420AA" w:rsidTr="00F43B97">
        <w:trPr>
          <w:trHeight w:val="1005"/>
        </w:trPr>
        <w:tc>
          <w:tcPr>
            <w:tcW w:w="9212" w:type="dxa"/>
          </w:tcPr>
          <w:p w:rsidR="006C1917" w:rsidRPr="00F420AA" w:rsidRDefault="006C1917" w:rsidP="00F43B97">
            <w:pPr>
              <w:spacing w:line="360" w:lineRule="auto"/>
            </w:pPr>
            <w:r>
              <w:t xml:space="preserve">Vysvětlivka: </w:t>
            </w:r>
            <w:r w:rsidRPr="00F420AA">
              <w:t>první malé písmeno sTn nebo cTn značí</w:t>
            </w:r>
            <w:r>
              <w:t>,</w:t>
            </w:r>
            <w:r w:rsidRPr="00F420AA">
              <w:t xml:space="preserve"> zda je izoforma svalová či kardiální, naopak písmeno za sTn, tedy sTn f značí</w:t>
            </w:r>
            <w:r>
              <w:t>,</w:t>
            </w:r>
            <w:r w:rsidRPr="00F420AA">
              <w:t xml:space="preserve"> že jde o izoformu rychlých resp. pomalých (sTn s) vláken </w:t>
            </w:r>
          </w:p>
        </w:tc>
      </w:tr>
    </w:tbl>
    <w:p w:rsidR="006C1917" w:rsidRPr="00F420AA" w:rsidRDefault="006C1917" w:rsidP="002A5827">
      <w:pPr>
        <w:spacing w:line="360" w:lineRule="auto"/>
        <w:rPr>
          <w:sz w:val="24"/>
          <w:szCs w:val="24"/>
        </w:rPr>
      </w:pPr>
    </w:p>
    <w:p w:rsidR="006C1917" w:rsidRPr="00F420AA" w:rsidRDefault="006C1917" w:rsidP="00276EFE">
      <w:pPr>
        <w:spacing w:line="360" w:lineRule="auto"/>
        <w:jc w:val="both"/>
        <w:rPr>
          <w:sz w:val="24"/>
          <w:szCs w:val="24"/>
        </w:rPr>
      </w:pPr>
      <w:r w:rsidRPr="00F420AA">
        <w:rPr>
          <w:sz w:val="24"/>
          <w:szCs w:val="24"/>
        </w:rPr>
        <w:t>Ve fetálním myokardu je</w:t>
      </w:r>
      <w:r>
        <w:rPr>
          <w:sz w:val="24"/>
          <w:szCs w:val="24"/>
        </w:rPr>
        <w:t xml:space="preserve">, </w:t>
      </w:r>
      <w:r w:rsidRPr="00F420AA">
        <w:rPr>
          <w:sz w:val="24"/>
          <w:szCs w:val="24"/>
        </w:rPr>
        <w:t>jak již bylo výše zmíněno</w:t>
      </w:r>
      <w:r>
        <w:rPr>
          <w:sz w:val="24"/>
          <w:szCs w:val="24"/>
        </w:rPr>
        <w:t xml:space="preserve">, </w:t>
      </w:r>
      <w:r w:rsidRPr="00F420AA">
        <w:rPr>
          <w:sz w:val="24"/>
          <w:szCs w:val="24"/>
        </w:rPr>
        <w:t>do 20. týdne ontogenetického vývoje přítomen Troponin I charakteristický pro pomalá kosterní vlákna. V dospělém myokardu je naopak přítomna srdeční forma Troponinu I, tato se v kosterním svalu dospělých jedinců nevyskytuje. Je tak zaručena jeho kardiospecificita.</w:t>
      </w:r>
    </w:p>
    <w:p w:rsidR="006C1917" w:rsidRPr="00F420AA" w:rsidRDefault="006C1917" w:rsidP="00276EFE">
      <w:pPr>
        <w:spacing w:line="360" w:lineRule="auto"/>
        <w:jc w:val="both"/>
        <w:rPr>
          <w:sz w:val="24"/>
          <w:szCs w:val="24"/>
        </w:rPr>
      </w:pPr>
      <w:r w:rsidRPr="00F420AA">
        <w:rPr>
          <w:sz w:val="24"/>
          <w:szCs w:val="24"/>
        </w:rPr>
        <w:t>U neonátů a kojenců jsou však přítomny obě formy troponinu I</w:t>
      </w:r>
      <w:r>
        <w:rPr>
          <w:sz w:val="24"/>
          <w:szCs w:val="24"/>
        </w:rPr>
        <w:t xml:space="preserve"> (jak svalová pro pomalá vlákna</w:t>
      </w:r>
      <w:r w:rsidRPr="00F420AA">
        <w:rPr>
          <w:sz w:val="24"/>
          <w:szCs w:val="24"/>
        </w:rPr>
        <w:t>, tak srdeční). Svalová forma převažuje do 2. týdne postnatálního života, nicméně</w:t>
      </w:r>
      <w:r>
        <w:rPr>
          <w:sz w:val="24"/>
          <w:szCs w:val="24"/>
        </w:rPr>
        <w:t xml:space="preserve"> v séru je </w:t>
      </w:r>
      <w:r w:rsidRPr="00F420AA">
        <w:rPr>
          <w:sz w:val="24"/>
          <w:szCs w:val="24"/>
        </w:rPr>
        <w:t>detekovatelná až do 9.</w:t>
      </w:r>
      <w:r>
        <w:rPr>
          <w:sz w:val="24"/>
          <w:szCs w:val="24"/>
        </w:rPr>
        <w:t xml:space="preserve"> </w:t>
      </w:r>
      <w:r w:rsidRPr="00F420AA">
        <w:rPr>
          <w:sz w:val="24"/>
          <w:szCs w:val="24"/>
        </w:rPr>
        <w:t>měsíce života. Troponin I tedy není spolehlivým diagnostickým markerem myokardiálního poškození u kojenců a novorozenců.</w:t>
      </w:r>
    </w:p>
    <w:p w:rsidR="006C1917" w:rsidRDefault="006C1917" w:rsidP="00276EFE">
      <w:pPr>
        <w:spacing w:line="360" w:lineRule="auto"/>
        <w:jc w:val="both"/>
        <w:rPr>
          <w:sz w:val="24"/>
          <w:szCs w:val="24"/>
        </w:rPr>
      </w:pPr>
      <w:r w:rsidRPr="00F420AA">
        <w:rPr>
          <w:sz w:val="24"/>
          <w:szCs w:val="24"/>
        </w:rPr>
        <w:t>Troponin T (myokardiální forma) je v drtivé většině obsažen v myokardu již v průbě</w:t>
      </w:r>
      <w:r>
        <w:rPr>
          <w:sz w:val="24"/>
          <w:szCs w:val="24"/>
        </w:rPr>
        <w:t xml:space="preserve">hu prenatálního vývoje, </w:t>
      </w:r>
      <w:r w:rsidRPr="00F420AA">
        <w:rPr>
          <w:sz w:val="24"/>
          <w:szCs w:val="24"/>
        </w:rPr>
        <w:t>dělí se ještě na čtyři izoformy 1-4, kdy v drtivé většině je exprimována izoforma 2. Po porodu nabývá na významu izoforma 3, která pak tvoří většinu dospělého myokardu.</w:t>
      </w:r>
      <w:r>
        <w:rPr>
          <w:sz w:val="24"/>
          <w:szCs w:val="24"/>
        </w:rPr>
        <w:t xml:space="preserve"> </w:t>
      </w:r>
      <w:r w:rsidRPr="00F420AA">
        <w:rPr>
          <w:sz w:val="24"/>
          <w:szCs w:val="24"/>
        </w:rPr>
        <w:t>Jak bylo výše uvedeno</w:t>
      </w:r>
      <w:r>
        <w:rPr>
          <w:sz w:val="24"/>
          <w:szCs w:val="24"/>
        </w:rPr>
        <w:t>,</w:t>
      </w:r>
      <w:r w:rsidRPr="00F420AA">
        <w:rPr>
          <w:sz w:val="24"/>
          <w:szCs w:val="24"/>
        </w:rPr>
        <w:t xml:space="preserve"> ustává syntéza troponinu v průběhu 1. roku postnatálního života</w:t>
      </w:r>
      <w:r>
        <w:rPr>
          <w:sz w:val="24"/>
          <w:szCs w:val="24"/>
        </w:rPr>
        <w:t>,</w:t>
      </w:r>
      <w:r w:rsidRPr="00F420AA">
        <w:rPr>
          <w:sz w:val="24"/>
          <w:szCs w:val="24"/>
        </w:rPr>
        <w:t xml:space="preserve"> což je jedním z</w:t>
      </w:r>
      <w:r>
        <w:rPr>
          <w:sz w:val="24"/>
          <w:szCs w:val="24"/>
        </w:rPr>
        <w:t> </w:t>
      </w:r>
      <w:r w:rsidRPr="00F420AA">
        <w:rPr>
          <w:sz w:val="24"/>
          <w:szCs w:val="24"/>
        </w:rPr>
        <w:t>důvodu</w:t>
      </w:r>
      <w:r>
        <w:rPr>
          <w:sz w:val="24"/>
          <w:szCs w:val="24"/>
        </w:rPr>
        <w:t>,</w:t>
      </w:r>
      <w:r w:rsidRPr="00F420AA">
        <w:rPr>
          <w:sz w:val="24"/>
          <w:szCs w:val="24"/>
        </w:rPr>
        <w:t xml:space="preserve"> proč dospělý myokard nedokáže spustit reparační proces v případě pošk</w:t>
      </w:r>
      <w:r>
        <w:rPr>
          <w:sz w:val="24"/>
          <w:szCs w:val="24"/>
        </w:rPr>
        <w:t xml:space="preserve">ození a reagovat tak metaplázií – </w:t>
      </w:r>
      <w:r w:rsidRPr="00F420AA">
        <w:rPr>
          <w:sz w:val="24"/>
          <w:szCs w:val="24"/>
        </w:rPr>
        <w:t xml:space="preserve">jakkoliv reexprese syntézy fetální formy troponinu T byla v dospělém myokardu popsána. </w:t>
      </w:r>
      <w:r>
        <w:rPr>
          <w:sz w:val="24"/>
          <w:szCs w:val="24"/>
        </w:rPr>
        <w:t xml:space="preserve">Podíl takto </w:t>
      </w:r>
      <w:r w:rsidRPr="00F420AA">
        <w:rPr>
          <w:sz w:val="24"/>
          <w:szCs w:val="24"/>
        </w:rPr>
        <w:t>obnovené syntézy kontraktilních proteinů je klinicky zanedbatelný (</w:t>
      </w:r>
      <w:r w:rsidR="007F25E1">
        <w:rPr>
          <w:sz w:val="24"/>
          <w:szCs w:val="24"/>
        </w:rPr>
        <w:t xml:space="preserve">ref. </w:t>
      </w:r>
      <w:r w:rsidR="00BB5F5B">
        <w:rPr>
          <w:sz w:val="24"/>
          <w:szCs w:val="24"/>
        </w:rPr>
        <w:t xml:space="preserve">3, stránka 9-13,ref. </w:t>
      </w:r>
      <w:r w:rsidRPr="00F420AA">
        <w:rPr>
          <w:sz w:val="24"/>
          <w:szCs w:val="24"/>
        </w:rPr>
        <w:t xml:space="preserve">6), tento jev provází patologické stavy a má spíše diagnostický význam než aby představoval pro daného pacienta nějakou výhodu. Z výše uvedeného vyplývá úplná kardiospecificita troponinu T i I </w:t>
      </w:r>
      <w:r>
        <w:rPr>
          <w:sz w:val="24"/>
          <w:szCs w:val="24"/>
        </w:rPr>
        <w:br/>
      </w:r>
      <w:r w:rsidRPr="00F420AA">
        <w:rPr>
          <w:sz w:val="24"/>
          <w:szCs w:val="24"/>
        </w:rPr>
        <w:t>ke kardiomyocytu dospělého srdce.</w:t>
      </w:r>
    </w:p>
    <w:p w:rsidR="006C1917" w:rsidRPr="00276EFE" w:rsidRDefault="006C1917" w:rsidP="00276EFE">
      <w:r>
        <w:br w:type="page"/>
      </w:r>
    </w:p>
    <w:p w:rsidR="006C1917" w:rsidRPr="009D34D9" w:rsidRDefault="006C1917" w:rsidP="009D34D9">
      <w:pPr>
        <w:pStyle w:val="Nadpis1"/>
      </w:pPr>
      <w:bookmarkStart w:id="18" w:name="_Toc422993229"/>
      <w:r w:rsidRPr="009D34D9">
        <w:lastRenderedPageBreak/>
        <w:t>Detekce myokardiálního poškození pomocí troponinů</w:t>
      </w:r>
      <w:bookmarkEnd w:id="18"/>
      <w:r>
        <w:br/>
      </w:r>
    </w:p>
    <w:p w:rsidR="006C1917" w:rsidRPr="009D34D9" w:rsidRDefault="006C1917" w:rsidP="009D34D9">
      <w:pPr>
        <w:pStyle w:val="Nadpis2"/>
        <w:ind w:left="578" w:hanging="578"/>
      </w:pPr>
      <w:bookmarkStart w:id="19" w:name="_Toc422993230"/>
      <w:r>
        <w:t>Mechanis</w:t>
      </w:r>
      <w:r w:rsidRPr="009D34D9">
        <w:t>my  myokardiálního poškození</w:t>
      </w:r>
      <w:bookmarkEnd w:id="19"/>
    </w:p>
    <w:p w:rsidR="006C1917" w:rsidRPr="009D34D9" w:rsidRDefault="006C1917" w:rsidP="009D34D9">
      <w:pPr>
        <w:pStyle w:val="Nadpis3"/>
        <w:rPr>
          <w:lang w:eastAsia="ar-SA"/>
        </w:rPr>
      </w:pPr>
      <w:bookmarkStart w:id="20" w:name="_Toc422993231"/>
      <w:r>
        <w:rPr>
          <w:lang w:eastAsia="ar-SA"/>
        </w:rPr>
        <w:t>Mechanis</w:t>
      </w:r>
      <w:r w:rsidRPr="009D34D9">
        <w:rPr>
          <w:lang w:eastAsia="ar-SA"/>
        </w:rPr>
        <w:t>my ischemického poškození myokardu</w:t>
      </w:r>
      <w:bookmarkEnd w:id="20"/>
    </w:p>
    <w:p w:rsidR="006C1917" w:rsidRPr="00F420AA" w:rsidRDefault="006C1917" w:rsidP="009D34D9">
      <w:pPr>
        <w:spacing w:line="360" w:lineRule="auto"/>
        <w:jc w:val="both"/>
        <w:rPr>
          <w:sz w:val="24"/>
          <w:szCs w:val="24"/>
        </w:rPr>
      </w:pPr>
      <w:r w:rsidRPr="00F420AA">
        <w:rPr>
          <w:sz w:val="24"/>
          <w:szCs w:val="24"/>
        </w:rPr>
        <w:t>Mechanismus uvolnění troponinu z kardiomyocytu je poměrně zdlouhav</w:t>
      </w:r>
      <w:r>
        <w:rPr>
          <w:sz w:val="24"/>
          <w:szCs w:val="24"/>
        </w:rPr>
        <w:t xml:space="preserve">ý proces. </w:t>
      </w:r>
      <w:r w:rsidRPr="00F420AA">
        <w:rPr>
          <w:sz w:val="24"/>
          <w:szCs w:val="24"/>
        </w:rPr>
        <w:t>Nedostatek kyslíku vede k přesmyku oxidativního metabolismu v anaerobní v mitochondrii (</w:t>
      </w:r>
      <w:r w:rsidR="007F25E1">
        <w:rPr>
          <w:sz w:val="24"/>
          <w:szCs w:val="24"/>
        </w:rPr>
        <w:t xml:space="preserve">ref. </w:t>
      </w:r>
      <w:r w:rsidRPr="00F420AA">
        <w:rPr>
          <w:sz w:val="24"/>
          <w:szCs w:val="24"/>
        </w:rPr>
        <w:t>2, strana 36 a 110), následný vznik kyselých metabolitů způsobí poruchu celistvosti mitochondriální sarkolemy a influx kyselých metabolitů do cytosolu kardiomyocytu, tento proces ústí</w:t>
      </w:r>
      <w:r>
        <w:rPr>
          <w:sz w:val="24"/>
          <w:szCs w:val="24"/>
        </w:rPr>
        <w:t xml:space="preserve"> v poškození myokardiální buňky, dojde k </w:t>
      </w:r>
      <w:r w:rsidRPr="00F420AA">
        <w:rPr>
          <w:sz w:val="24"/>
          <w:szCs w:val="24"/>
        </w:rPr>
        <w:t>poškození integrity buněčné stěny s odúmrtí kardiomyocytu mechanismem nekrózy.</w:t>
      </w:r>
    </w:p>
    <w:p w:rsidR="006C1917" w:rsidRPr="00F420AA" w:rsidRDefault="006C1917" w:rsidP="009D34D9">
      <w:pPr>
        <w:spacing w:line="360" w:lineRule="auto"/>
        <w:jc w:val="both"/>
        <w:rPr>
          <w:sz w:val="24"/>
          <w:szCs w:val="24"/>
        </w:rPr>
      </w:pPr>
      <w:r>
        <w:rPr>
          <w:sz w:val="24"/>
          <w:szCs w:val="24"/>
        </w:rPr>
        <w:t xml:space="preserve">Jak </w:t>
      </w:r>
      <w:r w:rsidRPr="00F420AA">
        <w:rPr>
          <w:sz w:val="24"/>
          <w:szCs w:val="24"/>
        </w:rPr>
        <w:t>bylo uvedeno výše, je tr</w:t>
      </w:r>
      <w:r>
        <w:rPr>
          <w:sz w:val="24"/>
          <w:szCs w:val="24"/>
        </w:rPr>
        <w:t>oponin v kardiomyocytu převážně</w:t>
      </w:r>
      <w:r w:rsidRPr="00F420AA">
        <w:rPr>
          <w:sz w:val="24"/>
          <w:szCs w:val="24"/>
        </w:rPr>
        <w:t xml:space="preserve"> vázán na kontraktilní proteiny. Troponin T je</w:t>
      </w:r>
      <w:r>
        <w:rPr>
          <w:sz w:val="24"/>
          <w:szCs w:val="24"/>
        </w:rPr>
        <w:t xml:space="preserve"> vázaný </w:t>
      </w:r>
      <w:r w:rsidRPr="00F420AA">
        <w:rPr>
          <w:sz w:val="24"/>
          <w:szCs w:val="24"/>
        </w:rPr>
        <w:t>z 92</w:t>
      </w:r>
      <w:r>
        <w:rPr>
          <w:sz w:val="24"/>
          <w:szCs w:val="24"/>
        </w:rPr>
        <w:t>–</w:t>
      </w:r>
      <w:r w:rsidRPr="00F420AA">
        <w:rPr>
          <w:sz w:val="24"/>
          <w:szCs w:val="24"/>
        </w:rPr>
        <w:t>94</w:t>
      </w:r>
      <w:r>
        <w:rPr>
          <w:sz w:val="24"/>
          <w:szCs w:val="24"/>
        </w:rPr>
        <w:t xml:space="preserve"> </w:t>
      </w:r>
      <w:r w:rsidRPr="00F420AA">
        <w:rPr>
          <w:sz w:val="24"/>
          <w:szCs w:val="24"/>
        </w:rPr>
        <w:t>%, troponin I z 96</w:t>
      </w:r>
      <w:r>
        <w:rPr>
          <w:sz w:val="24"/>
          <w:szCs w:val="24"/>
        </w:rPr>
        <w:t>–</w:t>
      </w:r>
      <w:r w:rsidRPr="00F420AA">
        <w:rPr>
          <w:sz w:val="24"/>
          <w:szCs w:val="24"/>
        </w:rPr>
        <w:t>97</w:t>
      </w:r>
      <w:r>
        <w:rPr>
          <w:sz w:val="24"/>
          <w:szCs w:val="24"/>
        </w:rPr>
        <w:t xml:space="preserve"> </w:t>
      </w:r>
      <w:r w:rsidRPr="00F420AA">
        <w:rPr>
          <w:sz w:val="24"/>
          <w:szCs w:val="24"/>
        </w:rPr>
        <w:t>%. Ostatní troponin je volný v cytosolu, strukturálně je však zcela identický s troponinem, který je naváz</w:t>
      </w:r>
      <w:r w:rsidR="00887437">
        <w:rPr>
          <w:sz w:val="24"/>
          <w:szCs w:val="24"/>
        </w:rPr>
        <w:t>án na kontraaktilní proteiny (4</w:t>
      </w:r>
      <w:r w:rsidRPr="00F420AA">
        <w:rPr>
          <w:sz w:val="24"/>
          <w:szCs w:val="24"/>
        </w:rPr>
        <w:t>)</w:t>
      </w:r>
      <w:r>
        <w:rPr>
          <w:sz w:val="24"/>
          <w:szCs w:val="24"/>
        </w:rPr>
        <w:t>.</w:t>
      </w:r>
      <w:r w:rsidRPr="00F420AA">
        <w:rPr>
          <w:sz w:val="24"/>
          <w:szCs w:val="24"/>
        </w:rPr>
        <w:t xml:space="preserve">  </w:t>
      </w:r>
    </w:p>
    <w:p w:rsidR="006C1917" w:rsidRPr="00F420AA" w:rsidRDefault="006C1917" w:rsidP="009D34D9">
      <w:pPr>
        <w:spacing w:line="360" w:lineRule="auto"/>
        <w:jc w:val="both"/>
        <w:rPr>
          <w:sz w:val="24"/>
          <w:szCs w:val="24"/>
        </w:rPr>
      </w:pPr>
      <w:r>
        <w:rPr>
          <w:sz w:val="24"/>
          <w:szCs w:val="24"/>
        </w:rPr>
        <w:t>Při</w:t>
      </w:r>
      <w:r w:rsidRPr="00F420AA">
        <w:rPr>
          <w:sz w:val="24"/>
          <w:szCs w:val="24"/>
        </w:rPr>
        <w:t xml:space="preserve"> rozvoji ischemického inzultu dochází k vývoji nekrózy postupně, jde o jev modifikovaný mnoha faktory (3), jako je pr</w:t>
      </w:r>
      <w:r>
        <w:rPr>
          <w:sz w:val="24"/>
          <w:szCs w:val="24"/>
        </w:rPr>
        <w:t xml:space="preserve">econditioning (Murray et al. – </w:t>
      </w:r>
      <w:r w:rsidRPr="00F420AA">
        <w:rPr>
          <w:sz w:val="24"/>
          <w:szCs w:val="24"/>
        </w:rPr>
        <w:t>7</w:t>
      </w:r>
      <w:r>
        <w:rPr>
          <w:sz w:val="24"/>
          <w:szCs w:val="24"/>
        </w:rPr>
        <w:t xml:space="preserve">), </w:t>
      </w:r>
      <w:r w:rsidRPr="00F420AA">
        <w:rPr>
          <w:sz w:val="24"/>
          <w:szCs w:val="24"/>
        </w:rPr>
        <w:t xml:space="preserve">postconditionig (8), délka ischemického inzultu, míra obturace koronárního řečiště. </w:t>
      </w:r>
    </w:p>
    <w:p w:rsidR="006C1917" w:rsidRPr="00F420AA" w:rsidRDefault="006C1917" w:rsidP="009D34D9">
      <w:pPr>
        <w:spacing w:line="360" w:lineRule="auto"/>
        <w:jc w:val="both"/>
        <w:rPr>
          <w:sz w:val="24"/>
          <w:szCs w:val="24"/>
        </w:rPr>
      </w:pPr>
      <w:r w:rsidRPr="00F420AA">
        <w:rPr>
          <w:sz w:val="24"/>
          <w:szCs w:val="24"/>
        </w:rPr>
        <w:t xml:space="preserve">Dále závisí na lokalizaci ischemického inzultu napříč stěnou levé komory: subendokardiální  lokalizace je výrazně náchylnější na ischemické poškození oproti epikardiální lokalizaci. Hranici mezi poškozenou a zdravou tkání nelze vnímat jako ostrý předěl, spíše </w:t>
      </w:r>
      <w:r>
        <w:rPr>
          <w:sz w:val="24"/>
          <w:szCs w:val="24"/>
        </w:rPr>
        <w:t xml:space="preserve">jako „ohroženou zónu“ (Engliš – </w:t>
      </w:r>
      <w:r w:rsidRPr="00F420AA">
        <w:rPr>
          <w:sz w:val="24"/>
          <w:szCs w:val="24"/>
        </w:rPr>
        <w:t xml:space="preserve">3, strana 31, Ošťádal </w:t>
      </w:r>
      <w:r>
        <w:rPr>
          <w:sz w:val="24"/>
          <w:szCs w:val="24"/>
        </w:rPr>
        <w:t xml:space="preserve">– </w:t>
      </w:r>
      <w:r w:rsidRPr="00F420AA">
        <w:rPr>
          <w:sz w:val="24"/>
          <w:szCs w:val="24"/>
        </w:rPr>
        <w:t>9)</w:t>
      </w:r>
      <w:r>
        <w:rPr>
          <w:sz w:val="24"/>
          <w:szCs w:val="24"/>
        </w:rPr>
        <w:t xml:space="preserve">. </w:t>
      </w:r>
      <w:r w:rsidRPr="00F420AA">
        <w:rPr>
          <w:sz w:val="24"/>
          <w:szCs w:val="24"/>
        </w:rPr>
        <w:t>Uvolňování troponinu z nekrotické tkáně tak probíhá v řádu hodin až</w:t>
      </w:r>
      <w:r>
        <w:rPr>
          <w:sz w:val="24"/>
          <w:szCs w:val="24"/>
        </w:rPr>
        <w:t xml:space="preserve"> dnů</w:t>
      </w:r>
      <w:r w:rsidRPr="00F420AA">
        <w:rPr>
          <w:sz w:val="24"/>
          <w:szCs w:val="24"/>
        </w:rPr>
        <w:t>, samotné uvolňování troponinu po ischemickém insultu začíná za 1-2 hodiny, laboratorně je spolehlivě detekovatelné za 4 hodiny. V klinické praxi se doporučuje opakovaný odběr za 6-9 hodin (10)</w:t>
      </w:r>
      <w:r>
        <w:rPr>
          <w:sz w:val="24"/>
          <w:szCs w:val="24"/>
        </w:rPr>
        <w:t>, při diagnostickýc</w:t>
      </w:r>
      <w:r w:rsidR="00FB5F99">
        <w:rPr>
          <w:sz w:val="24"/>
          <w:szCs w:val="24"/>
        </w:rPr>
        <w:t xml:space="preserve">h rozpacích již za </w:t>
      </w:r>
      <w:r w:rsidR="00FB5F99">
        <w:rPr>
          <w:sz w:val="24"/>
          <w:szCs w:val="24"/>
        </w:rPr>
        <w:br/>
        <w:t>3 hodiny (11</w:t>
      </w:r>
      <w:r>
        <w:rPr>
          <w:sz w:val="24"/>
          <w:szCs w:val="24"/>
        </w:rPr>
        <w:t>)</w:t>
      </w:r>
      <w:r w:rsidRPr="00F420AA">
        <w:rPr>
          <w:sz w:val="24"/>
          <w:szCs w:val="24"/>
        </w:rPr>
        <w:t>.</w:t>
      </w:r>
    </w:p>
    <w:p w:rsidR="006C1917" w:rsidRPr="00F420AA" w:rsidRDefault="006C1917" w:rsidP="009D34D9">
      <w:pPr>
        <w:spacing w:line="360" w:lineRule="auto"/>
        <w:jc w:val="both"/>
        <w:rPr>
          <w:sz w:val="24"/>
          <w:szCs w:val="24"/>
        </w:rPr>
      </w:pPr>
      <w:r w:rsidRPr="00F420AA">
        <w:rPr>
          <w:sz w:val="24"/>
          <w:szCs w:val="24"/>
        </w:rPr>
        <w:t xml:space="preserve">Sama ischémie spouští také apoptotickou kaskádu (3, strana 45) a samotná apoptotická tělíska také obsahují detekabilní fragmenty </w:t>
      </w:r>
      <w:r w:rsidR="00FB5F99">
        <w:rPr>
          <w:sz w:val="24"/>
          <w:szCs w:val="24"/>
        </w:rPr>
        <w:t>troponinu (12</w:t>
      </w:r>
      <w:r w:rsidRPr="00F420AA">
        <w:rPr>
          <w:sz w:val="24"/>
          <w:szCs w:val="24"/>
        </w:rPr>
        <w:t>).</w:t>
      </w:r>
    </w:p>
    <w:p w:rsidR="006C1917" w:rsidRPr="00F420AA" w:rsidRDefault="006C1917" w:rsidP="009D34D9">
      <w:pPr>
        <w:spacing w:line="360" w:lineRule="auto"/>
        <w:jc w:val="both"/>
        <w:rPr>
          <w:sz w:val="24"/>
          <w:szCs w:val="24"/>
        </w:rPr>
      </w:pPr>
      <w:r w:rsidRPr="00F420AA">
        <w:rPr>
          <w:sz w:val="24"/>
          <w:szCs w:val="24"/>
        </w:rPr>
        <w:lastRenderedPageBreak/>
        <w:t>Dalším způspbem je uvolnění fragmentů troponi</w:t>
      </w:r>
      <w:r w:rsidR="00FB5F99">
        <w:rPr>
          <w:sz w:val="24"/>
          <w:szCs w:val="24"/>
        </w:rPr>
        <w:t>nů v tzv. „myocardial blebs“ (13,14</w:t>
      </w:r>
      <w:r w:rsidRPr="00F420AA">
        <w:rPr>
          <w:sz w:val="24"/>
          <w:szCs w:val="24"/>
        </w:rPr>
        <w:t>). Myocardial blebs jsou výchlipkami sarkolemy, které utvoří váčky</w:t>
      </w:r>
      <w:r>
        <w:rPr>
          <w:sz w:val="24"/>
          <w:szCs w:val="24"/>
        </w:rPr>
        <w:t>,</w:t>
      </w:r>
      <w:r w:rsidRPr="00F420AA">
        <w:rPr>
          <w:sz w:val="24"/>
          <w:szCs w:val="24"/>
        </w:rPr>
        <w:t xml:space="preserve"> v kterých jsou fragmenty</w:t>
      </w:r>
      <w:r>
        <w:rPr>
          <w:sz w:val="24"/>
          <w:szCs w:val="24"/>
        </w:rPr>
        <w:t xml:space="preserve"> troponinu také detekovatelné. </w:t>
      </w:r>
      <w:r w:rsidRPr="00F420AA">
        <w:rPr>
          <w:sz w:val="24"/>
          <w:szCs w:val="24"/>
        </w:rPr>
        <w:t xml:space="preserve">Ischemické poškození myokardu je jedním ze stimulů spouštějících </w:t>
      </w:r>
      <w:r w:rsidR="00FB5F99">
        <w:rPr>
          <w:sz w:val="24"/>
          <w:szCs w:val="24"/>
        </w:rPr>
        <w:t>formaci myokardiálních blebs (15</w:t>
      </w:r>
      <w:r w:rsidRPr="00F420AA">
        <w:rPr>
          <w:sz w:val="24"/>
          <w:szCs w:val="24"/>
        </w:rPr>
        <w:t>)</w:t>
      </w:r>
      <w:r w:rsidR="00534B4A">
        <w:rPr>
          <w:sz w:val="24"/>
          <w:szCs w:val="24"/>
        </w:rPr>
        <w:t>.</w:t>
      </w:r>
    </w:p>
    <w:p w:rsidR="006C1917" w:rsidRPr="00F420AA" w:rsidRDefault="006C1917" w:rsidP="009D34D9">
      <w:pPr>
        <w:spacing w:line="360" w:lineRule="auto"/>
        <w:jc w:val="both"/>
        <w:rPr>
          <w:sz w:val="24"/>
          <w:szCs w:val="24"/>
        </w:rPr>
      </w:pPr>
      <w:r w:rsidRPr="00F420AA">
        <w:rPr>
          <w:sz w:val="24"/>
          <w:szCs w:val="24"/>
        </w:rPr>
        <w:t xml:space="preserve">K tvorbě myokardiálních blebs dochází při poškození </w:t>
      </w:r>
      <w:r>
        <w:rPr>
          <w:sz w:val="24"/>
          <w:szCs w:val="24"/>
        </w:rPr>
        <w:t xml:space="preserve">kardiomyocytu v oblasti Z linie. Při </w:t>
      </w:r>
      <w:r w:rsidRPr="00F420AA">
        <w:rPr>
          <w:sz w:val="24"/>
          <w:szCs w:val="24"/>
        </w:rPr>
        <w:t>tvorbě myokardiálních blebs nemusí nutně dojít k buněčné smrti. O tom, zda detekabilní troponin v séru automaticky znamená ztrátu myokardiální masy či nikoliv se vedou spory.</w:t>
      </w:r>
      <w:r>
        <w:rPr>
          <w:sz w:val="24"/>
          <w:szCs w:val="24"/>
        </w:rPr>
        <w:t xml:space="preserve"> (</w:t>
      </w:r>
      <w:r w:rsidRPr="00F420AA">
        <w:rPr>
          <w:sz w:val="24"/>
          <w:szCs w:val="24"/>
        </w:rPr>
        <w:t xml:space="preserve">Engliš </w:t>
      </w:r>
      <w:r>
        <w:rPr>
          <w:sz w:val="24"/>
          <w:szCs w:val="24"/>
        </w:rPr>
        <w:t xml:space="preserve">– </w:t>
      </w:r>
      <w:r w:rsidRPr="00F420AA">
        <w:rPr>
          <w:sz w:val="24"/>
          <w:szCs w:val="24"/>
        </w:rPr>
        <w:t xml:space="preserve">3, La Gerche </w:t>
      </w:r>
      <w:r>
        <w:rPr>
          <w:sz w:val="24"/>
          <w:szCs w:val="24"/>
        </w:rPr>
        <w:t xml:space="preserve">– </w:t>
      </w:r>
      <w:r w:rsidR="00887039">
        <w:rPr>
          <w:sz w:val="24"/>
          <w:szCs w:val="24"/>
        </w:rPr>
        <w:t>16</w:t>
      </w:r>
      <w:r w:rsidRPr="00F420AA">
        <w:rPr>
          <w:sz w:val="24"/>
          <w:szCs w:val="24"/>
        </w:rPr>
        <w:t>, Chen</w:t>
      </w:r>
      <w:r>
        <w:rPr>
          <w:sz w:val="24"/>
          <w:szCs w:val="24"/>
        </w:rPr>
        <w:t xml:space="preserve"> – </w:t>
      </w:r>
      <w:r w:rsidR="00887039">
        <w:rPr>
          <w:sz w:val="24"/>
          <w:szCs w:val="24"/>
        </w:rPr>
        <w:t>17</w:t>
      </w:r>
      <w:r w:rsidRPr="00F420AA">
        <w:rPr>
          <w:sz w:val="24"/>
          <w:szCs w:val="24"/>
        </w:rPr>
        <w:t>).</w:t>
      </w:r>
      <w:r>
        <w:rPr>
          <w:sz w:val="24"/>
          <w:szCs w:val="24"/>
        </w:rPr>
        <w:t xml:space="preserve"> Protože při uvolnění </w:t>
      </w:r>
      <w:r w:rsidRPr="00F420AA">
        <w:rPr>
          <w:sz w:val="24"/>
          <w:szCs w:val="24"/>
        </w:rPr>
        <w:t>výše popsaných váčků (blebs) zůstává patrně kardiomyocyt nadále funkční.</w:t>
      </w:r>
    </w:p>
    <w:p w:rsidR="006C1917" w:rsidRPr="009D34D9" w:rsidRDefault="006C1917" w:rsidP="009D34D9">
      <w:pPr>
        <w:pStyle w:val="Nadpis3"/>
        <w:rPr>
          <w:lang w:eastAsia="ar-SA"/>
        </w:rPr>
      </w:pPr>
      <w:bookmarkStart w:id="21" w:name="_Toc422993232"/>
      <w:r w:rsidRPr="009D34D9">
        <w:rPr>
          <w:lang w:eastAsia="ar-SA"/>
        </w:rPr>
        <w:t>Možné mechanismy neischemického poškození myokardu</w:t>
      </w:r>
      <w:bookmarkEnd w:id="21"/>
    </w:p>
    <w:p w:rsidR="006C1917" w:rsidRPr="00F420AA" w:rsidRDefault="006C1917" w:rsidP="009D34D9">
      <w:pPr>
        <w:spacing w:line="360" w:lineRule="auto"/>
        <w:jc w:val="both"/>
        <w:rPr>
          <w:sz w:val="24"/>
          <w:szCs w:val="24"/>
        </w:rPr>
      </w:pPr>
      <w:r>
        <w:rPr>
          <w:sz w:val="24"/>
          <w:szCs w:val="24"/>
        </w:rPr>
        <w:t xml:space="preserve">Při ischemickém poškození </w:t>
      </w:r>
      <w:r w:rsidRPr="00F420AA">
        <w:rPr>
          <w:sz w:val="24"/>
          <w:szCs w:val="24"/>
        </w:rPr>
        <w:t xml:space="preserve">myokardu je významně akcentován nejen nedostatek kyslíku v tkáni, ale zejména vázne odvod toxických </w:t>
      </w:r>
      <w:r>
        <w:rPr>
          <w:sz w:val="24"/>
          <w:szCs w:val="24"/>
        </w:rPr>
        <w:t xml:space="preserve">metabolitů z postižené oblasti </w:t>
      </w:r>
      <w:r w:rsidRPr="00F420AA">
        <w:rPr>
          <w:sz w:val="24"/>
          <w:szCs w:val="24"/>
        </w:rPr>
        <w:t>(2). Oproti tomu je nepochybně myokard poškozován i při pouhé hypoxémii – pacienti s CHOPN, nemocní s paroxysmy tachykardie, kdy dochází k výraznému zkrácení diastoly a k horšímu plnění koronárních tepen. Tento mechanismus je přítomen u tzv. „infarktu 2.</w:t>
      </w:r>
      <w:r>
        <w:rPr>
          <w:sz w:val="24"/>
          <w:szCs w:val="24"/>
        </w:rPr>
        <w:t xml:space="preserve"> </w:t>
      </w:r>
      <w:r w:rsidRPr="00F420AA">
        <w:rPr>
          <w:sz w:val="24"/>
          <w:szCs w:val="24"/>
        </w:rPr>
        <w:t>typu“ podle Třetí univerzální definice infarktu myokardu z roku 2012 jak ho definuje Evropská kardiologická společnost (18). Tato poměrně kontroverzní definice je dosud předmětem četných diskuzí odborné kardiologické veřejno</w:t>
      </w:r>
      <w:r>
        <w:rPr>
          <w:sz w:val="24"/>
          <w:szCs w:val="24"/>
        </w:rPr>
        <w:t xml:space="preserve">sti.  Samo označení infarkt je </w:t>
      </w:r>
      <w:r w:rsidRPr="00F420AA">
        <w:rPr>
          <w:sz w:val="24"/>
          <w:szCs w:val="24"/>
        </w:rPr>
        <w:t>v tomto konkrétním případě značně zavádějící, protože tím</w:t>
      </w:r>
      <w:r>
        <w:rPr>
          <w:sz w:val="24"/>
          <w:szCs w:val="24"/>
        </w:rPr>
        <w:t xml:space="preserve"> z patofyziologického hlediska </w:t>
      </w:r>
      <w:r w:rsidRPr="00F420AA">
        <w:rPr>
          <w:sz w:val="24"/>
          <w:szCs w:val="24"/>
        </w:rPr>
        <w:t>rozumíme koagulační nekrózu na podkladě aterotrombózy nasedající na nestabilní koronární plát. Nic z této definice situace při infarktu 2.</w:t>
      </w:r>
      <w:r>
        <w:rPr>
          <w:sz w:val="24"/>
          <w:szCs w:val="24"/>
        </w:rPr>
        <w:t xml:space="preserve"> </w:t>
      </w:r>
      <w:r w:rsidRPr="00F420AA">
        <w:rPr>
          <w:sz w:val="24"/>
          <w:szCs w:val="24"/>
        </w:rPr>
        <w:t xml:space="preserve">typu nesplňuje. </w:t>
      </w:r>
    </w:p>
    <w:p w:rsidR="006C1917" w:rsidRPr="00F420AA" w:rsidRDefault="006C1917" w:rsidP="002A5827">
      <w:pPr>
        <w:spacing w:line="360" w:lineRule="auto"/>
        <w:jc w:val="both"/>
        <w:rPr>
          <w:sz w:val="24"/>
          <w:szCs w:val="24"/>
        </w:rPr>
      </w:pPr>
      <w:r w:rsidRPr="00F420AA">
        <w:rPr>
          <w:sz w:val="24"/>
          <w:szCs w:val="24"/>
        </w:rPr>
        <w:t>Dalším mechanismem je dilatace srdečních oddílů ať již při selhání levé komory (19), nebo při přetížení pravé komory (20,21,22</w:t>
      </w:r>
      <w:r>
        <w:rPr>
          <w:sz w:val="24"/>
          <w:szCs w:val="24"/>
        </w:rPr>
        <w:t xml:space="preserve">). Dále </w:t>
      </w:r>
      <w:r w:rsidRPr="00F420AA">
        <w:rPr>
          <w:sz w:val="24"/>
          <w:szCs w:val="24"/>
        </w:rPr>
        <w:t>lze ostatní mechanismy poškozování myokardu zahrnout do skupiny toxických substancí působících na myokard. Jedná se o sepsi (23</w:t>
      </w:r>
      <w:r>
        <w:rPr>
          <w:sz w:val="24"/>
          <w:szCs w:val="24"/>
        </w:rPr>
        <w:t>–</w:t>
      </w:r>
      <w:r w:rsidRPr="00F420AA">
        <w:rPr>
          <w:sz w:val="24"/>
          <w:szCs w:val="24"/>
        </w:rPr>
        <w:t xml:space="preserve">30) </w:t>
      </w:r>
      <w:r>
        <w:rPr>
          <w:sz w:val="24"/>
          <w:szCs w:val="24"/>
        </w:rPr>
        <w:br/>
      </w:r>
      <w:r w:rsidRPr="00F420AA">
        <w:rPr>
          <w:sz w:val="24"/>
          <w:szCs w:val="24"/>
        </w:rPr>
        <w:t>a přímý toxický vliv metabolitů a dále TNF alfa a interleukinu 6. Poškození myokardu nadměrnou zátěží vlastních katech</w:t>
      </w:r>
      <w:r>
        <w:rPr>
          <w:sz w:val="24"/>
          <w:szCs w:val="24"/>
        </w:rPr>
        <w:t xml:space="preserve">olaminů je detailně popsáno u </w:t>
      </w:r>
      <w:r w:rsidRPr="00F420AA">
        <w:rPr>
          <w:sz w:val="24"/>
          <w:szCs w:val="24"/>
        </w:rPr>
        <w:t>CMP (31</w:t>
      </w:r>
      <w:r>
        <w:rPr>
          <w:sz w:val="24"/>
          <w:szCs w:val="24"/>
        </w:rPr>
        <w:t>–</w:t>
      </w:r>
      <w:r w:rsidRPr="00F420AA">
        <w:rPr>
          <w:sz w:val="24"/>
          <w:szCs w:val="24"/>
        </w:rPr>
        <w:t xml:space="preserve">33) a dále </w:t>
      </w:r>
      <w:r>
        <w:rPr>
          <w:sz w:val="24"/>
          <w:szCs w:val="24"/>
        </w:rPr>
        <w:br/>
      </w:r>
      <w:r w:rsidRPr="00F420AA">
        <w:rPr>
          <w:sz w:val="24"/>
          <w:szCs w:val="24"/>
        </w:rPr>
        <w:t>u Takotsubo kardiomyopatie (34), nebo renální insuficience (35</w:t>
      </w:r>
      <w:r>
        <w:rPr>
          <w:sz w:val="24"/>
          <w:szCs w:val="24"/>
        </w:rPr>
        <w:t>–</w:t>
      </w:r>
      <w:r w:rsidRPr="00F420AA">
        <w:rPr>
          <w:sz w:val="24"/>
          <w:szCs w:val="24"/>
        </w:rPr>
        <w:t xml:space="preserve">38). Obecně jde opět buď </w:t>
      </w:r>
      <w:r>
        <w:rPr>
          <w:sz w:val="24"/>
          <w:szCs w:val="24"/>
        </w:rPr>
        <w:br/>
      </w:r>
      <w:r w:rsidRPr="00F420AA">
        <w:rPr>
          <w:sz w:val="24"/>
          <w:szCs w:val="24"/>
        </w:rPr>
        <w:t xml:space="preserve">o poruchu integrity buněčné stěny s následnou totální destrukcí kardiomyocytu nebo pouze o částečné </w:t>
      </w:r>
      <w:r>
        <w:rPr>
          <w:sz w:val="24"/>
          <w:szCs w:val="24"/>
        </w:rPr>
        <w:t xml:space="preserve">poškození sarkolemy například u </w:t>
      </w:r>
      <w:r w:rsidRPr="00F420AA">
        <w:rPr>
          <w:sz w:val="24"/>
          <w:szCs w:val="24"/>
        </w:rPr>
        <w:t xml:space="preserve">septických nemocných, kde byla popsána zvýšená permeabilita sarkolemální membrány s možností úniku troponinových fragmentů </w:t>
      </w:r>
      <w:r w:rsidRPr="00F420AA">
        <w:rPr>
          <w:sz w:val="24"/>
          <w:szCs w:val="24"/>
        </w:rPr>
        <w:lastRenderedPageBreak/>
        <w:t>transmemb</w:t>
      </w:r>
      <w:r w:rsidR="00BB5F5B">
        <w:rPr>
          <w:sz w:val="24"/>
          <w:szCs w:val="24"/>
        </w:rPr>
        <w:t xml:space="preserve">ranozně </w:t>
      </w:r>
      <w:r w:rsidRPr="00F420AA">
        <w:rPr>
          <w:sz w:val="24"/>
          <w:szCs w:val="24"/>
        </w:rPr>
        <w:t xml:space="preserve">(Favory </w:t>
      </w:r>
      <w:r>
        <w:rPr>
          <w:sz w:val="24"/>
          <w:szCs w:val="24"/>
        </w:rPr>
        <w:t xml:space="preserve">– </w:t>
      </w:r>
      <w:r w:rsidRPr="00F420AA">
        <w:rPr>
          <w:sz w:val="24"/>
          <w:szCs w:val="24"/>
        </w:rPr>
        <w:t>39). Dalším kontroverzním tématem je poškození myokardu kard</w:t>
      </w:r>
      <w:r>
        <w:rPr>
          <w:sz w:val="24"/>
          <w:szCs w:val="24"/>
        </w:rPr>
        <w:t xml:space="preserve">iotoxickou chemoterapií. Rozvoj </w:t>
      </w:r>
      <w:r w:rsidRPr="00F420AA">
        <w:rPr>
          <w:sz w:val="24"/>
          <w:szCs w:val="24"/>
        </w:rPr>
        <w:t>dysfunkce levé komory je znám fenomenem doprovázejícím léčbu zejména  antracyklinovými deriváty, nález pozitivity troponinu je spíše pozdní, někteří autoři po podávání atracyklinů dokonce elevaci troponinu nepopisují</w:t>
      </w:r>
      <w:r w:rsidR="00797C57">
        <w:rPr>
          <w:sz w:val="24"/>
          <w:szCs w:val="24"/>
        </w:rPr>
        <w:t xml:space="preserve"> (40)</w:t>
      </w:r>
      <w:r w:rsidRPr="00F420AA">
        <w:rPr>
          <w:sz w:val="24"/>
          <w:szCs w:val="24"/>
        </w:rPr>
        <w:t>. Odběr troponinu před podáním kardiotoxické chemoterapie je ale standardem. Zejména u dětské populace je popsána elevace troponinu již před zahájením léčby, což je vysvětlováno maligní infiltrací srdce (</w:t>
      </w:r>
      <w:proofErr w:type="gramStart"/>
      <w:r w:rsidRPr="00F420AA">
        <w:rPr>
          <w:sz w:val="24"/>
          <w:szCs w:val="24"/>
        </w:rPr>
        <w:t>lymfomy)</w:t>
      </w:r>
      <w:r w:rsidR="002B728C">
        <w:rPr>
          <w:sz w:val="24"/>
          <w:szCs w:val="24"/>
        </w:rPr>
        <w:t xml:space="preserve"> (</w:t>
      </w:r>
      <w:r w:rsidR="007F25E1">
        <w:rPr>
          <w:sz w:val="24"/>
          <w:szCs w:val="24"/>
        </w:rPr>
        <w:t>ref</w:t>
      </w:r>
      <w:proofErr w:type="gramEnd"/>
      <w:r w:rsidR="007F25E1">
        <w:rPr>
          <w:sz w:val="24"/>
          <w:szCs w:val="24"/>
        </w:rPr>
        <w:t xml:space="preserve">. </w:t>
      </w:r>
      <w:r w:rsidR="002B728C">
        <w:rPr>
          <w:sz w:val="24"/>
          <w:szCs w:val="24"/>
        </w:rPr>
        <w:t>41)</w:t>
      </w:r>
      <w:r w:rsidRPr="00F420AA">
        <w:rPr>
          <w:sz w:val="24"/>
          <w:szCs w:val="24"/>
        </w:rPr>
        <w:t xml:space="preserve">.  </w:t>
      </w:r>
    </w:p>
    <w:p w:rsidR="006C1917" w:rsidRPr="00F420AA" w:rsidRDefault="006C1917" w:rsidP="002A5827">
      <w:pPr>
        <w:spacing w:line="360" w:lineRule="auto"/>
        <w:jc w:val="both"/>
        <w:rPr>
          <w:sz w:val="24"/>
          <w:szCs w:val="24"/>
        </w:rPr>
      </w:pPr>
      <w:r w:rsidRPr="00F420AA">
        <w:rPr>
          <w:sz w:val="24"/>
          <w:szCs w:val="24"/>
        </w:rPr>
        <w:t xml:space="preserve">Konečně přichází také v úvahu prosté mechanické poškození myokardu ať již při tupém či ostrém poranění srdce (bodnutí), případně iatrogenní poškození při zavádění kardiostimulačních přístrojů, všechny tyto situace rovněž působí drobné srdeční poranění </w:t>
      </w:r>
      <w:r>
        <w:rPr>
          <w:sz w:val="24"/>
          <w:szCs w:val="24"/>
        </w:rPr>
        <w:br/>
      </w:r>
      <w:r w:rsidRPr="00F420AA">
        <w:rPr>
          <w:sz w:val="24"/>
          <w:szCs w:val="24"/>
        </w:rPr>
        <w:t xml:space="preserve">a odrazí se v elevaci troponinu v séru. Ať již je mechanismus poškození myokardu jakýkoliv, zpravidla k odúmrti části myokardu dochází. </w:t>
      </w:r>
    </w:p>
    <w:p w:rsidR="006C1917" w:rsidRPr="00F420AA" w:rsidRDefault="006C1917" w:rsidP="00C378FA">
      <w:pPr>
        <w:spacing w:line="360" w:lineRule="auto"/>
        <w:jc w:val="both"/>
        <w:rPr>
          <w:sz w:val="24"/>
          <w:szCs w:val="24"/>
        </w:rPr>
      </w:pPr>
      <w:r w:rsidRPr="00F420AA">
        <w:rPr>
          <w:sz w:val="24"/>
          <w:szCs w:val="24"/>
        </w:rPr>
        <w:t>Tyto mechan</w:t>
      </w:r>
      <w:r>
        <w:rPr>
          <w:sz w:val="24"/>
          <w:szCs w:val="24"/>
        </w:rPr>
        <w:t xml:space="preserve">ismy uvolnění </w:t>
      </w:r>
      <w:r w:rsidRPr="00F420AA">
        <w:rPr>
          <w:sz w:val="24"/>
          <w:szCs w:val="24"/>
        </w:rPr>
        <w:t>molekuly připadně fragmentů troponinu z kardiomyocytu způsobují nález detekabilního troponinu v séru i u jiných onemocnění než čistě ischemick</w:t>
      </w:r>
      <w:r>
        <w:rPr>
          <w:sz w:val="24"/>
          <w:szCs w:val="24"/>
        </w:rPr>
        <w:t xml:space="preserve">ého postižení srdečního svalu. Velice často jde </w:t>
      </w:r>
      <w:r w:rsidRPr="00F420AA">
        <w:rPr>
          <w:sz w:val="24"/>
          <w:szCs w:val="24"/>
        </w:rPr>
        <w:t>o ji</w:t>
      </w:r>
      <w:r>
        <w:rPr>
          <w:sz w:val="24"/>
          <w:szCs w:val="24"/>
        </w:rPr>
        <w:t xml:space="preserve">ž výše zmíněnou </w:t>
      </w:r>
      <w:r w:rsidRPr="00F420AA">
        <w:rPr>
          <w:sz w:val="24"/>
          <w:szCs w:val="24"/>
        </w:rPr>
        <w:t>sepsi. Starší pacienti přijímaní do nemocnice s atypickými obtížemi vykazují pozitivitu troponinu a jsou č</w:t>
      </w:r>
      <w:r>
        <w:rPr>
          <w:sz w:val="24"/>
          <w:szCs w:val="24"/>
        </w:rPr>
        <w:t xml:space="preserve">asto chybně klasifikováni jako </w:t>
      </w:r>
      <w:r w:rsidRPr="00F420AA">
        <w:rPr>
          <w:sz w:val="24"/>
          <w:szCs w:val="24"/>
        </w:rPr>
        <w:t>nemocní s akutním koronárním syndromem a mohou být i chybně léčeni.</w:t>
      </w:r>
    </w:p>
    <w:p w:rsidR="006C1917" w:rsidRDefault="006C1917">
      <w:pPr>
        <w:spacing w:after="0" w:line="240" w:lineRule="auto"/>
        <w:rPr>
          <w:b/>
          <w:sz w:val="28"/>
          <w:szCs w:val="28"/>
        </w:rPr>
      </w:pPr>
      <w:r>
        <w:rPr>
          <w:b/>
          <w:sz w:val="28"/>
          <w:szCs w:val="28"/>
        </w:rPr>
        <w:br w:type="page"/>
      </w:r>
    </w:p>
    <w:p w:rsidR="006C1917" w:rsidRPr="00C378FA" w:rsidRDefault="006C1917" w:rsidP="00C378FA">
      <w:pPr>
        <w:pStyle w:val="Nadpis1"/>
      </w:pPr>
      <w:bookmarkStart w:id="22" w:name="_Toc422993233"/>
      <w:r w:rsidRPr="00C378FA">
        <w:lastRenderedPageBreak/>
        <w:t>Detekce troponinu v</w:t>
      </w:r>
      <w:r>
        <w:t> </w:t>
      </w:r>
      <w:r w:rsidRPr="00C378FA">
        <w:t>séru</w:t>
      </w:r>
      <w:bookmarkEnd w:id="22"/>
      <w:r>
        <w:br/>
      </w:r>
    </w:p>
    <w:p w:rsidR="006C1917" w:rsidRPr="00C378FA" w:rsidRDefault="006C1917" w:rsidP="00C378FA">
      <w:pPr>
        <w:pStyle w:val="Nadpis2"/>
        <w:ind w:left="578" w:hanging="578"/>
      </w:pPr>
      <w:bookmarkStart w:id="23" w:name="_Toc422993234"/>
      <w:r w:rsidRPr="00C378FA">
        <w:t>Preanalytická fáze detekce troponinů v séru</w:t>
      </w:r>
      <w:bookmarkEnd w:id="23"/>
    </w:p>
    <w:p w:rsidR="006C1917" w:rsidRPr="00F420AA" w:rsidRDefault="006C1917" w:rsidP="002A5827">
      <w:pPr>
        <w:spacing w:line="360" w:lineRule="auto"/>
        <w:jc w:val="both"/>
        <w:rPr>
          <w:sz w:val="24"/>
          <w:szCs w:val="24"/>
        </w:rPr>
      </w:pPr>
      <w:r w:rsidRPr="00F420AA">
        <w:rPr>
          <w:sz w:val="24"/>
          <w:szCs w:val="24"/>
        </w:rPr>
        <w:t>V současné době</w:t>
      </w:r>
      <w:r>
        <w:rPr>
          <w:sz w:val="24"/>
          <w:szCs w:val="24"/>
        </w:rPr>
        <w:t xml:space="preserve"> existuje v České republice 11 </w:t>
      </w:r>
      <w:r w:rsidRPr="00F420AA">
        <w:rPr>
          <w:sz w:val="24"/>
          <w:szCs w:val="24"/>
        </w:rPr>
        <w:t>standardně používaných diagnostických setů k diagnostice srdečních troponinů. 9 je používáno pro stanovení troponinu I a pouze 2 pro troponin T, v podstatě jde pouze o modifikaci 1 setu pro troponin T firmy Roche</w:t>
      </w:r>
      <w:r w:rsidRPr="00F420AA">
        <w:rPr>
          <w:rFonts w:ascii="Times New Roman" w:hAnsi="Times New Roman"/>
          <w:sz w:val="24"/>
          <w:szCs w:val="24"/>
        </w:rPr>
        <w:t>©</w:t>
      </w:r>
      <w:r w:rsidRPr="00F420AA">
        <w:rPr>
          <w:sz w:val="24"/>
          <w:szCs w:val="24"/>
        </w:rPr>
        <w:t>.</w:t>
      </w:r>
    </w:p>
    <w:p w:rsidR="006C1917" w:rsidRPr="00F420AA" w:rsidRDefault="006C1917" w:rsidP="002A5827">
      <w:pPr>
        <w:spacing w:line="360" w:lineRule="auto"/>
        <w:jc w:val="both"/>
        <w:rPr>
          <w:sz w:val="24"/>
          <w:szCs w:val="24"/>
        </w:rPr>
      </w:pPr>
      <w:r w:rsidRPr="00F420AA">
        <w:rPr>
          <w:sz w:val="24"/>
          <w:szCs w:val="24"/>
        </w:rPr>
        <w:t>Komerčně dodávané soupravy ke stanovení troponinu jsou založeny na principu heterogenních imunoesejí. Pro správné stanovení hodnot musí bý</w:t>
      </w:r>
      <w:r>
        <w:rPr>
          <w:sz w:val="24"/>
          <w:szCs w:val="24"/>
        </w:rPr>
        <w:t xml:space="preserve">t dodržen preanalytický postup. </w:t>
      </w:r>
      <w:r w:rsidRPr="00F420AA">
        <w:rPr>
          <w:sz w:val="24"/>
          <w:szCs w:val="24"/>
        </w:rPr>
        <w:t xml:space="preserve">Odběr by měl být prováděn za pomoci standardních vakuových pomůcek </w:t>
      </w:r>
      <w:r>
        <w:rPr>
          <w:sz w:val="24"/>
          <w:szCs w:val="24"/>
        </w:rPr>
        <w:br/>
      </w:r>
      <w:r w:rsidRPr="00F420AA">
        <w:rPr>
          <w:sz w:val="24"/>
          <w:szCs w:val="24"/>
        </w:rPr>
        <w:t>(např.</w:t>
      </w:r>
      <w:r>
        <w:rPr>
          <w:sz w:val="24"/>
          <w:szCs w:val="24"/>
        </w:rPr>
        <w:t xml:space="preserve"> </w:t>
      </w:r>
      <w:r w:rsidRPr="00F420AA">
        <w:rPr>
          <w:sz w:val="24"/>
          <w:szCs w:val="24"/>
        </w:rPr>
        <w:t>systém Vacutainer firmy Becton, Dickinson and Company</w:t>
      </w:r>
      <w:r w:rsidRPr="00F420AA">
        <w:rPr>
          <w:rFonts w:ascii="Times New Roman" w:hAnsi="Times New Roman"/>
          <w:sz w:val="24"/>
          <w:szCs w:val="24"/>
        </w:rPr>
        <w:t>©</w:t>
      </w:r>
      <w:r w:rsidRPr="00F420AA">
        <w:rPr>
          <w:sz w:val="24"/>
          <w:szCs w:val="24"/>
        </w:rPr>
        <w:t>). Při odběru není důležité lačnění, optimální je dobrá hydratace pacienta, která minimalizuje riziko hemolýzy vzorku</w:t>
      </w:r>
      <w:r>
        <w:rPr>
          <w:sz w:val="24"/>
          <w:szCs w:val="24"/>
        </w:rPr>
        <w:t>,</w:t>
      </w:r>
      <w:r w:rsidRPr="00F420AA">
        <w:rPr>
          <w:sz w:val="24"/>
          <w:szCs w:val="24"/>
        </w:rPr>
        <w:t xml:space="preserve"> při které se další analýza nedoporučuje</w:t>
      </w:r>
      <w:r>
        <w:rPr>
          <w:sz w:val="24"/>
          <w:szCs w:val="24"/>
        </w:rPr>
        <w:t xml:space="preserve"> </w:t>
      </w:r>
      <w:r w:rsidRPr="00F420AA">
        <w:rPr>
          <w:sz w:val="24"/>
          <w:szCs w:val="24"/>
        </w:rPr>
        <w:t xml:space="preserve">(3).  Samotný odběr je prováděn do zkumavek K3DTA při standardním zaškrcení paže škrtidlem o šíři minimálně 2 cm. Krev je jehlou odebrána optimálně z kubitální žíly. Vzorek je buď okamžitě transportován do laboratoře k centrifugaci a následné analýze, nebo je hluboce zmrazen na -20°C po dobu </w:t>
      </w:r>
      <w:r w:rsidR="007F25E1">
        <w:rPr>
          <w:sz w:val="24"/>
          <w:szCs w:val="24"/>
        </w:rPr>
        <w:t xml:space="preserve">max. </w:t>
      </w:r>
      <w:r w:rsidRPr="00F420AA">
        <w:rPr>
          <w:sz w:val="24"/>
          <w:szCs w:val="24"/>
        </w:rPr>
        <w:t>1 roku. Při rozmrazení se nedoporučuje</w:t>
      </w:r>
      <w:r w:rsidR="002B728C">
        <w:rPr>
          <w:sz w:val="24"/>
          <w:szCs w:val="24"/>
        </w:rPr>
        <w:t xml:space="preserve"> opětovné zamražování vzorku (42</w:t>
      </w:r>
      <w:r w:rsidRPr="00F420AA">
        <w:rPr>
          <w:sz w:val="24"/>
          <w:szCs w:val="24"/>
        </w:rPr>
        <w:t>).</w:t>
      </w:r>
    </w:p>
    <w:p w:rsidR="006C1917" w:rsidRPr="00C378FA" w:rsidRDefault="006C1917" w:rsidP="00C378FA">
      <w:pPr>
        <w:pStyle w:val="Nadpis2"/>
        <w:ind w:left="578" w:hanging="578"/>
      </w:pPr>
      <w:bookmarkStart w:id="24" w:name="_Toc422993235"/>
      <w:r w:rsidRPr="00C378FA">
        <w:t>Princip stanovení hladiny troponinu v séru</w:t>
      </w:r>
      <w:bookmarkEnd w:id="24"/>
      <w:r w:rsidRPr="00C378FA">
        <w:t xml:space="preserve"> </w:t>
      </w:r>
    </w:p>
    <w:p w:rsidR="006C1917" w:rsidRPr="00F420AA" w:rsidRDefault="006C1917" w:rsidP="002A5827">
      <w:pPr>
        <w:spacing w:line="360" w:lineRule="auto"/>
        <w:jc w:val="both"/>
        <w:rPr>
          <w:sz w:val="24"/>
          <w:szCs w:val="24"/>
        </w:rPr>
      </w:pPr>
      <w:r>
        <w:rPr>
          <w:sz w:val="24"/>
          <w:szCs w:val="24"/>
        </w:rPr>
        <w:t xml:space="preserve">Po centrifugaci </w:t>
      </w:r>
      <w:r w:rsidRPr="00F420AA">
        <w:rPr>
          <w:sz w:val="24"/>
          <w:szCs w:val="24"/>
        </w:rPr>
        <w:t>dochází nejprve k navázání analytu specifickou protilátkou</w:t>
      </w:r>
      <w:r>
        <w:rPr>
          <w:sz w:val="24"/>
          <w:szCs w:val="24"/>
        </w:rPr>
        <w:t xml:space="preserve"> na vhodný povrch (mikročástice, reagenční kyvety). Následně dochází</w:t>
      </w:r>
      <w:r w:rsidRPr="00F420AA">
        <w:rPr>
          <w:sz w:val="24"/>
          <w:szCs w:val="24"/>
        </w:rPr>
        <w:t xml:space="preserve"> k vazbě druhé protilátky, která</w:t>
      </w:r>
      <w:r>
        <w:rPr>
          <w:sz w:val="24"/>
          <w:szCs w:val="24"/>
        </w:rPr>
        <w:t xml:space="preserve"> je značená indikátorem </w:t>
      </w:r>
      <w:r w:rsidRPr="00F420AA">
        <w:rPr>
          <w:sz w:val="24"/>
          <w:szCs w:val="24"/>
        </w:rPr>
        <w:t>(chemiluminiscence, fluorescence, elektrochemiluminiscence). Použité protilátky musí být zaměřeny na minimálně dva epitopy molekuly troponinu. Bý</w:t>
      </w:r>
      <w:r>
        <w:rPr>
          <w:sz w:val="24"/>
          <w:szCs w:val="24"/>
        </w:rPr>
        <w:t>vají umístěny v centrální části</w:t>
      </w:r>
      <w:r w:rsidRPr="00F420AA">
        <w:rPr>
          <w:sz w:val="24"/>
          <w:szCs w:val="24"/>
        </w:rPr>
        <w:t xml:space="preserve"> polypeptidového řetězce troponinu, který je rezistentní vůči proteolýze.</w:t>
      </w:r>
    </w:p>
    <w:p w:rsidR="006C1917" w:rsidRPr="00F420AA" w:rsidRDefault="006C1917" w:rsidP="002A5827">
      <w:pPr>
        <w:spacing w:line="360" w:lineRule="auto"/>
        <w:jc w:val="both"/>
        <w:rPr>
          <w:sz w:val="24"/>
          <w:szCs w:val="24"/>
        </w:rPr>
      </w:pPr>
      <w:r w:rsidRPr="00F420AA">
        <w:rPr>
          <w:sz w:val="24"/>
          <w:szCs w:val="24"/>
        </w:rPr>
        <w:t xml:space="preserve">Při analýze jsou zvažovány vlivy užívané medikace, vliv použitých separačních gelů, </w:t>
      </w:r>
      <w:r>
        <w:rPr>
          <w:sz w:val="24"/>
          <w:szCs w:val="24"/>
        </w:rPr>
        <w:br/>
      </w:r>
      <w:r w:rsidRPr="00F420AA">
        <w:rPr>
          <w:sz w:val="24"/>
          <w:szCs w:val="24"/>
        </w:rPr>
        <w:t>je potřeba zohlednit přítomnost fibrinových mikrosraženin nebo lipoproteinových agregátů.</w:t>
      </w:r>
      <w:r>
        <w:rPr>
          <w:sz w:val="24"/>
          <w:szCs w:val="24"/>
        </w:rPr>
        <w:t xml:space="preserve"> </w:t>
      </w:r>
      <w:r w:rsidRPr="00F420AA">
        <w:rPr>
          <w:sz w:val="24"/>
          <w:szCs w:val="24"/>
        </w:rPr>
        <w:t>Vyšetření nelze provést u nemocných léčených medikamenty na bázi monoklonálních protilátek. Při analýze může dojít k nespecifické interferenci. Rovněž může být ovlivněna analýza sér osob s vysokou hladinou heterofilních protilátek nebo pozitivitou revmatoidního faktoru. Při stanovování hladiny troponinu je potřeba se zaměřit zej</w:t>
      </w:r>
      <w:r>
        <w:rPr>
          <w:sz w:val="24"/>
          <w:szCs w:val="24"/>
        </w:rPr>
        <w:t xml:space="preserve">ména na oblast nízkých hodnot, </w:t>
      </w:r>
      <w:r w:rsidRPr="00F420AA">
        <w:rPr>
          <w:sz w:val="24"/>
          <w:szCs w:val="24"/>
        </w:rPr>
        <w:t>protože zde je výsledek důležitý pro další klinické rozhodování (18</w:t>
      </w:r>
      <w:r>
        <w:rPr>
          <w:sz w:val="24"/>
          <w:szCs w:val="24"/>
        </w:rPr>
        <w:t>).</w:t>
      </w:r>
      <w:r w:rsidRPr="00F420AA">
        <w:rPr>
          <w:sz w:val="24"/>
          <w:szCs w:val="24"/>
        </w:rPr>
        <w:t xml:space="preserve"> V k</w:t>
      </w:r>
      <w:r w:rsidR="00887437">
        <w:rPr>
          <w:sz w:val="24"/>
          <w:szCs w:val="24"/>
        </w:rPr>
        <w:t>l</w:t>
      </w:r>
      <w:r w:rsidRPr="00F420AA">
        <w:rPr>
          <w:sz w:val="24"/>
          <w:szCs w:val="24"/>
        </w:rPr>
        <w:t xml:space="preserve">inické praxi </w:t>
      </w:r>
      <w:r w:rsidRPr="00F420AA">
        <w:rPr>
          <w:sz w:val="24"/>
          <w:szCs w:val="24"/>
        </w:rPr>
        <w:lastRenderedPageBreak/>
        <w:t>musí každá laboratoř mít definovanou mez detekce (LOD</w:t>
      </w:r>
      <w:r>
        <w:rPr>
          <w:sz w:val="24"/>
          <w:szCs w:val="24"/>
        </w:rPr>
        <w:t xml:space="preserve"> – </w:t>
      </w:r>
      <w:r w:rsidRPr="00F420AA">
        <w:rPr>
          <w:sz w:val="24"/>
          <w:szCs w:val="24"/>
        </w:rPr>
        <w:t>limit of detection)</w:t>
      </w:r>
      <w:r>
        <w:rPr>
          <w:sz w:val="24"/>
          <w:szCs w:val="24"/>
        </w:rPr>
        <w:t>,</w:t>
      </w:r>
      <w:r w:rsidRPr="00F420AA">
        <w:rPr>
          <w:sz w:val="24"/>
          <w:szCs w:val="24"/>
        </w:rPr>
        <w:t xml:space="preserve"> což je nejmenší hodnota, která je ještě zobrazena jako číslo, zjistí-li diagnostika nižší koncentraci troponinu</w:t>
      </w:r>
      <w:r>
        <w:rPr>
          <w:sz w:val="24"/>
          <w:szCs w:val="24"/>
        </w:rPr>
        <w:t>,</w:t>
      </w:r>
      <w:r w:rsidRPr="00F420AA">
        <w:rPr>
          <w:sz w:val="24"/>
          <w:szCs w:val="24"/>
        </w:rPr>
        <w:t xml:space="preserve"> není jeho číselné vyjádření validní a je potřeba uvést, že vzorek je pod limitem detekce. Základní jednotkou pro stanov</w:t>
      </w:r>
      <w:r>
        <w:rPr>
          <w:sz w:val="24"/>
          <w:szCs w:val="24"/>
        </w:rPr>
        <w:t>ování hodnot troponinu je ug/l</w:t>
      </w:r>
      <w:r w:rsidR="001830B1">
        <w:rPr>
          <w:sz w:val="24"/>
          <w:szCs w:val="24"/>
        </w:rPr>
        <w:t>, nověji ng/l</w:t>
      </w:r>
      <w:r>
        <w:rPr>
          <w:sz w:val="24"/>
          <w:szCs w:val="24"/>
        </w:rPr>
        <w:t>.</w:t>
      </w:r>
      <w:r w:rsidRPr="00F420AA">
        <w:rPr>
          <w:sz w:val="24"/>
          <w:szCs w:val="24"/>
        </w:rPr>
        <w:t xml:space="preserve"> Další definovanou hodnotou je 99.</w:t>
      </w:r>
      <w:r>
        <w:rPr>
          <w:sz w:val="24"/>
          <w:szCs w:val="24"/>
        </w:rPr>
        <w:t xml:space="preserve"> </w:t>
      </w:r>
      <w:r w:rsidRPr="00F420AA">
        <w:rPr>
          <w:sz w:val="24"/>
          <w:szCs w:val="24"/>
        </w:rPr>
        <w:t>percentil výskytu koncentrace v obecné (zde dospělé) populaci. Metody pracují s tzv. variačním intervalem Cv anal.</w:t>
      </w:r>
      <w:r w:rsidRPr="00F420AA">
        <w:rPr>
          <w:rFonts w:ascii="Times New Roman" w:hAnsi="Times New Roman"/>
          <w:sz w:val="24"/>
          <w:szCs w:val="24"/>
        </w:rPr>
        <w:t>≤</w:t>
      </w:r>
      <w:r w:rsidRPr="00F420AA">
        <w:rPr>
          <w:sz w:val="24"/>
          <w:szCs w:val="24"/>
        </w:rPr>
        <w:t xml:space="preserve">10% Variační koeficient je podíl </w:t>
      </w:r>
      <w:r>
        <w:rPr>
          <w:sz w:val="24"/>
          <w:szCs w:val="24"/>
        </w:rPr>
        <w:t xml:space="preserve">směrodatné odchylky a </w:t>
      </w:r>
      <w:r w:rsidRPr="00F420AA">
        <w:rPr>
          <w:sz w:val="24"/>
          <w:szCs w:val="24"/>
        </w:rPr>
        <w:t xml:space="preserve">absolutní </w:t>
      </w:r>
      <w:r w:rsidR="002B728C">
        <w:rPr>
          <w:sz w:val="24"/>
          <w:szCs w:val="24"/>
        </w:rPr>
        <w:t>hodnoty její střední hodnoty (43</w:t>
      </w:r>
      <w:r w:rsidRPr="00F420AA">
        <w:rPr>
          <w:sz w:val="24"/>
          <w:szCs w:val="24"/>
        </w:rPr>
        <w:t>) a k hodnotě 99.</w:t>
      </w:r>
      <w:r>
        <w:rPr>
          <w:sz w:val="24"/>
          <w:szCs w:val="24"/>
        </w:rPr>
        <w:t xml:space="preserve"> </w:t>
      </w:r>
      <w:r w:rsidRPr="00F420AA">
        <w:rPr>
          <w:sz w:val="24"/>
          <w:szCs w:val="24"/>
        </w:rPr>
        <w:t>percentilu se přičítá. Výsledný součet tak představuje cut-off hodnotu ve smyslu positivity či negativity nálezu.</w:t>
      </w:r>
    </w:p>
    <w:p w:rsidR="006C1917" w:rsidRPr="00F420AA" w:rsidRDefault="006C1917" w:rsidP="002A5827">
      <w:pPr>
        <w:spacing w:line="360" w:lineRule="auto"/>
        <w:jc w:val="both"/>
        <w:rPr>
          <w:sz w:val="24"/>
          <w:szCs w:val="24"/>
        </w:rPr>
      </w:pPr>
      <w:r w:rsidRPr="00F420AA">
        <w:rPr>
          <w:sz w:val="24"/>
          <w:szCs w:val="24"/>
        </w:rPr>
        <w:t>Jako každé měření ale i stanovování troponinu je zatíženo analytickou chybou ve smyslu zcela chybných měření. Proto je stanovován tzv. interval spolehlivosti (konfidenční interval CI), standardem je hladina 95</w:t>
      </w:r>
      <w:r>
        <w:rPr>
          <w:sz w:val="24"/>
          <w:szCs w:val="24"/>
        </w:rPr>
        <w:t xml:space="preserve"> </w:t>
      </w:r>
      <w:r w:rsidRPr="00F420AA">
        <w:rPr>
          <w:sz w:val="24"/>
          <w:szCs w:val="24"/>
        </w:rPr>
        <w:t xml:space="preserve">%. </w:t>
      </w:r>
    </w:p>
    <w:p w:rsidR="006C1917" w:rsidRPr="00F420AA" w:rsidRDefault="006C1917" w:rsidP="002A5827">
      <w:pPr>
        <w:spacing w:line="360" w:lineRule="auto"/>
        <w:jc w:val="both"/>
        <w:rPr>
          <w:sz w:val="24"/>
          <w:szCs w:val="24"/>
        </w:rPr>
      </w:pPr>
      <w:r w:rsidRPr="00F420AA">
        <w:rPr>
          <w:sz w:val="24"/>
          <w:szCs w:val="24"/>
        </w:rPr>
        <w:t>Další veličinou vyskytující se často v literárních zdrojích je tzv. URL (upper reference limit), někde též URV (upper reference value)</w:t>
      </w:r>
      <w:r>
        <w:rPr>
          <w:sz w:val="24"/>
          <w:szCs w:val="24"/>
        </w:rPr>
        <w:t>. Je třeba říci, že je tato</w:t>
      </w:r>
      <w:r w:rsidRPr="00F420AA">
        <w:rPr>
          <w:sz w:val="24"/>
          <w:szCs w:val="24"/>
        </w:rPr>
        <w:t xml:space="preserve"> často zcela nesprávně interpretovaná. Opět jde o čistě statistický pojem, který stanovuje dolní a horní mez statistického rozdělení při stanovení sérového troponinu v běžné populaci v rozmezí </w:t>
      </w:r>
      <w:r>
        <w:rPr>
          <w:sz w:val="24"/>
          <w:szCs w:val="24"/>
        </w:rPr>
        <w:br/>
      </w:r>
      <w:r w:rsidRPr="00F420AA">
        <w:rPr>
          <w:sz w:val="24"/>
          <w:szCs w:val="24"/>
        </w:rPr>
        <w:t>2,5-97,5</w:t>
      </w:r>
      <w:r>
        <w:rPr>
          <w:sz w:val="24"/>
          <w:szCs w:val="24"/>
        </w:rPr>
        <w:t xml:space="preserve"> </w:t>
      </w:r>
      <w:r w:rsidRPr="00F420AA">
        <w:rPr>
          <w:sz w:val="24"/>
          <w:szCs w:val="24"/>
        </w:rPr>
        <w:t>%. URL tedy odpovídá 97,5 percentilu normálního rozložení hodnot troponinu v běžné pop</w:t>
      </w:r>
      <w:r>
        <w:rPr>
          <w:sz w:val="24"/>
          <w:szCs w:val="24"/>
        </w:rPr>
        <w:t xml:space="preserve">ulaci. </w:t>
      </w:r>
      <w:r w:rsidRPr="00F420AA">
        <w:rPr>
          <w:sz w:val="24"/>
          <w:szCs w:val="24"/>
        </w:rPr>
        <w:t xml:space="preserve">To že, pozitivitu troponinu hodnotíme výše od hodnoty dané součtem </w:t>
      </w:r>
      <w:r>
        <w:rPr>
          <w:sz w:val="24"/>
          <w:szCs w:val="24"/>
        </w:rPr>
        <w:br/>
      </w:r>
      <w:r w:rsidRPr="00F420AA">
        <w:rPr>
          <w:sz w:val="24"/>
          <w:szCs w:val="24"/>
        </w:rPr>
        <w:t>99.</w:t>
      </w:r>
      <w:r>
        <w:rPr>
          <w:sz w:val="24"/>
          <w:szCs w:val="24"/>
        </w:rPr>
        <w:t xml:space="preserve"> </w:t>
      </w:r>
      <w:r w:rsidRPr="00F420AA">
        <w:rPr>
          <w:sz w:val="24"/>
          <w:szCs w:val="24"/>
        </w:rPr>
        <w:t>percentilu výskytu troponinu v populaci + 10% variační koeficient je dané čistě konsensem expertů, nikoliv výsledem statistických analýz (</w:t>
      </w:r>
      <w:r w:rsidR="007F25E1">
        <w:rPr>
          <w:sz w:val="24"/>
          <w:szCs w:val="24"/>
        </w:rPr>
        <w:t xml:space="preserve">ref. </w:t>
      </w:r>
      <w:r w:rsidRPr="00F420AA">
        <w:rPr>
          <w:sz w:val="24"/>
          <w:szCs w:val="24"/>
        </w:rPr>
        <w:t xml:space="preserve">3, strana 25). </w:t>
      </w:r>
    </w:p>
    <w:p w:rsidR="006C1917" w:rsidRPr="00F420AA" w:rsidRDefault="006C1917" w:rsidP="002A5827">
      <w:pPr>
        <w:spacing w:line="360" w:lineRule="auto"/>
        <w:jc w:val="both"/>
        <w:rPr>
          <w:sz w:val="24"/>
          <w:szCs w:val="24"/>
        </w:rPr>
      </w:pPr>
      <w:r w:rsidRPr="00F420AA">
        <w:rPr>
          <w:sz w:val="24"/>
          <w:szCs w:val="24"/>
        </w:rPr>
        <w:t>V neposlední řadě je důležité také zmínit ROC AIM cut-off, kdy ROC (receiver operating curve)</w:t>
      </w:r>
      <w:r>
        <w:rPr>
          <w:sz w:val="24"/>
          <w:szCs w:val="24"/>
        </w:rPr>
        <w:t xml:space="preserve"> je křivka, která má optimálně</w:t>
      </w:r>
      <w:r w:rsidRPr="00F420AA">
        <w:rPr>
          <w:sz w:val="24"/>
          <w:szCs w:val="24"/>
        </w:rPr>
        <w:t xml:space="preserve"> tvar hyperboly a znázorňuje vztah mezi senzitivitou </w:t>
      </w:r>
      <w:r>
        <w:rPr>
          <w:sz w:val="24"/>
          <w:szCs w:val="24"/>
        </w:rPr>
        <w:br/>
      </w:r>
      <w:r w:rsidRPr="00F420AA">
        <w:rPr>
          <w:sz w:val="24"/>
          <w:szCs w:val="24"/>
        </w:rPr>
        <w:t xml:space="preserve">a specificitou daného testu. Historicky byla totiž standardem pro diskriminační rozhodnutí </w:t>
      </w:r>
      <w:r>
        <w:rPr>
          <w:sz w:val="24"/>
          <w:szCs w:val="24"/>
        </w:rPr>
        <w:br/>
      </w:r>
      <w:r w:rsidRPr="00F420AA">
        <w:rPr>
          <w:sz w:val="24"/>
          <w:szCs w:val="24"/>
        </w:rPr>
        <w:t>u akutníc</w:t>
      </w:r>
      <w:r>
        <w:rPr>
          <w:sz w:val="24"/>
          <w:szCs w:val="24"/>
        </w:rPr>
        <w:t>h</w:t>
      </w:r>
      <w:r w:rsidRPr="00F420AA">
        <w:rPr>
          <w:sz w:val="24"/>
          <w:szCs w:val="24"/>
        </w:rPr>
        <w:t xml:space="preserve"> koronárních syndromů CKMB a jednotlivým situacím byly</w:t>
      </w:r>
      <w:r>
        <w:rPr>
          <w:sz w:val="24"/>
          <w:szCs w:val="24"/>
        </w:rPr>
        <w:t xml:space="preserve"> přiřazeny mezní hodnoty CKMB. </w:t>
      </w:r>
      <w:r w:rsidRPr="00F420AA">
        <w:rPr>
          <w:sz w:val="24"/>
          <w:szCs w:val="24"/>
        </w:rPr>
        <w:t>Pro trop</w:t>
      </w:r>
      <w:r>
        <w:rPr>
          <w:sz w:val="24"/>
          <w:szCs w:val="24"/>
        </w:rPr>
        <w:t xml:space="preserve">onin jsou tyto hodnoty ověřeny </w:t>
      </w:r>
      <w:r w:rsidRPr="00F420AA">
        <w:rPr>
          <w:sz w:val="24"/>
          <w:szCs w:val="24"/>
        </w:rPr>
        <w:t>právě ROC analýzou, kdy optimum leží mezi ROC hodnotami 0,75</w:t>
      </w:r>
      <w:r>
        <w:rPr>
          <w:sz w:val="24"/>
          <w:szCs w:val="24"/>
        </w:rPr>
        <w:t>–</w:t>
      </w:r>
      <w:r w:rsidRPr="00F420AA">
        <w:rPr>
          <w:sz w:val="24"/>
          <w:szCs w:val="24"/>
        </w:rPr>
        <w:t xml:space="preserve">1,00. Takový test můžeme prohlásit za vysoce senzitivní </w:t>
      </w:r>
      <w:r>
        <w:rPr>
          <w:sz w:val="24"/>
          <w:szCs w:val="24"/>
        </w:rPr>
        <w:br/>
      </w:r>
      <w:r w:rsidRPr="00F420AA">
        <w:rPr>
          <w:sz w:val="24"/>
          <w:szCs w:val="24"/>
        </w:rPr>
        <w:t xml:space="preserve">a specifický (Engliš </w:t>
      </w:r>
      <w:r>
        <w:rPr>
          <w:sz w:val="24"/>
          <w:szCs w:val="24"/>
        </w:rPr>
        <w:t xml:space="preserve">– </w:t>
      </w:r>
      <w:r w:rsidR="002B728C">
        <w:rPr>
          <w:sz w:val="24"/>
          <w:szCs w:val="24"/>
        </w:rPr>
        <w:t>3, strana 25, Jabor 44</w:t>
      </w:r>
      <w:r w:rsidRPr="00F420AA">
        <w:rPr>
          <w:sz w:val="24"/>
          <w:szCs w:val="24"/>
        </w:rPr>
        <w:t xml:space="preserve">). </w:t>
      </w:r>
    </w:p>
    <w:p w:rsidR="006C1917" w:rsidRPr="00CF0598" w:rsidRDefault="006C1917" w:rsidP="002A5827">
      <w:pPr>
        <w:spacing w:line="360" w:lineRule="auto"/>
        <w:jc w:val="both"/>
        <w:rPr>
          <w:sz w:val="24"/>
          <w:szCs w:val="24"/>
        </w:rPr>
      </w:pPr>
      <w:r w:rsidRPr="00F420AA">
        <w:rPr>
          <w:sz w:val="24"/>
          <w:szCs w:val="24"/>
        </w:rPr>
        <w:t xml:space="preserve"> Na závěr tét</w:t>
      </w:r>
      <w:r>
        <w:rPr>
          <w:sz w:val="24"/>
          <w:szCs w:val="24"/>
        </w:rPr>
        <w:t xml:space="preserve">o podkapitoly je potřeba ještě </w:t>
      </w:r>
      <w:r w:rsidRPr="00F420AA">
        <w:rPr>
          <w:sz w:val="24"/>
          <w:szCs w:val="24"/>
        </w:rPr>
        <w:t xml:space="preserve">zmínit princip delta. Jde o princip, který vychází z dynamiky kardiospecifických markerů v kratším čase než bylo dosud obvyklé a používá se </w:t>
      </w:r>
      <w:r w:rsidRPr="00CF0598">
        <w:rPr>
          <w:sz w:val="24"/>
          <w:szCs w:val="24"/>
        </w:rPr>
        <w:t xml:space="preserve">pouze v diagnostice akutního koronárního syndromu u nemocných s klinickými případně </w:t>
      </w:r>
      <w:r w:rsidR="00CF0598" w:rsidRPr="00CF0598">
        <w:rPr>
          <w:sz w:val="24"/>
          <w:szCs w:val="24"/>
        </w:rPr>
        <w:t xml:space="preserve">EKG </w:t>
      </w:r>
      <w:r w:rsidR="00CF0598" w:rsidRPr="00CF0598">
        <w:rPr>
          <w:sz w:val="24"/>
          <w:szCs w:val="24"/>
        </w:rPr>
        <w:lastRenderedPageBreak/>
        <w:t>známkami akutní isché</w:t>
      </w:r>
      <w:r w:rsidRPr="00CF0598">
        <w:rPr>
          <w:sz w:val="24"/>
          <w:szCs w:val="24"/>
        </w:rPr>
        <w:t>mie myokardu. Dle doporučení ESC je při jakémkoliv myokardiálním postižení prováděn vstupní odběr troponinu, dále za 6–</w:t>
      </w:r>
      <w:r w:rsidR="002B728C" w:rsidRPr="00CF0598">
        <w:rPr>
          <w:sz w:val="24"/>
          <w:szCs w:val="24"/>
        </w:rPr>
        <w:t>9 hodin (45</w:t>
      </w:r>
      <w:r w:rsidRPr="00CF0598">
        <w:rPr>
          <w:sz w:val="24"/>
          <w:szCs w:val="24"/>
        </w:rPr>
        <w:t>), dle doporučení z roku 2011 lze provést při podezření na akutní infarkt myokardu</w:t>
      </w:r>
      <w:r w:rsidR="002B728C" w:rsidRPr="00CF0598">
        <w:rPr>
          <w:sz w:val="24"/>
          <w:szCs w:val="24"/>
        </w:rPr>
        <w:t xml:space="preserve"> druhý odběr již za 3 hodiny (46</w:t>
      </w:r>
      <w:r w:rsidRPr="00CF0598">
        <w:rPr>
          <w:sz w:val="24"/>
          <w:szCs w:val="24"/>
        </w:rPr>
        <w:t xml:space="preserve">). </w:t>
      </w:r>
      <w:r w:rsidRPr="00CF0598">
        <w:rPr>
          <w:sz w:val="24"/>
          <w:szCs w:val="24"/>
        </w:rPr>
        <w:br/>
        <w:t>U principu delta vycházíme z malých změn (zejména nárůstu) troponinu za 1 až 2 hodiny od prvního odběru. Vzásadě se princip delta používá buď jako procentuální nárůst hodnoty troponinu oprot</w:t>
      </w:r>
      <w:r w:rsidR="002B728C" w:rsidRPr="00CF0598">
        <w:rPr>
          <w:sz w:val="24"/>
          <w:szCs w:val="24"/>
        </w:rPr>
        <w:t>i bazální hodnotě – Reichlin (47) užívá 25%, Janota (48</w:t>
      </w:r>
      <w:r w:rsidRPr="00CF0598">
        <w:rPr>
          <w:sz w:val="24"/>
          <w:szCs w:val="24"/>
        </w:rPr>
        <w:t>) udává 20%, nebo jako hodnota absolutní.</w:t>
      </w:r>
    </w:p>
    <w:p w:rsidR="006C1917" w:rsidRPr="00CF0598" w:rsidRDefault="002B728C" w:rsidP="002A5827">
      <w:pPr>
        <w:spacing w:line="360" w:lineRule="auto"/>
        <w:jc w:val="both"/>
        <w:rPr>
          <w:rFonts w:cs="Lucida Sans Unicode"/>
          <w:bCs/>
          <w:sz w:val="24"/>
          <w:szCs w:val="24"/>
        </w:rPr>
      </w:pPr>
      <w:r w:rsidRPr="00CF0598">
        <w:rPr>
          <w:rFonts w:cs="Lucida Sans Unicode"/>
          <w:bCs/>
          <w:sz w:val="24"/>
          <w:szCs w:val="24"/>
        </w:rPr>
        <w:t>Reichlin (47</w:t>
      </w:r>
      <w:r w:rsidR="006C1917" w:rsidRPr="00CF0598">
        <w:rPr>
          <w:rFonts w:cs="Lucida Sans Unicode"/>
          <w:bCs/>
          <w:sz w:val="24"/>
          <w:szCs w:val="24"/>
        </w:rPr>
        <w:t>) dále ve své práci, kde bylo zařazeno 836 nemocných s akutním myokardem infarktu, udává absolutní hodnotu pro delta koncentraci 0,07 ug/l pro high sensitivity troponin T a 0,20 ug/l pro troponin I za 2 hodiny po prvním odběru, konstatuje vyšší přínos absolutní hodnoty delta než pouze relativní.</w:t>
      </w:r>
    </w:p>
    <w:p w:rsidR="006C1917" w:rsidRPr="00CF0598" w:rsidRDefault="006C1917" w:rsidP="002A5827">
      <w:pPr>
        <w:spacing w:line="360" w:lineRule="auto"/>
        <w:jc w:val="both"/>
        <w:rPr>
          <w:rFonts w:cs="Lucida Sans Unicode"/>
          <w:bCs/>
          <w:sz w:val="24"/>
          <w:szCs w:val="24"/>
        </w:rPr>
      </w:pPr>
      <w:r w:rsidRPr="00CF0598">
        <w:rPr>
          <w:rFonts w:cs="Lucida Sans Unicode"/>
          <w:bCs/>
          <w:sz w:val="24"/>
          <w:szCs w:val="24"/>
        </w:rPr>
        <w:t>Mueller</w:t>
      </w:r>
      <w:r w:rsidR="002B728C" w:rsidRPr="00CF0598">
        <w:rPr>
          <w:rFonts w:cs="Lucida Sans Unicode"/>
          <w:bCs/>
          <w:sz w:val="24"/>
          <w:szCs w:val="24"/>
        </w:rPr>
        <w:t xml:space="preserve"> (50)</w:t>
      </w:r>
      <w:r w:rsidRPr="00CF0598">
        <w:rPr>
          <w:rFonts w:cs="Lucida Sans Unicode"/>
          <w:bCs/>
          <w:sz w:val="24"/>
          <w:szCs w:val="24"/>
        </w:rPr>
        <w:t xml:space="preserve"> považuje u skupiny pacientů s NSTEMI za diskriminační hodnotu delta u hsTnT 0,092 ug/l s positivní prediktivní hodnotou 48,7 % a negativní prediktivní hodnotu 96,5 %, </w:t>
      </w:r>
      <w:r w:rsidRPr="00CF0598">
        <w:rPr>
          <w:rFonts w:cs="Lucida Sans Unicode"/>
          <w:bCs/>
          <w:sz w:val="24"/>
          <w:szCs w:val="24"/>
        </w:rPr>
        <w:br/>
        <w:t xml:space="preserve">u populace pacenientů se STEMI považuje za diskriminační hodnotu delta u hsTnT 0,069 ug/l s positivní prediktivní hodnotou 82,8 % a negativní prediktivní hodnotu 93 %, opakovaná analýza byla také provedena po 2 hodinách. </w:t>
      </w:r>
    </w:p>
    <w:p w:rsidR="006C1917" w:rsidRPr="00CF0598" w:rsidRDefault="006C1917" w:rsidP="002A5827">
      <w:pPr>
        <w:spacing w:line="360" w:lineRule="auto"/>
        <w:jc w:val="both"/>
        <w:rPr>
          <w:sz w:val="24"/>
          <w:szCs w:val="24"/>
        </w:rPr>
      </w:pPr>
      <w:r w:rsidRPr="00CF0598">
        <w:rPr>
          <w:rFonts w:cs="Lucida Sans Unicode"/>
          <w:bCs/>
          <w:sz w:val="24"/>
          <w:szCs w:val="24"/>
        </w:rPr>
        <w:t>Opakovaný odběr tedy může být proveden za 1</w:t>
      </w:r>
      <w:r w:rsidRPr="00CF0598">
        <w:rPr>
          <w:sz w:val="24"/>
          <w:szCs w:val="24"/>
        </w:rPr>
        <w:t>–</w:t>
      </w:r>
      <w:r w:rsidRPr="00CF0598">
        <w:rPr>
          <w:rFonts w:cs="Lucida Sans Unicode"/>
          <w:bCs/>
          <w:sz w:val="24"/>
          <w:szCs w:val="24"/>
        </w:rPr>
        <w:t xml:space="preserve">2 hodiny po vstupním odběru (Reichlin </w:t>
      </w:r>
      <w:r w:rsidRPr="00CF0598">
        <w:rPr>
          <w:sz w:val="24"/>
          <w:szCs w:val="24"/>
        </w:rPr>
        <w:t xml:space="preserve">– </w:t>
      </w:r>
      <w:r w:rsidR="002B728C" w:rsidRPr="00CF0598">
        <w:rPr>
          <w:rFonts w:cs="Lucida Sans Unicode"/>
          <w:bCs/>
          <w:sz w:val="24"/>
          <w:szCs w:val="24"/>
        </w:rPr>
        <w:t>47</w:t>
      </w:r>
      <w:r w:rsidRPr="00CF0598">
        <w:rPr>
          <w:rFonts w:cs="Lucida Sans Unicode"/>
          <w:bCs/>
          <w:sz w:val="24"/>
          <w:szCs w:val="24"/>
        </w:rPr>
        <w:t xml:space="preserve">, Janota </w:t>
      </w:r>
      <w:r w:rsidRPr="00CF0598">
        <w:rPr>
          <w:sz w:val="24"/>
          <w:szCs w:val="24"/>
        </w:rPr>
        <w:t xml:space="preserve">– </w:t>
      </w:r>
      <w:r w:rsidR="002B728C" w:rsidRPr="00CF0598">
        <w:rPr>
          <w:rFonts w:cs="Lucida Sans Unicode"/>
          <w:bCs/>
          <w:sz w:val="24"/>
          <w:szCs w:val="24"/>
        </w:rPr>
        <w:t>49</w:t>
      </w:r>
      <w:r w:rsidRPr="00CF0598">
        <w:rPr>
          <w:rFonts w:cs="Lucida Sans Unicode"/>
          <w:bCs/>
          <w:sz w:val="24"/>
          <w:szCs w:val="24"/>
        </w:rPr>
        <w:t xml:space="preserve">, Mueller </w:t>
      </w:r>
      <w:r w:rsidRPr="00CF0598">
        <w:rPr>
          <w:sz w:val="24"/>
          <w:szCs w:val="24"/>
        </w:rPr>
        <w:t xml:space="preserve">– </w:t>
      </w:r>
      <w:r w:rsidR="002B728C" w:rsidRPr="00CF0598">
        <w:rPr>
          <w:rFonts w:cs="Lucida Sans Unicode"/>
          <w:bCs/>
          <w:sz w:val="24"/>
          <w:szCs w:val="24"/>
        </w:rPr>
        <w:t>50</w:t>
      </w:r>
      <w:r w:rsidRPr="00CF0598">
        <w:rPr>
          <w:rFonts w:cs="Lucida Sans Unicode"/>
          <w:bCs/>
          <w:sz w:val="24"/>
          <w:szCs w:val="24"/>
        </w:rPr>
        <w:t xml:space="preserve">), kdy k bazální hodnotě troponinu, která nemusí být nutně menší než 99. percentil se připočte hodnota delta (dle autorů u hs troponinu T 0,070-0,100 ug/l, </w:t>
      </w:r>
      <w:r w:rsidRPr="00CF0598">
        <w:rPr>
          <w:rFonts w:cs="Lucida Sans Unicode"/>
          <w:bCs/>
          <w:sz w:val="24"/>
          <w:szCs w:val="24"/>
        </w:rPr>
        <w:br/>
        <w:t>u troponinu I hodnota závisí na použitém diagnostickém kitu) a pokud druhá naměřená hodnota troponinu převyšuje tento součet, je akutní koronární syndrom pravděpodobný.</w:t>
      </w:r>
    </w:p>
    <w:p w:rsidR="006C1917" w:rsidRPr="00CF0598" w:rsidRDefault="006C1917" w:rsidP="00B30FCA">
      <w:pPr>
        <w:pStyle w:val="Nadpis2"/>
        <w:ind w:left="578" w:hanging="578"/>
        <w:rPr>
          <w:color w:val="auto"/>
        </w:rPr>
      </w:pPr>
      <w:bookmarkStart w:id="25" w:name="_Toc422993236"/>
      <w:r w:rsidRPr="00CF0598">
        <w:rPr>
          <w:color w:val="auto"/>
        </w:rPr>
        <w:t>Zvláštnosti při stanovení troponinu T a I</w:t>
      </w:r>
      <w:bookmarkEnd w:id="25"/>
    </w:p>
    <w:p w:rsidR="006C1917" w:rsidRPr="009856C9" w:rsidRDefault="006C1917" w:rsidP="002A5827">
      <w:pPr>
        <w:spacing w:line="360" w:lineRule="auto"/>
        <w:jc w:val="both"/>
        <w:rPr>
          <w:sz w:val="24"/>
          <w:szCs w:val="24"/>
        </w:rPr>
      </w:pPr>
      <w:r w:rsidRPr="00CF0598">
        <w:rPr>
          <w:sz w:val="24"/>
          <w:szCs w:val="24"/>
        </w:rPr>
        <w:t>Pro trvající patent na stanovování troponinu T je celosvětově užívaný systém Cobas od firmy ROCHE. Jedná se o soupravu používající monoklonální myší protilátku M7, která je zaměřena na epitop cTnT tvořený aminokyselinovými rezidui v poloze 125-131 a rutheniem značenou monoklonální protilátku (M11.7). Oba epitopy nejsou homologními se  svalovou či embryonální formou troponinu T. Jsou tak absolutně kardiospecifické. Výhodou</w:t>
      </w:r>
      <w:r w:rsidRPr="00F420AA">
        <w:rPr>
          <w:sz w:val="24"/>
          <w:szCs w:val="24"/>
        </w:rPr>
        <w:t xml:space="preserve"> unifikovaného systému je také skutečnost, že absolutní hodnoty naměřených výsledků jsou celosvětově porovnatelné, u nemocných překládaných mezi jednotlivými nemocnicemi </w:t>
      </w:r>
      <w:r>
        <w:rPr>
          <w:sz w:val="24"/>
          <w:szCs w:val="24"/>
        </w:rPr>
        <w:br/>
      </w:r>
      <w:r w:rsidRPr="00F420AA">
        <w:rPr>
          <w:sz w:val="24"/>
          <w:szCs w:val="24"/>
        </w:rPr>
        <w:lastRenderedPageBreak/>
        <w:t>a klinikami tak lze hodnotit dynamiku troponinu a dovozovat průběh myokardiálního poškození a sledovat dynamicky vývoj onemocnění. Stechiometricky lze stanovit objem poškozeného myokardu. Zcela odlišná situace panuje u troponinu I. V současné době existuje 9 různých souprav.</w:t>
      </w:r>
      <w:r>
        <w:rPr>
          <w:sz w:val="24"/>
          <w:szCs w:val="24"/>
        </w:rPr>
        <w:t xml:space="preserve"> </w:t>
      </w:r>
      <w:r w:rsidRPr="00F420AA">
        <w:rPr>
          <w:sz w:val="24"/>
          <w:szCs w:val="24"/>
        </w:rPr>
        <w:t>Každá metoda se liší použitím kalibrátorů a použitých protilátek. Rozdíly v analytické citlivosti mohou způsobit rozdílnou záchytnost kar</w:t>
      </w:r>
      <w:r w:rsidR="002B728C">
        <w:rPr>
          <w:sz w:val="24"/>
          <w:szCs w:val="24"/>
        </w:rPr>
        <w:t>diovaskulárních komplikací (3,51</w:t>
      </w:r>
      <w:r w:rsidRPr="00F420AA">
        <w:rPr>
          <w:sz w:val="24"/>
          <w:szCs w:val="24"/>
        </w:rPr>
        <w:t>). Pro názornost uvádím několik nejpoužívanějších systé</w:t>
      </w:r>
      <w:r w:rsidR="00CF0598">
        <w:rPr>
          <w:sz w:val="24"/>
          <w:szCs w:val="24"/>
        </w:rPr>
        <w:t xml:space="preserve">mů (Volně adaptováno podle: </w:t>
      </w:r>
      <w:r w:rsidR="00CF0598" w:rsidRPr="00434163">
        <w:rPr>
          <w:rFonts w:cs="Arial"/>
          <w:sz w:val="24"/>
          <w:szCs w:val="24"/>
          <w:shd w:val="clear" w:color="auto" w:fill="FFFFFF"/>
        </w:rPr>
        <w:t>ENGLIŠ, Miroslav; ŠOCHMAN, Jan.</w:t>
      </w:r>
      <w:r w:rsidR="00CF0598" w:rsidRPr="00434163">
        <w:rPr>
          <w:rStyle w:val="apple-converted-space"/>
          <w:rFonts w:cs="Arial"/>
          <w:sz w:val="24"/>
          <w:szCs w:val="24"/>
          <w:shd w:val="clear" w:color="auto" w:fill="FFFFFF"/>
        </w:rPr>
        <w:t> </w:t>
      </w:r>
      <w:r w:rsidR="00CF0598" w:rsidRPr="00434163">
        <w:rPr>
          <w:rFonts w:cs="Arial"/>
          <w:i/>
          <w:iCs/>
          <w:sz w:val="24"/>
          <w:szCs w:val="24"/>
          <w:shd w:val="clear" w:color="auto" w:fill="FFFFFF"/>
        </w:rPr>
        <w:t>Srdeční troponiny v klinické praxi</w:t>
      </w:r>
      <w:r w:rsidR="00CF0598" w:rsidRPr="00434163">
        <w:rPr>
          <w:rFonts w:cs="Arial"/>
          <w:sz w:val="24"/>
          <w:szCs w:val="24"/>
          <w:shd w:val="clear" w:color="auto" w:fill="FFFFFF"/>
        </w:rPr>
        <w:t>. TAC-TAC agency, 2009</w:t>
      </w:r>
      <w:r w:rsidR="00CF0598" w:rsidRPr="00F420AA">
        <w:rPr>
          <w:sz w:val="24"/>
          <w:szCs w:val="24"/>
        </w:rPr>
        <w:t>,</w:t>
      </w:r>
      <w:r w:rsidR="00CF0598">
        <w:rPr>
          <w:sz w:val="24"/>
          <w:szCs w:val="24"/>
        </w:rPr>
        <w:t xml:space="preserve"> strana </w:t>
      </w:r>
      <w:r w:rsidR="009856C9">
        <w:rPr>
          <w:sz w:val="24"/>
          <w:szCs w:val="24"/>
        </w:rPr>
        <w:t>19-20</w:t>
      </w:r>
      <w:r w:rsidRPr="00F420AA">
        <w:rPr>
          <w:sz w:val="24"/>
          <w:szCs w:val="24"/>
        </w:rPr>
        <w:t>)</w:t>
      </w:r>
      <w:r w:rsidR="009856C9">
        <w:rPr>
          <w:sz w:val="24"/>
          <w:szCs w:val="24"/>
        </w:rPr>
        <w:t>.</w:t>
      </w:r>
      <w:r w:rsidR="00CF0598">
        <w:rPr>
          <w:sz w:val="24"/>
          <w:szCs w:val="24"/>
        </w:rPr>
        <w:t xml:space="preserve"> </w:t>
      </w:r>
      <w:r w:rsidR="009856C9">
        <w:rPr>
          <w:sz w:val="24"/>
          <w:szCs w:val="24"/>
        </w:rPr>
        <w:t>T</w:t>
      </w:r>
      <w:r w:rsidRPr="00F420AA">
        <w:rPr>
          <w:sz w:val="24"/>
          <w:szCs w:val="24"/>
        </w:rPr>
        <w:t>abulka č.</w:t>
      </w:r>
      <w:r>
        <w:rPr>
          <w:sz w:val="24"/>
          <w:szCs w:val="24"/>
        </w:rPr>
        <w:t xml:space="preserve"> </w:t>
      </w:r>
      <w:r w:rsidRPr="00F420AA">
        <w:rPr>
          <w:sz w:val="24"/>
          <w:szCs w:val="24"/>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35"/>
        <w:gridCol w:w="1535"/>
        <w:gridCol w:w="1535"/>
        <w:gridCol w:w="1535"/>
        <w:gridCol w:w="1536"/>
        <w:gridCol w:w="1536"/>
      </w:tblGrid>
      <w:tr w:rsidR="006C1917" w:rsidRPr="00F420AA" w:rsidTr="00F43B97">
        <w:trPr>
          <w:trHeight w:val="1087"/>
        </w:trPr>
        <w:tc>
          <w:tcPr>
            <w:tcW w:w="1535" w:type="dxa"/>
          </w:tcPr>
          <w:p w:rsidR="006C1917" w:rsidRPr="00F43B97" w:rsidRDefault="006C1917" w:rsidP="00F43B97">
            <w:pPr>
              <w:spacing w:line="360" w:lineRule="auto"/>
              <w:rPr>
                <w:b/>
                <w:color w:val="FF0000"/>
                <w:sz w:val="20"/>
                <w:szCs w:val="20"/>
              </w:rPr>
            </w:pPr>
            <w:r w:rsidRPr="00F43B97">
              <w:rPr>
                <w:b/>
                <w:color w:val="FF0000"/>
                <w:sz w:val="20"/>
                <w:szCs w:val="20"/>
              </w:rPr>
              <w:t>Stanovovaný Tn</w:t>
            </w:r>
          </w:p>
          <w:p w:rsidR="006C1917" w:rsidRPr="00F43B97" w:rsidRDefault="006C1917" w:rsidP="00F43B97">
            <w:pPr>
              <w:spacing w:line="360" w:lineRule="auto"/>
              <w:rPr>
                <w:b/>
                <w:sz w:val="20"/>
                <w:szCs w:val="20"/>
              </w:rPr>
            </w:pPr>
            <w:r w:rsidRPr="00F43B97">
              <w:rPr>
                <w:b/>
                <w:sz w:val="20"/>
                <w:szCs w:val="20"/>
              </w:rPr>
              <w:t>Výrobce</w:t>
            </w:r>
          </w:p>
        </w:tc>
        <w:tc>
          <w:tcPr>
            <w:tcW w:w="1535" w:type="dxa"/>
          </w:tcPr>
          <w:p w:rsidR="006C1917" w:rsidRPr="00F43B97" w:rsidRDefault="006C1917" w:rsidP="00F43B97">
            <w:pPr>
              <w:spacing w:line="360" w:lineRule="auto"/>
              <w:rPr>
                <w:b/>
                <w:sz w:val="20"/>
                <w:szCs w:val="20"/>
              </w:rPr>
            </w:pPr>
            <w:r w:rsidRPr="00F43B97">
              <w:rPr>
                <w:b/>
                <w:sz w:val="20"/>
                <w:szCs w:val="20"/>
              </w:rPr>
              <w:t>Analytický měřící systém</w:t>
            </w:r>
          </w:p>
        </w:tc>
        <w:tc>
          <w:tcPr>
            <w:tcW w:w="1535" w:type="dxa"/>
          </w:tcPr>
          <w:p w:rsidR="006C1917" w:rsidRPr="00F43B97" w:rsidRDefault="006C1917" w:rsidP="00F43B97">
            <w:pPr>
              <w:spacing w:line="360" w:lineRule="auto"/>
              <w:rPr>
                <w:b/>
                <w:sz w:val="20"/>
                <w:szCs w:val="20"/>
              </w:rPr>
            </w:pPr>
            <w:r w:rsidRPr="00F43B97">
              <w:rPr>
                <w:b/>
                <w:sz w:val="20"/>
                <w:szCs w:val="20"/>
              </w:rPr>
              <w:t>Mez detekce (LOD)  ug/l</w:t>
            </w:r>
          </w:p>
        </w:tc>
        <w:tc>
          <w:tcPr>
            <w:tcW w:w="1535" w:type="dxa"/>
          </w:tcPr>
          <w:p w:rsidR="006C1917" w:rsidRPr="00F43B97" w:rsidRDefault="006C1917" w:rsidP="00F43B97">
            <w:pPr>
              <w:spacing w:line="360" w:lineRule="auto"/>
              <w:rPr>
                <w:b/>
                <w:sz w:val="20"/>
                <w:szCs w:val="20"/>
              </w:rPr>
            </w:pPr>
            <w:r w:rsidRPr="00F43B97">
              <w:rPr>
                <w:b/>
                <w:sz w:val="20"/>
                <w:szCs w:val="20"/>
              </w:rPr>
              <w:t>99. percentil refer. souboru ug/l</w:t>
            </w:r>
          </w:p>
        </w:tc>
        <w:tc>
          <w:tcPr>
            <w:tcW w:w="1536" w:type="dxa"/>
          </w:tcPr>
          <w:p w:rsidR="006C1917" w:rsidRPr="00F43B97" w:rsidRDefault="006C1917" w:rsidP="00F43B97">
            <w:pPr>
              <w:spacing w:line="360" w:lineRule="auto"/>
              <w:rPr>
                <w:b/>
                <w:sz w:val="20"/>
                <w:szCs w:val="20"/>
              </w:rPr>
            </w:pPr>
            <w:r w:rsidRPr="00F43B97">
              <w:rPr>
                <w:b/>
                <w:sz w:val="20"/>
                <w:szCs w:val="20"/>
              </w:rPr>
              <w:t>Cut-off hodnota na úrovni CV anal.</w:t>
            </w:r>
            <w:r w:rsidRPr="00F43B97">
              <w:rPr>
                <w:rFonts w:ascii="Times New Roman" w:hAnsi="Times New Roman"/>
                <w:b/>
                <w:sz w:val="20"/>
                <w:szCs w:val="20"/>
              </w:rPr>
              <w:t>≤</w:t>
            </w:r>
            <w:r w:rsidRPr="00F43B97">
              <w:rPr>
                <w:b/>
                <w:sz w:val="20"/>
                <w:szCs w:val="20"/>
              </w:rPr>
              <w:t>10%</w:t>
            </w:r>
          </w:p>
        </w:tc>
        <w:tc>
          <w:tcPr>
            <w:tcW w:w="1536" w:type="dxa"/>
          </w:tcPr>
          <w:p w:rsidR="006C1917" w:rsidRPr="00F43B97" w:rsidRDefault="006C1917" w:rsidP="00F43B97">
            <w:pPr>
              <w:spacing w:line="360" w:lineRule="auto"/>
              <w:rPr>
                <w:b/>
                <w:sz w:val="20"/>
                <w:szCs w:val="20"/>
              </w:rPr>
            </w:pPr>
            <w:r w:rsidRPr="00F43B97">
              <w:rPr>
                <w:b/>
                <w:sz w:val="20"/>
                <w:szCs w:val="20"/>
              </w:rPr>
              <w:t>ROC-AIM</w:t>
            </w:r>
          </w:p>
          <w:p w:rsidR="006C1917" w:rsidRPr="00F43B97" w:rsidRDefault="006C1917" w:rsidP="00F43B97">
            <w:pPr>
              <w:spacing w:line="360" w:lineRule="auto"/>
              <w:rPr>
                <w:b/>
                <w:sz w:val="20"/>
                <w:szCs w:val="20"/>
              </w:rPr>
            </w:pPr>
            <w:r w:rsidRPr="00F43B97">
              <w:rPr>
                <w:b/>
                <w:sz w:val="20"/>
                <w:szCs w:val="20"/>
              </w:rPr>
              <w:t>cut-off</w:t>
            </w:r>
          </w:p>
        </w:tc>
      </w:tr>
      <w:tr w:rsidR="006C1917" w:rsidRPr="00F420AA" w:rsidTr="00F43B97">
        <w:tc>
          <w:tcPr>
            <w:tcW w:w="1535" w:type="dxa"/>
          </w:tcPr>
          <w:p w:rsidR="006C1917" w:rsidRPr="00F43B97" w:rsidRDefault="006C1917" w:rsidP="00F43B97">
            <w:pPr>
              <w:spacing w:line="360" w:lineRule="auto"/>
              <w:rPr>
                <w:b/>
                <w:color w:val="FF0000"/>
                <w:sz w:val="20"/>
                <w:szCs w:val="20"/>
              </w:rPr>
            </w:pPr>
            <w:r w:rsidRPr="00F43B97">
              <w:rPr>
                <w:b/>
                <w:color w:val="FF0000"/>
                <w:sz w:val="20"/>
                <w:szCs w:val="20"/>
              </w:rPr>
              <w:t>TnI</w:t>
            </w:r>
          </w:p>
          <w:p w:rsidR="006C1917" w:rsidRPr="00F43B97" w:rsidRDefault="006C1917" w:rsidP="00F43B97">
            <w:pPr>
              <w:spacing w:line="360" w:lineRule="auto"/>
              <w:rPr>
                <w:b/>
                <w:sz w:val="20"/>
                <w:szCs w:val="20"/>
              </w:rPr>
            </w:pPr>
            <w:r w:rsidRPr="00F43B97">
              <w:rPr>
                <w:b/>
                <w:sz w:val="20"/>
                <w:szCs w:val="20"/>
              </w:rPr>
              <w:t>Abbot Laboratories</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Architect</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0,009</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0,028</w:t>
            </w:r>
          </w:p>
        </w:tc>
        <w:tc>
          <w:tcPr>
            <w:tcW w:w="1536"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0,032</w:t>
            </w:r>
          </w:p>
        </w:tc>
        <w:tc>
          <w:tcPr>
            <w:tcW w:w="1536"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0,3</w:t>
            </w:r>
          </w:p>
        </w:tc>
      </w:tr>
      <w:tr w:rsidR="006C1917" w:rsidRPr="00F420AA" w:rsidTr="00F43B97">
        <w:tc>
          <w:tcPr>
            <w:tcW w:w="1535" w:type="dxa"/>
          </w:tcPr>
          <w:p w:rsidR="006C1917" w:rsidRPr="00F43B97" w:rsidRDefault="006C1917" w:rsidP="00F43B97">
            <w:pPr>
              <w:spacing w:line="360" w:lineRule="auto"/>
              <w:rPr>
                <w:b/>
                <w:sz w:val="20"/>
                <w:szCs w:val="20"/>
              </w:rPr>
            </w:pPr>
            <w:proofErr w:type="gramStart"/>
            <w:r w:rsidRPr="00F43B97">
              <w:rPr>
                <w:b/>
                <w:sz w:val="20"/>
                <w:szCs w:val="20"/>
              </w:rPr>
              <w:t>Bayer–cTnI</w:t>
            </w:r>
            <w:proofErr w:type="gramEnd"/>
            <w:r w:rsidRPr="00F43B97">
              <w:rPr>
                <w:b/>
                <w:sz w:val="20"/>
                <w:szCs w:val="20"/>
              </w:rPr>
              <w:t xml:space="preserve"> ultra</w:t>
            </w:r>
          </w:p>
        </w:tc>
        <w:tc>
          <w:tcPr>
            <w:tcW w:w="1535" w:type="dxa"/>
          </w:tcPr>
          <w:p w:rsidR="006C1917" w:rsidRPr="00F43B97" w:rsidRDefault="006C1917" w:rsidP="00F43B97">
            <w:pPr>
              <w:spacing w:line="360" w:lineRule="auto"/>
              <w:rPr>
                <w:sz w:val="20"/>
                <w:szCs w:val="20"/>
              </w:rPr>
            </w:pPr>
            <w:r w:rsidRPr="00F43B97">
              <w:rPr>
                <w:sz w:val="20"/>
                <w:szCs w:val="20"/>
              </w:rPr>
              <w:t>Centaur</w:t>
            </w:r>
          </w:p>
        </w:tc>
        <w:tc>
          <w:tcPr>
            <w:tcW w:w="1535" w:type="dxa"/>
          </w:tcPr>
          <w:p w:rsidR="006C1917" w:rsidRPr="00F43B97" w:rsidRDefault="006C1917" w:rsidP="00F43B97">
            <w:pPr>
              <w:spacing w:line="360" w:lineRule="auto"/>
              <w:rPr>
                <w:sz w:val="20"/>
                <w:szCs w:val="20"/>
              </w:rPr>
            </w:pPr>
            <w:r w:rsidRPr="00F43B97">
              <w:rPr>
                <w:sz w:val="20"/>
                <w:szCs w:val="20"/>
              </w:rPr>
              <w:t>0,006</w:t>
            </w:r>
          </w:p>
        </w:tc>
        <w:tc>
          <w:tcPr>
            <w:tcW w:w="1535" w:type="dxa"/>
          </w:tcPr>
          <w:p w:rsidR="006C1917" w:rsidRPr="00F43B97" w:rsidRDefault="006C1917" w:rsidP="00F43B97">
            <w:pPr>
              <w:spacing w:line="360" w:lineRule="auto"/>
              <w:rPr>
                <w:sz w:val="20"/>
                <w:szCs w:val="20"/>
              </w:rPr>
            </w:pPr>
            <w:r w:rsidRPr="00F43B97">
              <w:rPr>
                <w:sz w:val="20"/>
                <w:szCs w:val="20"/>
              </w:rPr>
              <w:t>0,04</w:t>
            </w:r>
          </w:p>
        </w:tc>
        <w:tc>
          <w:tcPr>
            <w:tcW w:w="1536" w:type="dxa"/>
          </w:tcPr>
          <w:p w:rsidR="006C1917" w:rsidRPr="00F43B97" w:rsidRDefault="006C1917" w:rsidP="00F43B97">
            <w:pPr>
              <w:spacing w:line="360" w:lineRule="auto"/>
              <w:rPr>
                <w:sz w:val="20"/>
                <w:szCs w:val="20"/>
              </w:rPr>
            </w:pPr>
            <w:r w:rsidRPr="00F43B97">
              <w:rPr>
                <w:sz w:val="20"/>
                <w:szCs w:val="20"/>
              </w:rPr>
              <w:t>0,03</w:t>
            </w:r>
          </w:p>
          <w:p w:rsidR="006C1917" w:rsidRPr="00F43B97" w:rsidRDefault="006C1917" w:rsidP="00F43B97">
            <w:pPr>
              <w:spacing w:line="360" w:lineRule="auto"/>
              <w:rPr>
                <w:sz w:val="20"/>
                <w:szCs w:val="20"/>
              </w:rPr>
            </w:pPr>
            <w:r w:rsidRPr="00F43B97">
              <w:rPr>
                <w:sz w:val="20"/>
                <w:szCs w:val="20"/>
              </w:rPr>
              <w:t>(CV odečten)</w:t>
            </w:r>
          </w:p>
        </w:tc>
        <w:tc>
          <w:tcPr>
            <w:tcW w:w="1536" w:type="dxa"/>
          </w:tcPr>
          <w:p w:rsidR="006C1917" w:rsidRPr="00F43B97" w:rsidRDefault="006C1917" w:rsidP="00F43B97">
            <w:pPr>
              <w:spacing w:line="360" w:lineRule="auto"/>
              <w:rPr>
                <w:sz w:val="20"/>
                <w:szCs w:val="20"/>
              </w:rPr>
            </w:pPr>
            <w:r w:rsidRPr="00F43B97">
              <w:rPr>
                <w:sz w:val="20"/>
                <w:szCs w:val="20"/>
              </w:rPr>
              <w:t>0,78</w:t>
            </w:r>
          </w:p>
        </w:tc>
      </w:tr>
      <w:tr w:rsidR="006C1917" w:rsidRPr="00F420AA" w:rsidTr="00F43B97">
        <w:tc>
          <w:tcPr>
            <w:tcW w:w="1535" w:type="dxa"/>
          </w:tcPr>
          <w:p w:rsidR="006C1917" w:rsidRPr="00F43B97" w:rsidRDefault="006C1917" w:rsidP="00F43B97">
            <w:pPr>
              <w:spacing w:line="360" w:lineRule="auto"/>
              <w:rPr>
                <w:b/>
                <w:sz w:val="20"/>
                <w:szCs w:val="20"/>
              </w:rPr>
            </w:pPr>
            <w:r w:rsidRPr="00F43B97">
              <w:rPr>
                <w:b/>
                <w:sz w:val="20"/>
                <w:szCs w:val="20"/>
              </w:rPr>
              <w:t>Beckmann-Coulter</w:t>
            </w:r>
          </w:p>
        </w:tc>
        <w:tc>
          <w:tcPr>
            <w:tcW w:w="1535" w:type="dxa"/>
          </w:tcPr>
          <w:p w:rsidR="006C1917" w:rsidRPr="00F43B97" w:rsidRDefault="006C1917" w:rsidP="00F43B97">
            <w:pPr>
              <w:spacing w:line="360" w:lineRule="auto"/>
              <w:rPr>
                <w:sz w:val="20"/>
                <w:szCs w:val="20"/>
              </w:rPr>
            </w:pPr>
            <w:r w:rsidRPr="00F43B97">
              <w:rPr>
                <w:sz w:val="20"/>
                <w:szCs w:val="20"/>
              </w:rPr>
              <w:t>Accu</w:t>
            </w:r>
          </w:p>
        </w:tc>
        <w:tc>
          <w:tcPr>
            <w:tcW w:w="1535" w:type="dxa"/>
          </w:tcPr>
          <w:p w:rsidR="006C1917" w:rsidRPr="00F43B97" w:rsidRDefault="006C1917" w:rsidP="00F43B97">
            <w:pPr>
              <w:spacing w:line="360" w:lineRule="auto"/>
              <w:rPr>
                <w:sz w:val="20"/>
                <w:szCs w:val="20"/>
              </w:rPr>
            </w:pPr>
            <w:r w:rsidRPr="00F43B97">
              <w:rPr>
                <w:sz w:val="20"/>
                <w:szCs w:val="20"/>
              </w:rPr>
              <w:t>0,01</w:t>
            </w:r>
          </w:p>
        </w:tc>
        <w:tc>
          <w:tcPr>
            <w:tcW w:w="1535" w:type="dxa"/>
          </w:tcPr>
          <w:p w:rsidR="006C1917" w:rsidRPr="00F43B97" w:rsidRDefault="006C1917" w:rsidP="00F43B97">
            <w:pPr>
              <w:spacing w:line="360" w:lineRule="auto"/>
              <w:rPr>
                <w:sz w:val="20"/>
                <w:szCs w:val="20"/>
              </w:rPr>
            </w:pPr>
            <w:r w:rsidRPr="00F43B97">
              <w:rPr>
                <w:sz w:val="20"/>
                <w:szCs w:val="20"/>
              </w:rPr>
              <w:t>0,04</w:t>
            </w:r>
          </w:p>
        </w:tc>
        <w:tc>
          <w:tcPr>
            <w:tcW w:w="1536" w:type="dxa"/>
          </w:tcPr>
          <w:p w:rsidR="006C1917" w:rsidRPr="00F43B97" w:rsidRDefault="006C1917" w:rsidP="00F43B97">
            <w:pPr>
              <w:spacing w:line="360" w:lineRule="auto"/>
              <w:rPr>
                <w:sz w:val="20"/>
                <w:szCs w:val="20"/>
              </w:rPr>
            </w:pPr>
            <w:r w:rsidRPr="00F43B97">
              <w:rPr>
                <w:sz w:val="20"/>
                <w:szCs w:val="20"/>
              </w:rPr>
              <w:t>0,06</w:t>
            </w:r>
          </w:p>
        </w:tc>
        <w:tc>
          <w:tcPr>
            <w:tcW w:w="1536" w:type="dxa"/>
          </w:tcPr>
          <w:p w:rsidR="006C1917" w:rsidRPr="00F43B97" w:rsidRDefault="006C1917" w:rsidP="00F43B97">
            <w:pPr>
              <w:spacing w:line="360" w:lineRule="auto"/>
              <w:rPr>
                <w:sz w:val="20"/>
                <w:szCs w:val="20"/>
              </w:rPr>
            </w:pPr>
            <w:r w:rsidRPr="00F43B97">
              <w:rPr>
                <w:sz w:val="20"/>
                <w:szCs w:val="20"/>
              </w:rPr>
              <w:t>0,5</w:t>
            </w:r>
          </w:p>
        </w:tc>
      </w:tr>
      <w:tr w:rsidR="006C1917" w:rsidRPr="00F420AA" w:rsidTr="00F43B97">
        <w:tc>
          <w:tcPr>
            <w:tcW w:w="1535" w:type="dxa"/>
          </w:tcPr>
          <w:p w:rsidR="006C1917" w:rsidRPr="00F43B97" w:rsidRDefault="006C1917" w:rsidP="00F43B97">
            <w:pPr>
              <w:spacing w:line="360" w:lineRule="auto"/>
              <w:rPr>
                <w:b/>
                <w:sz w:val="20"/>
                <w:szCs w:val="20"/>
              </w:rPr>
            </w:pPr>
            <w:r w:rsidRPr="00F43B97">
              <w:rPr>
                <w:b/>
                <w:sz w:val="20"/>
                <w:szCs w:val="20"/>
              </w:rPr>
              <w:t>Siemens (Dade-Behring)</w:t>
            </w:r>
          </w:p>
        </w:tc>
        <w:tc>
          <w:tcPr>
            <w:tcW w:w="1535" w:type="dxa"/>
          </w:tcPr>
          <w:p w:rsidR="006C1917" w:rsidRPr="00F43B97" w:rsidRDefault="006C1917" w:rsidP="00F43B97">
            <w:pPr>
              <w:spacing w:line="360" w:lineRule="auto"/>
              <w:rPr>
                <w:sz w:val="20"/>
                <w:szCs w:val="20"/>
              </w:rPr>
            </w:pPr>
            <w:r w:rsidRPr="00F43B97">
              <w:rPr>
                <w:sz w:val="20"/>
                <w:szCs w:val="20"/>
              </w:rPr>
              <w:t>Dimension RxL</w:t>
            </w:r>
          </w:p>
        </w:tc>
        <w:tc>
          <w:tcPr>
            <w:tcW w:w="1535" w:type="dxa"/>
          </w:tcPr>
          <w:p w:rsidR="006C1917" w:rsidRPr="00F43B97" w:rsidRDefault="006C1917" w:rsidP="00F43B97">
            <w:pPr>
              <w:spacing w:line="360" w:lineRule="auto"/>
              <w:rPr>
                <w:sz w:val="20"/>
                <w:szCs w:val="20"/>
              </w:rPr>
            </w:pPr>
            <w:r w:rsidRPr="00F43B97">
              <w:rPr>
                <w:sz w:val="20"/>
                <w:szCs w:val="20"/>
              </w:rPr>
              <w:t>0,04</w:t>
            </w:r>
          </w:p>
        </w:tc>
        <w:tc>
          <w:tcPr>
            <w:tcW w:w="1535" w:type="dxa"/>
          </w:tcPr>
          <w:p w:rsidR="006C1917" w:rsidRPr="00F43B97" w:rsidRDefault="006C1917" w:rsidP="00F43B97">
            <w:pPr>
              <w:spacing w:line="360" w:lineRule="auto"/>
              <w:rPr>
                <w:sz w:val="20"/>
                <w:szCs w:val="20"/>
              </w:rPr>
            </w:pPr>
            <w:r w:rsidRPr="00F43B97">
              <w:rPr>
                <w:sz w:val="20"/>
                <w:szCs w:val="20"/>
              </w:rPr>
              <w:t>0,07</w:t>
            </w:r>
          </w:p>
        </w:tc>
        <w:tc>
          <w:tcPr>
            <w:tcW w:w="1536" w:type="dxa"/>
          </w:tcPr>
          <w:p w:rsidR="006C1917" w:rsidRPr="00F43B97" w:rsidRDefault="006C1917" w:rsidP="00F43B97">
            <w:pPr>
              <w:spacing w:line="360" w:lineRule="auto"/>
              <w:rPr>
                <w:sz w:val="20"/>
                <w:szCs w:val="20"/>
              </w:rPr>
            </w:pPr>
            <w:r w:rsidRPr="00F43B97">
              <w:rPr>
                <w:sz w:val="20"/>
                <w:szCs w:val="20"/>
              </w:rPr>
              <w:t>0,15</w:t>
            </w:r>
          </w:p>
        </w:tc>
        <w:tc>
          <w:tcPr>
            <w:tcW w:w="1536" w:type="dxa"/>
          </w:tcPr>
          <w:p w:rsidR="006C1917" w:rsidRPr="00F43B97" w:rsidRDefault="006C1917" w:rsidP="00F43B97">
            <w:pPr>
              <w:spacing w:line="360" w:lineRule="auto"/>
              <w:rPr>
                <w:sz w:val="20"/>
                <w:szCs w:val="20"/>
              </w:rPr>
            </w:pPr>
            <w:r w:rsidRPr="00F43B97">
              <w:rPr>
                <w:sz w:val="20"/>
                <w:szCs w:val="20"/>
              </w:rPr>
              <w:t>---</w:t>
            </w:r>
          </w:p>
        </w:tc>
      </w:tr>
      <w:tr w:rsidR="006C1917" w:rsidRPr="00F420AA" w:rsidTr="00F43B97">
        <w:tc>
          <w:tcPr>
            <w:tcW w:w="1535" w:type="dxa"/>
          </w:tcPr>
          <w:p w:rsidR="006C1917" w:rsidRPr="00F43B97" w:rsidRDefault="006C1917" w:rsidP="00F43B97">
            <w:pPr>
              <w:spacing w:line="360" w:lineRule="auto"/>
              <w:rPr>
                <w:b/>
                <w:sz w:val="20"/>
                <w:szCs w:val="20"/>
              </w:rPr>
            </w:pPr>
            <w:r w:rsidRPr="00F43B97">
              <w:rPr>
                <w:b/>
                <w:sz w:val="20"/>
                <w:szCs w:val="20"/>
              </w:rPr>
              <w:t>Siemens (DPC)</w:t>
            </w:r>
          </w:p>
        </w:tc>
        <w:tc>
          <w:tcPr>
            <w:tcW w:w="1535" w:type="dxa"/>
          </w:tcPr>
          <w:p w:rsidR="006C1917" w:rsidRPr="00F43B97" w:rsidRDefault="006C1917" w:rsidP="00F43B97">
            <w:pPr>
              <w:spacing w:line="360" w:lineRule="auto"/>
              <w:rPr>
                <w:sz w:val="20"/>
                <w:szCs w:val="20"/>
              </w:rPr>
            </w:pPr>
            <w:r w:rsidRPr="00F43B97">
              <w:rPr>
                <w:sz w:val="20"/>
                <w:szCs w:val="20"/>
              </w:rPr>
              <w:t>Immulite 2500</w:t>
            </w:r>
          </w:p>
        </w:tc>
        <w:tc>
          <w:tcPr>
            <w:tcW w:w="1535" w:type="dxa"/>
          </w:tcPr>
          <w:p w:rsidR="006C1917" w:rsidRPr="00F43B97" w:rsidRDefault="006C1917" w:rsidP="00F43B97">
            <w:pPr>
              <w:spacing w:line="360" w:lineRule="auto"/>
              <w:rPr>
                <w:sz w:val="20"/>
                <w:szCs w:val="20"/>
              </w:rPr>
            </w:pPr>
            <w:r w:rsidRPr="00F43B97">
              <w:rPr>
                <w:sz w:val="20"/>
                <w:szCs w:val="20"/>
              </w:rPr>
              <w:t>0,1</w:t>
            </w:r>
          </w:p>
        </w:tc>
        <w:tc>
          <w:tcPr>
            <w:tcW w:w="1535" w:type="dxa"/>
          </w:tcPr>
          <w:p w:rsidR="006C1917" w:rsidRPr="00F43B97" w:rsidRDefault="006C1917" w:rsidP="00F43B97">
            <w:pPr>
              <w:spacing w:line="360" w:lineRule="auto"/>
              <w:rPr>
                <w:sz w:val="20"/>
                <w:szCs w:val="20"/>
              </w:rPr>
            </w:pPr>
            <w:r w:rsidRPr="00F43B97">
              <w:rPr>
                <w:sz w:val="20"/>
                <w:szCs w:val="20"/>
              </w:rPr>
              <w:t>0,2</w:t>
            </w:r>
          </w:p>
        </w:tc>
        <w:tc>
          <w:tcPr>
            <w:tcW w:w="1536" w:type="dxa"/>
          </w:tcPr>
          <w:p w:rsidR="006C1917" w:rsidRPr="00F43B97" w:rsidRDefault="006C1917" w:rsidP="00F43B97">
            <w:pPr>
              <w:spacing w:line="360" w:lineRule="auto"/>
              <w:rPr>
                <w:sz w:val="20"/>
                <w:szCs w:val="20"/>
              </w:rPr>
            </w:pPr>
            <w:r w:rsidRPr="00F43B97">
              <w:rPr>
                <w:sz w:val="20"/>
                <w:szCs w:val="20"/>
              </w:rPr>
              <w:t>0,32</w:t>
            </w:r>
          </w:p>
        </w:tc>
        <w:tc>
          <w:tcPr>
            <w:tcW w:w="1536" w:type="dxa"/>
          </w:tcPr>
          <w:p w:rsidR="006C1917" w:rsidRPr="00F43B97" w:rsidRDefault="006C1917" w:rsidP="00F43B97">
            <w:pPr>
              <w:spacing w:line="360" w:lineRule="auto"/>
              <w:rPr>
                <w:sz w:val="20"/>
                <w:szCs w:val="20"/>
              </w:rPr>
            </w:pPr>
            <w:r w:rsidRPr="00F43B97">
              <w:rPr>
                <w:sz w:val="20"/>
                <w:szCs w:val="20"/>
              </w:rPr>
              <w:t>0,9</w:t>
            </w:r>
          </w:p>
        </w:tc>
      </w:tr>
      <w:tr w:rsidR="006C1917" w:rsidRPr="00F420AA" w:rsidTr="00F43B97">
        <w:tc>
          <w:tcPr>
            <w:tcW w:w="1535" w:type="dxa"/>
          </w:tcPr>
          <w:p w:rsidR="006C1917" w:rsidRPr="00F43B97" w:rsidRDefault="006C1917" w:rsidP="00F43B97">
            <w:pPr>
              <w:spacing w:line="360" w:lineRule="auto"/>
              <w:rPr>
                <w:b/>
                <w:color w:val="FF0000"/>
                <w:sz w:val="20"/>
                <w:szCs w:val="20"/>
              </w:rPr>
            </w:pPr>
            <w:r w:rsidRPr="00F43B97">
              <w:rPr>
                <w:b/>
                <w:color w:val="FF0000"/>
                <w:sz w:val="20"/>
                <w:szCs w:val="20"/>
              </w:rPr>
              <w:t>TnT</w:t>
            </w:r>
          </w:p>
          <w:p w:rsidR="006C1917" w:rsidRPr="00F43B97" w:rsidRDefault="006C1917" w:rsidP="00F43B97">
            <w:pPr>
              <w:spacing w:line="360" w:lineRule="auto"/>
              <w:rPr>
                <w:b/>
                <w:sz w:val="20"/>
                <w:szCs w:val="20"/>
              </w:rPr>
            </w:pPr>
            <w:r w:rsidRPr="00F43B97">
              <w:rPr>
                <w:b/>
                <w:sz w:val="20"/>
                <w:szCs w:val="20"/>
              </w:rPr>
              <w:t>Roche Diagnostics</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Elecsys E170</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0,01</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0,01</w:t>
            </w:r>
          </w:p>
        </w:tc>
        <w:tc>
          <w:tcPr>
            <w:tcW w:w="1536"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0,03</w:t>
            </w:r>
          </w:p>
        </w:tc>
        <w:tc>
          <w:tcPr>
            <w:tcW w:w="1536"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0,1</w:t>
            </w:r>
          </w:p>
        </w:tc>
      </w:tr>
      <w:tr w:rsidR="006C1917" w:rsidRPr="00F420AA" w:rsidTr="00F43B97">
        <w:tc>
          <w:tcPr>
            <w:tcW w:w="1535" w:type="dxa"/>
          </w:tcPr>
          <w:p w:rsidR="006C1917" w:rsidRPr="00F43B97" w:rsidRDefault="006C1917" w:rsidP="00F43B97">
            <w:pPr>
              <w:spacing w:line="360" w:lineRule="auto"/>
              <w:rPr>
                <w:b/>
                <w:sz w:val="20"/>
                <w:szCs w:val="20"/>
              </w:rPr>
            </w:pPr>
            <w:r w:rsidRPr="00F43B97">
              <w:rPr>
                <w:b/>
                <w:sz w:val="20"/>
                <w:szCs w:val="20"/>
              </w:rPr>
              <w:t>Roche Diagnostics-high sensitive</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Elecsys E170</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0,001</w:t>
            </w:r>
          </w:p>
        </w:tc>
        <w:tc>
          <w:tcPr>
            <w:tcW w:w="1535"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0,013</w:t>
            </w:r>
          </w:p>
        </w:tc>
        <w:tc>
          <w:tcPr>
            <w:tcW w:w="1536"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0,013</w:t>
            </w:r>
          </w:p>
        </w:tc>
        <w:tc>
          <w:tcPr>
            <w:tcW w:w="1536" w:type="dxa"/>
          </w:tcPr>
          <w:p w:rsidR="006C1917" w:rsidRPr="00F43B97" w:rsidRDefault="006C1917" w:rsidP="00F43B97">
            <w:pPr>
              <w:spacing w:line="360" w:lineRule="auto"/>
              <w:rPr>
                <w:sz w:val="20"/>
                <w:szCs w:val="20"/>
              </w:rPr>
            </w:pPr>
          </w:p>
          <w:p w:rsidR="006C1917" w:rsidRPr="00F43B97" w:rsidRDefault="006C1917" w:rsidP="00F43B97">
            <w:pPr>
              <w:spacing w:line="360" w:lineRule="auto"/>
              <w:rPr>
                <w:sz w:val="20"/>
                <w:szCs w:val="20"/>
              </w:rPr>
            </w:pPr>
            <w:r w:rsidRPr="00F43B97">
              <w:rPr>
                <w:sz w:val="20"/>
                <w:szCs w:val="20"/>
              </w:rPr>
              <w:t>0,1</w:t>
            </w:r>
          </w:p>
        </w:tc>
      </w:tr>
    </w:tbl>
    <w:p w:rsidR="006C1917" w:rsidRPr="00F420AA" w:rsidRDefault="006C1917" w:rsidP="00B30FCA">
      <w:pPr>
        <w:pStyle w:val="Nadpis2"/>
        <w:ind w:left="578" w:hanging="578"/>
        <w:rPr>
          <w:sz w:val="24"/>
          <w:szCs w:val="24"/>
        </w:rPr>
      </w:pPr>
      <w:r w:rsidRPr="00B30FCA">
        <w:lastRenderedPageBreak/>
        <w:t xml:space="preserve"> </w:t>
      </w:r>
      <w:bookmarkStart w:id="26" w:name="_Toc422993237"/>
      <w:r w:rsidRPr="00B30FCA">
        <w:t>Normální hodnoty troponinů</w:t>
      </w:r>
      <w:bookmarkEnd w:id="26"/>
      <w:r w:rsidRPr="00F420AA">
        <w:rPr>
          <w:sz w:val="24"/>
          <w:szCs w:val="24"/>
        </w:rPr>
        <w:t xml:space="preserve"> </w:t>
      </w:r>
    </w:p>
    <w:p w:rsidR="006C1917" w:rsidRPr="00F420AA" w:rsidRDefault="006C1917" w:rsidP="002A5827">
      <w:pPr>
        <w:spacing w:line="360" w:lineRule="auto"/>
        <w:jc w:val="both"/>
        <w:rPr>
          <w:sz w:val="24"/>
          <w:szCs w:val="24"/>
        </w:rPr>
      </w:pPr>
      <w:r w:rsidRPr="00F420AA">
        <w:rPr>
          <w:sz w:val="24"/>
          <w:szCs w:val="24"/>
        </w:rPr>
        <w:t>Normální hodnota troponinu je stanovena jako 99.</w:t>
      </w:r>
      <w:r>
        <w:rPr>
          <w:sz w:val="24"/>
          <w:szCs w:val="24"/>
        </w:rPr>
        <w:t xml:space="preserve"> </w:t>
      </w:r>
      <w:r w:rsidRPr="00F420AA">
        <w:rPr>
          <w:sz w:val="24"/>
          <w:szCs w:val="24"/>
        </w:rPr>
        <w:t>percentil výsky</w:t>
      </w:r>
      <w:r>
        <w:rPr>
          <w:sz w:val="24"/>
          <w:szCs w:val="24"/>
        </w:rPr>
        <w:t xml:space="preserve">tu hladin ve zdravé referenční </w:t>
      </w:r>
      <w:r w:rsidRPr="00F420AA">
        <w:rPr>
          <w:sz w:val="24"/>
          <w:szCs w:val="24"/>
        </w:rPr>
        <w:t>populaci stanovené s analytickou přesností ≤10</w:t>
      </w:r>
      <w:r>
        <w:rPr>
          <w:sz w:val="24"/>
          <w:szCs w:val="24"/>
        </w:rPr>
        <w:t xml:space="preserve"> </w:t>
      </w:r>
      <w:r w:rsidRPr="00F420AA">
        <w:rPr>
          <w:sz w:val="24"/>
          <w:szCs w:val="24"/>
        </w:rPr>
        <w:t xml:space="preserve">%, </w:t>
      </w:r>
      <w:r w:rsidR="00887437">
        <w:rPr>
          <w:sz w:val="24"/>
          <w:szCs w:val="24"/>
        </w:rPr>
        <w:t>respektive hodnota, která je niž</w:t>
      </w:r>
      <w:r w:rsidRPr="00F420AA">
        <w:rPr>
          <w:sz w:val="24"/>
          <w:szCs w:val="24"/>
        </w:rPr>
        <w:t xml:space="preserve">ší. </w:t>
      </w:r>
    </w:p>
    <w:p w:rsidR="006C1917" w:rsidRPr="00F420AA" w:rsidRDefault="006C1917" w:rsidP="002A5827">
      <w:pPr>
        <w:spacing w:line="360" w:lineRule="auto"/>
        <w:jc w:val="both"/>
        <w:rPr>
          <w:sz w:val="24"/>
          <w:szCs w:val="24"/>
        </w:rPr>
      </w:pPr>
      <w:r w:rsidRPr="00F420AA">
        <w:rPr>
          <w:sz w:val="24"/>
          <w:szCs w:val="24"/>
        </w:rPr>
        <w:t>Pro high sensitivní troponin T (Roche©) jde o hodnotu 0,013 ug/l (</w:t>
      </w:r>
      <w:r w:rsidR="009856C9">
        <w:rPr>
          <w:sz w:val="24"/>
          <w:szCs w:val="24"/>
        </w:rPr>
        <w:t xml:space="preserve">ref. </w:t>
      </w:r>
      <w:r w:rsidRPr="00F420AA">
        <w:rPr>
          <w:sz w:val="24"/>
          <w:szCs w:val="24"/>
        </w:rPr>
        <w:t>3, strana 20), pro systémy stanovující troponin I jsou jednotlivé hodnoty kalibrovány ve vztahu k použitým diagnostickým setům, například set použitý v naší práci byl od firmy Abbott, systém Architect, 99.</w:t>
      </w:r>
      <w:r>
        <w:rPr>
          <w:sz w:val="24"/>
          <w:szCs w:val="24"/>
        </w:rPr>
        <w:t xml:space="preserve"> </w:t>
      </w:r>
      <w:r w:rsidRPr="00F420AA">
        <w:rPr>
          <w:sz w:val="24"/>
          <w:szCs w:val="24"/>
        </w:rPr>
        <w:t>percentilu s danou odchylkou odpovídala hodnota 0,06 ug/l. Jako referenční populace je daná dospělá populace (</w:t>
      </w:r>
      <w:r w:rsidR="009856C9">
        <w:rPr>
          <w:sz w:val="24"/>
          <w:szCs w:val="24"/>
        </w:rPr>
        <w:t xml:space="preserve">ref. </w:t>
      </w:r>
      <w:r w:rsidRPr="00F420AA">
        <w:rPr>
          <w:sz w:val="24"/>
          <w:szCs w:val="24"/>
        </w:rPr>
        <w:t>3, strana 19).</w:t>
      </w:r>
      <w:r>
        <w:rPr>
          <w:sz w:val="24"/>
          <w:szCs w:val="24"/>
        </w:rPr>
        <w:t xml:space="preserve"> Zpravidla se je</w:t>
      </w:r>
      <w:r w:rsidRPr="00F420AA">
        <w:rPr>
          <w:sz w:val="24"/>
          <w:szCs w:val="24"/>
        </w:rPr>
        <w:t>dná o jedince ve věku 17</w:t>
      </w:r>
      <w:r>
        <w:rPr>
          <w:sz w:val="24"/>
          <w:szCs w:val="24"/>
        </w:rPr>
        <w:t>–</w:t>
      </w:r>
      <w:r w:rsidRPr="00F420AA">
        <w:rPr>
          <w:sz w:val="24"/>
          <w:szCs w:val="24"/>
        </w:rPr>
        <w:t>60 let.</w:t>
      </w:r>
    </w:p>
    <w:p w:rsidR="006C1917" w:rsidRPr="00F420AA" w:rsidRDefault="006C1917" w:rsidP="002A5827">
      <w:pPr>
        <w:spacing w:line="360" w:lineRule="auto"/>
        <w:jc w:val="both"/>
        <w:rPr>
          <w:sz w:val="24"/>
          <w:szCs w:val="24"/>
        </w:rPr>
      </w:pPr>
      <w:r w:rsidRPr="00F420AA">
        <w:rPr>
          <w:sz w:val="24"/>
          <w:szCs w:val="24"/>
        </w:rPr>
        <w:t xml:space="preserve">Se vzestupující senzitivitou užitých esejí můžeme vysledovat několik specifických problémů: Zejména jde o pacienty vysokého věku trpící přidruženými chorobami jako je renální insuficience, srdeční selhání, plicní embolie, CMP, takotsubo kardiomyopatie </w:t>
      </w:r>
      <w:r>
        <w:rPr>
          <w:sz w:val="24"/>
          <w:szCs w:val="24"/>
        </w:rPr>
        <w:br/>
      </w:r>
      <w:r w:rsidRPr="00F420AA">
        <w:rPr>
          <w:sz w:val="24"/>
          <w:szCs w:val="24"/>
        </w:rPr>
        <w:t>a jiné.</w:t>
      </w:r>
      <w:r>
        <w:rPr>
          <w:sz w:val="24"/>
          <w:szCs w:val="24"/>
        </w:rPr>
        <w:t xml:space="preserve"> </w:t>
      </w:r>
      <w:r w:rsidR="00D47F63">
        <w:rPr>
          <w:sz w:val="24"/>
          <w:szCs w:val="24"/>
        </w:rPr>
        <w:t>(3,19,21,52</w:t>
      </w:r>
      <w:r>
        <w:rPr>
          <w:sz w:val="24"/>
          <w:szCs w:val="24"/>
        </w:rPr>
        <w:t>–</w:t>
      </w:r>
      <w:r w:rsidR="00D47F63">
        <w:rPr>
          <w:sz w:val="24"/>
          <w:szCs w:val="24"/>
        </w:rPr>
        <w:t>53</w:t>
      </w:r>
      <w:r w:rsidRPr="00F420AA">
        <w:rPr>
          <w:sz w:val="24"/>
          <w:szCs w:val="24"/>
        </w:rPr>
        <w:t>). Tyto diagnózy ovlivňují signifikantně hladiny troponinu. Pro tyto onemocnění jsou typické nízké hladiny troponinu přesahující ovšem 99.</w:t>
      </w:r>
      <w:r>
        <w:rPr>
          <w:sz w:val="24"/>
          <w:szCs w:val="24"/>
        </w:rPr>
        <w:t xml:space="preserve"> </w:t>
      </w:r>
      <w:r w:rsidRPr="00F420AA">
        <w:rPr>
          <w:sz w:val="24"/>
          <w:szCs w:val="24"/>
        </w:rPr>
        <w:t>percentil. Takoví nemocní tak mají hodnoty troponinu zvýšené permanentně a diagnostický význam při případné ischemii se ztrácí. U těchto nemocných jde při podezření na akutní koronární syndrom zvážit použití principu delta.</w:t>
      </w:r>
    </w:p>
    <w:p w:rsidR="006C1917" w:rsidRPr="00F420AA" w:rsidRDefault="001830B1" w:rsidP="002A5827">
      <w:pPr>
        <w:tabs>
          <w:tab w:val="left" w:pos="9072"/>
        </w:tabs>
        <w:spacing w:line="360" w:lineRule="auto"/>
        <w:jc w:val="both"/>
        <w:rPr>
          <w:sz w:val="24"/>
          <w:szCs w:val="24"/>
        </w:rPr>
      </w:pPr>
      <w:r>
        <w:rPr>
          <w:sz w:val="24"/>
          <w:szCs w:val="24"/>
        </w:rPr>
        <w:t>Na druhé straně</w:t>
      </w:r>
      <w:r w:rsidR="006C1917" w:rsidRPr="00F420AA">
        <w:rPr>
          <w:sz w:val="24"/>
          <w:szCs w:val="24"/>
        </w:rPr>
        <w:t xml:space="preserve"> stojí fakt, že přisuzovat nízce zvýšené hodnoty troponinu pacientově polymorbiditě bez další klinické interpretace</w:t>
      </w:r>
      <w:r w:rsidR="006C1917">
        <w:rPr>
          <w:sz w:val="24"/>
          <w:szCs w:val="24"/>
        </w:rPr>
        <w:t xml:space="preserve"> je nesprávné. Ač</w:t>
      </w:r>
      <w:r w:rsidR="006C1917" w:rsidRPr="00F420AA">
        <w:rPr>
          <w:sz w:val="24"/>
          <w:szCs w:val="24"/>
        </w:rPr>
        <w:t xml:space="preserve"> nízké hladiny nemusí signalizovat přítomnost akutní ischemie, jejich prediktivní význam stran pacientovy prognózy se diskutuje: Schwinkelsova práce z roku 2006 sice shrnuje, že nemoc</w:t>
      </w:r>
      <w:r w:rsidR="009856C9">
        <w:rPr>
          <w:sz w:val="24"/>
          <w:szCs w:val="24"/>
        </w:rPr>
        <w:t>ní bez bolesti na hrudníku s poz</w:t>
      </w:r>
      <w:r w:rsidR="006C1917" w:rsidRPr="00F420AA">
        <w:rPr>
          <w:sz w:val="24"/>
          <w:szCs w:val="24"/>
        </w:rPr>
        <w:t>itivitou troponinu I měli vysokou 1 roční mortalitu 63</w:t>
      </w:r>
      <w:r w:rsidR="006C1917">
        <w:rPr>
          <w:sz w:val="24"/>
          <w:szCs w:val="24"/>
        </w:rPr>
        <w:t xml:space="preserve"> </w:t>
      </w:r>
      <w:r w:rsidR="006C1917" w:rsidRPr="00F420AA">
        <w:rPr>
          <w:sz w:val="24"/>
          <w:szCs w:val="24"/>
        </w:rPr>
        <w:t>% (v reálu šlo však pouze o 26 jedinců, polovina z nich zemřela na srdeční onemocnění)</w:t>
      </w:r>
      <w:r w:rsidR="006C1917">
        <w:rPr>
          <w:sz w:val="24"/>
          <w:szCs w:val="24"/>
        </w:rPr>
        <w:t xml:space="preserve"> –</w:t>
      </w:r>
      <w:r w:rsidR="00D47F63">
        <w:rPr>
          <w:sz w:val="24"/>
          <w:szCs w:val="24"/>
        </w:rPr>
        <w:t xml:space="preserve"> (</w:t>
      </w:r>
      <w:r w:rsidR="009856C9">
        <w:rPr>
          <w:sz w:val="24"/>
          <w:szCs w:val="24"/>
        </w:rPr>
        <w:t xml:space="preserve">ref. </w:t>
      </w:r>
      <w:r w:rsidR="00D47F63">
        <w:rPr>
          <w:sz w:val="24"/>
          <w:szCs w:val="24"/>
        </w:rPr>
        <w:t>36</w:t>
      </w:r>
      <w:r w:rsidR="006C1917" w:rsidRPr="00F420AA">
        <w:rPr>
          <w:sz w:val="24"/>
          <w:szCs w:val="24"/>
        </w:rPr>
        <w:t xml:space="preserve">), naopak práce </w:t>
      </w:r>
      <w:r w:rsidR="006C1917">
        <w:rPr>
          <w:sz w:val="24"/>
          <w:szCs w:val="24"/>
        </w:rPr>
        <w:br/>
      </w:r>
      <w:r w:rsidR="006C1917" w:rsidRPr="00F420AA">
        <w:rPr>
          <w:sz w:val="24"/>
          <w:szCs w:val="24"/>
        </w:rPr>
        <w:t>Mayera O. jr z roku 2014, která stanovovala troponin I u nemocných po infarktu (subanalýza studie EUROASPIRE III) toto nepotvrzuje (</w:t>
      </w:r>
      <w:r w:rsidR="00D47F63">
        <w:rPr>
          <w:color w:val="000000"/>
          <w:sz w:val="24"/>
          <w:szCs w:val="24"/>
        </w:rPr>
        <w:t>55</w:t>
      </w:r>
      <w:r w:rsidR="006C1917" w:rsidRPr="00F420AA">
        <w:rPr>
          <w:color w:val="000000"/>
          <w:sz w:val="24"/>
          <w:szCs w:val="24"/>
        </w:rPr>
        <w:t>)</w:t>
      </w:r>
      <w:r w:rsidR="009856C9">
        <w:rPr>
          <w:color w:val="000000"/>
          <w:sz w:val="24"/>
          <w:szCs w:val="24"/>
        </w:rPr>
        <w:t>.</w:t>
      </w:r>
    </w:p>
    <w:p w:rsidR="006C1917" w:rsidRDefault="006C1917" w:rsidP="001B3816">
      <w:pPr>
        <w:tabs>
          <w:tab w:val="left" w:pos="9072"/>
        </w:tabs>
        <w:spacing w:line="360" w:lineRule="auto"/>
        <w:jc w:val="both"/>
        <w:rPr>
          <w:sz w:val="24"/>
          <w:szCs w:val="24"/>
        </w:rPr>
      </w:pPr>
      <w:r w:rsidRPr="00F420AA">
        <w:rPr>
          <w:color w:val="000000"/>
          <w:sz w:val="24"/>
          <w:szCs w:val="24"/>
        </w:rPr>
        <w:t xml:space="preserve">U troponinu T </w:t>
      </w:r>
      <w:r w:rsidR="00887437">
        <w:rPr>
          <w:color w:val="000000"/>
          <w:sz w:val="24"/>
          <w:szCs w:val="24"/>
        </w:rPr>
        <w:t>je situace složitější, počet poz</w:t>
      </w:r>
      <w:r w:rsidRPr="00F420AA">
        <w:rPr>
          <w:color w:val="000000"/>
          <w:sz w:val="24"/>
          <w:szCs w:val="24"/>
        </w:rPr>
        <w:t>itivních n</w:t>
      </w:r>
      <w:r>
        <w:rPr>
          <w:color w:val="000000"/>
          <w:sz w:val="24"/>
          <w:szCs w:val="24"/>
        </w:rPr>
        <w:t>álezů u polymorbidních pacientů</w:t>
      </w:r>
      <w:r w:rsidRPr="00F420AA">
        <w:rPr>
          <w:color w:val="000000"/>
          <w:sz w:val="24"/>
          <w:szCs w:val="24"/>
        </w:rPr>
        <w:t xml:space="preserve">, například se stabilizovaným srdečním selháním, bez nálezu akutního koronárního syndromu je vyšší </w:t>
      </w:r>
      <w:r w:rsidRPr="00F420AA">
        <w:rPr>
          <w:sz w:val="24"/>
          <w:szCs w:val="24"/>
        </w:rPr>
        <w:t>(</w:t>
      </w:r>
      <w:r w:rsidR="00D47F63">
        <w:rPr>
          <w:color w:val="000000"/>
          <w:sz w:val="24"/>
          <w:szCs w:val="24"/>
        </w:rPr>
        <w:t>56</w:t>
      </w:r>
      <w:r w:rsidRPr="00F420AA">
        <w:rPr>
          <w:color w:val="000000"/>
          <w:sz w:val="24"/>
          <w:szCs w:val="24"/>
        </w:rPr>
        <w:t>) – konkrétně 46</w:t>
      </w:r>
      <w:r>
        <w:rPr>
          <w:color w:val="000000"/>
          <w:sz w:val="24"/>
          <w:szCs w:val="24"/>
        </w:rPr>
        <w:t xml:space="preserve"> </w:t>
      </w:r>
      <w:r w:rsidRPr="00F420AA">
        <w:rPr>
          <w:color w:val="000000"/>
          <w:sz w:val="24"/>
          <w:szCs w:val="24"/>
        </w:rPr>
        <w:t>% souboru.</w:t>
      </w:r>
    </w:p>
    <w:p w:rsidR="006C1917" w:rsidRPr="001B3816" w:rsidRDefault="006C1917" w:rsidP="001B3816">
      <w:pPr>
        <w:tabs>
          <w:tab w:val="left" w:pos="9072"/>
        </w:tabs>
        <w:spacing w:line="360" w:lineRule="auto"/>
        <w:jc w:val="both"/>
        <w:rPr>
          <w:sz w:val="24"/>
          <w:szCs w:val="24"/>
        </w:rPr>
      </w:pPr>
      <w:r w:rsidRPr="00F420AA">
        <w:rPr>
          <w:color w:val="000000"/>
          <w:sz w:val="24"/>
          <w:szCs w:val="24"/>
        </w:rPr>
        <w:lastRenderedPageBreak/>
        <w:t>Podobná situace je i na druhé straně věkového spektra: U novorozenců je normální hodnota troponinu T pravděpodoně vyšší než u zdravý</w:t>
      </w:r>
      <w:r w:rsidR="00D47F63">
        <w:rPr>
          <w:color w:val="000000"/>
          <w:sz w:val="24"/>
          <w:szCs w:val="24"/>
        </w:rPr>
        <w:t>ch dospělých. Práce Adamcové (57</w:t>
      </w:r>
      <w:r w:rsidRPr="00F420AA">
        <w:rPr>
          <w:color w:val="000000"/>
          <w:sz w:val="24"/>
          <w:szCs w:val="24"/>
        </w:rPr>
        <w:t>) udává analýzou 10 vzorků pupečníkové</w:t>
      </w:r>
      <w:r>
        <w:rPr>
          <w:color w:val="000000"/>
          <w:sz w:val="24"/>
          <w:szCs w:val="24"/>
        </w:rPr>
        <w:t xml:space="preserve"> </w:t>
      </w:r>
      <w:r w:rsidRPr="00F420AA">
        <w:rPr>
          <w:color w:val="000000"/>
          <w:sz w:val="24"/>
          <w:szCs w:val="24"/>
        </w:rPr>
        <w:t xml:space="preserve">krve zdravých novorozenců hodnotu troponinu T </w:t>
      </w:r>
      <w:r>
        <w:rPr>
          <w:color w:val="000000"/>
          <w:sz w:val="24"/>
          <w:szCs w:val="24"/>
        </w:rPr>
        <w:br/>
      </w:r>
      <w:r w:rsidRPr="00F420AA">
        <w:rPr>
          <w:color w:val="000000"/>
          <w:sz w:val="24"/>
          <w:szCs w:val="24"/>
        </w:rPr>
        <w:t>0,05±0,04 ug/l, která je čtyřikrát vyšší než mezní hodnota (99.</w:t>
      </w:r>
      <w:r>
        <w:rPr>
          <w:color w:val="000000"/>
          <w:sz w:val="24"/>
          <w:szCs w:val="24"/>
        </w:rPr>
        <w:t xml:space="preserve"> </w:t>
      </w:r>
      <w:r w:rsidRPr="00F420AA">
        <w:rPr>
          <w:color w:val="000000"/>
          <w:sz w:val="24"/>
          <w:szCs w:val="24"/>
        </w:rPr>
        <w:t>percentil)</w:t>
      </w:r>
      <w:r w:rsidR="009856C9">
        <w:rPr>
          <w:color w:val="000000"/>
          <w:sz w:val="24"/>
          <w:szCs w:val="24"/>
        </w:rPr>
        <w:t xml:space="preserve"> </w:t>
      </w:r>
      <w:r w:rsidRPr="00F420AA">
        <w:rPr>
          <w:color w:val="000000"/>
          <w:sz w:val="24"/>
          <w:szCs w:val="24"/>
        </w:rPr>
        <w:t xml:space="preserve">v dospělé populaci, </w:t>
      </w:r>
      <w:r>
        <w:rPr>
          <w:color w:val="000000"/>
          <w:sz w:val="24"/>
          <w:szCs w:val="24"/>
        </w:rPr>
        <w:br/>
      </w:r>
      <w:r w:rsidRPr="00F420AA">
        <w:rPr>
          <w:color w:val="000000"/>
          <w:sz w:val="24"/>
          <w:szCs w:val="24"/>
        </w:rPr>
        <w:t>(99.</w:t>
      </w:r>
      <w:r>
        <w:rPr>
          <w:color w:val="000000"/>
          <w:sz w:val="24"/>
          <w:szCs w:val="24"/>
        </w:rPr>
        <w:t xml:space="preserve"> </w:t>
      </w:r>
      <w:r w:rsidRPr="00F420AA">
        <w:rPr>
          <w:color w:val="000000"/>
          <w:sz w:val="24"/>
          <w:szCs w:val="24"/>
        </w:rPr>
        <w:t>percentil hodnot zdravé novorozenecké populace bude patrně ještě vyšší, z takto malého vzorku nelze spolehlivě spočíta</w:t>
      </w:r>
      <w:r w:rsidR="00D47F63">
        <w:rPr>
          <w:color w:val="000000"/>
          <w:sz w:val="24"/>
          <w:szCs w:val="24"/>
        </w:rPr>
        <w:t>t). Oproti tomu práce Clarka (58</w:t>
      </w:r>
      <w:r w:rsidRPr="00F420AA">
        <w:rPr>
          <w:color w:val="000000"/>
          <w:sz w:val="24"/>
          <w:szCs w:val="24"/>
        </w:rPr>
        <w:t xml:space="preserve">) toto v souboru </w:t>
      </w:r>
      <w:r>
        <w:rPr>
          <w:color w:val="000000"/>
          <w:sz w:val="24"/>
          <w:szCs w:val="24"/>
        </w:rPr>
        <w:br/>
      </w:r>
      <w:r w:rsidRPr="00F420AA">
        <w:rPr>
          <w:color w:val="000000"/>
          <w:sz w:val="24"/>
          <w:szCs w:val="24"/>
        </w:rPr>
        <w:t>242 novorozenců nepotvrd</w:t>
      </w:r>
      <w:r w:rsidR="00981399">
        <w:rPr>
          <w:color w:val="000000"/>
          <w:sz w:val="24"/>
          <w:szCs w:val="24"/>
        </w:rPr>
        <w:t xml:space="preserve"> </w:t>
      </w:r>
      <w:r w:rsidRPr="00F420AA">
        <w:rPr>
          <w:color w:val="000000"/>
          <w:sz w:val="24"/>
          <w:szCs w:val="24"/>
        </w:rPr>
        <w:t>ila. Zvýšené hodnoty troponinu I v pupečníkové krvi jednoznačně známy nejsou: Nízké hodnoty troponinu I i T u 85 zdravých novoro</w:t>
      </w:r>
      <w:r w:rsidR="00D47F63">
        <w:rPr>
          <w:color w:val="000000"/>
          <w:sz w:val="24"/>
          <w:szCs w:val="24"/>
        </w:rPr>
        <w:t>zenců konstatuje Trevisanuto (54</w:t>
      </w:r>
      <w:r w:rsidRPr="00F420AA">
        <w:rPr>
          <w:color w:val="000000"/>
          <w:sz w:val="24"/>
          <w:szCs w:val="24"/>
        </w:rPr>
        <w:t>),</w:t>
      </w:r>
      <w:r>
        <w:rPr>
          <w:color w:val="000000"/>
          <w:sz w:val="24"/>
          <w:szCs w:val="24"/>
        </w:rPr>
        <w:t xml:space="preserve"> </w:t>
      </w:r>
      <w:r w:rsidRPr="00F420AA">
        <w:rPr>
          <w:color w:val="000000"/>
          <w:sz w:val="24"/>
          <w:szCs w:val="24"/>
        </w:rPr>
        <w:t>naopak soubor třinácti asfyktických novorozenců</w:t>
      </w:r>
      <w:r w:rsidR="00D47F63">
        <w:rPr>
          <w:color w:val="000000"/>
          <w:sz w:val="24"/>
          <w:szCs w:val="24"/>
        </w:rPr>
        <w:t xml:space="preserve"> v jiné práci stejné autorky (59</w:t>
      </w:r>
      <w:r w:rsidRPr="00F420AA">
        <w:rPr>
          <w:color w:val="000000"/>
          <w:sz w:val="24"/>
          <w:szCs w:val="24"/>
        </w:rPr>
        <w:t>) vykazuje</w:t>
      </w:r>
      <w:r>
        <w:rPr>
          <w:color w:val="000000"/>
          <w:sz w:val="24"/>
          <w:szCs w:val="24"/>
        </w:rPr>
        <w:t xml:space="preserve"> jasnou pozitivitu troponinu I. </w:t>
      </w:r>
      <w:r w:rsidR="005F7488">
        <w:rPr>
          <w:color w:val="000000"/>
          <w:sz w:val="24"/>
          <w:szCs w:val="24"/>
        </w:rPr>
        <w:t>Práce Katiací (60</w:t>
      </w:r>
      <w:r w:rsidRPr="00F420AA">
        <w:rPr>
          <w:color w:val="000000"/>
          <w:sz w:val="24"/>
          <w:szCs w:val="24"/>
        </w:rPr>
        <w:t>) na vzorku 206 zralých novorozenců jednoznačně zvýšené hodnoty troponinu I prokazuje.</w:t>
      </w:r>
    </w:p>
    <w:p w:rsidR="006C1917" w:rsidRPr="00F420AA" w:rsidRDefault="006C1917" w:rsidP="002A5827">
      <w:pPr>
        <w:spacing w:line="360" w:lineRule="auto"/>
        <w:jc w:val="both"/>
        <w:rPr>
          <w:color w:val="000000"/>
          <w:sz w:val="24"/>
          <w:szCs w:val="24"/>
        </w:rPr>
      </w:pPr>
      <w:r w:rsidRPr="00F420AA">
        <w:rPr>
          <w:color w:val="000000"/>
          <w:sz w:val="24"/>
          <w:szCs w:val="24"/>
        </w:rPr>
        <w:t xml:space="preserve">Výsledky prací stanovujících u novorozenců troponin I ovšem mohou být zpochybněny, protože ve fetálním období a do 9. měsíce postnatálního vývoje je v srdci exprimována svalová forma troponinu I, exprese kardiální formy troponinu I vzrůstá postupně, komerční testy při myokardiálním poškození detekují pochopitelně pouze srdeční formu troponinu I. Interindividuálně tedy mohou hodnoty troponinu I v peripartálním období vykazovat značné odchylky, užití troponinu I u této věkové skupiny tedy není jednoznačně doporučeno </w:t>
      </w:r>
      <w:r>
        <w:rPr>
          <w:color w:val="000000"/>
          <w:sz w:val="24"/>
          <w:szCs w:val="24"/>
        </w:rPr>
        <w:br/>
      </w:r>
      <w:r w:rsidRPr="00F420AA">
        <w:rPr>
          <w:color w:val="000000"/>
          <w:sz w:val="24"/>
          <w:szCs w:val="24"/>
        </w:rPr>
        <w:t>(</w:t>
      </w:r>
      <w:r w:rsidR="009856C9">
        <w:rPr>
          <w:color w:val="000000"/>
          <w:sz w:val="24"/>
          <w:szCs w:val="24"/>
        </w:rPr>
        <w:t xml:space="preserve">ref. </w:t>
      </w:r>
      <w:r w:rsidRPr="00F420AA">
        <w:rPr>
          <w:color w:val="000000"/>
          <w:sz w:val="24"/>
          <w:szCs w:val="24"/>
        </w:rPr>
        <w:t>3, strana 12).</w:t>
      </w:r>
    </w:p>
    <w:p w:rsidR="006C1917" w:rsidRDefault="006C1917" w:rsidP="002A5827">
      <w:pPr>
        <w:spacing w:line="360" w:lineRule="auto"/>
        <w:jc w:val="both"/>
        <w:rPr>
          <w:color w:val="000000"/>
          <w:sz w:val="24"/>
          <w:szCs w:val="24"/>
        </w:rPr>
      </w:pPr>
      <w:r w:rsidRPr="00F420AA">
        <w:rPr>
          <w:color w:val="000000"/>
          <w:sz w:val="24"/>
          <w:szCs w:val="24"/>
        </w:rPr>
        <w:t>Zvýšené hodnoty troponinu u zdravých novorozenců mohou pravděpodobně souviset s fyziolog</w:t>
      </w:r>
      <w:r w:rsidR="005F7488">
        <w:rPr>
          <w:color w:val="000000"/>
          <w:sz w:val="24"/>
          <w:szCs w:val="24"/>
        </w:rPr>
        <w:t>ickou hypoxémií během porodu (</w:t>
      </w:r>
      <w:r w:rsidRPr="00F420AA">
        <w:rPr>
          <w:color w:val="000000"/>
          <w:sz w:val="24"/>
          <w:szCs w:val="24"/>
        </w:rPr>
        <w:t>59</w:t>
      </w:r>
      <w:r w:rsidR="005F7488">
        <w:rPr>
          <w:color w:val="000000"/>
          <w:sz w:val="24"/>
          <w:szCs w:val="24"/>
        </w:rPr>
        <w:t>,61</w:t>
      </w:r>
      <w:r w:rsidRPr="00F420AA">
        <w:rPr>
          <w:color w:val="000000"/>
          <w:sz w:val="24"/>
          <w:szCs w:val="24"/>
        </w:rPr>
        <w:t>), práce, které stanovovaly troponin v pupečníkové krvi</w:t>
      </w:r>
      <w:r>
        <w:rPr>
          <w:color w:val="000000"/>
          <w:sz w:val="24"/>
          <w:szCs w:val="24"/>
        </w:rPr>
        <w:t>,</w:t>
      </w:r>
      <w:r w:rsidRPr="00F420AA">
        <w:rPr>
          <w:color w:val="000000"/>
          <w:sz w:val="24"/>
          <w:szCs w:val="24"/>
        </w:rPr>
        <w:t xml:space="preserve"> ovšem takto jednoduše interpretovat nelze, tam je interval na vyplavení troponinu příliš krátký a jeho elevace může souviset obecně se stresovým nala</w:t>
      </w:r>
      <w:r w:rsidR="005F7488">
        <w:rPr>
          <w:color w:val="000000"/>
          <w:sz w:val="24"/>
          <w:szCs w:val="24"/>
        </w:rPr>
        <w:t>děním organismu během porodu (61</w:t>
      </w:r>
      <w:r w:rsidRPr="00F420AA">
        <w:rPr>
          <w:color w:val="000000"/>
          <w:sz w:val="24"/>
          <w:szCs w:val="24"/>
        </w:rPr>
        <w:t>). Nastavení 99.</w:t>
      </w:r>
      <w:r>
        <w:rPr>
          <w:color w:val="000000"/>
          <w:sz w:val="24"/>
          <w:szCs w:val="24"/>
        </w:rPr>
        <w:t xml:space="preserve"> </w:t>
      </w:r>
      <w:r w:rsidRPr="00F420AA">
        <w:rPr>
          <w:color w:val="000000"/>
          <w:sz w:val="24"/>
          <w:szCs w:val="24"/>
        </w:rPr>
        <w:t xml:space="preserve">percentilu v této věkové skupině však není </w:t>
      </w:r>
      <w:r>
        <w:rPr>
          <w:color w:val="000000"/>
          <w:sz w:val="24"/>
          <w:szCs w:val="24"/>
        </w:rPr>
        <w:br/>
      </w:r>
      <w:r w:rsidRPr="00F420AA">
        <w:rPr>
          <w:color w:val="000000"/>
          <w:sz w:val="24"/>
          <w:szCs w:val="24"/>
        </w:rPr>
        <w:t>a nebude jednoduché, otázkou je, zda to má pro danou věkovou skupinu (novorozenci) zásadní klinický význam.</w:t>
      </w:r>
    </w:p>
    <w:p w:rsidR="006C1917" w:rsidRDefault="006C1917" w:rsidP="002A5827">
      <w:pPr>
        <w:spacing w:line="360" w:lineRule="auto"/>
        <w:jc w:val="both"/>
        <w:rPr>
          <w:color w:val="000000"/>
          <w:sz w:val="24"/>
          <w:szCs w:val="24"/>
        </w:rPr>
      </w:pPr>
    </w:p>
    <w:p w:rsidR="006C1917" w:rsidRPr="00F420AA" w:rsidRDefault="006C1917" w:rsidP="002A5827">
      <w:pPr>
        <w:spacing w:line="360" w:lineRule="auto"/>
        <w:jc w:val="both"/>
        <w:rPr>
          <w:color w:val="000000"/>
          <w:sz w:val="24"/>
          <w:szCs w:val="24"/>
        </w:rPr>
      </w:pPr>
    </w:p>
    <w:p w:rsidR="006C1917" w:rsidRPr="00B90B37" w:rsidRDefault="006C1917" w:rsidP="00B90B37">
      <w:pPr>
        <w:pStyle w:val="Nadpis2"/>
        <w:ind w:left="578" w:hanging="578"/>
      </w:pPr>
      <w:bookmarkStart w:id="27" w:name="_Toc422993238"/>
      <w:r w:rsidRPr="00B90B37">
        <w:lastRenderedPageBreak/>
        <w:t>Sérová dynamika hladin troponinu při myokardiálním poškození</w:t>
      </w:r>
      <w:bookmarkEnd w:id="27"/>
    </w:p>
    <w:p w:rsidR="006C1917" w:rsidRPr="00F420AA" w:rsidRDefault="006C1917" w:rsidP="002A5827">
      <w:pPr>
        <w:spacing w:line="360" w:lineRule="auto"/>
        <w:jc w:val="both"/>
        <w:rPr>
          <w:sz w:val="24"/>
          <w:szCs w:val="24"/>
        </w:rPr>
      </w:pPr>
      <w:r w:rsidRPr="00F420AA">
        <w:rPr>
          <w:sz w:val="24"/>
          <w:szCs w:val="24"/>
        </w:rPr>
        <w:t xml:space="preserve">Jak již bylo řečeno výše </w:t>
      </w:r>
      <w:proofErr w:type="gramStart"/>
      <w:r w:rsidRPr="00F420AA">
        <w:rPr>
          <w:sz w:val="24"/>
          <w:szCs w:val="24"/>
        </w:rPr>
        <w:t>je</w:t>
      </w:r>
      <w:proofErr w:type="gramEnd"/>
      <w:r w:rsidRPr="00F420AA">
        <w:rPr>
          <w:sz w:val="24"/>
          <w:szCs w:val="24"/>
        </w:rPr>
        <w:t xml:space="preserve"> troponin v kardiomyocytu většinově navázán na svalová filamenta, malá část je ho přítomna v cytoplasmě. Při poškození kardiomyocytu tedy rozeznáváme jednak rychlý únik solubilního troponinu, který je patrný již za 1</w:t>
      </w:r>
      <w:r>
        <w:rPr>
          <w:sz w:val="24"/>
          <w:szCs w:val="24"/>
        </w:rPr>
        <w:t>–</w:t>
      </w:r>
      <w:r w:rsidRPr="00F420AA">
        <w:rPr>
          <w:sz w:val="24"/>
          <w:szCs w:val="24"/>
        </w:rPr>
        <w:t>2 hodiny po působení patologické noxy. Dále nastupuje poměrně dlouhé období trvající od</w:t>
      </w:r>
      <w:r>
        <w:rPr>
          <w:sz w:val="24"/>
          <w:szCs w:val="24"/>
        </w:rPr>
        <w:t xml:space="preserve"> několika hodin do 10 až 15 dní, </w:t>
      </w:r>
      <w:r w:rsidRPr="00F420AA">
        <w:rPr>
          <w:sz w:val="24"/>
          <w:szCs w:val="24"/>
        </w:rPr>
        <w:t>během kterého dochází k proteolytické degradaci troponin-tropomyosinového komplexu. Prvních 10 hodin je nárůst sérových hladin troponinu poměrně pomalý. Během tohoto složitého děje dochází k postupnému strukturálnímu uvolňování troponinu, proteolýza postihuje nejprve N a C terminální části cTn, relativně odolnější jsou centrální části, které mohou</w:t>
      </w:r>
      <w:r w:rsidR="00C30D4C">
        <w:rPr>
          <w:sz w:val="24"/>
          <w:szCs w:val="24"/>
        </w:rPr>
        <w:t xml:space="preserve"> být zachovány z 80% i 5 dní (62</w:t>
      </w:r>
      <w:r>
        <w:rPr>
          <w:sz w:val="24"/>
          <w:szCs w:val="24"/>
        </w:rPr>
        <w:t>–</w:t>
      </w:r>
      <w:r w:rsidR="00C30D4C">
        <w:rPr>
          <w:sz w:val="24"/>
          <w:szCs w:val="24"/>
        </w:rPr>
        <w:t>64</w:t>
      </w:r>
      <w:r w:rsidRPr="00F420AA">
        <w:rPr>
          <w:sz w:val="24"/>
          <w:szCs w:val="24"/>
        </w:rPr>
        <w:t xml:space="preserve">), právě větší resistence troponinu I k proteolýze může vést k zablokování centrálních epitopů a k změněné imunoreaktivitě </w:t>
      </w:r>
      <w:r>
        <w:rPr>
          <w:sz w:val="24"/>
          <w:szCs w:val="24"/>
        </w:rPr>
        <w:br/>
      </w:r>
      <w:r w:rsidRPr="00F420AA">
        <w:rPr>
          <w:sz w:val="24"/>
          <w:szCs w:val="24"/>
        </w:rPr>
        <w:t>a k falešně nižšímu výsledku (3, stránka č.</w:t>
      </w:r>
      <w:r>
        <w:rPr>
          <w:sz w:val="24"/>
          <w:szCs w:val="24"/>
        </w:rPr>
        <w:t xml:space="preserve"> 14)</w:t>
      </w:r>
      <w:r w:rsidRPr="00F420AA">
        <w:rPr>
          <w:sz w:val="24"/>
          <w:szCs w:val="24"/>
        </w:rPr>
        <w:t xml:space="preserve">. Klinicky považujeme při diagnostice myokardiální léze za </w:t>
      </w:r>
      <w:proofErr w:type="gramStart"/>
      <w:r w:rsidRPr="00F420AA">
        <w:rPr>
          <w:sz w:val="24"/>
          <w:szCs w:val="24"/>
        </w:rPr>
        <w:t>smysluplné</w:t>
      </w:r>
      <w:proofErr w:type="gramEnd"/>
      <w:r w:rsidRPr="00F420AA">
        <w:rPr>
          <w:sz w:val="24"/>
          <w:szCs w:val="24"/>
        </w:rPr>
        <w:t xml:space="preserve"> vstupní odběr a dále kontrolní za 6</w:t>
      </w:r>
      <w:r>
        <w:rPr>
          <w:sz w:val="24"/>
          <w:szCs w:val="24"/>
        </w:rPr>
        <w:t>–</w:t>
      </w:r>
      <w:r w:rsidR="00C30D4C">
        <w:rPr>
          <w:sz w:val="24"/>
          <w:szCs w:val="24"/>
        </w:rPr>
        <w:t>9 hodin (45</w:t>
      </w:r>
      <w:r w:rsidRPr="00F420AA">
        <w:rPr>
          <w:sz w:val="24"/>
          <w:szCs w:val="24"/>
        </w:rPr>
        <w:t>). V</w:t>
      </w:r>
      <w:r>
        <w:rPr>
          <w:sz w:val="24"/>
          <w:szCs w:val="24"/>
        </w:rPr>
        <w:t>ý</w:t>
      </w:r>
      <w:r w:rsidRPr="00F420AA">
        <w:rPr>
          <w:sz w:val="24"/>
          <w:szCs w:val="24"/>
        </w:rPr>
        <w:t>j</w:t>
      </w:r>
      <w:r>
        <w:rPr>
          <w:sz w:val="24"/>
          <w:szCs w:val="24"/>
        </w:rPr>
        <w:t>i</w:t>
      </w:r>
      <w:r w:rsidRPr="00F420AA">
        <w:rPr>
          <w:sz w:val="24"/>
          <w:szCs w:val="24"/>
        </w:rPr>
        <w:t>mkou je aplikace „principu delta“</w:t>
      </w:r>
      <w:r>
        <w:rPr>
          <w:sz w:val="24"/>
          <w:szCs w:val="24"/>
        </w:rPr>
        <w:t xml:space="preserve"> – viz kapitola 5.2.</w:t>
      </w:r>
    </w:p>
    <w:p w:rsidR="006C1917" w:rsidRPr="00B90B37" w:rsidRDefault="006C1917" w:rsidP="00B90B37">
      <w:pPr>
        <w:pStyle w:val="Nadpis2"/>
        <w:ind w:left="578" w:hanging="578"/>
      </w:pPr>
      <w:bookmarkStart w:id="28" w:name="_Toc422993239"/>
      <w:r w:rsidRPr="00B90B37">
        <w:t>Ostatní markery myokardiálního poškození</w:t>
      </w:r>
      <w:bookmarkEnd w:id="28"/>
    </w:p>
    <w:p w:rsidR="006C1917" w:rsidRDefault="006C1917" w:rsidP="002A5827">
      <w:pPr>
        <w:spacing w:line="360" w:lineRule="auto"/>
        <w:jc w:val="both"/>
        <w:rPr>
          <w:sz w:val="24"/>
          <w:szCs w:val="24"/>
        </w:rPr>
      </w:pPr>
      <w:r w:rsidRPr="00F420AA">
        <w:rPr>
          <w:sz w:val="24"/>
          <w:szCs w:val="24"/>
        </w:rPr>
        <w:t>Dříve užívané markery jako například CKMB a myoglobin postrádají v dnešní době na klinickém významu. CKMB lze alternativně užít v situaci, kdy troponin není k dispozici, jeho senzitivita a specificita je ale významně nižší. V České republice taková situace s vyjímkou technické poruchy laboratorního analyzátoru troponinu nepřipadá v úvahu. CKMB  lze použít v diagnostice reinfarktu myokardu s </w:t>
      </w:r>
      <w:r w:rsidR="000C52EC">
        <w:rPr>
          <w:sz w:val="24"/>
          <w:szCs w:val="24"/>
        </w:rPr>
        <w:t>k</w:t>
      </w:r>
      <w:r w:rsidRPr="00F420AA">
        <w:rPr>
          <w:sz w:val="24"/>
          <w:szCs w:val="24"/>
        </w:rPr>
        <w:t>rátkým odstupem po prvním infa</w:t>
      </w:r>
      <w:r w:rsidR="000C52EC">
        <w:rPr>
          <w:sz w:val="24"/>
          <w:szCs w:val="24"/>
        </w:rPr>
        <w:t>r</w:t>
      </w:r>
      <w:r w:rsidRPr="00F420AA">
        <w:rPr>
          <w:sz w:val="24"/>
          <w:szCs w:val="24"/>
        </w:rPr>
        <w:t>ktu, kdy je hladina troponinu ještě vysoká. Myoglobin jakožto zcela nespecifický marker svalového poškození byl používán pro svůj rychlý nástup vrámci rule-out protokolů, aktuálně však v algoritmu diagnostiky akutního koronárního syndromu významné místo nemá.</w:t>
      </w:r>
    </w:p>
    <w:p w:rsidR="006C1917" w:rsidRPr="00F420AA" w:rsidRDefault="006C1917" w:rsidP="002A5827">
      <w:pPr>
        <w:spacing w:line="360" w:lineRule="auto"/>
        <w:jc w:val="both"/>
        <w:rPr>
          <w:sz w:val="24"/>
          <w:szCs w:val="24"/>
        </w:rPr>
      </w:pPr>
    </w:p>
    <w:p w:rsidR="006C1917" w:rsidRDefault="006C1917">
      <w:pPr>
        <w:spacing w:after="0" w:line="240" w:lineRule="auto"/>
        <w:rPr>
          <w:b/>
          <w:sz w:val="28"/>
          <w:szCs w:val="28"/>
        </w:rPr>
      </w:pPr>
      <w:r>
        <w:rPr>
          <w:b/>
          <w:sz w:val="28"/>
          <w:szCs w:val="28"/>
        </w:rPr>
        <w:br w:type="page"/>
      </w:r>
    </w:p>
    <w:p w:rsidR="006C1917" w:rsidRDefault="006C1917" w:rsidP="00B90B37">
      <w:pPr>
        <w:pStyle w:val="Nadpis1"/>
      </w:pPr>
      <w:bookmarkStart w:id="29" w:name="_Toc422993240"/>
      <w:r w:rsidRPr="00B90B37">
        <w:lastRenderedPageBreak/>
        <w:t>Problematika trvalé kardiostimulace</w:t>
      </w:r>
      <w:bookmarkEnd w:id="29"/>
    </w:p>
    <w:p w:rsidR="006C1917" w:rsidRPr="00B90B37" w:rsidRDefault="006C1917" w:rsidP="00E74064">
      <w:pPr>
        <w:pStyle w:val="Nadpis1"/>
        <w:numPr>
          <w:ilvl w:val="0"/>
          <w:numId w:val="0"/>
        </w:numPr>
      </w:pPr>
    </w:p>
    <w:p w:rsidR="006C1917" w:rsidRPr="004E7EEB" w:rsidRDefault="006C1917" w:rsidP="004E7EEB">
      <w:pPr>
        <w:pStyle w:val="Nadpis2"/>
        <w:ind w:left="578" w:hanging="578"/>
      </w:pPr>
      <w:bookmarkStart w:id="30" w:name="_Toc422993241"/>
      <w:r w:rsidRPr="004E7EEB">
        <w:t>Anatomie a fyziologie převodní soustavy srdeční</w:t>
      </w:r>
      <w:bookmarkEnd w:id="30"/>
      <w:r w:rsidRPr="004E7EEB">
        <w:t xml:space="preserve"> </w:t>
      </w:r>
    </w:p>
    <w:p w:rsidR="006C1917" w:rsidRPr="00F420AA" w:rsidRDefault="006C1917" w:rsidP="002A5827">
      <w:pPr>
        <w:spacing w:line="360" w:lineRule="auto"/>
        <w:jc w:val="both"/>
        <w:rPr>
          <w:sz w:val="24"/>
          <w:szCs w:val="24"/>
        </w:rPr>
      </w:pPr>
      <w:r w:rsidRPr="00F420AA">
        <w:rPr>
          <w:sz w:val="24"/>
          <w:szCs w:val="24"/>
        </w:rPr>
        <w:t>Srdeční vzruch je tvořen v sinoatriálním uzlu, který sedí na stropu pravé síně. Sinoatriální uzel obsahuje buňky, které generují akční potenciál s pomalou depolarizací. Pomalá depolarizace je charakterizována následujícími vlastnostmi: Klidový potenciál dosahuje méně negativních hodnot, dále proces depolarizace je pomalejší, neboť není podmíněn otevřením rychlých Na</w:t>
      </w:r>
      <w:r w:rsidRPr="00536DE9">
        <w:rPr>
          <w:sz w:val="24"/>
          <w:szCs w:val="24"/>
          <w:vertAlign w:val="superscript"/>
        </w:rPr>
        <w:t>+</w:t>
      </w:r>
      <w:r w:rsidRPr="00F420AA">
        <w:rPr>
          <w:sz w:val="24"/>
          <w:szCs w:val="24"/>
        </w:rPr>
        <w:t xml:space="preserve"> kanálů, </w:t>
      </w:r>
      <w:r w:rsidR="009856C9">
        <w:rPr>
          <w:sz w:val="24"/>
          <w:szCs w:val="24"/>
        </w:rPr>
        <w:t xml:space="preserve">ale otevřením ryze specifických, </w:t>
      </w:r>
      <w:r w:rsidRPr="00F420AA">
        <w:rPr>
          <w:sz w:val="24"/>
          <w:szCs w:val="24"/>
        </w:rPr>
        <w:t>pomalejších Ca</w:t>
      </w:r>
      <w:r w:rsidRPr="009856C9">
        <w:rPr>
          <w:sz w:val="24"/>
          <w:szCs w:val="24"/>
          <w:vertAlign w:val="superscript"/>
        </w:rPr>
        <w:t>2+</w:t>
      </w:r>
      <w:r w:rsidRPr="00F420AA">
        <w:rPr>
          <w:sz w:val="24"/>
          <w:szCs w:val="24"/>
        </w:rPr>
        <w:t xml:space="preserve"> kanálů.</w:t>
      </w:r>
    </w:p>
    <w:p w:rsidR="006C1917" w:rsidRPr="00F420AA" w:rsidRDefault="006C1917" w:rsidP="002A5827">
      <w:pPr>
        <w:spacing w:line="360" w:lineRule="auto"/>
        <w:jc w:val="both"/>
        <w:rPr>
          <w:sz w:val="24"/>
          <w:szCs w:val="24"/>
        </w:rPr>
      </w:pPr>
      <w:r>
        <w:rPr>
          <w:sz w:val="24"/>
          <w:szCs w:val="24"/>
        </w:rPr>
        <w:t xml:space="preserve">Od počátku depolarizace je </w:t>
      </w:r>
      <w:r w:rsidRPr="00F420AA">
        <w:rPr>
          <w:sz w:val="24"/>
          <w:szCs w:val="24"/>
        </w:rPr>
        <w:t xml:space="preserve">srdeční buňka absolutně nedráždivá (refrakterní), následuje relativní refrakterní fáze, kdy lze kardiomyocyt aktivovat pouze nadprahovým impulzem, teprve následně je možná aktivace standardním impulzem, neboť již došlo k reaktivaci napěťově řízených sodíkových kanálů kardiomyocytu. </w:t>
      </w:r>
    </w:p>
    <w:p w:rsidR="006C1917" w:rsidRPr="00F420AA" w:rsidRDefault="006C1917" w:rsidP="002A5827">
      <w:pPr>
        <w:spacing w:line="360" w:lineRule="auto"/>
        <w:jc w:val="both"/>
        <w:rPr>
          <w:sz w:val="24"/>
          <w:szCs w:val="24"/>
        </w:rPr>
      </w:pPr>
      <w:r w:rsidRPr="00F420AA">
        <w:rPr>
          <w:sz w:val="24"/>
          <w:szCs w:val="24"/>
        </w:rPr>
        <w:t xml:space="preserve"> Vlna depolarizace se šíří od sinusovho uzlu p</w:t>
      </w:r>
      <w:r>
        <w:rPr>
          <w:sz w:val="24"/>
          <w:szCs w:val="24"/>
        </w:rPr>
        <w:t>o svalovině obou síní k AV uzlu</w:t>
      </w:r>
      <w:r w:rsidRPr="00F420AA">
        <w:rPr>
          <w:sz w:val="24"/>
          <w:szCs w:val="24"/>
        </w:rPr>
        <w:t>, síňová depolarizace je ukončena za cca 0,1 s., protože rychlost vedení impulzu po svalovině síní činí cca 1m/s. Následně se vzruch šíří na AV uzel, kde dochází k dalšímu zpoždění – opět cca 0,1 s. Součtem obou in</w:t>
      </w:r>
      <w:r>
        <w:rPr>
          <w:sz w:val="24"/>
          <w:szCs w:val="24"/>
        </w:rPr>
        <w:t xml:space="preserve">tervalů se dostaneme k hodnotě </w:t>
      </w:r>
      <w:r w:rsidRPr="00F420AA">
        <w:rPr>
          <w:sz w:val="24"/>
          <w:szCs w:val="24"/>
        </w:rPr>
        <w:t>0,2 s.</w:t>
      </w:r>
      <w:r>
        <w:rPr>
          <w:sz w:val="24"/>
          <w:szCs w:val="24"/>
        </w:rPr>
        <w:t xml:space="preserve">, což </w:t>
      </w:r>
      <w:r w:rsidRPr="00F420AA">
        <w:rPr>
          <w:sz w:val="24"/>
          <w:szCs w:val="24"/>
        </w:rPr>
        <w:t>je obvyklá hodnota PQ intervalu na EKG, který tyto děje odráží. Mechanická odpověď síňového myokardu (kontrakce) následuje. Dále probíhá vedení vzruchu Hissovým svazkem, Tawarovými raménky a následně Purkyň</w:t>
      </w:r>
      <w:r w:rsidR="009856C9">
        <w:rPr>
          <w:sz w:val="24"/>
          <w:szCs w:val="24"/>
        </w:rPr>
        <w:t>ovými vlákny což představuje fyz</w:t>
      </w:r>
      <w:r w:rsidRPr="00F420AA">
        <w:rPr>
          <w:sz w:val="24"/>
          <w:szCs w:val="24"/>
        </w:rPr>
        <w:t>iologické zpoždění 0,08</w:t>
      </w:r>
      <w:r>
        <w:rPr>
          <w:sz w:val="24"/>
          <w:szCs w:val="24"/>
        </w:rPr>
        <w:t>–</w:t>
      </w:r>
      <w:r w:rsidRPr="00F420AA">
        <w:rPr>
          <w:sz w:val="24"/>
          <w:szCs w:val="24"/>
        </w:rPr>
        <w:t>0,10 s. Teprve poté následuje mechanická odpověď levé komory. (</w:t>
      </w:r>
      <w:r w:rsidRPr="00F420AA">
        <w:rPr>
          <w:color w:val="000000"/>
          <w:sz w:val="24"/>
          <w:szCs w:val="24"/>
        </w:rPr>
        <w:t>2)</w:t>
      </w:r>
    </w:p>
    <w:p w:rsidR="006C1917" w:rsidRPr="00F420AA" w:rsidRDefault="006C1917" w:rsidP="002A5827">
      <w:pPr>
        <w:spacing w:line="360" w:lineRule="auto"/>
        <w:jc w:val="both"/>
        <w:rPr>
          <w:sz w:val="24"/>
          <w:szCs w:val="24"/>
        </w:rPr>
      </w:pPr>
      <w:r w:rsidRPr="00F420AA">
        <w:rPr>
          <w:sz w:val="24"/>
          <w:szCs w:val="24"/>
        </w:rPr>
        <w:t>Poruchy geneze vzruchu a vedení mohou podmiňovat různě významné poruchy rytmu, nejčastěji bradykardického rázu. Poruchy geneze mohou být vrozené, pak bývá aktivováno náhradní centrum srdeční aut</w:t>
      </w:r>
      <w:r w:rsidR="009856C9">
        <w:rPr>
          <w:sz w:val="24"/>
          <w:szCs w:val="24"/>
        </w:rPr>
        <w:t xml:space="preserve">omacie, které je lokalizováno </w:t>
      </w:r>
      <w:r w:rsidRPr="00F420AA">
        <w:rPr>
          <w:sz w:val="24"/>
          <w:szCs w:val="24"/>
        </w:rPr>
        <w:t>supraventrikulárně, případně v oblasti síňokomorové junkce. Získané poruchy SA uzlu bývají spíše na degenerativ</w:t>
      </w:r>
      <w:r>
        <w:rPr>
          <w:sz w:val="24"/>
          <w:szCs w:val="24"/>
        </w:rPr>
        <w:t>ním podkladě</w:t>
      </w:r>
      <w:r w:rsidRPr="00F420AA">
        <w:rPr>
          <w:sz w:val="24"/>
          <w:szCs w:val="24"/>
        </w:rPr>
        <w:t xml:space="preserve">, porucha se může manifestovat jako bradykardie, případně zástava SA uzlu, nebo jako tzv. syndrom tachykardie-bradykardie. </w:t>
      </w:r>
    </w:p>
    <w:p w:rsidR="006C1917" w:rsidRPr="00F420AA" w:rsidRDefault="006C1917" w:rsidP="002A5827">
      <w:pPr>
        <w:spacing w:line="360" w:lineRule="auto"/>
        <w:jc w:val="both"/>
        <w:rPr>
          <w:sz w:val="24"/>
          <w:szCs w:val="24"/>
        </w:rPr>
      </w:pPr>
      <w:r w:rsidRPr="00F420AA">
        <w:rPr>
          <w:sz w:val="24"/>
          <w:szCs w:val="24"/>
        </w:rPr>
        <w:t>Mezi poruchy šíření elektrického impulzu patří AV blokády, které jsou zpravidla degenerativní etiologie, méně častá je postinfekční etiologie. Jedná se buď o bor</w:t>
      </w:r>
      <w:r w:rsidR="00887437">
        <w:rPr>
          <w:sz w:val="24"/>
          <w:szCs w:val="24"/>
        </w:rPr>
        <w:t>r</w:t>
      </w:r>
      <w:r w:rsidRPr="00F420AA">
        <w:rPr>
          <w:sz w:val="24"/>
          <w:szCs w:val="24"/>
        </w:rPr>
        <w:t xml:space="preserve">eliovou </w:t>
      </w:r>
      <w:r w:rsidRPr="00F420AA">
        <w:rPr>
          <w:sz w:val="24"/>
          <w:szCs w:val="24"/>
        </w:rPr>
        <w:lastRenderedPageBreak/>
        <w:t xml:space="preserve">etiologii, která působí většinou přechodnou AV blokádu, nebo </w:t>
      </w:r>
      <w:r w:rsidR="00914912">
        <w:rPr>
          <w:sz w:val="24"/>
          <w:szCs w:val="24"/>
        </w:rPr>
        <w:t xml:space="preserve">etiologii </w:t>
      </w:r>
      <w:r w:rsidRPr="00F420AA">
        <w:rPr>
          <w:sz w:val="24"/>
          <w:szCs w:val="24"/>
        </w:rPr>
        <w:t>difterickou. Záškrt se naposledy na našem území významněji vyskytoval v meziválečném období a v současné době tak můžeme pozorovat tuto diagnózu maximálně jako import z jiných zemí, zejména bývalých států Sovětského svazu (aktuálně 50 000 nemocných). Patofyziologicky</w:t>
      </w:r>
      <w:r w:rsidR="00887437">
        <w:rPr>
          <w:sz w:val="24"/>
          <w:szCs w:val="24"/>
        </w:rPr>
        <w:t xml:space="preserve"> jde o přímý toxický vliv difteri</w:t>
      </w:r>
      <w:r w:rsidRPr="00F420AA">
        <w:rPr>
          <w:sz w:val="24"/>
          <w:szCs w:val="24"/>
        </w:rPr>
        <w:t>ckého toxinu na myokard. AV blokáda může být trvalá nebo dočasná. Výskyt přechodné AV blokády je markerem dobré prognózy, naopak výskyt raménkové blokád</w:t>
      </w:r>
      <w:r w:rsidR="00C30D4C">
        <w:rPr>
          <w:sz w:val="24"/>
          <w:szCs w:val="24"/>
        </w:rPr>
        <w:t>y signalizuje horší prognózu (65</w:t>
      </w:r>
      <w:r w:rsidRPr="00F420AA">
        <w:rPr>
          <w:sz w:val="24"/>
          <w:szCs w:val="24"/>
        </w:rPr>
        <w:t>)</w:t>
      </w:r>
      <w:r w:rsidR="00914912">
        <w:rPr>
          <w:sz w:val="24"/>
          <w:szCs w:val="24"/>
        </w:rPr>
        <w:t>.</w:t>
      </w:r>
      <w:r w:rsidRPr="00F420AA">
        <w:rPr>
          <w:sz w:val="24"/>
          <w:szCs w:val="24"/>
        </w:rPr>
        <w:t xml:space="preserve"> Nakolik může anamnesticky </w:t>
      </w:r>
      <w:r>
        <w:rPr>
          <w:sz w:val="24"/>
          <w:szCs w:val="24"/>
        </w:rPr>
        <w:t xml:space="preserve">v dětství </w:t>
      </w:r>
      <w:r w:rsidRPr="00F420AA">
        <w:rPr>
          <w:sz w:val="24"/>
          <w:szCs w:val="24"/>
        </w:rPr>
        <w:t xml:space="preserve">prodělaný záškrt přispívat </w:t>
      </w:r>
      <w:r>
        <w:rPr>
          <w:sz w:val="24"/>
          <w:szCs w:val="24"/>
        </w:rPr>
        <w:t>k rozvoji AV blokády ve vysokém</w:t>
      </w:r>
      <w:r w:rsidRPr="00F420AA">
        <w:rPr>
          <w:sz w:val="24"/>
          <w:szCs w:val="24"/>
        </w:rPr>
        <w:t xml:space="preserve"> věku je značně diskutabilní, spíše se jedná </w:t>
      </w:r>
      <w:r>
        <w:rPr>
          <w:sz w:val="24"/>
          <w:szCs w:val="24"/>
        </w:rPr>
        <w:br/>
      </w:r>
      <w:r w:rsidRPr="00F420AA">
        <w:rPr>
          <w:sz w:val="24"/>
          <w:szCs w:val="24"/>
        </w:rPr>
        <w:t xml:space="preserve">o čirou spekulaci, rozvoj AV blokády nebo raménkové blokády je totiž spíše projevem tíže difterického poškození myokardu než čistě toxického poškození </w:t>
      </w:r>
      <w:r w:rsidR="00C30D4C">
        <w:rPr>
          <w:sz w:val="24"/>
          <w:szCs w:val="24"/>
        </w:rPr>
        <w:t>převodního systému srdečního (65</w:t>
      </w:r>
      <w:r w:rsidRPr="00F420AA">
        <w:rPr>
          <w:sz w:val="24"/>
          <w:szCs w:val="24"/>
        </w:rPr>
        <w:t>).</w:t>
      </w:r>
    </w:p>
    <w:p w:rsidR="006C1917" w:rsidRPr="004E7EEB" w:rsidRDefault="006C1917" w:rsidP="004E7EEB">
      <w:pPr>
        <w:pStyle w:val="Nadpis2"/>
        <w:ind w:left="578" w:hanging="578"/>
      </w:pPr>
      <w:r w:rsidRPr="004E7EEB">
        <w:t xml:space="preserve"> </w:t>
      </w:r>
      <w:bookmarkStart w:id="31" w:name="_Toc422993242"/>
      <w:r w:rsidRPr="004E7EEB">
        <w:t>Trvalá kardiostimulace</w:t>
      </w:r>
      <w:bookmarkEnd w:id="31"/>
      <w:r w:rsidRPr="004E7EEB">
        <w:t xml:space="preserve"> </w:t>
      </w:r>
    </w:p>
    <w:p w:rsidR="006C1917" w:rsidRPr="004E7EEB" w:rsidRDefault="006C1917" w:rsidP="004E7EEB">
      <w:pPr>
        <w:pStyle w:val="Nadpis3"/>
        <w:rPr>
          <w:lang w:eastAsia="ar-SA"/>
        </w:rPr>
      </w:pPr>
      <w:bookmarkStart w:id="32" w:name="_Toc422993243"/>
      <w:r w:rsidRPr="004E7EEB">
        <w:rPr>
          <w:lang w:eastAsia="ar-SA"/>
        </w:rPr>
        <w:t>Definice pojmů</w:t>
      </w:r>
      <w:bookmarkEnd w:id="32"/>
    </w:p>
    <w:p w:rsidR="006C1917" w:rsidRPr="00F420AA" w:rsidRDefault="006C1917" w:rsidP="002A5827">
      <w:pPr>
        <w:spacing w:line="360" w:lineRule="auto"/>
        <w:jc w:val="both"/>
        <w:rPr>
          <w:sz w:val="24"/>
          <w:szCs w:val="24"/>
        </w:rPr>
      </w:pPr>
      <w:r w:rsidRPr="00F420AA">
        <w:rPr>
          <w:sz w:val="24"/>
          <w:szCs w:val="24"/>
        </w:rPr>
        <w:t>Kardiostimulace je metoda elektroimulzoterapie, která se používá k úpravě srdečního rytmu při vesměs bradyarytmických poruchách.  Metodu můžeme rozdělit na dočasnou a trvalou. Vzhledem k tomu, že dočasná kardiostimulace není předmětem našeho zájmu v předkládané studii, nebudu se jí dále věnovat.  Indikace pro zavedení trvalého kardiostimulátoru vycházejí z aktuálních odborných d</w:t>
      </w:r>
      <w:r w:rsidR="00C30D4C">
        <w:rPr>
          <w:sz w:val="24"/>
          <w:szCs w:val="24"/>
        </w:rPr>
        <w:t xml:space="preserve">oporučení – </w:t>
      </w:r>
      <w:r w:rsidR="00914912">
        <w:rPr>
          <w:sz w:val="24"/>
          <w:szCs w:val="24"/>
        </w:rPr>
        <w:t xml:space="preserve">Volně adaptováno podle: </w:t>
      </w:r>
      <w:r w:rsidR="00C30D4C">
        <w:rPr>
          <w:sz w:val="24"/>
          <w:szCs w:val="24"/>
        </w:rPr>
        <w:t>Táborský a spol. (66</w:t>
      </w:r>
      <w:r w:rsidRPr="00F420AA">
        <w:rPr>
          <w:sz w:val="24"/>
          <w:szCs w:val="24"/>
        </w:rPr>
        <w:t>): tabulka č.</w:t>
      </w:r>
      <w:r>
        <w:rPr>
          <w:sz w:val="24"/>
          <w:szCs w:val="24"/>
        </w:rPr>
        <w:t xml:space="preserve"> </w:t>
      </w:r>
      <w:r w:rsidRPr="00F420AA">
        <w:rPr>
          <w:sz w:val="24"/>
          <w:szCs w:val="24"/>
        </w:rPr>
        <w:t>3</w:t>
      </w:r>
      <w:r w:rsidR="0091491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45"/>
        <w:gridCol w:w="1334"/>
        <w:gridCol w:w="1409"/>
      </w:tblGrid>
      <w:tr w:rsidR="006C1917" w:rsidRPr="00F420AA" w:rsidTr="00F43B97">
        <w:tc>
          <w:tcPr>
            <w:tcW w:w="9193" w:type="dxa"/>
            <w:gridSpan w:val="3"/>
          </w:tcPr>
          <w:p w:rsidR="006C1917" w:rsidRPr="00F43B97" w:rsidRDefault="006C1917" w:rsidP="00F43B97">
            <w:pPr>
              <w:spacing w:line="360" w:lineRule="auto"/>
              <w:rPr>
                <w:sz w:val="24"/>
                <w:szCs w:val="24"/>
              </w:rPr>
            </w:pPr>
            <w:r w:rsidRPr="00F43B97">
              <w:rPr>
                <w:sz w:val="24"/>
                <w:szCs w:val="24"/>
              </w:rPr>
              <w:t>Indikace k implantaci kardiostimulátoru u pacientů s trvalou bradykardií</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sz w:val="24"/>
                <w:szCs w:val="24"/>
              </w:rPr>
              <w:t>Doporučení</w:t>
            </w:r>
          </w:p>
        </w:tc>
        <w:tc>
          <w:tcPr>
            <w:tcW w:w="1147" w:type="dxa"/>
          </w:tcPr>
          <w:p w:rsidR="006C1917" w:rsidRPr="00F43B97" w:rsidRDefault="006C1917" w:rsidP="00F43B97">
            <w:pPr>
              <w:spacing w:line="360" w:lineRule="auto"/>
              <w:rPr>
                <w:sz w:val="24"/>
                <w:szCs w:val="24"/>
              </w:rPr>
            </w:pPr>
            <w:r w:rsidRPr="00F43B97">
              <w:rPr>
                <w:sz w:val="24"/>
                <w:szCs w:val="24"/>
              </w:rPr>
              <w:t>Třída doporučení</w:t>
            </w:r>
          </w:p>
        </w:tc>
        <w:tc>
          <w:tcPr>
            <w:tcW w:w="1417" w:type="dxa"/>
          </w:tcPr>
          <w:p w:rsidR="006C1917" w:rsidRPr="00F43B97" w:rsidRDefault="006C1917" w:rsidP="00F43B97">
            <w:pPr>
              <w:spacing w:line="360" w:lineRule="auto"/>
              <w:rPr>
                <w:sz w:val="24"/>
                <w:szCs w:val="24"/>
              </w:rPr>
            </w:pPr>
            <w:r w:rsidRPr="00F43B97">
              <w:rPr>
                <w:sz w:val="24"/>
                <w:szCs w:val="24"/>
              </w:rPr>
              <w:t>Úroveň znalostí</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b/>
                <w:sz w:val="24"/>
                <w:szCs w:val="24"/>
              </w:rPr>
              <w:t>1/</w:t>
            </w:r>
            <w:r w:rsidRPr="00F43B97">
              <w:rPr>
                <w:sz w:val="24"/>
                <w:szCs w:val="24"/>
              </w:rPr>
              <w:t xml:space="preserve"> </w:t>
            </w:r>
            <w:r w:rsidRPr="00F43B97">
              <w:rPr>
                <w:b/>
                <w:sz w:val="24"/>
                <w:szCs w:val="24"/>
              </w:rPr>
              <w:t>Onemocnění sinusového uzlu</w:t>
            </w:r>
            <w:r w:rsidRPr="00F43B97">
              <w:rPr>
                <w:sz w:val="24"/>
                <w:szCs w:val="24"/>
              </w:rPr>
              <w:t xml:space="preserve">. Implantace kardiostiomulátoru je indikována, pokud mohou být obtíže jednoznačně vysvětleny bradykardií.  </w:t>
            </w:r>
          </w:p>
        </w:tc>
        <w:tc>
          <w:tcPr>
            <w:tcW w:w="1147" w:type="dxa"/>
          </w:tcPr>
          <w:p w:rsidR="006C1917" w:rsidRPr="00F43B97" w:rsidRDefault="006C1917" w:rsidP="00F43B97">
            <w:pPr>
              <w:spacing w:line="360" w:lineRule="auto"/>
              <w:rPr>
                <w:sz w:val="24"/>
                <w:szCs w:val="24"/>
              </w:rPr>
            </w:pPr>
            <w:r w:rsidRPr="00F43B97">
              <w:rPr>
                <w:sz w:val="24"/>
                <w:szCs w:val="24"/>
              </w:rPr>
              <w:t>I</w:t>
            </w:r>
          </w:p>
        </w:tc>
        <w:tc>
          <w:tcPr>
            <w:tcW w:w="1417" w:type="dxa"/>
          </w:tcPr>
          <w:p w:rsidR="006C1917" w:rsidRPr="00F43B97" w:rsidRDefault="006C1917" w:rsidP="00F43B97">
            <w:pPr>
              <w:spacing w:line="360" w:lineRule="auto"/>
              <w:rPr>
                <w:sz w:val="24"/>
                <w:szCs w:val="24"/>
              </w:rPr>
            </w:pPr>
            <w:r w:rsidRPr="00F43B97">
              <w:rPr>
                <w:sz w:val="24"/>
                <w:szCs w:val="24"/>
              </w:rPr>
              <w:t>B</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b/>
                <w:sz w:val="24"/>
                <w:szCs w:val="24"/>
              </w:rPr>
              <w:t xml:space="preserve">2/ Onemocnění sinusového uzlu. </w:t>
            </w:r>
            <w:r w:rsidRPr="00F43B97">
              <w:rPr>
                <w:sz w:val="24"/>
                <w:szCs w:val="24"/>
              </w:rPr>
              <w:t>Implantace kardiostimulátoru může být doporučena, pokud jsou obtíže pravděpodobně způsobeny bradykardií, i když důkazy nejsou přesvědčivé.</w:t>
            </w:r>
          </w:p>
        </w:tc>
        <w:tc>
          <w:tcPr>
            <w:tcW w:w="1147" w:type="dxa"/>
          </w:tcPr>
          <w:p w:rsidR="006C1917" w:rsidRPr="00F43B97" w:rsidRDefault="006C1917" w:rsidP="00F43B97">
            <w:pPr>
              <w:spacing w:line="360" w:lineRule="auto"/>
              <w:rPr>
                <w:sz w:val="24"/>
                <w:szCs w:val="24"/>
              </w:rPr>
            </w:pPr>
            <w:r w:rsidRPr="00F43B97">
              <w:rPr>
                <w:sz w:val="24"/>
                <w:szCs w:val="24"/>
              </w:rPr>
              <w:t>IIb</w:t>
            </w:r>
          </w:p>
        </w:tc>
        <w:tc>
          <w:tcPr>
            <w:tcW w:w="1417" w:type="dxa"/>
          </w:tcPr>
          <w:p w:rsidR="006C1917" w:rsidRPr="00F43B97" w:rsidRDefault="006C1917" w:rsidP="00F43B97">
            <w:pPr>
              <w:spacing w:line="360" w:lineRule="auto"/>
              <w:rPr>
                <w:sz w:val="24"/>
                <w:szCs w:val="24"/>
              </w:rPr>
            </w:pPr>
            <w:r w:rsidRPr="00F43B97">
              <w:rPr>
                <w:sz w:val="24"/>
                <w:szCs w:val="24"/>
              </w:rPr>
              <w:t>C</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b/>
                <w:sz w:val="24"/>
                <w:szCs w:val="24"/>
              </w:rPr>
              <w:lastRenderedPageBreak/>
              <w:t>3/ Onemocnění sinusového uzlu</w:t>
            </w:r>
            <w:r w:rsidRPr="00F43B97">
              <w:rPr>
                <w:sz w:val="24"/>
                <w:szCs w:val="24"/>
              </w:rPr>
              <w:t xml:space="preserve">. Implantace kardiostimulátoru není indikována u pacientů se sinusovou bradykardií, která je asymptomatická, nebo z reverzibilních příčin. </w:t>
            </w:r>
          </w:p>
        </w:tc>
        <w:tc>
          <w:tcPr>
            <w:tcW w:w="1147" w:type="dxa"/>
          </w:tcPr>
          <w:p w:rsidR="006C1917" w:rsidRPr="00F43B97" w:rsidRDefault="006C1917" w:rsidP="00F43B97">
            <w:pPr>
              <w:spacing w:line="360" w:lineRule="auto"/>
              <w:rPr>
                <w:sz w:val="24"/>
                <w:szCs w:val="24"/>
              </w:rPr>
            </w:pPr>
            <w:r w:rsidRPr="00F43B97">
              <w:rPr>
                <w:sz w:val="24"/>
                <w:szCs w:val="24"/>
              </w:rPr>
              <w:t>III</w:t>
            </w:r>
          </w:p>
        </w:tc>
        <w:tc>
          <w:tcPr>
            <w:tcW w:w="1417" w:type="dxa"/>
          </w:tcPr>
          <w:p w:rsidR="006C1917" w:rsidRPr="00F43B97" w:rsidRDefault="006C1917" w:rsidP="00F43B97">
            <w:pPr>
              <w:spacing w:line="360" w:lineRule="auto"/>
              <w:rPr>
                <w:sz w:val="24"/>
                <w:szCs w:val="24"/>
              </w:rPr>
            </w:pPr>
            <w:r w:rsidRPr="00F43B97">
              <w:rPr>
                <w:sz w:val="24"/>
                <w:szCs w:val="24"/>
              </w:rPr>
              <w:t>C</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b/>
                <w:sz w:val="24"/>
                <w:szCs w:val="24"/>
              </w:rPr>
              <w:t>4/ Získaná AV blokáda</w:t>
            </w:r>
            <w:r w:rsidRPr="00F43B97">
              <w:rPr>
                <w:sz w:val="24"/>
                <w:szCs w:val="24"/>
              </w:rPr>
              <w:t>. Implantace kardiostimulátoru je indikována u pacientů s AV blokádou III. stupně a II. stupně Mobitzova typu nezávisle na symptomech.</w:t>
            </w:r>
          </w:p>
        </w:tc>
        <w:tc>
          <w:tcPr>
            <w:tcW w:w="1147" w:type="dxa"/>
          </w:tcPr>
          <w:p w:rsidR="006C1917" w:rsidRPr="00F43B97" w:rsidRDefault="006C1917" w:rsidP="00F43B97">
            <w:pPr>
              <w:spacing w:line="360" w:lineRule="auto"/>
              <w:rPr>
                <w:sz w:val="24"/>
                <w:szCs w:val="24"/>
              </w:rPr>
            </w:pPr>
            <w:r w:rsidRPr="00F43B97">
              <w:rPr>
                <w:sz w:val="24"/>
                <w:szCs w:val="24"/>
              </w:rPr>
              <w:t>I</w:t>
            </w:r>
          </w:p>
        </w:tc>
        <w:tc>
          <w:tcPr>
            <w:tcW w:w="1417" w:type="dxa"/>
          </w:tcPr>
          <w:p w:rsidR="006C1917" w:rsidRPr="00F43B97" w:rsidRDefault="006C1917" w:rsidP="00F43B97">
            <w:pPr>
              <w:spacing w:line="360" w:lineRule="auto"/>
              <w:rPr>
                <w:sz w:val="24"/>
                <w:szCs w:val="24"/>
              </w:rPr>
            </w:pPr>
            <w:r w:rsidRPr="00F43B97">
              <w:rPr>
                <w:sz w:val="24"/>
                <w:szCs w:val="24"/>
              </w:rPr>
              <w:t>C</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b/>
                <w:sz w:val="24"/>
                <w:szCs w:val="24"/>
              </w:rPr>
              <w:t>5/ Získaná AV blokáda</w:t>
            </w:r>
            <w:r w:rsidRPr="00F43B97">
              <w:rPr>
                <w:sz w:val="24"/>
                <w:szCs w:val="24"/>
              </w:rPr>
              <w:t>. Implantace kardiostimulátoru by měla být zvážena u pacientů s AV blokádou Wenckebachova typu, která je symptomatická nebo je lokalizována na intrahisální nebo infrahisální úrovni dle EFV.</w:t>
            </w:r>
          </w:p>
        </w:tc>
        <w:tc>
          <w:tcPr>
            <w:tcW w:w="1147" w:type="dxa"/>
          </w:tcPr>
          <w:p w:rsidR="006C1917" w:rsidRPr="00F43B97" w:rsidRDefault="006C1917" w:rsidP="00F43B97">
            <w:pPr>
              <w:spacing w:line="360" w:lineRule="auto"/>
              <w:rPr>
                <w:sz w:val="24"/>
                <w:szCs w:val="24"/>
              </w:rPr>
            </w:pPr>
            <w:r w:rsidRPr="00F43B97">
              <w:rPr>
                <w:sz w:val="24"/>
                <w:szCs w:val="24"/>
              </w:rPr>
              <w:t>IIa</w:t>
            </w:r>
          </w:p>
        </w:tc>
        <w:tc>
          <w:tcPr>
            <w:tcW w:w="1417" w:type="dxa"/>
          </w:tcPr>
          <w:p w:rsidR="006C1917" w:rsidRPr="00F43B97" w:rsidRDefault="006C1917" w:rsidP="00F43B97">
            <w:pPr>
              <w:spacing w:line="360" w:lineRule="auto"/>
              <w:rPr>
                <w:sz w:val="24"/>
                <w:szCs w:val="24"/>
              </w:rPr>
            </w:pPr>
            <w:r w:rsidRPr="00F43B97">
              <w:rPr>
                <w:sz w:val="24"/>
                <w:szCs w:val="24"/>
              </w:rPr>
              <w:t>C</w:t>
            </w:r>
          </w:p>
        </w:tc>
      </w:tr>
      <w:tr w:rsidR="006C1917" w:rsidRPr="00F420AA" w:rsidTr="00F43B97">
        <w:tc>
          <w:tcPr>
            <w:tcW w:w="6629" w:type="dxa"/>
          </w:tcPr>
          <w:p w:rsidR="006C1917" w:rsidRPr="00F43B97" w:rsidRDefault="006C1917" w:rsidP="00F43B97">
            <w:pPr>
              <w:spacing w:line="360" w:lineRule="auto"/>
              <w:rPr>
                <w:sz w:val="24"/>
                <w:szCs w:val="24"/>
              </w:rPr>
            </w:pPr>
            <w:r w:rsidRPr="00F43B97">
              <w:rPr>
                <w:b/>
                <w:sz w:val="24"/>
                <w:szCs w:val="24"/>
              </w:rPr>
              <w:t>5/ Získaná AV blokáda</w:t>
            </w:r>
            <w:r w:rsidRPr="00F43B97">
              <w:rPr>
                <w:sz w:val="24"/>
                <w:szCs w:val="24"/>
              </w:rPr>
              <w:t>. Kardiostimulace není indikována u pacientů s AV blokádou z reverzibilních příčin.</w:t>
            </w:r>
          </w:p>
        </w:tc>
        <w:tc>
          <w:tcPr>
            <w:tcW w:w="1147" w:type="dxa"/>
          </w:tcPr>
          <w:p w:rsidR="006C1917" w:rsidRPr="00F43B97" w:rsidRDefault="006C1917" w:rsidP="00F43B97">
            <w:pPr>
              <w:spacing w:line="360" w:lineRule="auto"/>
              <w:rPr>
                <w:sz w:val="24"/>
                <w:szCs w:val="24"/>
              </w:rPr>
            </w:pPr>
            <w:r w:rsidRPr="00F43B97">
              <w:rPr>
                <w:sz w:val="24"/>
                <w:szCs w:val="24"/>
              </w:rPr>
              <w:t>III</w:t>
            </w:r>
          </w:p>
        </w:tc>
        <w:tc>
          <w:tcPr>
            <w:tcW w:w="1417" w:type="dxa"/>
          </w:tcPr>
          <w:p w:rsidR="006C1917" w:rsidRPr="00F43B97" w:rsidRDefault="006C1917" w:rsidP="00F43B97">
            <w:pPr>
              <w:spacing w:line="360" w:lineRule="auto"/>
              <w:rPr>
                <w:sz w:val="24"/>
                <w:szCs w:val="24"/>
              </w:rPr>
            </w:pPr>
            <w:r w:rsidRPr="00F43B97">
              <w:rPr>
                <w:sz w:val="24"/>
                <w:szCs w:val="24"/>
              </w:rPr>
              <w:t>C</w:t>
            </w:r>
          </w:p>
        </w:tc>
      </w:tr>
    </w:tbl>
    <w:p w:rsidR="006C1917" w:rsidRDefault="006C1917" w:rsidP="00806A0D">
      <w:pPr>
        <w:spacing w:line="360" w:lineRule="auto"/>
        <w:jc w:val="both"/>
        <w:rPr>
          <w:sz w:val="24"/>
          <w:szCs w:val="24"/>
        </w:rPr>
      </w:pPr>
      <w:r w:rsidRPr="00F420AA">
        <w:rPr>
          <w:sz w:val="24"/>
          <w:szCs w:val="24"/>
        </w:rPr>
        <w:t>tabulka č.</w:t>
      </w:r>
      <w:r>
        <w:rPr>
          <w:sz w:val="24"/>
          <w:szCs w:val="24"/>
        </w:rPr>
        <w:t xml:space="preserve"> </w:t>
      </w:r>
      <w:r w:rsidRPr="00F420AA">
        <w:rPr>
          <w:sz w:val="24"/>
          <w:szCs w:val="24"/>
        </w:rPr>
        <w:t>3</w:t>
      </w:r>
    </w:p>
    <w:p w:rsidR="006C1917" w:rsidRPr="00F420AA" w:rsidRDefault="006C1917" w:rsidP="00806A0D">
      <w:pPr>
        <w:spacing w:line="360" w:lineRule="auto"/>
        <w:jc w:val="both"/>
        <w:rPr>
          <w:sz w:val="24"/>
          <w:szCs w:val="24"/>
        </w:rPr>
      </w:pPr>
    </w:p>
    <w:p w:rsidR="006C1917" w:rsidRPr="004E7EEB" w:rsidRDefault="006C1917" w:rsidP="004E7EEB">
      <w:pPr>
        <w:pStyle w:val="Nadpis3"/>
        <w:rPr>
          <w:lang w:eastAsia="ar-SA"/>
        </w:rPr>
      </w:pPr>
      <w:bookmarkStart w:id="33" w:name="_Toc422993244"/>
      <w:r w:rsidRPr="004E7EEB">
        <w:rPr>
          <w:lang w:eastAsia="ar-SA"/>
        </w:rPr>
        <w:t>Popis výkonu</w:t>
      </w:r>
      <w:bookmarkEnd w:id="33"/>
    </w:p>
    <w:p w:rsidR="006C1917" w:rsidRPr="00F420AA" w:rsidRDefault="006C1917" w:rsidP="002A5827">
      <w:pPr>
        <w:spacing w:line="360" w:lineRule="auto"/>
        <w:jc w:val="both"/>
        <w:rPr>
          <w:sz w:val="24"/>
          <w:szCs w:val="24"/>
        </w:rPr>
      </w:pPr>
      <w:r w:rsidRPr="00F420AA">
        <w:rPr>
          <w:sz w:val="24"/>
          <w:szCs w:val="24"/>
        </w:rPr>
        <w:t>Trvalá kardiostimualce je výkon prováděný na kardiostimulačním sále. Provoz je přísně st</w:t>
      </w:r>
      <w:r>
        <w:rPr>
          <w:sz w:val="24"/>
          <w:szCs w:val="24"/>
        </w:rPr>
        <w:t xml:space="preserve">erilní, je nepřípustné křížení </w:t>
      </w:r>
      <w:r w:rsidRPr="00F420AA">
        <w:rPr>
          <w:sz w:val="24"/>
          <w:szCs w:val="24"/>
        </w:rPr>
        <w:t>s tzv. „špinavými výkony“. K dispozici je operační stůl, rengenový přístroj s otočným C-ramenem s  možností skiaskopie a záznamu vyšetření na média. Dále je k dispozici programovací přístroj pro implantovaný kardiostimulátor, sterilní stolek s nástroji a materiálem nezbytným pro ošetření rány. Samozřejmostí je monitorace vitálních funkcí, defibrilátor, dostatek léků pro řešení emergentních situací včetně kard</w:t>
      </w:r>
      <w:r w:rsidR="000A5780">
        <w:rPr>
          <w:sz w:val="24"/>
          <w:szCs w:val="24"/>
        </w:rPr>
        <w:t>i</w:t>
      </w:r>
      <w:r w:rsidRPr="00F420AA">
        <w:rPr>
          <w:sz w:val="24"/>
          <w:szCs w:val="24"/>
        </w:rPr>
        <w:t>opulmonální resuscitace, dále je nezbytná</w:t>
      </w:r>
      <w:r w:rsidR="000A5780">
        <w:rPr>
          <w:sz w:val="24"/>
          <w:szCs w:val="24"/>
        </w:rPr>
        <w:t xml:space="preserve"> </w:t>
      </w:r>
      <w:r w:rsidRPr="00F420AA">
        <w:rPr>
          <w:sz w:val="24"/>
          <w:szCs w:val="24"/>
        </w:rPr>
        <w:t>dostupnost pomůcek pro urgentní zavedení perikardiální,</w:t>
      </w:r>
      <w:r>
        <w:rPr>
          <w:sz w:val="24"/>
          <w:szCs w:val="24"/>
        </w:rPr>
        <w:t xml:space="preserve"> případně pleurální drenáže při </w:t>
      </w:r>
      <w:r w:rsidRPr="00F420AA">
        <w:rPr>
          <w:sz w:val="24"/>
          <w:szCs w:val="24"/>
        </w:rPr>
        <w:t xml:space="preserve">případném rozvoji periprocedurálních komplikací. </w:t>
      </w:r>
    </w:p>
    <w:p w:rsidR="006C1917" w:rsidRPr="00F420AA" w:rsidRDefault="006C1917" w:rsidP="002A5827">
      <w:pPr>
        <w:spacing w:line="360" w:lineRule="auto"/>
        <w:jc w:val="both"/>
        <w:rPr>
          <w:sz w:val="24"/>
          <w:szCs w:val="24"/>
        </w:rPr>
      </w:pPr>
      <w:r w:rsidRPr="00F420AA">
        <w:rPr>
          <w:sz w:val="24"/>
          <w:szCs w:val="24"/>
        </w:rPr>
        <w:t xml:space="preserve"> Nemocný je lačný, proběhne obvyklá předoperační příprava dle anesteziologických standardů, výkon se provádí v chráněném koagulu, nejčastěji se podává jedna dávka cefalosporinů III. generace. Po zarouškování a důkladné sterilizaci místa implantace je provedena lokální infiltrace kůže a podkoží anestetikem, následně je veden řez kolmo na osu </w:t>
      </w:r>
      <w:r>
        <w:rPr>
          <w:sz w:val="24"/>
          <w:szCs w:val="24"/>
        </w:rPr>
        <w:lastRenderedPageBreak/>
        <w:t xml:space="preserve">těla </w:t>
      </w:r>
      <w:r w:rsidRPr="00F420AA">
        <w:rPr>
          <w:sz w:val="24"/>
          <w:szCs w:val="24"/>
        </w:rPr>
        <w:t>v podklíčkové krajině (zpravidla levé), řez musí být dostatečně hluboký</w:t>
      </w:r>
      <w:r>
        <w:rPr>
          <w:sz w:val="24"/>
          <w:szCs w:val="24"/>
        </w:rPr>
        <w:t>,</w:t>
      </w:r>
      <w:r w:rsidRPr="00F420AA">
        <w:rPr>
          <w:sz w:val="24"/>
          <w:szCs w:val="24"/>
        </w:rPr>
        <w:t xml:space="preserve"> protože kardiostimulátor se umisťuje na fascii pektorálního svalu. Poté je punktována vena subclavia, punkční místo vychází z již připraveného řezu, jehla je vedena pod úhlem 45° pod klavikulu, místo vstupu do žíly se nachází zhruba v polovině průběhu klavikuly. Pod skiaskopickou kontrolou je do dutiny pravé komory zaveden vodič</w:t>
      </w:r>
      <w:r>
        <w:rPr>
          <w:sz w:val="24"/>
          <w:szCs w:val="24"/>
        </w:rPr>
        <w:t>,</w:t>
      </w:r>
      <w:r w:rsidRPr="00F420AA">
        <w:rPr>
          <w:sz w:val="24"/>
          <w:szCs w:val="24"/>
        </w:rPr>
        <w:t xml:space="preserve"> po kterém je nasouvána nejprve  pravokomorová elektroda. Stimulační místo v pravé komoře je optimalizováno do oblasti midsepta, umístění je kontrolováno skiaskopicky. Vzhledem k tomu, že stačí pouze orientační skiagram, používáme při snímání tzv. pulzní režim. To znamená, že rentgenka snímá operační pole pouze pulzně, zpravidla 4</w:t>
      </w:r>
      <w:r>
        <w:rPr>
          <w:sz w:val="24"/>
          <w:szCs w:val="24"/>
        </w:rPr>
        <w:t>–</w:t>
      </w:r>
      <w:r w:rsidRPr="00F420AA">
        <w:rPr>
          <w:sz w:val="24"/>
          <w:szCs w:val="24"/>
        </w:rPr>
        <w:t xml:space="preserve">8 snímků/s. Výsledný obraz je značně neplynulý avšak pro účely vyšetření dostatečný při významné redukci rentgenového záření, což je významné pro všechny osoby na implantačním sále. Následuje ověření stimulačního prahu a odporu na </w:t>
      </w:r>
      <w:r>
        <w:rPr>
          <w:sz w:val="24"/>
          <w:szCs w:val="24"/>
        </w:rPr>
        <w:t xml:space="preserve">elektrodě, </w:t>
      </w:r>
      <w:r w:rsidRPr="00F420AA">
        <w:rPr>
          <w:sz w:val="24"/>
          <w:szCs w:val="24"/>
        </w:rPr>
        <w:t>stimulační elektroda je fixována v oblasti septa pomocí spirály, která se vysune při otáčení speciální kličkou na druhém konci elektrody. Následně je pomocí plastového zavaděče zavedena síňová elektroda a následují stejné úkony. Poté je připojen připravený kardiostimulátor, elektrody se zasunou do</w:t>
      </w:r>
      <w:r>
        <w:rPr>
          <w:sz w:val="24"/>
          <w:szCs w:val="24"/>
        </w:rPr>
        <w:t xml:space="preserve"> příslušných otvorů v přístroji</w:t>
      </w:r>
      <w:r w:rsidRPr="00F420AA">
        <w:rPr>
          <w:sz w:val="24"/>
          <w:szCs w:val="24"/>
        </w:rPr>
        <w:t xml:space="preserve"> a dotáhnou šroubky v setu přiloženým šroubovákem. Připojený přístroj je umístěn na fa</w:t>
      </w:r>
      <w:r>
        <w:rPr>
          <w:sz w:val="24"/>
          <w:szCs w:val="24"/>
        </w:rPr>
        <w:t>scii musculus pectoralis major</w:t>
      </w:r>
      <w:r w:rsidR="00914912">
        <w:rPr>
          <w:sz w:val="24"/>
          <w:szCs w:val="24"/>
        </w:rPr>
        <w:t>,</w:t>
      </w:r>
      <w:r>
        <w:rPr>
          <w:sz w:val="24"/>
          <w:szCs w:val="24"/>
        </w:rPr>
        <w:t xml:space="preserve"> </w:t>
      </w:r>
      <w:r w:rsidRPr="00F420AA">
        <w:rPr>
          <w:sz w:val="24"/>
          <w:szCs w:val="24"/>
        </w:rPr>
        <w:t>vrstvy nad fascií jsou stehem adaptovány. Kůže je dle zvy</w:t>
      </w:r>
      <w:r>
        <w:rPr>
          <w:sz w:val="24"/>
          <w:szCs w:val="24"/>
        </w:rPr>
        <w:t xml:space="preserve">klostí sešita buď vstřebatelným, </w:t>
      </w:r>
      <w:r w:rsidRPr="00F420AA">
        <w:rPr>
          <w:sz w:val="24"/>
          <w:szCs w:val="24"/>
        </w:rPr>
        <w:t xml:space="preserve">nebo nevstřebatelným materiálem. Na sále probíhá také první programace přístroje pomocí programační hlavice. Pokud je zaváděn přístroj stimulující pouze v síňovém modu (AAI) nebo v čistě pravokomorovém nastavení (VVI), probíhá procedura analogicky. Následně je nemocný navrácen na standardní lůžkové oddělení. Monitorace srdečního rytmu není zpravidla nezbytně nutná. Po krátkém klidovém intervalu na lůžku (zpravidla 6 hodin) může nemocný vertikalizovat. </w:t>
      </w:r>
    </w:p>
    <w:p w:rsidR="006C1917" w:rsidRPr="00F420AA" w:rsidRDefault="006C1917" w:rsidP="002A5827">
      <w:pPr>
        <w:spacing w:line="360" w:lineRule="auto"/>
        <w:jc w:val="both"/>
        <w:rPr>
          <w:sz w:val="24"/>
          <w:szCs w:val="24"/>
        </w:rPr>
      </w:pPr>
      <w:r w:rsidRPr="00F420AA">
        <w:rPr>
          <w:sz w:val="24"/>
          <w:szCs w:val="24"/>
        </w:rPr>
        <w:t>Kontrolní rentgenový snímek k ověření polohy a průběhu stimulačních elektrod následuje druhý den. Na snímku kontrolujeme také případné iatrogenní kmomplikace (pneumothorax, hemothorax), tyto by se ovšem klinicky projevily pravděpodobně dříve. Transthorakální echokardiografie se po výkonu standardně neprovádí, musí být však bed-side k dispozici po 24 hodin při podezření na hemoperikard a z toho resultující tamponádu srdeční. V takové situaci je standardní echokardiografie neocenitelným a velmi rychlým pomocníkem. Všechny tyto komplikace jsou naštěstí vzácné, jejich incidence je hluboce pod 1</w:t>
      </w:r>
      <w:r>
        <w:rPr>
          <w:sz w:val="24"/>
          <w:szCs w:val="24"/>
        </w:rPr>
        <w:t xml:space="preserve"> </w:t>
      </w:r>
      <w:r w:rsidRPr="00F420AA">
        <w:rPr>
          <w:sz w:val="24"/>
          <w:szCs w:val="24"/>
        </w:rPr>
        <w:t xml:space="preserve">%. První pooperační den se také provádí programační kontrola přístoje, je ověřován stimulační práh, voltáž </w:t>
      </w:r>
      <w:r>
        <w:rPr>
          <w:sz w:val="24"/>
          <w:szCs w:val="24"/>
        </w:rPr>
        <w:br/>
      </w:r>
      <w:r w:rsidRPr="00F420AA">
        <w:rPr>
          <w:sz w:val="24"/>
          <w:szCs w:val="24"/>
        </w:rPr>
        <w:lastRenderedPageBreak/>
        <w:t>a impedance baterie,</w:t>
      </w:r>
      <w:r>
        <w:rPr>
          <w:sz w:val="24"/>
          <w:szCs w:val="24"/>
        </w:rPr>
        <w:t xml:space="preserve"> </w:t>
      </w:r>
      <w:r w:rsidRPr="00F420AA">
        <w:rPr>
          <w:sz w:val="24"/>
          <w:szCs w:val="24"/>
        </w:rPr>
        <w:t>probíhá kontrola snímání vlastního elektrického signálu pacienta. Následně jsou nastaveny stimulační parametry, je optimalizován pohybový senzor.</w:t>
      </w:r>
    </w:p>
    <w:p w:rsidR="006C1917" w:rsidRDefault="006C1917" w:rsidP="002A5827">
      <w:pPr>
        <w:spacing w:line="360" w:lineRule="auto"/>
        <w:jc w:val="both"/>
        <w:rPr>
          <w:color w:val="000000"/>
          <w:sz w:val="24"/>
          <w:szCs w:val="24"/>
        </w:rPr>
      </w:pPr>
      <w:r w:rsidRPr="00F420AA">
        <w:rPr>
          <w:sz w:val="24"/>
          <w:szCs w:val="24"/>
        </w:rPr>
        <w:t>N</w:t>
      </w:r>
      <w:r>
        <w:rPr>
          <w:sz w:val="24"/>
          <w:szCs w:val="24"/>
        </w:rPr>
        <w:t xml:space="preserve">emocný je dimitován třetí (tedy </w:t>
      </w:r>
      <w:r w:rsidRPr="00F420AA">
        <w:rPr>
          <w:sz w:val="24"/>
          <w:szCs w:val="24"/>
        </w:rPr>
        <w:t>2.</w:t>
      </w:r>
      <w:r>
        <w:rPr>
          <w:sz w:val="24"/>
          <w:szCs w:val="24"/>
        </w:rPr>
        <w:t xml:space="preserve"> </w:t>
      </w:r>
      <w:r w:rsidRPr="00F420AA">
        <w:rPr>
          <w:sz w:val="24"/>
          <w:szCs w:val="24"/>
        </w:rPr>
        <w:t xml:space="preserve">pooperační) den, jsou mu vydány pokyny stran péče </w:t>
      </w:r>
      <w:r>
        <w:rPr>
          <w:sz w:val="24"/>
          <w:szCs w:val="24"/>
        </w:rPr>
        <w:br/>
      </w:r>
      <w:r w:rsidRPr="00F420AA">
        <w:rPr>
          <w:sz w:val="24"/>
          <w:szCs w:val="24"/>
        </w:rPr>
        <w:t>o ránu. Kontrola v kardiostimulační poradně probíhá za cca 14 dní</w:t>
      </w:r>
      <w:r w:rsidR="002C2EE3">
        <w:rPr>
          <w:sz w:val="24"/>
          <w:szCs w:val="24"/>
        </w:rPr>
        <w:t>,</w:t>
      </w:r>
      <w:r w:rsidRPr="00F420AA">
        <w:rPr>
          <w:sz w:val="24"/>
          <w:szCs w:val="24"/>
        </w:rPr>
        <w:t xml:space="preserve"> kdy je zkontrolována operační rána, případně jsou extrahovány kožní stehy (jsou-li nevstřebatené). Další kontr</w:t>
      </w:r>
      <w:r>
        <w:rPr>
          <w:sz w:val="24"/>
          <w:szCs w:val="24"/>
        </w:rPr>
        <w:t>ola je za cca 6–8 týdnů a poté</w:t>
      </w:r>
      <w:r w:rsidRPr="00F420AA">
        <w:rPr>
          <w:sz w:val="24"/>
          <w:szCs w:val="24"/>
        </w:rPr>
        <w:t xml:space="preserve"> je pacient kontr</w:t>
      </w:r>
      <w:r w:rsidR="002C2EE3">
        <w:rPr>
          <w:sz w:val="24"/>
          <w:szCs w:val="24"/>
        </w:rPr>
        <w:t>olován v půlročních intervalech</w:t>
      </w:r>
      <w:r w:rsidRPr="00F420AA">
        <w:rPr>
          <w:sz w:val="24"/>
          <w:szCs w:val="24"/>
        </w:rPr>
        <w:t xml:space="preserve"> (</w:t>
      </w:r>
      <w:r w:rsidR="00C30D4C">
        <w:rPr>
          <w:color w:val="000000"/>
          <w:sz w:val="24"/>
          <w:szCs w:val="24"/>
        </w:rPr>
        <w:t>67</w:t>
      </w:r>
      <w:r w:rsidRPr="00F420AA">
        <w:rPr>
          <w:color w:val="000000"/>
          <w:sz w:val="24"/>
          <w:szCs w:val="24"/>
        </w:rPr>
        <w:t>)</w:t>
      </w:r>
      <w:r w:rsidR="002C2EE3">
        <w:rPr>
          <w:color w:val="000000"/>
          <w:sz w:val="24"/>
          <w:szCs w:val="24"/>
        </w:rPr>
        <w:t>.</w:t>
      </w:r>
    </w:p>
    <w:p w:rsidR="006C1917" w:rsidRPr="00F420AA" w:rsidRDefault="006C1917" w:rsidP="002A5827">
      <w:pPr>
        <w:spacing w:line="360" w:lineRule="auto"/>
        <w:jc w:val="both"/>
        <w:rPr>
          <w:sz w:val="24"/>
          <w:szCs w:val="24"/>
        </w:rPr>
      </w:pPr>
    </w:p>
    <w:p w:rsidR="006C1917" w:rsidRDefault="006C1917" w:rsidP="00CD623E">
      <w:pPr>
        <w:pStyle w:val="Nadpis3"/>
        <w:rPr>
          <w:lang w:eastAsia="ar-SA"/>
        </w:rPr>
      </w:pPr>
      <w:bookmarkStart w:id="34" w:name="_Toc422993245"/>
      <w:r w:rsidRPr="00CD623E">
        <w:rPr>
          <w:lang w:eastAsia="ar-SA"/>
        </w:rPr>
        <w:t>Základní parametry kardiostimulace</w:t>
      </w:r>
      <w:bookmarkEnd w:id="34"/>
    </w:p>
    <w:p w:rsidR="006C1917" w:rsidRPr="00CD623E" w:rsidRDefault="006C1917" w:rsidP="00CD623E">
      <w:pPr>
        <w:rPr>
          <w:lang w:eastAsia="ar-SA"/>
        </w:rPr>
      </w:pPr>
    </w:p>
    <w:p w:rsidR="006C1917" w:rsidRDefault="006C1917" w:rsidP="00CD623E">
      <w:pPr>
        <w:pStyle w:val="Nadpis4"/>
      </w:pPr>
      <w:r w:rsidRPr="00F420AA">
        <w:t>Základní pojmy z oblasti kardiostimulace</w:t>
      </w:r>
    </w:p>
    <w:p w:rsidR="006C1917" w:rsidRPr="00CD623E" w:rsidRDefault="006C1917" w:rsidP="00CD623E"/>
    <w:p w:rsidR="006C1917" w:rsidRPr="00F420AA" w:rsidRDefault="006C1917" w:rsidP="002A5827">
      <w:pPr>
        <w:spacing w:line="360" w:lineRule="auto"/>
        <w:jc w:val="both"/>
        <w:rPr>
          <w:sz w:val="24"/>
          <w:szCs w:val="24"/>
        </w:rPr>
      </w:pPr>
      <w:r w:rsidRPr="00F420AA">
        <w:rPr>
          <w:sz w:val="24"/>
          <w:szCs w:val="24"/>
        </w:rPr>
        <w:t>Tyto term</w:t>
      </w:r>
      <w:r>
        <w:rPr>
          <w:sz w:val="24"/>
          <w:szCs w:val="24"/>
        </w:rPr>
        <w:t xml:space="preserve">íny se v detailech často liší, </w:t>
      </w:r>
      <w:r w:rsidRPr="00F420AA">
        <w:rPr>
          <w:sz w:val="24"/>
          <w:szCs w:val="24"/>
        </w:rPr>
        <w:t xml:space="preserve">každý výrobce používá u svého kardiostimulátoru určité technicky originální řešení, principielně jsou si základní parametry, nastavení přístrojů </w:t>
      </w:r>
      <w:r>
        <w:rPr>
          <w:sz w:val="24"/>
          <w:szCs w:val="24"/>
        </w:rPr>
        <w:br/>
      </w:r>
      <w:r w:rsidRPr="00F420AA">
        <w:rPr>
          <w:sz w:val="24"/>
          <w:szCs w:val="24"/>
        </w:rPr>
        <w:t>a jejich programace podobné. (Vojáček</w:t>
      </w:r>
      <w:r>
        <w:rPr>
          <w:sz w:val="24"/>
          <w:szCs w:val="24"/>
        </w:rPr>
        <w:t xml:space="preserve"> – </w:t>
      </w:r>
      <w:r w:rsidR="00C30D4C">
        <w:rPr>
          <w:sz w:val="24"/>
          <w:szCs w:val="24"/>
        </w:rPr>
        <w:t>67</w:t>
      </w:r>
      <w:r w:rsidRPr="00F420AA">
        <w:rPr>
          <w:sz w:val="24"/>
          <w:szCs w:val="24"/>
        </w:rPr>
        <w:t>, strana 256)</w:t>
      </w:r>
    </w:p>
    <w:p w:rsidR="006C1917" w:rsidRPr="00CD623E" w:rsidRDefault="006C1917" w:rsidP="001429DD">
      <w:pPr>
        <w:pStyle w:val="Odstavecseseznamem"/>
        <w:numPr>
          <w:ilvl w:val="0"/>
          <w:numId w:val="2"/>
        </w:numPr>
        <w:spacing w:line="360" w:lineRule="auto"/>
        <w:jc w:val="both"/>
        <w:rPr>
          <w:sz w:val="24"/>
          <w:szCs w:val="24"/>
        </w:rPr>
      </w:pPr>
      <w:r w:rsidRPr="00CD623E">
        <w:rPr>
          <w:sz w:val="24"/>
          <w:szCs w:val="24"/>
        </w:rPr>
        <w:t>Bazální stimulační frekvence (base rate): je základní stimulační frekvence, která se přes denní dobu nastavuje v rozmezí 60</w:t>
      </w:r>
      <w:r>
        <w:rPr>
          <w:sz w:val="24"/>
          <w:szCs w:val="24"/>
        </w:rPr>
        <w:t>–</w:t>
      </w:r>
      <w:r w:rsidRPr="00CD623E">
        <w:rPr>
          <w:sz w:val="24"/>
          <w:szCs w:val="24"/>
        </w:rPr>
        <w:t>70 stimulů za minutu. Za určitých situací (mladí nemocní s nevysvětlitelnými řídkými bradykardickými příhodami) se nastavuje na 40 stimulů/min. – tzv. back up nastavení.</w:t>
      </w:r>
    </w:p>
    <w:p w:rsidR="006C1917" w:rsidRPr="00CD623E" w:rsidRDefault="006C1917" w:rsidP="001429DD">
      <w:pPr>
        <w:pStyle w:val="Odstavecseseznamem"/>
        <w:numPr>
          <w:ilvl w:val="0"/>
          <w:numId w:val="2"/>
        </w:numPr>
        <w:spacing w:line="360" w:lineRule="auto"/>
        <w:jc w:val="both"/>
        <w:rPr>
          <w:sz w:val="24"/>
          <w:szCs w:val="24"/>
        </w:rPr>
      </w:pPr>
      <w:r w:rsidRPr="00CD623E">
        <w:rPr>
          <w:sz w:val="24"/>
          <w:szCs w:val="24"/>
        </w:rPr>
        <w:t>Noční režim (různé označení nesoucí zpravidla poznámku „sleep“) je stimulační frekvence v nočních hodinách, typicky mezi 22.00 až 6.00</w:t>
      </w:r>
      <w:r w:rsidR="002C2EE3">
        <w:rPr>
          <w:sz w:val="24"/>
          <w:szCs w:val="24"/>
        </w:rPr>
        <w:t xml:space="preserve"> hod.</w:t>
      </w:r>
      <w:r w:rsidRPr="00CD623E">
        <w:rPr>
          <w:sz w:val="24"/>
          <w:szCs w:val="24"/>
        </w:rPr>
        <w:t>, nese hodnotu zpravidla 50</w:t>
      </w:r>
      <w:r w:rsidR="00DF4BCA">
        <w:rPr>
          <w:sz w:val="24"/>
          <w:szCs w:val="24"/>
        </w:rPr>
        <w:t xml:space="preserve"> stimulů/min.</w:t>
      </w:r>
      <w:r w:rsidRPr="00CD623E">
        <w:rPr>
          <w:sz w:val="24"/>
          <w:szCs w:val="24"/>
        </w:rPr>
        <w:t>, dle preference pacienta lze časové nastavení libovolně měnit, případně nemusí být aktivován vůbec.</w:t>
      </w:r>
    </w:p>
    <w:p w:rsidR="006C1917" w:rsidRPr="00CD623E" w:rsidRDefault="006C1917" w:rsidP="001429DD">
      <w:pPr>
        <w:pStyle w:val="Odstavecseseznamem"/>
        <w:numPr>
          <w:ilvl w:val="0"/>
          <w:numId w:val="2"/>
        </w:numPr>
        <w:spacing w:line="360" w:lineRule="auto"/>
        <w:jc w:val="both"/>
        <w:rPr>
          <w:sz w:val="24"/>
          <w:szCs w:val="24"/>
        </w:rPr>
      </w:pPr>
      <w:r>
        <w:rPr>
          <w:sz w:val="24"/>
          <w:szCs w:val="24"/>
        </w:rPr>
        <w:t>Hysteréza</w:t>
      </w:r>
      <w:r w:rsidRPr="00CD623E">
        <w:rPr>
          <w:sz w:val="24"/>
          <w:szCs w:val="24"/>
        </w:rPr>
        <w:t>: Je to počet stimulů</w:t>
      </w:r>
      <w:r>
        <w:rPr>
          <w:sz w:val="24"/>
          <w:szCs w:val="24"/>
        </w:rPr>
        <w:t xml:space="preserve">, </w:t>
      </w:r>
      <w:r w:rsidRPr="00CD623E">
        <w:rPr>
          <w:sz w:val="24"/>
          <w:szCs w:val="24"/>
        </w:rPr>
        <w:t>o který je vyšší</w:t>
      </w:r>
      <w:r>
        <w:rPr>
          <w:sz w:val="24"/>
          <w:szCs w:val="24"/>
        </w:rPr>
        <w:t xml:space="preserve"> stimulační frekvence</w:t>
      </w:r>
      <w:r w:rsidR="00DF4BCA">
        <w:rPr>
          <w:sz w:val="24"/>
          <w:szCs w:val="24"/>
        </w:rPr>
        <w:t xml:space="preserve"> versus</w:t>
      </w:r>
      <w:r w:rsidRPr="00CD623E">
        <w:rPr>
          <w:sz w:val="24"/>
          <w:szCs w:val="24"/>
        </w:rPr>
        <w:t xml:space="preserve"> vlastní frekvence pacienta při aktivaci přístroje. Udává se se záporným znaménkem </w:t>
      </w:r>
      <w:r>
        <w:rPr>
          <w:sz w:val="24"/>
          <w:szCs w:val="24"/>
        </w:rPr>
        <w:br/>
      </w:r>
      <w:r w:rsidRPr="00CD623E">
        <w:rPr>
          <w:sz w:val="24"/>
          <w:szCs w:val="24"/>
        </w:rPr>
        <w:t>a například stimulační frekvence 70-5/min. znamená, že kardiostimulátor je aktivován při poklesu vlastní pacientovy frekvence pod 65/min. a stimulační frekvence je 70/min. Smyslem hysteré</w:t>
      </w:r>
      <w:r>
        <w:rPr>
          <w:sz w:val="24"/>
          <w:szCs w:val="24"/>
        </w:rPr>
        <w:t xml:space="preserve">zy je omezit časté spínání </w:t>
      </w:r>
      <w:r w:rsidRPr="00CD623E">
        <w:rPr>
          <w:sz w:val="24"/>
          <w:szCs w:val="24"/>
        </w:rPr>
        <w:t xml:space="preserve">a vypínání kardiostimulátoru </w:t>
      </w:r>
      <w:r>
        <w:rPr>
          <w:sz w:val="24"/>
          <w:szCs w:val="24"/>
        </w:rPr>
        <w:br/>
      </w:r>
      <w:r w:rsidRPr="00CD623E">
        <w:rPr>
          <w:sz w:val="24"/>
          <w:szCs w:val="24"/>
        </w:rPr>
        <w:t xml:space="preserve">u pacientů s vlastním rytmem blízkým „base rate“. Některé přístroje nepoužívají hysterézu ale tzv. „rate smoothing“, algoritmus, který činí kardiostimulaci plynulou. </w:t>
      </w:r>
      <w:r w:rsidRPr="00CD623E">
        <w:rPr>
          <w:sz w:val="24"/>
          <w:szCs w:val="24"/>
        </w:rPr>
        <w:lastRenderedPageBreak/>
        <w:t>Zásadní význam má hysteréza u pacientů</w:t>
      </w:r>
      <w:r w:rsidR="000A5780">
        <w:rPr>
          <w:sz w:val="24"/>
          <w:szCs w:val="24"/>
        </w:rPr>
        <w:t xml:space="preserve"> s vagotonií a vasovagálními sy</w:t>
      </w:r>
      <w:r w:rsidRPr="00CD623E">
        <w:rPr>
          <w:sz w:val="24"/>
          <w:szCs w:val="24"/>
        </w:rPr>
        <w:t xml:space="preserve">nkopami, typicky u mladých žen, kdy nastupující vagotonus vede k rychlému poklesu vlastní srdeční frekvence pod 40 pulzů/minutu a smyslem kardiostimulace je dodat sérii rychlých impulzů (např. 80/min) k zabránění kolapsu. Programace tak vypadá </w:t>
      </w:r>
      <w:r>
        <w:rPr>
          <w:sz w:val="24"/>
          <w:szCs w:val="24"/>
        </w:rPr>
        <w:br/>
      </w:r>
      <w:r w:rsidRPr="00CD623E">
        <w:rPr>
          <w:sz w:val="24"/>
          <w:szCs w:val="24"/>
        </w:rPr>
        <w:t>80-40/min, hysteréza je tedy 40. Po zabránění kolapsu zpravidla následuje fáze aktivace srdečního sympatiku a pacientova frekvence zpravidla převýší stimulační frekvenci (zde konkrétně 80/min) a přístroj je inhibován. V opačném přístroji by byl pacient stále stimulován</w:t>
      </w:r>
      <w:r>
        <w:rPr>
          <w:sz w:val="24"/>
          <w:szCs w:val="24"/>
        </w:rPr>
        <w:t>,</w:t>
      </w:r>
      <w:r w:rsidRPr="00CD623E">
        <w:rPr>
          <w:sz w:val="24"/>
          <w:szCs w:val="24"/>
        </w:rPr>
        <w:t xml:space="preserve"> což je zejména u</w:t>
      </w:r>
      <w:r w:rsidR="00C30D4C">
        <w:rPr>
          <w:sz w:val="24"/>
          <w:szCs w:val="24"/>
        </w:rPr>
        <w:t xml:space="preserve"> mladých pacientů nepříznivé (66</w:t>
      </w:r>
      <w:r w:rsidRPr="00CD623E">
        <w:rPr>
          <w:sz w:val="24"/>
          <w:szCs w:val="24"/>
        </w:rPr>
        <w:t>)</w:t>
      </w:r>
      <w:r w:rsidR="00DF4BCA">
        <w:rPr>
          <w:sz w:val="24"/>
          <w:szCs w:val="24"/>
        </w:rPr>
        <w:t>.</w:t>
      </w:r>
    </w:p>
    <w:p w:rsidR="006C1917" w:rsidRPr="00CD623E" w:rsidRDefault="006C1917" w:rsidP="001429DD">
      <w:pPr>
        <w:pStyle w:val="Odstavecseseznamem"/>
        <w:numPr>
          <w:ilvl w:val="0"/>
          <w:numId w:val="2"/>
        </w:numPr>
        <w:spacing w:line="360" w:lineRule="auto"/>
        <w:jc w:val="both"/>
        <w:rPr>
          <w:sz w:val="24"/>
          <w:szCs w:val="24"/>
        </w:rPr>
      </w:pPr>
      <w:r w:rsidRPr="00CD623E">
        <w:rPr>
          <w:sz w:val="24"/>
          <w:szCs w:val="24"/>
        </w:rPr>
        <w:t xml:space="preserve">Síňokomorové zpoždění (AV delay) je zpoždění při kterém komorová elektroda „čeká“, zda se elektrický impulz ze síně (ať vlastní, nebo stimulovaný) převede na komory a je tak komorovým kanálem zaznamenán (senzován). V takovém případě je komorová elektroda inhibována a stimulační impulz nevydá. AV delay je nastaven buď fixně (max. 300 msec) nebo dynamicky v závislosti na srdeční frekvenci přímo úměrně klesá (většinou do pásma fyziologických hodnot AV intervalu </w:t>
      </w:r>
      <w:r>
        <w:rPr>
          <w:sz w:val="24"/>
          <w:szCs w:val="24"/>
        </w:rPr>
        <w:br/>
      </w:r>
      <w:r w:rsidRPr="00CD623E">
        <w:rPr>
          <w:sz w:val="24"/>
          <w:szCs w:val="24"/>
        </w:rPr>
        <w:t>120</w:t>
      </w:r>
      <w:r>
        <w:rPr>
          <w:sz w:val="24"/>
          <w:szCs w:val="24"/>
        </w:rPr>
        <w:t>–</w:t>
      </w:r>
      <w:r w:rsidRPr="00CD623E">
        <w:rPr>
          <w:sz w:val="24"/>
          <w:szCs w:val="24"/>
        </w:rPr>
        <w:t>200 msec.). Při nastavení AV intervalu jsou uplatňovány 2 pohledy: kr</w:t>
      </w:r>
      <w:r>
        <w:rPr>
          <w:sz w:val="24"/>
          <w:szCs w:val="24"/>
        </w:rPr>
        <w:t xml:space="preserve">átký (fyziologický) AV interval </w:t>
      </w:r>
      <w:r w:rsidRPr="00CD623E">
        <w:rPr>
          <w:sz w:val="24"/>
          <w:szCs w:val="24"/>
        </w:rPr>
        <w:t>vede k lepšímu plnění srdečních komor</w:t>
      </w:r>
      <w:r>
        <w:rPr>
          <w:sz w:val="24"/>
          <w:szCs w:val="24"/>
        </w:rPr>
        <w:t>,</w:t>
      </w:r>
      <w:r w:rsidRPr="00CD623E">
        <w:rPr>
          <w:sz w:val="24"/>
          <w:szCs w:val="24"/>
        </w:rPr>
        <w:t xml:space="preserve"> což optimalizuje tepový objem. Z toho profitují hlavně pacienti se srdečním selháním. Na straně druhé ponechat možnost dlouhého AV zpoždění vede ke snížení procenta pravokomorové stimulace což je výhodné zhlediska omezení rozvoje tzv. </w:t>
      </w:r>
      <w:r>
        <w:rPr>
          <w:sz w:val="24"/>
          <w:szCs w:val="24"/>
        </w:rPr>
        <w:t xml:space="preserve">„poststimulační kardiomyopatie“. Jde </w:t>
      </w:r>
      <w:r w:rsidRPr="00CD623E">
        <w:rPr>
          <w:sz w:val="24"/>
          <w:szCs w:val="24"/>
        </w:rPr>
        <w:t>o fenomén, kdy dlouhá a častá (zejména hrotová) pravokomorová stimulace vede k projevům interventrikulární dyssync</w:t>
      </w:r>
      <w:r>
        <w:rPr>
          <w:sz w:val="24"/>
          <w:szCs w:val="24"/>
        </w:rPr>
        <w:t xml:space="preserve">hronie, poklesu ejekční frakce </w:t>
      </w:r>
      <w:r w:rsidRPr="00CD623E">
        <w:rPr>
          <w:sz w:val="24"/>
          <w:szCs w:val="24"/>
        </w:rPr>
        <w:t>a klinickým</w:t>
      </w:r>
      <w:r w:rsidR="00C30D4C">
        <w:rPr>
          <w:sz w:val="24"/>
          <w:szCs w:val="24"/>
        </w:rPr>
        <w:t xml:space="preserve"> projevům srdečního selhání. (66</w:t>
      </w:r>
      <w:r w:rsidRPr="00CD623E">
        <w:rPr>
          <w:sz w:val="24"/>
          <w:szCs w:val="24"/>
        </w:rPr>
        <w:t>,</w:t>
      </w:r>
      <w:r>
        <w:rPr>
          <w:sz w:val="24"/>
          <w:szCs w:val="24"/>
        </w:rPr>
        <w:t xml:space="preserve"> </w:t>
      </w:r>
      <w:r w:rsidR="00C30D4C">
        <w:rPr>
          <w:sz w:val="24"/>
          <w:szCs w:val="24"/>
        </w:rPr>
        <w:t>68</w:t>
      </w:r>
      <w:r w:rsidRPr="00CD623E">
        <w:rPr>
          <w:sz w:val="24"/>
          <w:szCs w:val="24"/>
        </w:rPr>
        <w:t>)</w:t>
      </w:r>
    </w:p>
    <w:p w:rsidR="006C1917" w:rsidRPr="00CD623E" w:rsidRDefault="006C1917" w:rsidP="001429DD">
      <w:pPr>
        <w:pStyle w:val="Odstavecseseznamem"/>
        <w:numPr>
          <w:ilvl w:val="0"/>
          <w:numId w:val="2"/>
        </w:numPr>
        <w:spacing w:line="360" w:lineRule="auto"/>
        <w:jc w:val="both"/>
        <w:rPr>
          <w:sz w:val="24"/>
          <w:szCs w:val="24"/>
        </w:rPr>
      </w:pPr>
      <w:r w:rsidRPr="00CD623E">
        <w:rPr>
          <w:sz w:val="24"/>
          <w:szCs w:val="24"/>
        </w:rPr>
        <w:t>Maximal tracking rate: maximální frekvence, která je ze síní kardiostimulátorem převáděna na komory v poměru 1:1</w:t>
      </w:r>
    </w:p>
    <w:p w:rsidR="006C1917" w:rsidRPr="00CD623E" w:rsidRDefault="006C1917" w:rsidP="001429DD">
      <w:pPr>
        <w:pStyle w:val="Odstavecseseznamem"/>
        <w:numPr>
          <w:ilvl w:val="0"/>
          <w:numId w:val="2"/>
        </w:numPr>
        <w:spacing w:line="360" w:lineRule="auto"/>
        <w:jc w:val="both"/>
        <w:rPr>
          <w:sz w:val="24"/>
          <w:szCs w:val="24"/>
        </w:rPr>
      </w:pPr>
      <w:r w:rsidRPr="00CD623E">
        <w:rPr>
          <w:sz w:val="24"/>
          <w:szCs w:val="24"/>
        </w:rPr>
        <w:t>Mode switch: opatření, které souvisí s výše uvedeným parametrem, při trvající tachykardii o definované frekvenci, se režim DDD přepne na DDI. Definovaná frekvence musí být maximálně rovna maximal tracking rate.</w:t>
      </w:r>
    </w:p>
    <w:p w:rsidR="006C1917" w:rsidRDefault="006C1917" w:rsidP="001429DD">
      <w:pPr>
        <w:pStyle w:val="Odstavecseseznamem"/>
        <w:numPr>
          <w:ilvl w:val="0"/>
          <w:numId w:val="2"/>
        </w:numPr>
        <w:spacing w:line="360" w:lineRule="auto"/>
        <w:jc w:val="both"/>
        <w:rPr>
          <w:sz w:val="24"/>
          <w:szCs w:val="24"/>
        </w:rPr>
      </w:pPr>
      <w:r w:rsidRPr="00CD623E">
        <w:rPr>
          <w:sz w:val="24"/>
          <w:szCs w:val="24"/>
        </w:rPr>
        <w:t xml:space="preserve">Frekvenční senzory: Jde o zařízení pro léčbu pacientů s chronotropní inkompetencí, </w:t>
      </w:r>
      <w:r w:rsidR="000A5780">
        <w:rPr>
          <w:sz w:val="24"/>
          <w:szCs w:val="24"/>
        </w:rPr>
        <w:t>k</w:t>
      </w:r>
      <w:r w:rsidRPr="00CD623E">
        <w:rPr>
          <w:sz w:val="24"/>
          <w:szCs w:val="24"/>
        </w:rPr>
        <w:t xml:space="preserve">teří nejsou schopni při zátěži vyvinout adekvátní tachykardii. Přítomnost frekvenčního senzoru poznáme </w:t>
      </w:r>
      <w:r w:rsidR="00DF4BCA">
        <w:rPr>
          <w:sz w:val="24"/>
          <w:szCs w:val="24"/>
        </w:rPr>
        <w:t>podle písmene R (rate respons</w:t>
      </w:r>
      <w:r w:rsidRPr="00CD623E">
        <w:rPr>
          <w:sz w:val="24"/>
          <w:szCs w:val="24"/>
        </w:rPr>
        <w:t>ive), nebo označení CLS (u přístrojů firmy Biotronic</w:t>
      </w:r>
      <w:r w:rsidRPr="00CD623E">
        <w:rPr>
          <w:rFonts w:ascii="Times New Roman" w:hAnsi="Times New Roman"/>
          <w:sz w:val="24"/>
          <w:szCs w:val="24"/>
        </w:rPr>
        <w:t>©</w:t>
      </w:r>
      <w:r w:rsidRPr="00CD623E">
        <w:rPr>
          <w:sz w:val="24"/>
          <w:szCs w:val="24"/>
        </w:rPr>
        <w:t>) v názvu přís</w:t>
      </w:r>
      <w:r w:rsidR="00887437">
        <w:rPr>
          <w:sz w:val="24"/>
          <w:szCs w:val="24"/>
        </w:rPr>
        <w:t xml:space="preserve">troje, označení se také </w:t>
      </w:r>
      <w:proofErr w:type="gramStart"/>
      <w:r w:rsidR="00887437">
        <w:rPr>
          <w:sz w:val="24"/>
          <w:szCs w:val="24"/>
        </w:rPr>
        <w:t xml:space="preserve">uvádí </w:t>
      </w:r>
      <w:r w:rsidRPr="00CD623E">
        <w:rPr>
          <w:sz w:val="24"/>
          <w:szCs w:val="24"/>
        </w:rPr>
        <w:t xml:space="preserve"> </w:t>
      </w:r>
      <w:r w:rsidR="00DF4BCA">
        <w:rPr>
          <w:sz w:val="24"/>
          <w:szCs w:val="24"/>
        </w:rPr>
        <w:t xml:space="preserve"> v </w:t>
      </w:r>
      <w:r w:rsidRPr="00CD623E">
        <w:rPr>
          <w:sz w:val="24"/>
          <w:szCs w:val="24"/>
        </w:rPr>
        <w:t>mezinárodním</w:t>
      </w:r>
      <w:proofErr w:type="gramEnd"/>
      <w:r w:rsidRPr="00CD623E">
        <w:rPr>
          <w:sz w:val="24"/>
          <w:szCs w:val="24"/>
        </w:rPr>
        <w:t xml:space="preserve"> NBG kód</w:t>
      </w:r>
      <w:r w:rsidR="00887437">
        <w:rPr>
          <w:sz w:val="24"/>
          <w:szCs w:val="24"/>
        </w:rPr>
        <w:t>u.</w:t>
      </w:r>
      <w:r w:rsidRPr="00CD623E">
        <w:rPr>
          <w:sz w:val="24"/>
          <w:szCs w:val="24"/>
        </w:rPr>
        <w:t xml:space="preserve"> Principielně jde zpravidla o mechanické senzory </w:t>
      </w:r>
      <w:r w:rsidRPr="00CD623E">
        <w:rPr>
          <w:sz w:val="24"/>
          <w:szCs w:val="24"/>
        </w:rPr>
        <w:lastRenderedPageBreak/>
        <w:t xml:space="preserve">(piezoelektrické krystaly, které při změně pohybu pacienta se pohybují rovněž a mění svou konformaci), případně složitější systémy měří podíl změny tlakového gradientu a změny času na trikuspidální chlopni  </w:t>
      </w:r>
      <w:r w:rsidRPr="00CD623E">
        <w:rPr>
          <w:rFonts w:ascii="Times New Roman" w:hAnsi="Times New Roman"/>
          <w:sz w:val="24"/>
          <w:szCs w:val="24"/>
        </w:rPr>
        <w:t>Δp/ΔT</w:t>
      </w:r>
      <w:r w:rsidRPr="00CD623E">
        <w:rPr>
          <w:sz w:val="24"/>
          <w:szCs w:val="24"/>
        </w:rPr>
        <w:t xml:space="preserve">  nebo již zmíněný systém CLS, který zaznamenává změny impedance na k</w:t>
      </w:r>
      <w:r>
        <w:rPr>
          <w:sz w:val="24"/>
          <w:szCs w:val="24"/>
        </w:rPr>
        <w:t xml:space="preserve">omorové elektrodě v souvislosti </w:t>
      </w:r>
      <w:r w:rsidRPr="00CD623E">
        <w:rPr>
          <w:sz w:val="24"/>
          <w:szCs w:val="24"/>
        </w:rPr>
        <w:t>s koncentrací vlastních katecholaminů pacienta.</w:t>
      </w:r>
    </w:p>
    <w:p w:rsidR="006C1917" w:rsidRDefault="006C1917" w:rsidP="001429DD">
      <w:pPr>
        <w:pStyle w:val="Odstavecseseznamem"/>
        <w:numPr>
          <w:ilvl w:val="0"/>
          <w:numId w:val="2"/>
        </w:numPr>
        <w:spacing w:line="360" w:lineRule="auto"/>
        <w:jc w:val="both"/>
        <w:rPr>
          <w:sz w:val="24"/>
          <w:szCs w:val="24"/>
        </w:rPr>
      </w:pPr>
      <w:r w:rsidRPr="00CD623E">
        <w:rPr>
          <w:sz w:val="24"/>
          <w:szCs w:val="24"/>
        </w:rPr>
        <w:t>Impedance: Ohmický odpor (</w:t>
      </w:r>
      <w:r w:rsidRPr="00CD623E">
        <w:rPr>
          <w:rFonts w:ascii="Times New Roman" w:hAnsi="Times New Roman"/>
          <w:sz w:val="24"/>
          <w:szCs w:val="24"/>
        </w:rPr>
        <w:t>Ω</w:t>
      </w:r>
      <w:r w:rsidRPr="00CD623E">
        <w:rPr>
          <w:sz w:val="24"/>
          <w:szCs w:val="24"/>
        </w:rPr>
        <w:t xml:space="preserve">) na přechodu </w:t>
      </w:r>
      <w:proofErr w:type="gramStart"/>
      <w:r w:rsidRPr="00CD623E">
        <w:rPr>
          <w:sz w:val="24"/>
          <w:szCs w:val="24"/>
        </w:rPr>
        <w:t>elektroda</w:t>
      </w:r>
      <w:r>
        <w:rPr>
          <w:sz w:val="24"/>
          <w:szCs w:val="24"/>
        </w:rPr>
        <w:t>–</w:t>
      </w:r>
      <w:r w:rsidRPr="00CD623E">
        <w:rPr>
          <w:sz w:val="24"/>
          <w:szCs w:val="24"/>
        </w:rPr>
        <w:t>tkáň</w:t>
      </w:r>
      <w:proofErr w:type="gramEnd"/>
    </w:p>
    <w:p w:rsidR="006C1917" w:rsidRDefault="006C1917" w:rsidP="001429DD">
      <w:pPr>
        <w:pStyle w:val="Odstavecseseznamem"/>
        <w:numPr>
          <w:ilvl w:val="0"/>
          <w:numId w:val="2"/>
        </w:numPr>
        <w:spacing w:line="360" w:lineRule="auto"/>
        <w:jc w:val="both"/>
        <w:rPr>
          <w:sz w:val="24"/>
          <w:szCs w:val="24"/>
        </w:rPr>
      </w:pPr>
      <w:r w:rsidRPr="00CD623E">
        <w:rPr>
          <w:sz w:val="24"/>
          <w:szCs w:val="24"/>
        </w:rPr>
        <w:t xml:space="preserve">Elektrický stimulus: Je definován </w:t>
      </w:r>
      <w:r>
        <w:rPr>
          <w:sz w:val="24"/>
          <w:szCs w:val="24"/>
        </w:rPr>
        <w:t xml:space="preserve">zpravidla </w:t>
      </w:r>
      <w:r w:rsidRPr="00CD623E">
        <w:rPr>
          <w:sz w:val="24"/>
          <w:szCs w:val="24"/>
        </w:rPr>
        <w:t>hodnotou stimulačního napětí</w:t>
      </w:r>
      <w:r>
        <w:rPr>
          <w:sz w:val="24"/>
          <w:szCs w:val="24"/>
        </w:rPr>
        <w:t xml:space="preserve"> </w:t>
      </w:r>
      <w:r w:rsidRPr="00CD623E">
        <w:rPr>
          <w:sz w:val="24"/>
          <w:szCs w:val="24"/>
        </w:rPr>
        <w:t>U</w:t>
      </w:r>
      <w:r>
        <w:rPr>
          <w:sz w:val="24"/>
          <w:szCs w:val="24"/>
        </w:rPr>
        <w:t xml:space="preserve"> </w:t>
      </w:r>
      <w:r w:rsidRPr="00CD623E">
        <w:rPr>
          <w:sz w:val="24"/>
          <w:szCs w:val="24"/>
        </w:rPr>
        <w:t>(V), z Ohmo</w:t>
      </w:r>
      <w:r>
        <w:rPr>
          <w:sz w:val="24"/>
          <w:szCs w:val="24"/>
        </w:rPr>
        <w:t>va zákona (R=U/I) ovšem vyplývá</w:t>
      </w:r>
      <w:r w:rsidRPr="00CD623E">
        <w:rPr>
          <w:sz w:val="24"/>
          <w:szCs w:val="24"/>
        </w:rPr>
        <w:t xml:space="preserve"> souvstažnost se stimulačním proudem</w:t>
      </w:r>
      <w:r>
        <w:rPr>
          <w:sz w:val="24"/>
          <w:szCs w:val="24"/>
        </w:rPr>
        <w:t>,</w:t>
      </w:r>
      <w:r w:rsidRPr="00CD623E">
        <w:rPr>
          <w:sz w:val="24"/>
          <w:szCs w:val="24"/>
        </w:rPr>
        <w:t xml:space="preserve"> </w:t>
      </w:r>
      <w:r>
        <w:rPr>
          <w:sz w:val="24"/>
          <w:szCs w:val="24"/>
        </w:rPr>
        <w:br/>
      </w:r>
      <w:r w:rsidRPr="00CD623E">
        <w:rPr>
          <w:sz w:val="24"/>
          <w:szCs w:val="24"/>
        </w:rPr>
        <w:t>a hodnoty tak lze udávat i v jednotkách proudu I (mA).  Používané napětí se pohybuje v hodnotách 1</w:t>
      </w:r>
      <w:r>
        <w:rPr>
          <w:sz w:val="24"/>
          <w:szCs w:val="24"/>
        </w:rPr>
        <w:t>–</w:t>
      </w:r>
      <w:r w:rsidRPr="00CD623E">
        <w:rPr>
          <w:sz w:val="24"/>
          <w:szCs w:val="24"/>
        </w:rPr>
        <w:t xml:space="preserve">5 V, jde o stejnosměrný proud v jednotkách miliampérů. </w:t>
      </w:r>
    </w:p>
    <w:p w:rsidR="006C1917" w:rsidRDefault="006C1917" w:rsidP="001429DD">
      <w:pPr>
        <w:pStyle w:val="Odstavecseseznamem"/>
        <w:numPr>
          <w:ilvl w:val="0"/>
          <w:numId w:val="2"/>
        </w:numPr>
        <w:spacing w:line="360" w:lineRule="auto"/>
        <w:jc w:val="both"/>
        <w:rPr>
          <w:sz w:val="24"/>
          <w:szCs w:val="24"/>
        </w:rPr>
      </w:pPr>
      <w:r w:rsidRPr="00CD623E">
        <w:rPr>
          <w:sz w:val="24"/>
          <w:szCs w:val="24"/>
        </w:rPr>
        <w:t xml:space="preserve">Stimulační práh: Nejmenší intenzita elektrického stimulu (napětí nebo elektrického proudu), který vyvolá ještě účinnou stimulaci myokardu. </w:t>
      </w:r>
    </w:p>
    <w:p w:rsidR="006C1917" w:rsidRDefault="006C1917" w:rsidP="001429DD">
      <w:pPr>
        <w:pStyle w:val="Odstavecseseznamem"/>
        <w:numPr>
          <w:ilvl w:val="0"/>
          <w:numId w:val="2"/>
        </w:numPr>
        <w:spacing w:line="360" w:lineRule="auto"/>
        <w:jc w:val="both"/>
        <w:rPr>
          <w:sz w:val="24"/>
          <w:szCs w:val="24"/>
        </w:rPr>
      </w:pPr>
      <w:r w:rsidRPr="00CD623E">
        <w:rPr>
          <w:sz w:val="24"/>
          <w:szCs w:val="24"/>
        </w:rPr>
        <w:t>Stimulační elektroda: Může mít uspořádání unipolární nebo bipolární. Unipolární uspořádání je historicky starší, průběh stimulačního proudu probíhá mezi kladným pólem na hrotu elektrody (tip) a záporným pólem na těle kardiostimulátoru (hot can). Bipól je při unipolárním nastavení poměrně dlouhý (cca 20</w:t>
      </w:r>
      <w:r>
        <w:rPr>
          <w:sz w:val="24"/>
          <w:szCs w:val="24"/>
        </w:rPr>
        <w:t>–</w:t>
      </w:r>
      <w:r w:rsidRPr="00CD623E">
        <w:rPr>
          <w:sz w:val="24"/>
          <w:szCs w:val="24"/>
        </w:rPr>
        <w:t>30 cm) a je náchylnější k zevnímu rušení elektromagnetickými vlivy. Při bipolárním uspořádání je na tipu pozitivní pól, negativní pól je o cca 1 cm zpět přímo na elektrodě</w:t>
      </w:r>
      <w:r>
        <w:rPr>
          <w:sz w:val="24"/>
          <w:szCs w:val="24"/>
        </w:rPr>
        <w:t>,</w:t>
      </w:r>
      <w:r w:rsidRPr="00CD623E">
        <w:rPr>
          <w:sz w:val="24"/>
          <w:szCs w:val="24"/>
        </w:rPr>
        <w:t xml:space="preserve"> z čehož vyplývá menší náchylnost k zevnímu rušení. V bipolárním uspořádání je lehce (klinicky nevýznamně) vyšší stimulační práh.</w:t>
      </w:r>
    </w:p>
    <w:p w:rsidR="006C1917" w:rsidRPr="00CD623E" w:rsidRDefault="006C1917" w:rsidP="00CD623E">
      <w:pPr>
        <w:pStyle w:val="Odstavecseseznamem"/>
        <w:spacing w:line="360" w:lineRule="auto"/>
        <w:jc w:val="both"/>
        <w:rPr>
          <w:sz w:val="24"/>
          <w:szCs w:val="24"/>
        </w:rPr>
      </w:pPr>
    </w:p>
    <w:p w:rsidR="006C1917" w:rsidRDefault="006C1917" w:rsidP="00CD623E">
      <w:pPr>
        <w:pStyle w:val="Nadpis4"/>
      </w:pPr>
      <w:r w:rsidRPr="00CD623E">
        <w:t xml:space="preserve"> Základní stimulační režimy</w:t>
      </w:r>
    </w:p>
    <w:p w:rsidR="006C1917" w:rsidRPr="00CD623E" w:rsidRDefault="006C1917" w:rsidP="00CD623E"/>
    <w:p w:rsidR="00DF4BCA" w:rsidRDefault="006C1917" w:rsidP="002A5827">
      <w:pPr>
        <w:spacing w:line="360" w:lineRule="auto"/>
        <w:jc w:val="both"/>
        <w:rPr>
          <w:sz w:val="24"/>
          <w:szCs w:val="24"/>
        </w:rPr>
      </w:pPr>
      <w:r w:rsidRPr="00F420AA">
        <w:rPr>
          <w:sz w:val="24"/>
          <w:szCs w:val="24"/>
        </w:rPr>
        <w:t>Při popisu kardiostimulačních režimů používáme mezinárodní  NASPE/BPEG kód (tab.</w:t>
      </w:r>
      <w:r>
        <w:rPr>
          <w:sz w:val="24"/>
          <w:szCs w:val="24"/>
        </w:rPr>
        <w:t xml:space="preserve"> </w:t>
      </w:r>
      <w:proofErr w:type="gramStart"/>
      <w:r w:rsidRPr="00F420AA">
        <w:rPr>
          <w:sz w:val="24"/>
          <w:szCs w:val="24"/>
        </w:rPr>
        <w:t>č.</w:t>
      </w:r>
      <w:proofErr w:type="gramEnd"/>
      <w:r>
        <w:rPr>
          <w:sz w:val="24"/>
          <w:szCs w:val="24"/>
        </w:rPr>
        <w:t xml:space="preserve"> </w:t>
      </w:r>
      <w:r w:rsidRPr="00F420AA">
        <w:rPr>
          <w:sz w:val="24"/>
          <w:szCs w:val="24"/>
        </w:rPr>
        <w:t>4). J</w:t>
      </w:r>
      <w:r>
        <w:rPr>
          <w:sz w:val="24"/>
          <w:szCs w:val="24"/>
        </w:rPr>
        <w:t xml:space="preserve">edná se o mezinárodní označení </w:t>
      </w:r>
      <w:r w:rsidRPr="00F420AA">
        <w:rPr>
          <w:sz w:val="24"/>
          <w:szCs w:val="24"/>
        </w:rPr>
        <w:t>parametrů kardiostimualce. Na prvním místě je uváděno místo stimulace. Na druhém místě je místo snímání, třetí místo informuje o o</w:t>
      </w:r>
      <w:r w:rsidR="00DF4BCA">
        <w:rPr>
          <w:sz w:val="24"/>
          <w:szCs w:val="24"/>
        </w:rPr>
        <w:t>dpovědi kardiostimulátoru, na čtvrtém místě je informace o přítomnosti frekvenčního senzoru, na pátém místě je informace o stimulaci z více míst</w:t>
      </w:r>
      <w:r w:rsidRPr="00F420AA">
        <w:rPr>
          <w:sz w:val="24"/>
          <w:szCs w:val="24"/>
        </w:rPr>
        <w:t>.</w:t>
      </w:r>
    </w:p>
    <w:p w:rsidR="006C1917" w:rsidRDefault="006C1917" w:rsidP="002A5827">
      <w:pPr>
        <w:spacing w:line="360" w:lineRule="auto"/>
        <w:jc w:val="both"/>
        <w:rPr>
          <w:sz w:val="24"/>
          <w:szCs w:val="24"/>
        </w:rPr>
      </w:pPr>
      <w:r w:rsidRPr="00F420AA">
        <w:rPr>
          <w:sz w:val="24"/>
          <w:szCs w:val="24"/>
        </w:rPr>
        <w:t xml:space="preserve"> </w:t>
      </w: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t>tabulka č.</w:t>
      </w:r>
      <w:r>
        <w:rPr>
          <w:sz w:val="24"/>
          <w:szCs w:val="24"/>
        </w:rPr>
        <w:t xml:space="preserve"> </w:t>
      </w:r>
      <w:r w:rsidRPr="00F420AA">
        <w:rPr>
          <w:sz w:val="24"/>
          <w:szCs w:val="24"/>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38"/>
        <w:gridCol w:w="1531"/>
        <w:gridCol w:w="1842"/>
        <w:gridCol w:w="2234"/>
        <w:gridCol w:w="1843"/>
      </w:tblGrid>
      <w:tr w:rsidR="006C1917" w:rsidRPr="00F420AA" w:rsidTr="00CD623E">
        <w:trPr>
          <w:jc w:val="center"/>
        </w:trPr>
        <w:tc>
          <w:tcPr>
            <w:tcW w:w="1838" w:type="dxa"/>
          </w:tcPr>
          <w:p w:rsidR="006C1917" w:rsidRPr="00F420AA" w:rsidRDefault="006C1917" w:rsidP="00CD623E">
            <w:pPr>
              <w:spacing w:after="0" w:line="360" w:lineRule="auto"/>
            </w:pPr>
            <w:r w:rsidRPr="00F420AA">
              <w:t>Místo stimulace</w:t>
            </w:r>
          </w:p>
        </w:tc>
        <w:tc>
          <w:tcPr>
            <w:tcW w:w="1531" w:type="dxa"/>
          </w:tcPr>
          <w:p w:rsidR="006C1917" w:rsidRPr="00F420AA" w:rsidRDefault="006C1917" w:rsidP="00CD623E">
            <w:pPr>
              <w:spacing w:after="0" w:line="360" w:lineRule="auto"/>
            </w:pPr>
            <w:r w:rsidRPr="00F420AA">
              <w:t>Místo vnímání</w:t>
            </w:r>
          </w:p>
        </w:tc>
        <w:tc>
          <w:tcPr>
            <w:tcW w:w="1842" w:type="dxa"/>
          </w:tcPr>
          <w:p w:rsidR="006C1917" w:rsidRPr="00F420AA" w:rsidRDefault="006C1917" w:rsidP="00CD623E">
            <w:pPr>
              <w:spacing w:after="0" w:line="360" w:lineRule="auto"/>
            </w:pPr>
            <w:r w:rsidRPr="00F420AA">
              <w:t>Způsob odpovědi</w:t>
            </w:r>
          </w:p>
        </w:tc>
        <w:tc>
          <w:tcPr>
            <w:tcW w:w="2234" w:type="dxa"/>
          </w:tcPr>
          <w:p w:rsidR="006C1917" w:rsidRPr="00F420AA" w:rsidRDefault="006C1917" w:rsidP="00CD623E">
            <w:pPr>
              <w:spacing w:after="0" w:line="360" w:lineRule="auto"/>
            </w:pPr>
            <w:r w:rsidRPr="00F420AA">
              <w:t>Frekvenční modulace</w:t>
            </w:r>
          </w:p>
        </w:tc>
        <w:tc>
          <w:tcPr>
            <w:tcW w:w="1843" w:type="dxa"/>
          </w:tcPr>
          <w:p w:rsidR="006C1917" w:rsidRPr="00F420AA" w:rsidRDefault="006C1917" w:rsidP="00CD623E">
            <w:pPr>
              <w:spacing w:after="0" w:line="360" w:lineRule="auto"/>
            </w:pPr>
            <w:r w:rsidRPr="00F420AA">
              <w:t xml:space="preserve">Stimulace z více míst </w:t>
            </w:r>
          </w:p>
        </w:tc>
      </w:tr>
      <w:tr w:rsidR="006C1917" w:rsidRPr="00F420AA" w:rsidTr="00CD623E">
        <w:trPr>
          <w:jc w:val="center"/>
        </w:trPr>
        <w:tc>
          <w:tcPr>
            <w:tcW w:w="1838" w:type="dxa"/>
          </w:tcPr>
          <w:p w:rsidR="006C1917" w:rsidRPr="00F420AA" w:rsidRDefault="006C1917" w:rsidP="00CD623E">
            <w:pPr>
              <w:spacing w:after="0" w:line="360" w:lineRule="auto"/>
            </w:pPr>
            <w:proofErr w:type="gramStart"/>
            <w:r w:rsidRPr="00F420AA">
              <w:t>0-žádné</w:t>
            </w:r>
            <w:proofErr w:type="gramEnd"/>
          </w:p>
        </w:tc>
        <w:tc>
          <w:tcPr>
            <w:tcW w:w="1531" w:type="dxa"/>
          </w:tcPr>
          <w:p w:rsidR="006C1917" w:rsidRPr="00F420AA" w:rsidRDefault="006C1917" w:rsidP="00CD623E">
            <w:pPr>
              <w:spacing w:after="0" w:line="360" w:lineRule="auto"/>
            </w:pPr>
            <w:proofErr w:type="gramStart"/>
            <w:r w:rsidRPr="00F420AA">
              <w:t>0-žádné</w:t>
            </w:r>
            <w:proofErr w:type="gramEnd"/>
          </w:p>
        </w:tc>
        <w:tc>
          <w:tcPr>
            <w:tcW w:w="1842" w:type="dxa"/>
          </w:tcPr>
          <w:p w:rsidR="006C1917" w:rsidRPr="00F420AA" w:rsidRDefault="006C1917" w:rsidP="00CD623E">
            <w:pPr>
              <w:spacing w:after="0" w:line="360" w:lineRule="auto"/>
            </w:pPr>
            <w:proofErr w:type="gramStart"/>
            <w:r w:rsidRPr="00F420AA">
              <w:t>0-žádné</w:t>
            </w:r>
            <w:proofErr w:type="gramEnd"/>
          </w:p>
        </w:tc>
        <w:tc>
          <w:tcPr>
            <w:tcW w:w="2234" w:type="dxa"/>
          </w:tcPr>
          <w:p w:rsidR="006C1917" w:rsidRPr="00F420AA" w:rsidRDefault="006C1917" w:rsidP="00CD623E">
            <w:pPr>
              <w:spacing w:after="0" w:line="360" w:lineRule="auto"/>
            </w:pPr>
            <w:proofErr w:type="gramStart"/>
            <w:r w:rsidRPr="00F420AA">
              <w:t>0-žádná</w:t>
            </w:r>
            <w:proofErr w:type="gramEnd"/>
          </w:p>
        </w:tc>
        <w:tc>
          <w:tcPr>
            <w:tcW w:w="1843" w:type="dxa"/>
          </w:tcPr>
          <w:p w:rsidR="006C1917" w:rsidRPr="00F420AA" w:rsidRDefault="006C1917" w:rsidP="00CD623E">
            <w:pPr>
              <w:spacing w:after="0" w:line="360" w:lineRule="auto"/>
            </w:pPr>
            <w:proofErr w:type="gramStart"/>
            <w:r w:rsidRPr="00F420AA">
              <w:t>0-žádné</w:t>
            </w:r>
            <w:proofErr w:type="gramEnd"/>
          </w:p>
        </w:tc>
      </w:tr>
      <w:tr w:rsidR="006C1917" w:rsidRPr="00F420AA" w:rsidTr="00CD623E">
        <w:trPr>
          <w:jc w:val="center"/>
        </w:trPr>
        <w:tc>
          <w:tcPr>
            <w:tcW w:w="1838" w:type="dxa"/>
          </w:tcPr>
          <w:p w:rsidR="006C1917" w:rsidRPr="00F420AA" w:rsidRDefault="006C1917" w:rsidP="00CD623E">
            <w:pPr>
              <w:spacing w:after="0" w:line="360" w:lineRule="auto"/>
            </w:pPr>
            <w:r w:rsidRPr="00F420AA">
              <w:t>A-síň</w:t>
            </w:r>
          </w:p>
        </w:tc>
        <w:tc>
          <w:tcPr>
            <w:tcW w:w="1531" w:type="dxa"/>
          </w:tcPr>
          <w:p w:rsidR="006C1917" w:rsidRPr="00F420AA" w:rsidRDefault="006C1917" w:rsidP="00CD623E">
            <w:pPr>
              <w:spacing w:after="0" w:line="360" w:lineRule="auto"/>
            </w:pPr>
            <w:r w:rsidRPr="00F420AA">
              <w:t>A-síň</w:t>
            </w:r>
          </w:p>
        </w:tc>
        <w:tc>
          <w:tcPr>
            <w:tcW w:w="1842" w:type="dxa"/>
          </w:tcPr>
          <w:p w:rsidR="006C1917" w:rsidRPr="00F420AA" w:rsidRDefault="006C1917" w:rsidP="00CD623E">
            <w:pPr>
              <w:spacing w:after="0" w:line="360" w:lineRule="auto"/>
            </w:pPr>
            <w:r w:rsidRPr="00F420AA">
              <w:t>T-spouštění</w:t>
            </w:r>
          </w:p>
        </w:tc>
        <w:tc>
          <w:tcPr>
            <w:tcW w:w="2234" w:type="dxa"/>
          </w:tcPr>
          <w:p w:rsidR="006C1917" w:rsidRPr="00F420AA" w:rsidRDefault="006C1917" w:rsidP="00CD623E">
            <w:pPr>
              <w:spacing w:after="0" w:line="360" w:lineRule="auto"/>
            </w:pPr>
            <w:r w:rsidRPr="00F420AA">
              <w:t>R-rate responsive</w:t>
            </w:r>
          </w:p>
        </w:tc>
        <w:tc>
          <w:tcPr>
            <w:tcW w:w="1843" w:type="dxa"/>
          </w:tcPr>
          <w:p w:rsidR="006C1917" w:rsidRPr="00F420AA" w:rsidRDefault="006C1917" w:rsidP="00CD623E">
            <w:pPr>
              <w:spacing w:after="0" w:line="360" w:lineRule="auto"/>
            </w:pPr>
            <w:r w:rsidRPr="00F420AA">
              <w:t>A-síň</w:t>
            </w:r>
          </w:p>
        </w:tc>
      </w:tr>
      <w:tr w:rsidR="006C1917" w:rsidRPr="00F420AA" w:rsidTr="00CD623E">
        <w:trPr>
          <w:jc w:val="center"/>
        </w:trPr>
        <w:tc>
          <w:tcPr>
            <w:tcW w:w="1838" w:type="dxa"/>
          </w:tcPr>
          <w:p w:rsidR="006C1917" w:rsidRPr="00F420AA" w:rsidRDefault="006C1917" w:rsidP="00CD623E">
            <w:pPr>
              <w:spacing w:after="0" w:line="360" w:lineRule="auto"/>
            </w:pPr>
            <w:r w:rsidRPr="00F420AA">
              <w:t>V-komora</w:t>
            </w:r>
          </w:p>
        </w:tc>
        <w:tc>
          <w:tcPr>
            <w:tcW w:w="1531" w:type="dxa"/>
          </w:tcPr>
          <w:p w:rsidR="006C1917" w:rsidRPr="00F420AA" w:rsidRDefault="006C1917" w:rsidP="00CD623E">
            <w:pPr>
              <w:spacing w:after="0" w:line="360" w:lineRule="auto"/>
            </w:pPr>
            <w:r w:rsidRPr="00F420AA">
              <w:t>V-komora</w:t>
            </w:r>
          </w:p>
        </w:tc>
        <w:tc>
          <w:tcPr>
            <w:tcW w:w="1842" w:type="dxa"/>
          </w:tcPr>
          <w:p w:rsidR="006C1917" w:rsidRPr="00F420AA" w:rsidRDefault="006C1917" w:rsidP="00CD623E">
            <w:pPr>
              <w:spacing w:after="0" w:line="360" w:lineRule="auto"/>
            </w:pPr>
            <w:r w:rsidRPr="00F420AA">
              <w:t>I-inhibice</w:t>
            </w:r>
          </w:p>
        </w:tc>
        <w:tc>
          <w:tcPr>
            <w:tcW w:w="2234" w:type="dxa"/>
          </w:tcPr>
          <w:p w:rsidR="006C1917" w:rsidRPr="00F420AA" w:rsidRDefault="006C1917" w:rsidP="00CD623E">
            <w:pPr>
              <w:spacing w:after="0" w:line="360" w:lineRule="auto"/>
            </w:pPr>
          </w:p>
        </w:tc>
        <w:tc>
          <w:tcPr>
            <w:tcW w:w="1843" w:type="dxa"/>
          </w:tcPr>
          <w:p w:rsidR="006C1917" w:rsidRPr="00F420AA" w:rsidRDefault="006C1917" w:rsidP="00CD623E">
            <w:pPr>
              <w:spacing w:after="0" w:line="360" w:lineRule="auto"/>
            </w:pPr>
            <w:r w:rsidRPr="00F420AA">
              <w:t>V-komora</w:t>
            </w:r>
          </w:p>
        </w:tc>
      </w:tr>
      <w:tr w:rsidR="006C1917" w:rsidRPr="00F420AA" w:rsidTr="00CD623E">
        <w:trPr>
          <w:jc w:val="center"/>
        </w:trPr>
        <w:tc>
          <w:tcPr>
            <w:tcW w:w="1838" w:type="dxa"/>
          </w:tcPr>
          <w:p w:rsidR="006C1917" w:rsidRPr="00F420AA" w:rsidRDefault="006C1917" w:rsidP="00CD623E">
            <w:pPr>
              <w:spacing w:after="0" w:line="360" w:lineRule="auto"/>
            </w:pPr>
            <w:r w:rsidRPr="00F420AA">
              <w:t>D-obojí</w:t>
            </w:r>
          </w:p>
        </w:tc>
        <w:tc>
          <w:tcPr>
            <w:tcW w:w="1531" w:type="dxa"/>
          </w:tcPr>
          <w:p w:rsidR="006C1917" w:rsidRPr="00F420AA" w:rsidRDefault="006C1917" w:rsidP="00CD623E">
            <w:pPr>
              <w:spacing w:after="0" w:line="360" w:lineRule="auto"/>
            </w:pPr>
            <w:r w:rsidRPr="00F420AA">
              <w:t>D-obojí</w:t>
            </w:r>
          </w:p>
        </w:tc>
        <w:tc>
          <w:tcPr>
            <w:tcW w:w="1842" w:type="dxa"/>
          </w:tcPr>
          <w:p w:rsidR="006C1917" w:rsidRPr="00F420AA" w:rsidRDefault="006C1917" w:rsidP="00CD623E">
            <w:pPr>
              <w:spacing w:after="0" w:line="360" w:lineRule="auto"/>
            </w:pPr>
            <w:r w:rsidRPr="00F420AA">
              <w:t>D-obojí</w:t>
            </w:r>
          </w:p>
        </w:tc>
        <w:tc>
          <w:tcPr>
            <w:tcW w:w="2234" w:type="dxa"/>
          </w:tcPr>
          <w:p w:rsidR="006C1917" w:rsidRPr="00F420AA" w:rsidRDefault="006C1917" w:rsidP="00CD623E">
            <w:pPr>
              <w:spacing w:after="0" w:line="360" w:lineRule="auto"/>
            </w:pPr>
          </w:p>
        </w:tc>
        <w:tc>
          <w:tcPr>
            <w:tcW w:w="1843" w:type="dxa"/>
          </w:tcPr>
          <w:p w:rsidR="006C1917" w:rsidRPr="00F420AA" w:rsidRDefault="006C1917" w:rsidP="00CD623E">
            <w:pPr>
              <w:spacing w:after="0" w:line="360" w:lineRule="auto"/>
            </w:pPr>
            <w:r w:rsidRPr="00F420AA">
              <w:t>D-obojí</w:t>
            </w:r>
          </w:p>
        </w:tc>
      </w:tr>
      <w:tr w:rsidR="006C1917" w:rsidRPr="00F420AA" w:rsidTr="00CD623E">
        <w:trPr>
          <w:jc w:val="center"/>
        </w:trPr>
        <w:tc>
          <w:tcPr>
            <w:tcW w:w="1838" w:type="dxa"/>
          </w:tcPr>
          <w:p w:rsidR="006C1917" w:rsidRPr="00F420AA" w:rsidRDefault="006C1917" w:rsidP="00CD623E">
            <w:pPr>
              <w:spacing w:after="0" w:line="360" w:lineRule="auto"/>
              <w:rPr>
                <w:sz w:val="24"/>
                <w:szCs w:val="24"/>
              </w:rPr>
            </w:pPr>
          </w:p>
        </w:tc>
        <w:tc>
          <w:tcPr>
            <w:tcW w:w="1531" w:type="dxa"/>
          </w:tcPr>
          <w:p w:rsidR="006C1917" w:rsidRPr="00F420AA" w:rsidRDefault="006C1917" w:rsidP="00CD623E">
            <w:pPr>
              <w:spacing w:after="0" w:line="360" w:lineRule="auto"/>
              <w:rPr>
                <w:sz w:val="24"/>
                <w:szCs w:val="24"/>
              </w:rPr>
            </w:pPr>
          </w:p>
        </w:tc>
        <w:tc>
          <w:tcPr>
            <w:tcW w:w="1842" w:type="dxa"/>
          </w:tcPr>
          <w:p w:rsidR="006C1917" w:rsidRPr="00F420AA" w:rsidRDefault="006C1917" w:rsidP="00CD623E">
            <w:pPr>
              <w:spacing w:after="0" w:line="360" w:lineRule="auto"/>
              <w:rPr>
                <w:sz w:val="24"/>
                <w:szCs w:val="24"/>
              </w:rPr>
            </w:pPr>
          </w:p>
        </w:tc>
        <w:tc>
          <w:tcPr>
            <w:tcW w:w="2234" w:type="dxa"/>
          </w:tcPr>
          <w:p w:rsidR="006C1917" w:rsidRPr="00F420AA" w:rsidRDefault="006C1917" w:rsidP="00CD623E">
            <w:pPr>
              <w:spacing w:after="0" w:line="360" w:lineRule="auto"/>
              <w:rPr>
                <w:sz w:val="24"/>
                <w:szCs w:val="24"/>
              </w:rPr>
            </w:pPr>
          </w:p>
        </w:tc>
        <w:tc>
          <w:tcPr>
            <w:tcW w:w="1843" w:type="dxa"/>
          </w:tcPr>
          <w:p w:rsidR="006C1917" w:rsidRPr="00F420AA" w:rsidRDefault="006C1917" w:rsidP="00CD623E">
            <w:pPr>
              <w:spacing w:after="0" w:line="360" w:lineRule="auto"/>
              <w:rPr>
                <w:sz w:val="24"/>
                <w:szCs w:val="24"/>
              </w:rPr>
            </w:pPr>
          </w:p>
        </w:tc>
      </w:tr>
    </w:tbl>
    <w:p w:rsidR="006C1917" w:rsidRPr="00F420AA" w:rsidRDefault="00DF4BCA" w:rsidP="002A5827">
      <w:pPr>
        <w:spacing w:line="360" w:lineRule="auto"/>
        <w:jc w:val="both"/>
        <w:rPr>
          <w:sz w:val="24"/>
          <w:szCs w:val="24"/>
        </w:rPr>
      </w:pPr>
      <w:r>
        <w:rPr>
          <w:sz w:val="24"/>
          <w:szCs w:val="24"/>
        </w:rPr>
        <w:t xml:space="preserve">Podle </w:t>
      </w:r>
      <w:r w:rsidR="00C30D4C">
        <w:rPr>
          <w:sz w:val="24"/>
          <w:szCs w:val="24"/>
        </w:rPr>
        <w:t>Vojáček (67</w:t>
      </w:r>
      <w:r w:rsidR="006C1917" w:rsidRPr="00F420AA">
        <w:rPr>
          <w:sz w:val="24"/>
          <w:szCs w:val="24"/>
        </w:rPr>
        <w:t>)</w:t>
      </w:r>
      <w:r w:rsidR="00C30D4C">
        <w:rPr>
          <w:sz w:val="24"/>
          <w:szCs w:val="24"/>
        </w:rPr>
        <w:t>, Janoušek (69</w:t>
      </w:r>
      <w:r w:rsidR="006C1917" w:rsidRPr="00F420AA">
        <w:rPr>
          <w:sz w:val="24"/>
          <w:szCs w:val="24"/>
        </w:rPr>
        <w:t>)</w:t>
      </w:r>
    </w:p>
    <w:p w:rsidR="006C1917" w:rsidRPr="00F420AA" w:rsidRDefault="006C1917" w:rsidP="002A5827">
      <w:pPr>
        <w:spacing w:line="360" w:lineRule="auto"/>
        <w:jc w:val="both"/>
        <w:rPr>
          <w:sz w:val="24"/>
          <w:szCs w:val="24"/>
        </w:rPr>
      </w:pPr>
      <w:r w:rsidRPr="00F420AA">
        <w:rPr>
          <w:sz w:val="24"/>
          <w:szCs w:val="24"/>
        </w:rPr>
        <w:t>V praxi tedy používáme první 4 písmena kódu, na konci kód</w:t>
      </w:r>
      <w:r>
        <w:rPr>
          <w:sz w:val="24"/>
          <w:szCs w:val="24"/>
        </w:rPr>
        <w:t>u je</w:t>
      </w:r>
      <w:r w:rsidRPr="00F420AA">
        <w:rPr>
          <w:sz w:val="24"/>
          <w:szCs w:val="24"/>
        </w:rPr>
        <w:t xml:space="preserve"> informace o případném frekvenčním senzoru buď R (rate responsive), nebo CLS (systém firmy Biotronic</w:t>
      </w:r>
      <w:r w:rsidRPr="00F420AA">
        <w:rPr>
          <w:rFonts w:ascii="Times New Roman" w:hAnsi="Times New Roman"/>
          <w:sz w:val="24"/>
          <w:szCs w:val="24"/>
        </w:rPr>
        <w:t>©</w:t>
      </w:r>
      <w:r w:rsidRPr="00F420AA">
        <w:rPr>
          <w:sz w:val="24"/>
          <w:szCs w:val="24"/>
        </w:rPr>
        <w:t>).</w:t>
      </w:r>
    </w:p>
    <w:p w:rsidR="006C1917" w:rsidRDefault="006C1917" w:rsidP="002A5827">
      <w:pPr>
        <w:spacing w:line="360" w:lineRule="auto"/>
        <w:jc w:val="both"/>
        <w:rPr>
          <w:sz w:val="24"/>
          <w:szCs w:val="24"/>
        </w:rPr>
      </w:pPr>
      <w:r w:rsidRPr="00F420AA">
        <w:rPr>
          <w:sz w:val="24"/>
          <w:szCs w:val="24"/>
        </w:rPr>
        <w:t>Běžně tedy používáme režim VVI(R) nebo VVI-CLS u nemocných</w:t>
      </w:r>
      <w:r>
        <w:rPr>
          <w:sz w:val="24"/>
          <w:szCs w:val="24"/>
        </w:rPr>
        <w:t xml:space="preserve"> s permanentní fibrilací síní, </w:t>
      </w:r>
      <w:r w:rsidRPr="00F420AA">
        <w:rPr>
          <w:sz w:val="24"/>
          <w:szCs w:val="24"/>
        </w:rPr>
        <w:t>dále DDD(R) nebo DDD-CLS</w:t>
      </w:r>
      <w:r>
        <w:rPr>
          <w:sz w:val="24"/>
          <w:szCs w:val="24"/>
        </w:rPr>
        <w:t xml:space="preserve"> </w:t>
      </w:r>
      <w:r w:rsidRPr="00F420AA">
        <w:rPr>
          <w:sz w:val="24"/>
          <w:szCs w:val="24"/>
        </w:rPr>
        <w:t>u nemocných se sick sinus syndromem, kdy při optimálně nastaveném AV zpoždě</w:t>
      </w:r>
      <w:r>
        <w:rPr>
          <w:sz w:val="24"/>
          <w:szCs w:val="24"/>
        </w:rPr>
        <w:t xml:space="preserve">ní přístroj efektivně </w:t>
      </w:r>
      <w:proofErr w:type="gramStart"/>
      <w:r>
        <w:rPr>
          <w:sz w:val="24"/>
          <w:szCs w:val="24"/>
        </w:rPr>
        <w:t xml:space="preserve">uplatňuje </w:t>
      </w:r>
      <w:r w:rsidRPr="00F420AA">
        <w:rPr>
          <w:sz w:val="24"/>
          <w:szCs w:val="24"/>
        </w:rPr>
        <w:t>stimulační</w:t>
      </w:r>
      <w:proofErr w:type="gramEnd"/>
      <w:r w:rsidRPr="00F420AA">
        <w:rPr>
          <w:sz w:val="24"/>
          <w:szCs w:val="24"/>
        </w:rPr>
        <w:t xml:space="preserve"> mode AAI</w:t>
      </w:r>
      <w:r>
        <w:rPr>
          <w:sz w:val="24"/>
          <w:szCs w:val="24"/>
        </w:rPr>
        <w:t>,</w:t>
      </w:r>
      <w:r w:rsidRPr="00F420AA">
        <w:rPr>
          <w:sz w:val="24"/>
          <w:szCs w:val="24"/>
        </w:rPr>
        <w:t xml:space="preserve"> čímž minimalizuje procento škodlivé pravokomorové stimulace. Nemocní s AV blokádou jsou zpravidla také programováni v modu DDD, přístroj však efektivně uplatňuje mod VAT. Čistě pravosíňová stimulace v modu AAI se používá zcela vzácně u mladých nemocných se sick sinus syndromem nebo vasovagálními synkopami. Pokud se u pacienta s dvoudutinovým kardiost</w:t>
      </w:r>
      <w:r w:rsidR="000F4673">
        <w:rPr>
          <w:sz w:val="24"/>
          <w:szCs w:val="24"/>
        </w:rPr>
        <w:t>i</w:t>
      </w:r>
      <w:r w:rsidRPr="00F420AA">
        <w:rPr>
          <w:sz w:val="24"/>
          <w:szCs w:val="24"/>
        </w:rPr>
        <w:t xml:space="preserve">mulátorem v režimu DDD objeví fibrilace síní, </w:t>
      </w:r>
      <w:proofErr w:type="gramStart"/>
      <w:r w:rsidRPr="00F420AA">
        <w:rPr>
          <w:sz w:val="24"/>
          <w:szCs w:val="24"/>
        </w:rPr>
        <w:t>aktivuje</w:t>
      </w:r>
      <w:proofErr w:type="gramEnd"/>
      <w:r w:rsidRPr="00F420AA">
        <w:rPr>
          <w:sz w:val="24"/>
          <w:szCs w:val="24"/>
        </w:rPr>
        <w:t xml:space="preserve"> se </w:t>
      </w:r>
      <w:proofErr w:type="gramStart"/>
      <w:r w:rsidRPr="00F420AA">
        <w:rPr>
          <w:sz w:val="24"/>
          <w:szCs w:val="24"/>
        </w:rPr>
        <w:t>mode</w:t>
      </w:r>
      <w:proofErr w:type="gramEnd"/>
      <w:r w:rsidRPr="00F420AA">
        <w:rPr>
          <w:sz w:val="24"/>
          <w:szCs w:val="24"/>
        </w:rPr>
        <w:t xml:space="preserve"> switch, pokud je arytmie permanentní je lépe změnit režim na DDI. Před operačními výkony s použitím elektrokauterizace se kardiostimulátory reprogramují do bezpečných režimů VVI, DDI. Není správné reprogramovat pacienta do „fix rate“ V00 pro riziko indukce komorové arytmie při zachovaném vlastním bazálním rytmu pacienta. (situace, kdy stimulační impulz přichází do vrcholu vlny T vlastního pacientova rytmu). Dále není správné před operací reprogramovat dvoudutinový přístroj z DDD do VVI, kdy hrozí rozvoj AV dyssynchronie se všemi důsledky z toho vyplývajícími, zejména u pacienta se srdečním selháním zatíženého operačním zákrokem.</w:t>
      </w: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E74064" w:rsidRDefault="006C1917" w:rsidP="00E74064">
      <w:pPr>
        <w:pStyle w:val="Nadpis3"/>
        <w:rPr>
          <w:lang w:eastAsia="ar-SA"/>
        </w:rPr>
      </w:pPr>
      <w:bookmarkStart w:id="35" w:name="_Toc422993246"/>
      <w:r w:rsidRPr="00E74064">
        <w:rPr>
          <w:lang w:eastAsia="ar-SA"/>
        </w:rPr>
        <w:t>Kardiostimulátory</w:t>
      </w:r>
      <w:bookmarkEnd w:id="35"/>
    </w:p>
    <w:p w:rsidR="006C1917" w:rsidRPr="00F420AA" w:rsidRDefault="006C1917" w:rsidP="002A5827">
      <w:pPr>
        <w:spacing w:line="360" w:lineRule="auto"/>
        <w:jc w:val="both"/>
        <w:rPr>
          <w:sz w:val="24"/>
          <w:szCs w:val="24"/>
        </w:rPr>
      </w:pPr>
      <w:r w:rsidRPr="00F420AA">
        <w:rPr>
          <w:sz w:val="24"/>
          <w:szCs w:val="24"/>
        </w:rPr>
        <w:t>První kardiostimulátor byl vyvinut Senningem a Elmquistem v roce 1958, zařízení bylo nespolehlivé, zejména zpočátku nestačil bateriový</w:t>
      </w:r>
      <w:r>
        <w:rPr>
          <w:sz w:val="24"/>
          <w:szCs w:val="24"/>
        </w:rPr>
        <w:t xml:space="preserve"> zdroj, stimulační program byl </w:t>
      </w:r>
      <w:r w:rsidRPr="00F420AA">
        <w:rPr>
          <w:sz w:val="24"/>
          <w:szCs w:val="24"/>
        </w:rPr>
        <w:t>nejjednodušší možný</w:t>
      </w:r>
      <w:r>
        <w:rPr>
          <w:sz w:val="24"/>
          <w:szCs w:val="24"/>
        </w:rPr>
        <w:t xml:space="preserve"> –</w:t>
      </w:r>
      <w:r w:rsidRPr="00F420AA">
        <w:rPr>
          <w:sz w:val="24"/>
          <w:szCs w:val="24"/>
        </w:rPr>
        <w:t xml:space="preserve"> </w:t>
      </w:r>
      <w:proofErr w:type="gramStart"/>
      <w:r w:rsidRPr="00F420AA">
        <w:rPr>
          <w:sz w:val="24"/>
          <w:szCs w:val="24"/>
        </w:rPr>
        <w:t>šlo</w:t>
      </w:r>
      <w:proofErr w:type="gramEnd"/>
      <w:r w:rsidRPr="00F420AA">
        <w:rPr>
          <w:sz w:val="24"/>
          <w:szCs w:val="24"/>
        </w:rPr>
        <w:t xml:space="preserve"> o asynchronní </w:t>
      </w:r>
      <w:proofErr w:type="gramStart"/>
      <w:r w:rsidRPr="00F420AA">
        <w:rPr>
          <w:sz w:val="24"/>
          <w:szCs w:val="24"/>
        </w:rPr>
        <w:t>mode</w:t>
      </w:r>
      <w:proofErr w:type="gramEnd"/>
      <w:r w:rsidRPr="00F420AA">
        <w:rPr>
          <w:sz w:val="24"/>
          <w:szCs w:val="24"/>
        </w:rPr>
        <w:t xml:space="preserve"> VOO.</w:t>
      </w:r>
    </w:p>
    <w:p w:rsidR="006C1917" w:rsidRPr="00F420AA" w:rsidRDefault="006C1917" w:rsidP="002A5827">
      <w:pPr>
        <w:spacing w:line="360" w:lineRule="auto"/>
        <w:jc w:val="both"/>
        <w:rPr>
          <w:sz w:val="24"/>
          <w:szCs w:val="24"/>
        </w:rPr>
      </w:pPr>
      <w:r w:rsidRPr="00F420AA">
        <w:rPr>
          <w:sz w:val="24"/>
          <w:szCs w:val="24"/>
        </w:rPr>
        <w:t>První československý kardiostimulátor byl vyroben v bývalém Československu v roce 1965. Tvůrci byli Doc. MUDr. Bohumil Peleška, DrSc. a Ing.</w:t>
      </w:r>
      <w:r>
        <w:rPr>
          <w:sz w:val="24"/>
          <w:szCs w:val="24"/>
        </w:rPr>
        <w:t xml:space="preserve"> </w:t>
      </w:r>
      <w:r w:rsidRPr="00F420AA">
        <w:rPr>
          <w:sz w:val="24"/>
          <w:szCs w:val="24"/>
        </w:rPr>
        <w:t xml:space="preserve">Vladimír Bičík z Ústavu pro elektroniku </w:t>
      </w:r>
      <w:r>
        <w:rPr>
          <w:sz w:val="24"/>
          <w:szCs w:val="24"/>
        </w:rPr>
        <w:br/>
      </w:r>
      <w:r w:rsidRPr="00F420AA">
        <w:rPr>
          <w:sz w:val="24"/>
          <w:szCs w:val="24"/>
        </w:rPr>
        <w:t>a modelování v lékařství IKEM. Přístroj byl složen z vesměs dovezených dílů, systém byl zalit do pryskyřice, inovativní bylo speciální vykrojení, které bránilo zalomení</w:t>
      </w:r>
      <w:r>
        <w:rPr>
          <w:sz w:val="24"/>
          <w:szCs w:val="24"/>
        </w:rPr>
        <w:t xml:space="preserve"> elektrody. Zpočátku </w:t>
      </w:r>
      <w:proofErr w:type="gramStart"/>
      <w:r>
        <w:rPr>
          <w:sz w:val="24"/>
          <w:szCs w:val="24"/>
        </w:rPr>
        <w:t>šlo</w:t>
      </w:r>
      <w:proofErr w:type="gramEnd"/>
      <w:r>
        <w:rPr>
          <w:sz w:val="24"/>
          <w:szCs w:val="24"/>
        </w:rPr>
        <w:t xml:space="preserve"> </w:t>
      </w:r>
      <w:r w:rsidRPr="00F420AA">
        <w:rPr>
          <w:sz w:val="24"/>
          <w:szCs w:val="24"/>
        </w:rPr>
        <w:t xml:space="preserve">rovněž o asynchronní </w:t>
      </w:r>
      <w:proofErr w:type="gramStart"/>
      <w:r w:rsidRPr="00F420AA">
        <w:rPr>
          <w:sz w:val="24"/>
          <w:szCs w:val="24"/>
        </w:rPr>
        <w:t>mode</w:t>
      </w:r>
      <w:proofErr w:type="gramEnd"/>
      <w:r w:rsidRPr="00F420AA">
        <w:rPr>
          <w:sz w:val="24"/>
          <w:szCs w:val="24"/>
        </w:rPr>
        <w:t xml:space="preserve"> VOO, výroba byla přenesena do Tesly Rožnov pod Radhoštěm, kde již byly přístroje montovány z českých komponentů. Elektrody byly implantovány nejprve epikardiálně, od 70.</w:t>
      </w:r>
      <w:r>
        <w:rPr>
          <w:sz w:val="24"/>
          <w:szCs w:val="24"/>
        </w:rPr>
        <w:t xml:space="preserve"> </w:t>
      </w:r>
      <w:r w:rsidRPr="00F420AA">
        <w:rPr>
          <w:sz w:val="24"/>
          <w:szCs w:val="24"/>
        </w:rPr>
        <w:t xml:space="preserve">let transvenózně. Kardiostimulátory </w:t>
      </w:r>
      <w:r>
        <w:rPr>
          <w:sz w:val="24"/>
          <w:szCs w:val="24"/>
        </w:rPr>
        <w:t>byly schopné stimulovat</w:t>
      </w:r>
      <w:r w:rsidRPr="00F420AA">
        <w:rPr>
          <w:sz w:val="24"/>
          <w:szCs w:val="24"/>
        </w:rPr>
        <w:t xml:space="preserve"> v režimu VVI, frekvenční senzory české přístroje nikdy neobsahovaly, technicky se jednalo o příliš složité řešení. Tyto přístroje byly užívány až do konce 80. let, kdy se do České republiky rozšířily modernější přístroje západoevropské provenience s možností dvoudutinové stimulace,</w:t>
      </w:r>
      <w:r w:rsidR="00C30D4C">
        <w:rPr>
          <w:sz w:val="24"/>
          <w:szCs w:val="24"/>
        </w:rPr>
        <w:t xml:space="preserve"> s frekvenčními senzory atd. (70</w:t>
      </w:r>
      <w:r w:rsidRPr="00F420AA">
        <w:rPr>
          <w:sz w:val="24"/>
          <w:szCs w:val="24"/>
        </w:rPr>
        <w:t>)</w:t>
      </w:r>
      <w:r w:rsidR="007975EA">
        <w:rPr>
          <w:sz w:val="24"/>
          <w:szCs w:val="24"/>
        </w:rPr>
        <w:t>.</w:t>
      </w:r>
    </w:p>
    <w:p w:rsidR="006C1917" w:rsidRPr="00F420AA" w:rsidRDefault="006C1917" w:rsidP="002A5827">
      <w:pPr>
        <w:spacing w:line="360" w:lineRule="auto"/>
        <w:jc w:val="both"/>
        <w:rPr>
          <w:sz w:val="24"/>
          <w:szCs w:val="24"/>
        </w:rPr>
      </w:pPr>
      <w:r w:rsidRPr="00F420AA">
        <w:rPr>
          <w:sz w:val="24"/>
          <w:szCs w:val="24"/>
        </w:rPr>
        <w:t>Historicky (60. a 70. léta) byla užívána jednodutinová stimulace</w:t>
      </w:r>
      <w:r>
        <w:rPr>
          <w:sz w:val="24"/>
          <w:szCs w:val="24"/>
        </w:rPr>
        <w:t xml:space="preserve"> </w:t>
      </w:r>
      <w:r w:rsidRPr="00F420AA">
        <w:rPr>
          <w:sz w:val="24"/>
          <w:szCs w:val="24"/>
        </w:rPr>
        <w:t>jednou komorovou elektrodou do pravé komory.  Ještě v polovině 90. let bylo akceptabilní implantovat jednodutinové přístroje s jednou elektrodou i u pacientů se zachovalým sinusovým rytmem. (Klener</w:t>
      </w:r>
      <w:r>
        <w:rPr>
          <w:sz w:val="24"/>
          <w:szCs w:val="24"/>
        </w:rPr>
        <w:t xml:space="preserve"> – </w:t>
      </w:r>
      <w:r w:rsidR="00C30D4C">
        <w:rPr>
          <w:sz w:val="24"/>
          <w:szCs w:val="24"/>
        </w:rPr>
        <w:t>71</w:t>
      </w:r>
      <w:r w:rsidRPr="00F420AA">
        <w:rPr>
          <w:sz w:val="24"/>
          <w:szCs w:val="24"/>
        </w:rPr>
        <w:t>, strana 62), od přelomu století je akceptovatelným standardem pacientům se zachovalým sinusovým rytmem implantovat dvoudutinový systém, jednodutinová – komorová kardiostimulace je indikována pouze u pacientů s fibrilací síní s pomalou odpovědí komor. Alternativně lze užít jednodutinovou stimulaci v čistě pravos</w:t>
      </w:r>
      <w:r w:rsidR="007975EA">
        <w:rPr>
          <w:sz w:val="24"/>
          <w:szCs w:val="24"/>
        </w:rPr>
        <w:t>íňovém modu (u nemocných se sick sinus syndromem</w:t>
      </w:r>
      <w:r w:rsidRPr="00F420AA">
        <w:rPr>
          <w:sz w:val="24"/>
          <w:szCs w:val="24"/>
        </w:rPr>
        <w:t>, nebo kolapsových stavů na podkladě vasovagální synkopy).</w:t>
      </w:r>
    </w:p>
    <w:p w:rsidR="006C1917" w:rsidRPr="00F420AA" w:rsidRDefault="006C1917" w:rsidP="002A5827">
      <w:pPr>
        <w:spacing w:line="360" w:lineRule="auto"/>
        <w:jc w:val="both"/>
        <w:rPr>
          <w:sz w:val="24"/>
          <w:szCs w:val="24"/>
        </w:rPr>
      </w:pPr>
      <w:r w:rsidRPr="00F420AA">
        <w:rPr>
          <w:sz w:val="24"/>
          <w:szCs w:val="24"/>
        </w:rPr>
        <w:t>Dvoudutino</w:t>
      </w:r>
      <w:r w:rsidR="007975EA">
        <w:rPr>
          <w:sz w:val="24"/>
          <w:szCs w:val="24"/>
        </w:rPr>
        <w:t>vá stimulace lépe zohledňuje fyz</w:t>
      </w:r>
      <w:r w:rsidRPr="00F420AA">
        <w:rPr>
          <w:sz w:val="24"/>
          <w:szCs w:val="24"/>
        </w:rPr>
        <w:t xml:space="preserve">iologický stav zachování síňokomorové synchronie. Implantační výkon se však prodlužuje, zvyšuje se riziko komplikací (perforace tenké pravé síně). </w:t>
      </w:r>
    </w:p>
    <w:p w:rsidR="006C1917" w:rsidRPr="00F420AA" w:rsidRDefault="006C1917" w:rsidP="002A5827">
      <w:pPr>
        <w:spacing w:line="360" w:lineRule="auto"/>
        <w:jc w:val="both"/>
        <w:rPr>
          <w:sz w:val="24"/>
          <w:szCs w:val="24"/>
        </w:rPr>
      </w:pPr>
      <w:r w:rsidRPr="00F420AA">
        <w:rPr>
          <w:sz w:val="24"/>
          <w:szCs w:val="24"/>
        </w:rPr>
        <w:lastRenderedPageBreak/>
        <w:t>Zavedení jednodutinové stimulace do dutiny pravé komory u nemocných se zachovalým sinusovým rytmem vede k </w:t>
      </w:r>
      <w:r>
        <w:rPr>
          <w:sz w:val="24"/>
          <w:szCs w:val="24"/>
        </w:rPr>
        <w:t>rozvoji pacemakerového syndromu</w:t>
      </w:r>
      <w:r w:rsidRPr="00F420AA">
        <w:rPr>
          <w:sz w:val="24"/>
          <w:szCs w:val="24"/>
        </w:rPr>
        <w:t>, kdy je komorový stimulus přenášen retrográdně nativ</w:t>
      </w:r>
      <w:r w:rsidR="00036A7C">
        <w:rPr>
          <w:sz w:val="24"/>
          <w:szCs w:val="24"/>
        </w:rPr>
        <w:t>ním AV uzlem na síně</w:t>
      </w:r>
      <w:r w:rsidRPr="00F420AA">
        <w:rPr>
          <w:sz w:val="24"/>
          <w:szCs w:val="24"/>
        </w:rPr>
        <w:t>, tyto jsou aktivovány a dojde ke kontrakci opro</w:t>
      </w:r>
      <w:r w:rsidR="00C30D4C">
        <w:rPr>
          <w:sz w:val="24"/>
          <w:szCs w:val="24"/>
        </w:rPr>
        <w:t>ti uzavřené mitrální chlopni (</w:t>
      </w:r>
      <w:r w:rsidR="007975EA">
        <w:rPr>
          <w:sz w:val="24"/>
          <w:szCs w:val="24"/>
        </w:rPr>
        <w:t xml:space="preserve">ref. </w:t>
      </w:r>
      <w:r w:rsidR="00C30D4C">
        <w:rPr>
          <w:sz w:val="24"/>
          <w:szCs w:val="24"/>
        </w:rPr>
        <w:t>67</w:t>
      </w:r>
      <w:r w:rsidRPr="00F420AA">
        <w:rPr>
          <w:sz w:val="24"/>
          <w:szCs w:val="24"/>
        </w:rPr>
        <w:t>, strana 262). Jedná se o postup, který v současnosti (od roku 2013) nemá b</w:t>
      </w:r>
      <w:r w:rsidR="007975EA">
        <w:rPr>
          <w:sz w:val="24"/>
          <w:szCs w:val="24"/>
        </w:rPr>
        <w:t xml:space="preserve">ýt používán (Táborský et al.,ref. </w:t>
      </w:r>
      <w:r w:rsidR="00C30D4C">
        <w:rPr>
          <w:sz w:val="24"/>
          <w:szCs w:val="24"/>
        </w:rPr>
        <w:t>66</w:t>
      </w:r>
      <w:r w:rsidRPr="00F420AA">
        <w:rPr>
          <w:sz w:val="24"/>
          <w:szCs w:val="24"/>
        </w:rPr>
        <w:t>).</w:t>
      </w: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Default="006C1917" w:rsidP="002A5827">
      <w:pPr>
        <w:spacing w:line="360" w:lineRule="auto"/>
        <w:jc w:val="both"/>
        <w:rPr>
          <w:b/>
          <w:sz w:val="24"/>
          <w:szCs w:val="24"/>
        </w:rPr>
      </w:pPr>
    </w:p>
    <w:p w:rsidR="006C1917" w:rsidRDefault="006C1917" w:rsidP="002A5827">
      <w:pPr>
        <w:spacing w:line="360" w:lineRule="auto"/>
        <w:jc w:val="both"/>
        <w:rPr>
          <w:b/>
          <w:sz w:val="24"/>
          <w:szCs w:val="24"/>
        </w:rPr>
      </w:pPr>
    </w:p>
    <w:p w:rsidR="006C1917" w:rsidRDefault="006C1917" w:rsidP="002A5827">
      <w:pPr>
        <w:spacing w:line="360" w:lineRule="auto"/>
        <w:jc w:val="both"/>
        <w:rPr>
          <w:b/>
          <w:sz w:val="24"/>
          <w:szCs w:val="24"/>
        </w:rPr>
      </w:pPr>
    </w:p>
    <w:p w:rsidR="006C1917" w:rsidRDefault="006C1917" w:rsidP="002A5827">
      <w:pPr>
        <w:spacing w:line="360" w:lineRule="auto"/>
        <w:jc w:val="both"/>
        <w:rPr>
          <w:b/>
          <w:sz w:val="24"/>
          <w:szCs w:val="24"/>
        </w:rPr>
      </w:pPr>
    </w:p>
    <w:p w:rsidR="006C1917" w:rsidRDefault="006C1917" w:rsidP="002A5827">
      <w:pPr>
        <w:spacing w:line="360" w:lineRule="auto"/>
        <w:jc w:val="both"/>
        <w:rPr>
          <w:b/>
          <w:sz w:val="24"/>
          <w:szCs w:val="24"/>
        </w:rPr>
      </w:pPr>
    </w:p>
    <w:p w:rsidR="006C1917" w:rsidRDefault="006C1917" w:rsidP="002A5827">
      <w:pPr>
        <w:spacing w:line="360" w:lineRule="auto"/>
        <w:jc w:val="both"/>
        <w:rPr>
          <w:b/>
          <w:sz w:val="24"/>
          <w:szCs w:val="24"/>
        </w:rPr>
      </w:pPr>
    </w:p>
    <w:p w:rsidR="006C1917" w:rsidRDefault="006C1917" w:rsidP="00E74064">
      <w:pPr>
        <w:pStyle w:val="Nadpis1"/>
      </w:pPr>
      <w:r w:rsidRPr="00E74064">
        <w:lastRenderedPageBreak/>
        <w:t xml:space="preserve"> </w:t>
      </w:r>
      <w:bookmarkStart w:id="36" w:name="_Toc422993247"/>
      <w:r>
        <w:t>Testovací hypotéza</w:t>
      </w:r>
      <w:bookmarkEnd w:id="36"/>
    </w:p>
    <w:p w:rsidR="006C1917" w:rsidRPr="00E74064" w:rsidRDefault="006C1917" w:rsidP="00640D52">
      <w:pPr>
        <w:pStyle w:val="Nadpis1"/>
        <w:numPr>
          <w:ilvl w:val="0"/>
          <w:numId w:val="0"/>
        </w:numPr>
        <w:ind w:left="432"/>
      </w:pPr>
    </w:p>
    <w:p w:rsidR="006C1917" w:rsidRPr="00F420AA" w:rsidRDefault="006C1917" w:rsidP="002A5827">
      <w:pPr>
        <w:spacing w:line="360" w:lineRule="auto"/>
        <w:jc w:val="both"/>
        <w:rPr>
          <w:sz w:val="24"/>
          <w:szCs w:val="24"/>
        </w:rPr>
      </w:pPr>
      <w:r w:rsidRPr="00F420AA">
        <w:rPr>
          <w:sz w:val="24"/>
          <w:szCs w:val="24"/>
        </w:rPr>
        <w:t>Troponiny jsou</w:t>
      </w:r>
      <w:r>
        <w:rPr>
          <w:sz w:val="24"/>
          <w:szCs w:val="24"/>
        </w:rPr>
        <w:t>,</w:t>
      </w:r>
      <w:r w:rsidRPr="00F420AA">
        <w:rPr>
          <w:sz w:val="24"/>
          <w:szCs w:val="24"/>
        </w:rPr>
        <w:t xml:space="preserve"> jak již bylo opakovaně zdůrazněno markery myokardiálního poškození. Jejich typická úloha je v detekci ischemického, mechanického případně toxického poškození kardiomyocytu. </w:t>
      </w:r>
    </w:p>
    <w:p w:rsidR="006C1917" w:rsidRPr="00F420AA" w:rsidRDefault="006C1917" w:rsidP="002A5827">
      <w:pPr>
        <w:spacing w:line="360" w:lineRule="auto"/>
        <w:jc w:val="both"/>
        <w:rPr>
          <w:sz w:val="24"/>
          <w:szCs w:val="24"/>
        </w:rPr>
      </w:pPr>
      <w:r w:rsidRPr="00F420AA">
        <w:rPr>
          <w:sz w:val="24"/>
          <w:szCs w:val="24"/>
        </w:rPr>
        <w:t>Při kardiostimulaci dochází během zavádění stimulačních elektrod k přímému poškození myokardiální tkáně. Jde o přímou mechanickou destrukci buňky, tudíž by k uvolnění troponinu mělo dojít rychleji než je obvyklé u ischemického poškození, kdy nejprve musí dojít k výše popsané destrukci buňky.</w:t>
      </w:r>
    </w:p>
    <w:p w:rsidR="006C1917" w:rsidRPr="00F420AA" w:rsidRDefault="006C1917" w:rsidP="002A5827">
      <w:pPr>
        <w:spacing w:line="360" w:lineRule="auto"/>
        <w:jc w:val="both"/>
        <w:rPr>
          <w:sz w:val="24"/>
          <w:szCs w:val="24"/>
        </w:rPr>
      </w:pPr>
      <w:r w:rsidRPr="00F420AA">
        <w:rPr>
          <w:sz w:val="24"/>
          <w:szCs w:val="24"/>
        </w:rPr>
        <w:t>Vstupní hodnoty troponinu nejs</w:t>
      </w:r>
      <w:r>
        <w:rPr>
          <w:sz w:val="24"/>
          <w:szCs w:val="24"/>
        </w:rPr>
        <w:t>ou vždy zcela normální</w:t>
      </w:r>
      <w:r w:rsidRPr="00F420AA">
        <w:rPr>
          <w:sz w:val="24"/>
          <w:szCs w:val="24"/>
        </w:rPr>
        <w:t>, záleží na míře pacientovy polymorbidity. Při zavedení kardiostimulační elektrody s fixačn</w:t>
      </w:r>
      <w:r w:rsidR="00036A7C">
        <w:rPr>
          <w:sz w:val="24"/>
          <w:szCs w:val="24"/>
        </w:rPr>
        <w:t xml:space="preserve">ím systémem na jejím konci </w:t>
      </w:r>
      <w:r w:rsidRPr="00F420AA">
        <w:rPr>
          <w:sz w:val="24"/>
          <w:szCs w:val="24"/>
        </w:rPr>
        <w:t>musí</w:t>
      </w:r>
      <w:r w:rsidR="00036A7C">
        <w:rPr>
          <w:sz w:val="24"/>
          <w:szCs w:val="24"/>
        </w:rPr>
        <w:t xml:space="preserve"> vždy </w:t>
      </w:r>
      <w:r w:rsidRPr="00F420AA">
        <w:rPr>
          <w:sz w:val="24"/>
          <w:szCs w:val="24"/>
        </w:rPr>
        <w:t xml:space="preserve">zákonitě dojít k drobnému poškození myokardu. Mělo by tedy dojít k serologické odpovědi a ke zvýšení hladin troponinu. Toto zvýšení nesignalizuje přítomnost akutního koronárního syndromu a nemělo by vést k dalšímu invazivnímu vyšetřování pacienta. </w:t>
      </w:r>
    </w:p>
    <w:p w:rsidR="006C1917" w:rsidRPr="00F420AA" w:rsidRDefault="006C1917" w:rsidP="00E74064">
      <w:pPr>
        <w:pStyle w:val="Nadpis1"/>
        <w:numPr>
          <w:ilvl w:val="0"/>
          <w:numId w:val="0"/>
        </w:numPr>
        <w:spacing w:after="120" w:line="360" w:lineRule="auto"/>
        <w:ind w:left="432"/>
        <w:rPr>
          <w:sz w:val="24"/>
          <w:szCs w:val="24"/>
        </w:rPr>
      </w:pPr>
    </w:p>
    <w:p w:rsidR="006C1917" w:rsidRDefault="006C1917">
      <w:pPr>
        <w:spacing w:after="0" w:line="240" w:lineRule="auto"/>
        <w:rPr>
          <w:b/>
          <w:bCs/>
          <w:kern w:val="36"/>
          <w:sz w:val="28"/>
          <w:szCs w:val="28"/>
          <w:lang w:eastAsia="cs-CZ"/>
        </w:rPr>
      </w:pPr>
      <w:r>
        <w:rPr>
          <w:sz w:val="28"/>
          <w:szCs w:val="28"/>
        </w:rPr>
        <w:br w:type="page"/>
      </w:r>
    </w:p>
    <w:p w:rsidR="006C1917" w:rsidRPr="00DA2A17" w:rsidRDefault="006C1917" w:rsidP="00DA2A17">
      <w:pPr>
        <w:pStyle w:val="Nadpis1"/>
      </w:pPr>
      <w:bookmarkStart w:id="37" w:name="_Toc422993248"/>
      <w:r w:rsidRPr="00DA2A17">
        <w:lastRenderedPageBreak/>
        <w:t>Cíle studie</w:t>
      </w:r>
      <w:bookmarkEnd w:id="37"/>
    </w:p>
    <w:p w:rsidR="006C1917" w:rsidRDefault="006C1917" w:rsidP="00640D52">
      <w:pPr>
        <w:pStyle w:val="Odstavecseseznamem"/>
        <w:spacing w:line="360" w:lineRule="auto"/>
        <w:jc w:val="both"/>
        <w:rPr>
          <w:sz w:val="24"/>
          <w:szCs w:val="24"/>
        </w:rPr>
      </w:pPr>
    </w:p>
    <w:p w:rsidR="006C1917" w:rsidRPr="00640D52" w:rsidRDefault="006C1917" w:rsidP="001429DD">
      <w:pPr>
        <w:pStyle w:val="Odstavecseseznamem"/>
        <w:numPr>
          <w:ilvl w:val="0"/>
          <w:numId w:val="3"/>
        </w:numPr>
        <w:spacing w:line="360" w:lineRule="auto"/>
        <w:jc w:val="both"/>
        <w:rPr>
          <w:sz w:val="24"/>
          <w:szCs w:val="24"/>
        </w:rPr>
      </w:pPr>
      <w:r w:rsidRPr="00640D52">
        <w:rPr>
          <w:sz w:val="24"/>
          <w:szCs w:val="24"/>
        </w:rPr>
        <w:t xml:space="preserve">Zjistit, k jak velké elevaci kardiospecifických markerů (troponin I, CKMB, myoglobin) v séru dochází po primoimplantaci kardiostimulátoru za použití elektrodového systému s aktivní fixací u pacientů s jedno a dvoudutinovou kardiostimulací – model přímé destrukce kardiomyocytů fixačním systémem, dále vysledovat závislost mezi elevací kardiospecifických markerů a ostatních faktorů výkonu: </w:t>
      </w:r>
    </w:p>
    <w:p w:rsidR="006C1917" w:rsidRPr="00640D52" w:rsidRDefault="006C1917" w:rsidP="001429DD">
      <w:pPr>
        <w:pStyle w:val="Odstavecseseznamem"/>
        <w:numPr>
          <w:ilvl w:val="0"/>
          <w:numId w:val="4"/>
        </w:numPr>
        <w:spacing w:line="360" w:lineRule="auto"/>
        <w:ind w:left="1418"/>
        <w:jc w:val="both"/>
        <w:rPr>
          <w:sz w:val="24"/>
          <w:szCs w:val="24"/>
        </w:rPr>
      </w:pPr>
      <w:r w:rsidRPr="00640D52">
        <w:rPr>
          <w:sz w:val="24"/>
          <w:szCs w:val="24"/>
        </w:rPr>
        <w:t xml:space="preserve">délka skiaskopického času </w:t>
      </w:r>
    </w:p>
    <w:p w:rsidR="006C1917" w:rsidRPr="00640D52" w:rsidRDefault="006C1917" w:rsidP="001429DD">
      <w:pPr>
        <w:pStyle w:val="Odstavecseseznamem"/>
        <w:numPr>
          <w:ilvl w:val="0"/>
          <w:numId w:val="4"/>
        </w:numPr>
        <w:spacing w:line="360" w:lineRule="auto"/>
        <w:ind w:left="1418"/>
        <w:jc w:val="both"/>
        <w:rPr>
          <w:sz w:val="24"/>
          <w:szCs w:val="24"/>
        </w:rPr>
      </w:pPr>
      <w:r w:rsidRPr="00640D52">
        <w:rPr>
          <w:sz w:val="24"/>
          <w:szCs w:val="24"/>
        </w:rPr>
        <w:t xml:space="preserve">rozsah kardiostimulace – jedno, resp. dvoudutinová </w:t>
      </w:r>
    </w:p>
    <w:p w:rsidR="006C1917" w:rsidRDefault="006C1917" w:rsidP="001429DD">
      <w:pPr>
        <w:pStyle w:val="Odstavecseseznamem"/>
        <w:numPr>
          <w:ilvl w:val="0"/>
          <w:numId w:val="4"/>
        </w:numPr>
        <w:spacing w:line="360" w:lineRule="auto"/>
        <w:ind w:left="1418"/>
        <w:jc w:val="both"/>
        <w:rPr>
          <w:sz w:val="24"/>
          <w:szCs w:val="24"/>
        </w:rPr>
      </w:pPr>
      <w:r w:rsidRPr="00640D52">
        <w:rPr>
          <w:sz w:val="24"/>
          <w:szCs w:val="24"/>
        </w:rPr>
        <w:t>klinická data</w:t>
      </w:r>
    </w:p>
    <w:p w:rsidR="006C1917" w:rsidRPr="00640D52" w:rsidRDefault="006C1917" w:rsidP="00640D52">
      <w:pPr>
        <w:pStyle w:val="Odstavecseseznamem"/>
        <w:spacing w:line="360" w:lineRule="auto"/>
        <w:ind w:left="1418"/>
        <w:jc w:val="both"/>
        <w:rPr>
          <w:sz w:val="24"/>
          <w:szCs w:val="24"/>
        </w:rPr>
      </w:pPr>
    </w:p>
    <w:p w:rsidR="006C1917" w:rsidRPr="006002F0" w:rsidRDefault="006C1917" w:rsidP="001429DD">
      <w:pPr>
        <w:pStyle w:val="Abstrakt-text"/>
        <w:numPr>
          <w:ilvl w:val="0"/>
          <w:numId w:val="3"/>
        </w:numPr>
        <w:spacing w:after="0" w:line="360" w:lineRule="auto"/>
        <w:rPr>
          <w:rFonts w:ascii="Calibri" w:hAnsi="Calibri"/>
          <w:sz w:val="24"/>
          <w:szCs w:val="24"/>
        </w:rPr>
      </w:pPr>
      <w:r w:rsidRPr="006002F0">
        <w:rPr>
          <w:rFonts w:ascii="Calibri" w:hAnsi="Calibri"/>
          <w:sz w:val="24"/>
          <w:szCs w:val="24"/>
        </w:rPr>
        <w:t xml:space="preserve">Je míra obtížnosti implantačního výkonu (delší skiaskopický čas, vyšší počet pokusů </w:t>
      </w:r>
      <w:r>
        <w:rPr>
          <w:rFonts w:ascii="Calibri" w:hAnsi="Calibri"/>
          <w:sz w:val="24"/>
          <w:szCs w:val="24"/>
        </w:rPr>
        <w:br/>
      </w:r>
      <w:r w:rsidRPr="006002F0">
        <w:rPr>
          <w:rFonts w:ascii="Calibri" w:hAnsi="Calibri"/>
          <w:sz w:val="24"/>
          <w:szCs w:val="24"/>
        </w:rPr>
        <w:t>o aktivní umístění el</w:t>
      </w:r>
      <w:r>
        <w:rPr>
          <w:rFonts w:ascii="Calibri" w:hAnsi="Calibri"/>
          <w:sz w:val="24"/>
          <w:szCs w:val="24"/>
        </w:rPr>
        <w:t xml:space="preserve">ektrody do myokardiální tkáně) </w:t>
      </w:r>
      <w:r w:rsidRPr="006002F0">
        <w:rPr>
          <w:rFonts w:ascii="Calibri" w:hAnsi="Calibri"/>
          <w:sz w:val="24"/>
          <w:szCs w:val="24"/>
        </w:rPr>
        <w:t xml:space="preserve">přímo úměrný nárůstu hladin troponinu I po primoimplantaci přístroje? </w:t>
      </w:r>
    </w:p>
    <w:p w:rsidR="006C1917" w:rsidRPr="006002F0" w:rsidRDefault="006C1917" w:rsidP="006002F0">
      <w:pPr>
        <w:spacing w:line="360" w:lineRule="auto"/>
        <w:jc w:val="both"/>
        <w:rPr>
          <w:sz w:val="24"/>
          <w:szCs w:val="24"/>
        </w:rPr>
      </w:pPr>
    </w:p>
    <w:p w:rsidR="006C1917" w:rsidRPr="00640D52" w:rsidRDefault="006C1917" w:rsidP="001429DD">
      <w:pPr>
        <w:pStyle w:val="Odstavecseseznamem"/>
        <w:numPr>
          <w:ilvl w:val="0"/>
          <w:numId w:val="3"/>
        </w:numPr>
        <w:spacing w:line="360" w:lineRule="auto"/>
        <w:jc w:val="both"/>
        <w:rPr>
          <w:sz w:val="24"/>
          <w:szCs w:val="24"/>
        </w:rPr>
      </w:pPr>
      <w:r w:rsidRPr="00640D52">
        <w:rPr>
          <w:sz w:val="24"/>
          <w:szCs w:val="24"/>
        </w:rPr>
        <w:t>Jaká je vstupní hodnota troponinu I u pacientů indikovaných ke kardiostimulaci a dále jaká je hodnota troponinu I v  neselektované populaci nemocných se srdečním onemocněním u kontrolního souboru pacientů př</w:t>
      </w:r>
      <w:r>
        <w:rPr>
          <w:sz w:val="24"/>
          <w:szCs w:val="24"/>
        </w:rPr>
        <w:t>icházejících k diagnostické SKG</w:t>
      </w:r>
      <w:r w:rsidRPr="00640D52">
        <w:rPr>
          <w:sz w:val="24"/>
          <w:szCs w:val="24"/>
        </w:rPr>
        <w:t xml:space="preserve">? </w:t>
      </w:r>
    </w:p>
    <w:p w:rsidR="006C1917" w:rsidRPr="00F3651E" w:rsidRDefault="006C1917" w:rsidP="006002F0">
      <w:pPr>
        <w:pStyle w:val="Abstrakt-text"/>
        <w:spacing w:after="120" w:line="360" w:lineRule="auto"/>
        <w:rPr>
          <w:rFonts w:ascii="Calibri" w:hAnsi="Calibri"/>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b/>
          <w:sz w:val="24"/>
          <w:szCs w:val="24"/>
        </w:rPr>
      </w:pPr>
    </w:p>
    <w:p w:rsidR="006C1917" w:rsidRPr="00F420AA" w:rsidRDefault="006C1917" w:rsidP="002A5827">
      <w:pPr>
        <w:spacing w:line="360" w:lineRule="auto"/>
        <w:jc w:val="both"/>
        <w:rPr>
          <w:b/>
          <w:sz w:val="24"/>
          <w:szCs w:val="24"/>
        </w:rPr>
      </w:pPr>
    </w:p>
    <w:p w:rsidR="006C1917" w:rsidRPr="00F420AA" w:rsidRDefault="006C1917" w:rsidP="002A5827">
      <w:pPr>
        <w:spacing w:line="360" w:lineRule="auto"/>
        <w:jc w:val="both"/>
        <w:rPr>
          <w:b/>
          <w:sz w:val="24"/>
          <w:szCs w:val="24"/>
        </w:rPr>
      </w:pPr>
    </w:p>
    <w:p w:rsidR="006C1917" w:rsidRDefault="006C1917" w:rsidP="002A5827">
      <w:pPr>
        <w:spacing w:line="360" w:lineRule="auto"/>
        <w:jc w:val="both"/>
        <w:rPr>
          <w:b/>
          <w:sz w:val="24"/>
          <w:szCs w:val="24"/>
        </w:rPr>
      </w:pPr>
    </w:p>
    <w:p w:rsidR="006C1917" w:rsidRDefault="006C1917" w:rsidP="00640D52">
      <w:pPr>
        <w:pStyle w:val="Nadpis1"/>
      </w:pPr>
      <w:bookmarkStart w:id="38" w:name="_Toc422993249"/>
      <w:r>
        <w:lastRenderedPageBreak/>
        <w:t>Metodika</w:t>
      </w:r>
      <w:bookmarkEnd w:id="38"/>
    </w:p>
    <w:p w:rsidR="006C1917" w:rsidRPr="00F420AA" w:rsidRDefault="006C1917" w:rsidP="002A5827">
      <w:pPr>
        <w:spacing w:line="360" w:lineRule="auto"/>
        <w:jc w:val="both"/>
        <w:rPr>
          <w:sz w:val="24"/>
          <w:szCs w:val="24"/>
        </w:rPr>
      </w:pPr>
      <w:r>
        <w:rPr>
          <w:b/>
          <w:bCs/>
          <w:kern w:val="36"/>
          <w:sz w:val="32"/>
          <w:szCs w:val="48"/>
          <w:lang w:eastAsia="cs-CZ"/>
        </w:rPr>
        <w:br/>
      </w:r>
      <w:r w:rsidRPr="00F420AA">
        <w:rPr>
          <w:sz w:val="24"/>
          <w:szCs w:val="24"/>
        </w:rPr>
        <w:t>Do našeho souboru bylo zařazeno celkem 230 pacientů indikovaných k primoimplantaci kardiostimulátoru. Jednalo se o konsekutivní pacienty referované na Kardiologické odd. Interní kliniky 1.</w:t>
      </w:r>
      <w:r>
        <w:rPr>
          <w:sz w:val="24"/>
          <w:szCs w:val="24"/>
        </w:rPr>
        <w:t xml:space="preserve"> </w:t>
      </w:r>
      <w:r w:rsidRPr="00F420AA">
        <w:rPr>
          <w:sz w:val="24"/>
          <w:szCs w:val="24"/>
        </w:rPr>
        <w:t>LF UK a Ústřední vojenské nemocnice – Vojenské fakultní nemocnice Praha.</w:t>
      </w:r>
    </w:p>
    <w:p w:rsidR="006C1917" w:rsidRPr="00F420AA" w:rsidRDefault="000E63E4" w:rsidP="002A5827">
      <w:pPr>
        <w:spacing w:line="360" w:lineRule="auto"/>
        <w:jc w:val="both"/>
        <w:rPr>
          <w:sz w:val="24"/>
          <w:szCs w:val="24"/>
        </w:rPr>
      </w:pPr>
      <w:r>
        <w:rPr>
          <w:sz w:val="24"/>
          <w:szCs w:val="24"/>
        </w:rPr>
        <w:t>Indikační diagnó</w:t>
      </w:r>
      <w:r w:rsidR="006C1917" w:rsidRPr="00F420AA">
        <w:rPr>
          <w:sz w:val="24"/>
          <w:szCs w:val="24"/>
        </w:rPr>
        <w:t xml:space="preserve">zy vycházejí z Guidellines České kardiologické společnosti pro </w:t>
      </w:r>
      <w:r w:rsidR="00C30D4C">
        <w:rPr>
          <w:sz w:val="24"/>
          <w:szCs w:val="24"/>
        </w:rPr>
        <w:t>trvalou kardiostimulaci 2012 (66</w:t>
      </w:r>
      <w:r w:rsidR="006C1917" w:rsidRPr="00F420AA">
        <w:rPr>
          <w:sz w:val="24"/>
          <w:szCs w:val="24"/>
        </w:rPr>
        <w:t>)</w:t>
      </w:r>
    </w:p>
    <w:p w:rsidR="006C1917" w:rsidRPr="00F420AA" w:rsidRDefault="006C1917" w:rsidP="00DA2A17">
      <w:pPr>
        <w:tabs>
          <w:tab w:val="left" w:pos="1560"/>
          <w:tab w:val="left" w:pos="4962"/>
        </w:tabs>
        <w:spacing w:line="360" w:lineRule="auto"/>
        <w:jc w:val="both"/>
        <w:rPr>
          <w:sz w:val="24"/>
          <w:szCs w:val="24"/>
        </w:rPr>
      </w:pPr>
      <w:r>
        <w:rPr>
          <w:sz w:val="24"/>
          <w:szCs w:val="24"/>
        </w:rPr>
        <w:t>Indikační dg:</w:t>
      </w:r>
      <w:r>
        <w:rPr>
          <w:sz w:val="24"/>
          <w:szCs w:val="24"/>
        </w:rPr>
        <w:tab/>
      </w:r>
      <w:r w:rsidRPr="00F420AA">
        <w:rPr>
          <w:sz w:val="24"/>
          <w:szCs w:val="24"/>
        </w:rPr>
        <w:t>sick sinus syndrom:</w:t>
      </w:r>
      <w:r>
        <w:rPr>
          <w:sz w:val="24"/>
          <w:szCs w:val="24"/>
        </w:rPr>
        <w:tab/>
      </w:r>
      <w:r w:rsidRPr="00F420AA">
        <w:rPr>
          <w:sz w:val="24"/>
          <w:szCs w:val="24"/>
        </w:rPr>
        <w:t>97 pacientů</w:t>
      </w:r>
    </w:p>
    <w:p w:rsidR="006C1917" w:rsidRPr="00F420AA" w:rsidRDefault="006C1917" w:rsidP="00DA2A17">
      <w:pPr>
        <w:tabs>
          <w:tab w:val="left" w:pos="1560"/>
          <w:tab w:val="left" w:pos="4962"/>
        </w:tabs>
        <w:spacing w:line="360" w:lineRule="auto"/>
        <w:jc w:val="both"/>
        <w:rPr>
          <w:sz w:val="24"/>
          <w:szCs w:val="24"/>
        </w:rPr>
      </w:pPr>
      <w:r>
        <w:rPr>
          <w:sz w:val="24"/>
          <w:szCs w:val="24"/>
        </w:rPr>
        <w:tab/>
      </w:r>
      <w:r w:rsidRPr="00F420AA">
        <w:rPr>
          <w:sz w:val="24"/>
          <w:szCs w:val="24"/>
        </w:rPr>
        <w:t>sick sinus syndrom + AV blokáda:</w:t>
      </w:r>
      <w:r>
        <w:rPr>
          <w:sz w:val="24"/>
          <w:szCs w:val="24"/>
        </w:rPr>
        <w:tab/>
      </w:r>
      <w:r w:rsidRPr="00F420AA">
        <w:rPr>
          <w:sz w:val="24"/>
          <w:szCs w:val="24"/>
        </w:rPr>
        <w:t>24 pacientů</w:t>
      </w:r>
    </w:p>
    <w:p w:rsidR="006C1917" w:rsidRPr="00F420AA" w:rsidRDefault="006C1917" w:rsidP="00DA2A17">
      <w:pPr>
        <w:tabs>
          <w:tab w:val="left" w:pos="1560"/>
          <w:tab w:val="left" w:pos="4962"/>
        </w:tabs>
        <w:spacing w:line="360" w:lineRule="auto"/>
        <w:jc w:val="both"/>
        <w:rPr>
          <w:sz w:val="24"/>
          <w:szCs w:val="24"/>
        </w:rPr>
      </w:pPr>
      <w:r>
        <w:rPr>
          <w:sz w:val="24"/>
          <w:szCs w:val="24"/>
        </w:rPr>
        <w:tab/>
      </w:r>
      <w:r w:rsidRPr="00F420AA">
        <w:rPr>
          <w:sz w:val="24"/>
          <w:szCs w:val="24"/>
        </w:rPr>
        <w:t>sinusový rytmus + AV blokáda</w:t>
      </w:r>
      <w:r>
        <w:rPr>
          <w:sz w:val="24"/>
          <w:szCs w:val="24"/>
        </w:rPr>
        <w:t>:</w:t>
      </w:r>
      <w:r>
        <w:rPr>
          <w:sz w:val="24"/>
          <w:szCs w:val="24"/>
        </w:rPr>
        <w:tab/>
      </w:r>
      <w:r w:rsidRPr="00F420AA">
        <w:rPr>
          <w:sz w:val="24"/>
          <w:szCs w:val="24"/>
        </w:rPr>
        <w:t>30 pacientů</w:t>
      </w:r>
    </w:p>
    <w:p w:rsidR="006C1917" w:rsidRPr="00F420AA" w:rsidRDefault="006C1917" w:rsidP="00DA2A17">
      <w:pPr>
        <w:tabs>
          <w:tab w:val="left" w:pos="1560"/>
          <w:tab w:val="left" w:pos="4962"/>
        </w:tabs>
        <w:spacing w:line="360" w:lineRule="auto"/>
        <w:jc w:val="both"/>
        <w:rPr>
          <w:sz w:val="24"/>
          <w:szCs w:val="24"/>
        </w:rPr>
      </w:pPr>
      <w:r>
        <w:rPr>
          <w:sz w:val="24"/>
          <w:szCs w:val="24"/>
        </w:rPr>
        <w:tab/>
      </w:r>
      <w:r w:rsidRPr="00F420AA">
        <w:rPr>
          <w:sz w:val="24"/>
          <w:szCs w:val="24"/>
        </w:rPr>
        <w:t xml:space="preserve">fibrilace </w:t>
      </w:r>
      <w:r>
        <w:rPr>
          <w:sz w:val="24"/>
          <w:szCs w:val="24"/>
        </w:rPr>
        <w:t>síní + AV blokáda:</w:t>
      </w:r>
      <w:r>
        <w:rPr>
          <w:sz w:val="24"/>
          <w:szCs w:val="24"/>
        </w:rPr>
        <w:tab/>
      </w:r>
      <w:r w:rsidRPr="00F420AA">
        <w:rPr>
          <w:sz w:val="24"/>
          <w:szCs w:val="24"/>
        </w:rPr>
        <w:t>79 pacientů</w:t>
      </w:r>
    </w:p>
    <w:p w:rsidR="006C1917" w:rsidRPr="00F420AA" w:rsidRDefault="006C1917" w:rsidP="002A5827">
      <w:pPr>
        <w:spacing w:line="360" w:lineRule="auto"/>
        <w:jc w:val="both"/>
        <w:rPr>
          <w:sz w:val="24"/>
          <w:szCs w:val="24"/>
        </w:rPr>
      </w:pPr>
      <w:r w:rsidRPr="00F420AA">
        <w:rPr>
          <w:sz w:val="24"/>
          <w:szCs w:val="24"/>
        </w:rPr>
        <w:t>Kontraindikací zařazení do studovaného souboru bylo: Provedená dočasná kardiostimulace, stav po kardiopulmonální resuscitaci, probíhající akutní koronární syndrom, probíhající sepse, případně jiný patologický stav, který apriori vede ke zvýšení hladin troponinu. Chronická onemocnění, která také vedou k elevaci troponinu (srdeční selhání, renální insuficience, CHOPN etc.) kontraindikací pro zařazení do studie nebyly, protože lze předpokládat, že tito nemocní mají stabilizované hodnoty troponinu I a že před kardiostimulací neutrpěli žádný inzult, který by se mohl překrývat s primoimplantační procedurou a vést tak rovněž k nárůstu hladin troponinu I.</w:t>
      </w:r>
    </w:p>
    <w:p w:rsidR="006C1917" w:rsidRPr="00F420AA" w:rsidRDefault="006C1917" w:rsidP="002A5827">
      <w:pPr>
        <w:spacing w:line="360" w:lineRule="auto"/>
        <w:jc w:val="both"/>
        <w:rPr>
          <w:sz w:val="24"/>
          <w:szCs w:val="24"/>
        </w:rPr>
      </w:pPr>
      <w:r w:rsidRPr="00F420AA">
        <w:rPr>
          <w:sz w:val="24"/>
          <w:szCs w:val="24"/>
        </w:rPr>
        <w:t>V</w:t>
      </w:r>
      <w:r>
        <w:rPr>
          <w:sz w:val="24"/>
          <w:szCs w:val="24"/>
        </w:rPr>
        <w:t>esměs šlo o „klasické indikace“</w:t>
      </w:r>
      <w:r w:rsidRPr="00F420AA">
        <w:rPr>
          <w:sz w:val="24"/>
          <w:szCs w:val="24"/>
        </w:rPr>
        <w:t xml:space="preserve"> kardiostimulace u starších pacie</w:t>
      </w:r>
      <w:r>
        <w:rPr>
          <w:sz w:val="24"/>
          <w:szCs w:val="24"/>
        </w:rPr>
        <w:t xml:space="preserve">ntů. V souboru nebyly přítomny </w:t>
      </w:r>
      <w:r w:rsidRPr="00F420AA">
        <w:rPr>
          <w:sz w:val="24"/>
          <w:szCs w:val="24"/>
        </w:rPr>
        <w:t>žádné „speciální indikace“ jako výše zmíněná vasovagální synkopa u mladých pacientů, nebyli přítomni nemocní s hypertrofickou obstruktivní kard</w:t>
      </w:r>
      <w:r w:rsidR="009441BA">
        <w:rPr>
          <w:sz w:val="24"/>
          <w:szCs w:val="24"/>
        </w:rPr>
        <w:t xml:space="preserve">iomyopatií, ani </w:t>
      </w:r>
      <w:r w:rsidRPr="00F420AA">
        <w:rPr>
          <w:sz w:val="24"/>
          <w:szCs w:val="24"/>
        </w:rPr>
        <w:t>pacienti s kongenitálními formami AV blokády.</w:t>
      </w:r>
    </w:p>
    <w:p w:rsidR="006C1917" w:rsidRDefault="006C1917" w:rsidP="00640D52">
      <w:pPr>
        <w:spacing w:line="360" w:lineRule="auto"/>
        <w:jc w:val="both"/>
        <w:rPr>
          <w:sz w:val="24"/>
          <w:szCs w:val="24"/>
        </w:rPr>
      </w:pPr>
    </w:p>
    <w:p w:rsidR="006C1917" w:rsidRDefault="006C1917" w:rsidP="00640D52">
      <w:pPr>
        <w:spacing w:line="360" w:lineRule="auto"/>
        <w:jc w:val="both"/>
        <w:rPr>
          <w:sz w:val="24"/>
          <w:szCs w:val="24"/>
        </w:rPr>
      </w:pPr>
    </w:p>
    <w:p w:rsidR="006C1917" w:rsidRPr="00F420AA" w:rsidRDefault="006C1917" w:rsidP="00640D52">
      <w:pPr>
        <w:spacing w:line="360" w:lineRule="auto"/>
        <w:jc w:val="both"/>
        <w:rPr>
          <w:sz w:val="24"/>
          <w:szCs w:val="24"/>
        </w:rPr>
      </w:pPr>
      <w:r>
        <w:rPr>
          <w:sz w:val="24"/>
          <w:szCs w:val="24"/>
        </w:rPr>
        <w:lastRenderedPageBreak/>
        <w:t>Byly stanoveny</w:t>
      </w:r>
      <w:r w:rsidRPr="00F420AA">
        <w:rPr>
          <w:sz w:val="24"/>
          <w:szCs w:val="24"/>
        </w:rPr>
        <w:t xml:space="preserve"> hodnoty kardiospecifických markerů v séru za použití komerčně dostup</w:t>
      </w:r>
      <w:r>
        <w:rPr>
          <w:sz w:val="24"/>
          <w:szCs w:val="24"/>
        </w:rPr>
        <w:t>ných kitů následujících výrobců</w:t>
      </w:r>
      <w:r w:rsidRPr="00F420AA">
        <w:rPr>
          <w:sz w:val="24"/>
          <w:szCs w:val="24"/>
        </w:rPr>
        <w:t xml:space="preserve">: </w:t>
      </w:r>
    </w:p>
    <w:p w:rsidR="006C1917" w:rsidRPr="00DA2A17" w:rsidRDefault="006C1917" w:rsidP="001429DD">
      <w:pPr>
        <w:pStyle w:val="Odstavecseseznamem"/>
        <w:numPr>
          <w:ilvl w:val="0"/>
          <w:numId w:val="7"/>
        </w:numPr>
        <w:spacing w:line="360" w:lineRule="auto"/>
        <w:jc w:val="both"/>
        <w:rPr>
          <w:sz w:val="24"/>
          <w:szCs w:val="24"/>
        </w:rPr>
      </w:pPr>
      <w:r w:rsidRPr="00DA2A17">
        <w:rPr>
          <w:sz w:val="24"/>
          <w:szCs w:val="24"/>
        </w:rPr>
        <w:t>Troponin I, systém  Architect- Abbott©</w:t>
      </w:r>
    </w:p>
    <w:p w:rsidR="006C1917" w:rsidRPr="00DA2A17" w:rsidRDefault="006C1917" w:rsidP="001429DD">
      <w:pPr>
        <w:pStyle w:val="Odstavecseseznamem"/>
        <w:numPr>
          <w:ilvl w:val="0"/>
          <w:numId w:val="7"/>
        </w:numPr>
        <w:spacing w:line="360" w:lineRule="auto"/>
        <w:jc w:val="both"/>
        <w:rPr>
          <w:sz w:val="24"/>
          <w:szCs w:val="24"/>
        </w:rPr>
      </w:pPr>
      <w:r w:rsidRPr="00DA2A17">
        <w:rPr>
          <w:sz w:val="24"/>
          <w:szCs w:val="24"/>
        </w:rPr>
        <w:t>CKMB (výrobce Beckman Coulter©)</w:t>
      </w:r>
    </w:p>
    <w:p w:rsidR="006C1917" w:rsidRPr="00DA2A17" w:rsidRDefault="006C1917" w:rsidP="001429DD">
      <w:pPr>
        <w:pStyle w:val="Odstavecseseznamem"/>
        <w:numPr>
          <w:ilvl w:val="0"/>
          <w:numId w:val="7"/>
        </w:numPr>
        <w:spacing w:line="360" w:lineRule="auto"/>
        <w:jc w:val="both"/>
        <w:rPr>
          <w:sz w:val="24"/>
          <w:szCs w:val="24"/>
        </w:rPr>
      </w:pPr>
      <w:r w:rsidRPr="00DA2A17">
        <w:rPr>
          <w:sz w:val="24"/>
          <w:szCs w:val="24"/>
        </w:rPr>
        <w:t xml:space="preserve">myoglobin (výrobce Analyticon Biotechnologies AG ©) </w:t>
      </w:r>
    </w:p>
    <w:p w:rsidR="006C1917" w:rsidRPr="00F420AA" w:rsidRDefault="006C1917" w:rsidP="00640D52">
      <w:pPr>
        <w:spacing w:line="360" w:lineRule="auto"/>
        <w:jc w:val="both"/>
        <w:rPr>
          <w:rFonts w:cs="Arial"/>
          <w:sz w:val="24"/>
          <w:szCs w:val="24"/>
        </w:rPr>
      </w:pPr>
      <w:r w:rsidRPr="00F420AA">
        <w:rPr>
          <w:rFonts w:cs="Arial"/>
          <w:sz w:val="24"/>
          <w:szCs w:val="24"/>
        </w:rPr>
        <w:t>Vzorky krve jednotlivých pacientů byly analyzovány okamžitě po odběru na Oddělení biochemie, hematologie a krevní transfúze v Ústřední vojenské nemocnici.</w:t>
      </w:r>
    </w:p>
    <w:p w:rsidR="006C1917" w:rsidRPr="00F420AA" w:rsidRDefault="006C1917" w:rsidP="00640D52">
      <w:pPr>
        <w:spacing w:line="360" w:lineRule="auto"/>
        <w:jc w:val="both"/>
        <w:rPr>
          <w:rFonts w:cs="Arial"/>
          <w:color w:val="000000"/>
          <w:sz w:val="24"/>
          <w:szCs w:val="24"/>
          <w:shd w:val="clear" w:color="auto" w:fill="FFFFFF"/>
        </w:rPr>
      </w:pPr>
      <w:r w:rsidRPr="00F420AA">
        <w:rPr>
          <w:rFonts w:cs="Arial"/>
          <w:color w:val="000000"/>
          <w:sz w:val="24"/>
          <w:szCs w:val="24"/>
          <w:shd w:val="clear" w:color="auto" w:fill="FFFFFF"/>
        </w:rPr>
        <w:t>Troponin I byl měřen na analyzátoru Abbott ARCHITECT  firmy Abbott</w:t>
      </w:r>
      <w:r w:rsidR="009443DF" w:rsidRPr="00DA2A17">
        <w:rPr>
          <w:sz w:val="24"/>
          <w:szCs w:val="24"/>
        </w:rPr>
        <w:t>©</w:t>
      </w:r>
      <w:r w:rsidRPr="00F420AA">
        <w:rPr>
          <w:rFonts w:cs="Arial"/>
          <w:color w:val="000000"/>
          <w:sz w:val="24"/>
          <w:szCs w:val="24"/>
          <w:shd w:val="clear" w:color="auto" w:fill="FFFFFF"/>
        </w:rPr>
        <w:t xml:space="preserve"> s použitím reagencií firmy Abbott</w:t>
      </w:r>
      <w:r w:rsidR="009443DF" w:rsidRPr="00DA2A17">
        <w:rPr>
          <w:sz w:val="24"/>
          <w:szCs w:val="24"/>
        </w:rPr>
        <w:t>©</w:t>
      </w:r>
      <w:r w:rsidRPr="00F420AA">
        <w:rPr>
          <w:rFonts w:cs="Arial"/>
          <w:color w:val="000000"/>
          <w:sz w:val="24"/>
          <w:szCs w:val="24"/>
          <w:shd w:val="clear" w:color="auto" w:fill="FFFFFF"/>
        </w:rPr>
        <w:t>,</w:t>
      </w:r>
      <w:r>
        <w:rPr>
          <w:rFonts w:cs="Arial"/>
          <w:color w:val="000000"/>
          <w:sz w:val="24"/>
          <w:szCs w:val="24"/>
          <w:shd w:val="clear" w:color="auto" w:fill="FFFFFF"/>
        </w:rPr>
        <w:t xml:space="preserve"> STAT Troponin I, mez detekce </w:t>
      </w:r>
      <w:r w:rsidRPr="00F420AA">
        <w:rPr>
          <w:rFonts w:cs="Arial"/>
          <w:color w:val="000000"/>
          <w:sz w:val="24"/>
          <w:szCs w:val="24"/>
          <w:shd w:val="clear" w:color="auto" w:fill="FFFFFF"/>
        </w:rPr>
        <w:t>= 0,01 ug/l,ro</w:t>
      </w:r>
      <w:r>
        <w:rPr>
          <w:rFonts w:cs="Arial"/>
          <w:color w:val="000000"/>
          <w:sz w:val="24"/>
          <w:szCs w:val="24"/>
          <w:shd w:val="clear" w:color="auto" w:fill="FFFFFF"/>
        </w:rPr>
        <w:t>zsah metody 0,017</w:t>
      </w:r>
      <w:r>
        <w:rPr>
          <w:sz w:val="24"/>
          <w:szCs w:val="24"/>
        </w:rPr>
        <w:t>–</w:t>
      </w:r>
      <w:r w:rsidR="00D837B1">
        <w:rPr>
          <w:rFonts w:cs="Arial"/>
          <w:color w:val="000000"/>
          <w:sz w:val="24"/>
          <w:szCs w:val="24"/>
          <w:shd w:val="clear" w:color="auto" w:fill="FFFFFF"/>
        </w:rPr>
        <w:t>5</w:t>
      </w:r>
      <w:r>
        <w:rPr>
          <w:rFonts w:cs="Arial"/>
          <w:color w:val="000000"/>
          <w:sz w:val="24"/>
          <w:szCs w:val="24"/>
          <w:shd w:val="clear" w:color="auto" w:fill="FFFFFF"/>
        </w:rPr>
        <w:t xml:space="preserve">0,0 ug/l </w:t>
      </w:r>
      <w:r>
        <w:rPr>
          <w:rFonts w:cs="Arial"/>
          <w:color w:val="000000"/>
          <w:sz w:val="24"/>
          <w:szCs w:val="24"/>
          <w:shd w:val="clear" w:color="auto" w:fill="FFFFFF"/>
        </w:rPr>
        <w:br/>
        <w:t>(</w:t>
      </w:r>
      <w:r w:rsidRPr="00F420AA">
        <w:rPr>
          <w:rFonts w:cs="Arial"/>
          <w:color w:val="000000"/>
          <w:sz w:val="24"/>
          <w:szCs w:val="24"/>
          <w:shd w:val="clear" w:color="auto" w:fill="FFFFFF"/>
        </w:rPr>
        <w:t>při překročení vzorky doředěny), 99.</w:t>
      </w:r>
      <w:r>
        <w:rPr>
          <w:rFonts w:cs="Arial"/>
          <w:color w:val="000000"/>
          <w:sz w:val="24"/>
          <w:szCs w:val="24"/>
          <w:shd w:val="clear" w:color="auto" w:fill="FFFFFF"/>
        </w:rPr>
        <w:t xml:space="preserve"> </w:t>
      </w:r>
      <w:r w:rsidRPr="00F420AA">
        <w:rPr>
          <w:rFonts w:cs="Arial"/>
          <w:color w:val="000000"/>
          <w:sz w:val="24"/>
          <w:szCs w:val="24"/>
          <w:shd w:val="clear" w:color="auto" w:fill="FFFFFF"/>
        </w:rPr>
        <w:t>percentil= 0,06 ug/l</w:t>
      </w:r>
    </w:p>
    <w:p w:rsidR="006C1917" w:rsidRPr="00F420AA" w:rsidRDefault="006C1917" w:rsidP="00640D52">
      <w:pPr>
        <w:spacing w:line="360" w:lineRule="auto"/>
        <w:jc w:val="both"/>
        <w:rPr>
          <w:rFonts w:cs="Arial"/>
          <w:color w:val="000000"/>
          <w:sz w:val="24"/>
          <w:szCs w:val="24"/>
          <w:shd w:val="clear" w:color="auto" w:fill="FFFFFF"/>
        </w:rPr>
      </w:pPr>
      <w:r w:rsidRPr="00F420AA">
        <w:rPr>
          <w:rFonts w:cs="Arial"/>
          <w:color w:val="000000"/>
          <w:sz w:val="24"/>
          <w:szCs w:val="24"/>
          <w:shd w:val="clear" w:color="auto" w:fill="FFFFFF"/>
        </w:rPr>
        <w:t>Enzym CK-MB měřen na analyzátoru  Abbott Aeroset firmy Abbott</w:t>
      </w:r>
      <w:r w:rsidR="009443DF" w:rsidRPr="00DA2A17">
        <w:rPr>
          <w:sz w:val="24"/>
          <w:szCs w:val="24"/>
        </w:rPr>
        <w:t>©</w:t>
      </w:r>
      <w:r w:rsidRPr="00F420AA">
        <w:rPr>
          <w:rFonts w:cs="Arial"/>
          <w:color w:val="000000"/>
          <w:sz w:val="24"/>
          <w:szCs w:val="24"/>
          <w:shd w:val="clear" w:color="auto" w:fill="FFFFFF"/>
        </w:rPr>
        <w:t xml:space="preserve"> s použitím reagencií </w:t>
      </w:r>
      <w:r>
        <w:rPr>
          <w:rFonts w:cs="Arial"/>
          <w:color w:val="000000"/>
          <w:sz w:val="24"/>
          <w:szCs w:val="24"/>
          <w:shd w:val="clear" w:color="auto" w:fill="FFFFFF"/>
        </w:rPr>
        <w:t>firmy Olympus</w:t>
      </w:r>
      <w:r w:rsidR="009443DF" w:rsidRPr="00DA2A17">
        <w:rPr>
          <w:sz w:val="24"/>
          <w:szCs w:val="24"/>
        </w:rPr>
        <w:t>©</w:t>
      </w:r>
      <w:r>
        <w:rPr>
          <w:rFonts w:cs="Arial"/>
          <w:color w:val="000000"/>
          <w:sz w:val="24"/>
          <w:szCs w:val="24"/>
          <w:shd w:val="clear" w:color="auto" w:fill="FFFFFF"/>
        </w:rPr>
        <w:t xml:space="preserve"> </w:t>
      </w:r>
      <w:r>
        <w:rPr>
          <w:sz w:val="24"/>
          <w:szCs w:val="24"/>
        </w:rPr>
        <w:t>–</w:t>
      </w:r>
      <w:r>
        <w:rPr>
          <w:rFonts w:cs="Arial"/>
          <w:color w:val="000000"/>
          <w:sz w:val="24"/>
          <w:szCs w:val="24"/>
          <w:shd w:val="clear" w:color="auto" w:fill="FFFFFF"/>
        </w:rPr>
        <w:t xml:space="preserve"> OSR6153 CK-MB, </w:t>
      </w:r>
      <w:r w:rsidRPr="00F420AA">
        <w:rPr>
          <w:rFonts w:cs="Arial"/>
          <w:color w:val="000000"/>
          <w:sz w:val="24"/>
          <w:szCs w:val="24"/>
          <w:shd w:val="clear" w:color="auto" w:fill="FFFFFF"/>
        </w:rPr>
        <w:t>mez detekce = 0,017 ukat/l,  rozsah metody 0,017</w:t>
      </w:r>
      <w:r>
        <w:rPr>
          <w:sz w:val="24"/>
          <w:szCs w:val="24"/>
        </w:rPr>
        <w:t>–</w:t>
      </w:r>
      <w:r w:rsidRPr="00F420AA">
        <w:rPr>
          <w:rFonts w:cs="Arial"/>
          <w:color w:val="000000"/>
          <w:sz w:val="24"/>
          <w:szCs w:val="24"/>
          <w:shd w:val="clear" w:color="auto" w:fill="FFFFFF"/>
        </w:rPr>
        <w:t>33,3 ukat/l, 99.</w:t>
      </w:r>
      <w:r>
        <w:rPr>
          <w:rFonts w:cs="Arial"/>
          <w:color w:val="000000"/>
          <w:sz w:val="24"/>
          <w:szCs w:val="24"/>
          <w:shd w:val="clear" w:color="auto" w:fill="FFFFFF"/>
        </w:rPr>
        <w:t xml:space="preserve"> </w:t>
      </w:r>
      <w:r w:rsidRPr="00F420AA">
        <w:rPr>
          <w:rFonts w:cs="Arial"/>
          <w:color w:val="000000"/>
          <w:sz w:val="24"/>
          <w:szCs w:val="24"/>
          <w:shd w:val="clear" w:color="auto" w:fill="FFFFFF"/>
        </w:rPr>
        <w:t>percentil= 1,00 ukat/l</w:t>
      </w:r>
    </w:p>
    <w:p w:rsidR="006C1917" w:rsidRPr="00F420AA" w:rsidRDefault="006C1917" w:rsidP="00640D52">
      <w:pPr>
        <w:spacing w:line="360" w:lineRule="auto"/>
        <w:jc w:val="both"/>
        <w:rPr>
          <w:rFonts w:cs="Arial"/>
          <w:color w:val="000000"/>
          <w:sz w:val="24"/>
          <w:szCs w:val="24"/>
          <w:shd w:val="clear" w:color="auto" w:fill="FFFFFF"/>
        </w:rPr>
      </w:pPr>
      <w:r w:rsidRPr="00F420AA">
        <w:rPr>
          <w:rFonts w:cs="Arial"/>
          <w:color w:val="000000"/>
          <w:sz w:val="24"/>
          <w:szCs w:val="24"/>
          <w:shd w:val="clear" w:color="auto" w:fill="FFFFFF"/>
        </w:rPr>
        <w:t>Myoglobin byl stanovován na analyzátoru  Abbott Aeroset firmy Abbott</w:t>
      </w:r>
      <w:r w:rsidR="009443DF" w:rsidRPr="00DA2A17">
        <w:rPr>
          <w:sz w:val="24"/>
          <w:szCs w:val="24"/>
        </w:rPr>
        <w:t>©</w:t>
      </w:r>
      <w:r w:rsidRPr="00F420AA">
        <w:rPr>
          <w:rFonts w:cs="Arial"/>
          <w:color w:val="000000"/>
          <w:sz w:val="24"/>
          <w:szCs w:val="24"/>
          <w:shd w:val="clear" w:color="auto" w:fill="FFFFFF"/>
        </w:rPr>
        <w:t xml:space="preserve"> s použitím </w:t>
      </w:r>
      <w:r>
        <w:rPr>
          <w:rFonts w:cs="Arial"/>
          <w:color w:val="000000"/>
          <w:sz w:val="24"/>
          <w:szCs w:val="24"/>
          <w:shd w:val="clear" w:color="auto" w:fill="FFFFFF"/>
        </w:rPr>
        <w:br/>
      </w:r>
      <w:r w:rsidRPr="00F420AA">
        <w:rPr>
          <w:rFonts w:cs="Arial"/>
          <w:color w:val="000000"/>
          <w:sz w:val="24"/>
          <w:szCs w:val="24"/>
          <w:shd w:val="clear" w:color="auto" w:fill="FFFFFF"/>
        </w:rPr>
        <w:t xml:space="preserve">reagencií firmy </w:t>
      </w:r>
      <w:r>
        <w:rPr>
          <w:rFonts w:cs="Arial"/>
          <w:color w:val="000000"/>
          <w:sz w:val="24"/>
          <w:szCs w:val="24"/>
          <w:shd w:val="clear" w:color="auto" w:fill="FFFFFF"/>
        </w:rPr>
        <w:t>Olympus</w:t>
      </w:r>
      <w:r w:rsidR="009443DF" w:rsidRPr="00DA2A17">
        <w:rPr>
          <w:sz w:val="24"/>
          <w:szCs w:val="24"/>
        </w:rPr>
        <w:t>©</w:t>
      </w:r>
      <w:r>
        <w:rPr>
          <w:rFonts w:cs="Arial"/>
          <w:color w:val="000000"/>
          <w:sz w:val="24"/>
          <w:szCs w:val="24"/>
          <w:shd w:val="clear" w:color="auto" w:fill="FFFFFF"/>
        </w:rPr>
        <w:t xml:space="preserve"> </w:t>
      </w:r>
      <w:r>
        <w:rPr>
          <w:sz w:val="24"/>
          <w:szCs w:val="24"/>
        </w:rPr>
        <w:t>–</w:t>
      </w:r>
      <w:r>
        <w:rPr>
          <w:rFonts w:cs="Arial"/>
          <w:color w:val="000000"/>
          <w:sz w:val="24"/>
          <w:szCs w:val="24"/>
          <w:shd w:val="clear" w:color="auto" w:fill="FFFFFF"/>
        </w:rPr>
        <w:t xml:space="preserve">  OSR6168 Myoglobin, </w:t>
      </w:r>
      <w:r w:rsidRPr="00F420AA">
        <w:rPr>
          <w:rFonts w:cs="Arial"/>
          <w:color w:val="000000"/>
          <w:sz w:val="24"/>
          <w:szCs w:val="24"/>
          <w:shd w:val="clear" w:color="auto" w:fill="FFFFFF"/>
        </w:rPr>
        <w:t xml:space="preserve">mez detekce  = 3,14 ug/l,   rozsah metody </w:t>
      </w:r>
      <w:r>
        <w:rPr>
          <w:rFonts w:cs="Arial"/>
          <w:color w:val="000000"/>
          <w:sz w:val="24"/>
          <w:szCs w:val="24"/>
          <w:shd w:val="clear" w:color="auto" w:fill="FFFFFF"/>
        </w:rPr>
        <w:br/>
      </w:r>
      <w:r w:rsidRPr="00F420AA">
        <w:rPr>
          <w:rFonts w:cs="Arial"/>
          <w:color w:val="000000"/>
          <w:sz w:val="24"/>
          <w:szCs w:val="24"/>
          <w:shd w:val="clear" w:color="auto" w:fill="FFFFFF"/>
        </w:rPr>
        <w:t>3,14</w:t>
      </w:r>
      <w:r>
        <w:rPr>
          <w:sz w:val="24"/>
          <w:szCs w:val="24"/>
        </w:rPr>
        <w:t>–</w:t>
      </w:r>
      <w:r w:rsidRPr="00F420AA">
        <w:rPr>
          <w:rFonts w:cs="Arial"/>
          <w:color w:val="000000"/>
          <w:sz w:val="24"/>
          <w:szCs w:val="24"/>
          <w:shd w:val="clear" w:color="auto" w:fill="FFFFFF"/>
        </w:rPr>
        <w:t>20 000 ug/l, 99.</w:t>
      </w:r>
      <w:r>
        <w:rPr>
          <w:rFonts w:cs="Arial"/>
          <w:color w:val="000000"/>
          <w:sz w:val="24"/>
          <w:szCs w:val="24"/>
          <w:shd w:val="clear" w:color="auto" w:fill="FFFFFF"/>
        </w:rPr>
        <w:t xml:space="preserve"> </w:t>
      </w:r>
      <w:r w:rsidRPr="00F420AA">
        <w:rPr>
          <w:rFonts w:cs="Arial"/>
          <w:color w:val="000000"/>
          <w:sz w:val="24"/>
          <w:szCs w:val="24"/>
          <w:shd w:val="clear" w:color="auto" w:fill="FFFFFF"/>
        </w:rPr>
        <w:t>percentil= 65,0 ug/l</w:t>
      </w:r>
    </w:p>
    <w:p w:rsidR="006C1917" w:rsidRPr="00F420AA" w:rsidRDefault="006C1917" w:rsidP="00640D52">
      <w:pPr>
        <w:spacing w:line="360" w:lineRule="auto"/>
        <w:jc w:val="both"/>
        <w:rPr>
          <w:rFonts w:cs="Arial"/>
          <w:sz w:val="24"/>
          <w:szCs w:val="24"/>
        </w:rPr>
      </w:pPr>
      <w:r w:rsidRPr="00F420AA">
        <w:rPr>
          <w:rFonts w:cs="Arial"/>
          <w:sz w:val="24"/>
          <w:szCs w:val="24"/>
        </w:rPr>
        <w:t>Odběry byly provedeny nejprve před primoimplantací a následně za 6 a 18 hodin po výkonu. Byl sledován skiaskopický čas. Skiaskop</w:t>
      </w:r>
      <w:r w:rsidR="00C30D4C">
        <w:rPr>
          <w:rFonts w:cs="Arial"/>
          <w:sz w:val="24"/>
          <w:szCs w:val="24"/>
        </w:rPr>
        <w:t>ický čas je některými autory (72</w:t>
      </w:r>
      <w:r w:rsidRPr="00F420AA">
        <w:rPr>
          <w:rFonts w:cs="Arial"/>
          <w:sz w:val="24"/>
          <w:szCs w:val="24"/>
        </w:rPr>
        <w:t xml:space="preserve">) považován za jakýsi marker obtížnosti výkonu, lze tak předpokládat větší poškození implantační elektrodou </w:t>
      </w:r>
      <w:r>
        <w:rPr>
          <w:rFonts w:cs="Arial"/>
          <w:sz w:val="24"/>
          <w:szCs w:val="24"/>
        </w:rPr>
        <w:br/>
      </w:r>
      <w:r w:rsidRPr="00F420AA">
        <w:rPr>
          <w:rFonts w:cs="Arial"/>
          <w:sz w:val="24"/>
          <w:szCs w:val="24"/>
        </w:rPr>
        <w:t>a větší elevaci troponinu. Dalš</w:t>
      </w:r>
      <w:r>
        <w:rPr>
          <w:rFonts w:cs="Arial"/>
          <w:sz w:val="24"/>
          <w:szCs w:val="24"/>
        </w:rPr>
        <w:t xml:space="preserve">ím významným faktorem může být </w:t>
      </w:r>
      <w:r w:rsidRPr="00F420AA">
        <w:rPr>
          <w:rFonts w:cs="Arial"/>
          <w:sz w:val="24"/>
          <w:szCs w:val="24"/>
        </w:rPr>
        <w:t>počet pokusů o umístění elektrody (aktivní fixace do tkáně</w:t>
      </w:r>
      <w:r>
        <w:rPr>
          <w:rFonts w:cs="Arial"/>
          <w:sz w:val="24"/>
          <w:szCs w:val="24"/>
        </w:rPr>
        <w:t xml:space="preserve"> </w:t>
      </w:r>
      <w:r>
        <w:rPr>
          <w:sz w:val="24"/>
          <w:szCs w:val="24"/>
        </w:rPr>
        <w:t xml:space="preserve">– </w:t>
      </w:r>
      <w:r w:rsidRPr="00F420AA">
        <w:rPr>
          <w:rFonts w:cs="Arial"/>
          <w:sz w:val="24"/>
          <w:szCs w:val="24"/>
        </w:rPr>
        <w:t>závrt), můžeme předpokládat větší myokardiální poškození u nemocných jejichž implantační procedura si vynutí vícero pokusů o aktivní fixaci. Dalš</w:t>
      </w:r>
      <w:r>
        <w:rPr>
          <w:rFonts w:cs="Arial"/>
          <w:sz w:val="24"/>
          <w:szCs w:val="24"/>
        </w:rPr>
        <w:t xml:space="preserve">ím nezanedbatelným faktorem je </w:t>
      </w:r>
      <w:r w:rsidRPr="00F420AA">
        <w:rPr>
          <w:rFonts w:cs="Arial"/>
          <w:sz w:val="24"/>
          <w:szCs w:val="24"/>
        </w:rPr>
        <w:t>rozsah imp</w:t>
      </w:r>
      <w:r w:rsidR="00656929">
        <w:rPr>
          <w:rFonts w:cs="Arial"/>
          <w:sz w:val="24"/>
          <w:szCs w:val="24"/>
        </w:rPr>
        <w:t>l</w:t>
      </w:r>
      <w:r w:rsidRPr="00F420AA">
        <w:rPr>
          <w:rFonts w:cs="Arial"/>
          <w:sz w:val="24"/>
          <w:szCs w:val="24"/>
        </w:rPr>
        <w:t>antačního výkonu výkonu</w:t>
      </w:r>
      <w:r w:rsidRPr="00F420AA">
        <w:rPr>
          <w:sz w:val="24"/>
          <w:szCs w:val="24"/>
        </w:rPr>
        <w:t xml:space="preserve"> (dvoudutinová </w:t>
      </w:r>
      <w:r>
        <w:rPr>
          <w:sz w:val="24"/>
          <w:szCs w:val="24"/>
        </w:rPr>
        <w:br/>
      </w:r>
      <w:r w:rsidRPr="00F420AA">
        <w:rPr>
          <w:sz w:val="24"/>
          <w:szCs w:val="24"/>
        </w:rPr>
        <w:t>vs. jednodutinová stimulace). Při jednodutinové stimulaci se zavádí jedna elektroda s aktivní fixací do dutiny pravé komory, méně často do dutiny pra</w:t>
      </w:r>
      <w:r>
        <w:rPr>
          <w:sz w:val="24"/>
          <w:szCs w:val="24"/>
        </w:rPr>
        <w:t>vé síně (stimulační režimy AAI)</w:t>
      </w:r>
      <w:r w:rsidRPr="00F420AA">
        <w:rPr>
          <w:sz w:val="24"/>
          <w:szCs w:val="24"/>
        </w:rPr>
        <w:t>. Dále jsme sledov</w:t>
      </w:r>
      <w:r>
        <w:rPr>
          <w:sz w:val="24"/>
          <w:szCs w:val="24"/>
        </w:rPr>
        <w:t xml:space="preserve">ali další obvyklá anamnestická </w:t>
      </w:r>
      <w:r w:rsidRPr="00F420AA">
        <w:rPr>
          <w:sz w:val="24"/>
          <w:szCs w:val="24"/>
        </w:rPr>
        <w:t xml:space="preserve">a klinická data. </w:t>
      </w: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r w:rsidRPr="00F420AA">
        <w:rPr>
          <w:sz w:val="24"/>
          <w:szCs w:val="24"/>
        </w:rPr>
        <w:lastRenderedPageBreak/>
        <w:t>Implantační procedura byla prováděna za sterilních kautel na implantačním sále pod skiaskopickou kontrolou, přístroj OEC 9900 s otočným C-ramenem, GE-Healthcare©, přístroj dovoloval použití pulzního režimu 4 snímky/sec., byl měřen skiaskopický čas, který je ovšem softwarově přepočten n</w:t>
      </w:r>
      <w:r>
        <w:rPr>
          <w:sz w:val="24"/>
          <w:szCs w:val="24"/>
        </w:rPr>
        <w:t>a kontinuální záření rentgenky.</w:t>
      </w:r>
    </w:p>
    <w:p w:rsidR="006C1917" w:rsidRDefault="000C52EC" w:rsidP="002A5827">
      <w:pPr>
        <w:spacing w:line="360" w:lineRule="auto"/>
        <w:jc w:val="both"/>
        <w:rPr>
          <w:sz w:val="24"/>
          <w:szCs w:val="24"/>
        </w:rPr>
      </w:pPr>
      <w:r>
        <w:rPr>
          <w:noProof/>
          <w:sz w:val="24"/>
          <w:szCs w:val="24"/>
          <w:lang w:eastAsia="cs-CZ"/>
        </w:rPr>
        <w:drawing>
          <wp:inline distT="0" distB="0" distL="0" distR="0">
            <wp:extent cx="3495675" cy="3086100"/>
            <wp:effectExtent l="19050" t="0" r="9525"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l="22324" t="8200" r="14017" b="4727"/>
                    <a:stretch>
                      <a:fillRect/>
                    </a:stretch>
                  </pic:blipFill>
                  <pic:spPr bwMode="auto">
                    <a:xfrm>
                      <a:off x="0" y="0"/>
                      <a:ext cx="3495675" cy="3086100"/>
                    </a:xfrm>
                    <a:prstGeom prst="rect">
                      <a:avLst/>
                    </a:prstGeom>
                    <a:noFill/>
                    <a:ln w="9525">
                      <a:noFill/>
                      <a:miter lim="800000"/>
                      <a:headEnd/>
                      <a:tailEnd/>
                    </a:ln>
                  </pic:spPr>
                </pic:pic>
              </a:graphicData>
            </a:graphic>
          </wp:inline>
        </w:drawing>
      </w:r>
    </w:p>
    <w:p w:rsidR="006C1917" w:rsidRDefault="006C1917" w:rsidP="00640D52">
      <w:pPr>
        <w:spacing w:line="240" w:lineRule="auto"/>
        <w:jc w:val="both"/>
      </w:pPr>
      <w:r w:rsidRPr="007B2D8C">
        <w:t>obrázek č.</w:t>
      </w:r>
      <w:r>
        <w:t xml:space="preserve"> </w:t>
      </w:r>
      <w:r w:rsidRPr="007B2D8C">
        <w:t>5 (Ilustrativní foto implantačního výkonu z autorova pracoviště</w:t>
      </w:r>
      <w:r>
        <w:t xml:space="preserve"> </w:t>
      </w:r>
      <w:r>
        <w:rPr>
          <w:sz w:val="24"/>
          <w:szCs w:val="24"/>
        </w:rPr>
        <w:t xml:space="preserve">– </w:t>
      </w:r>
      <w:r w:rsidRPr="007B2D8C">
        <w:t>zde již modernizovaný RTG přístroj</w:t>
      </w:r>
      <w:r>
        <w:t xml:space="preserve"> </w:t>
      </w:r>
      <w:r>
        <w:rPr>
          <w:sz w:val="24"/>
          <w:szCs w:val="24"/>
        </w:rPr>
        <w:t>–</w:t>
      </w:r>
      <w:r w:rsidRPr="007B2D8C">
        <w:t xml:space="preserve"> výrobce Siemens©</w:t>
      </w:r>
      <w:r>
        <w:t xml:space="preserve"> </w:t>
      </w:r>
      <w:r>
        <w:rPr>
          <w:sz w:val="24"/>
          <w:szCs w:val="24"/>
        </w:rPr>
        <w:t xml:space="preserve">– </w:t>
      </w:r>
      <w:r w:rsidRPr="007B2D8C">
        <w:t>foto autor)</w:t>
      </w:r>
    </w:p>
    <w:p w:rsidR="006C1917" w:rsidRPr="00640D52" w:rsidRDefault="006C1917" w:rsidP="00640D52">
      <w:pPr>
        <w:spacing w:line="240" w:lineRule="auto"/>
        <w:jc w:val="both"/>
      </w:pPr>
    </w:p>
    <w:p w:rsidR="006C1917" w:rsidRPr="00F420AA" w:rsidRDefault="006C1917" w:rsidP="002A5827">
      <w:pPr>
        <w:spacing w:line="360" w:lineRule="auto"/>
        <w:jc w:val="both"/>
        <w:rPr>
          <w:sz w:val="24"/>
          <w:szCs w:val="24"/>
        </w:rPr>
      </w:pPr>
      <w:r w:rsidRPr="00F420AA">
        <w:rPr>
          <w:sz w:val="24"/>
          <w:szCs w:val="24"/>
        </w:rPr>
        <w:t>Implantovány byly přístroje výrobců Boston-Scientific© (Guidant©) a Biotronic©</w:t>
      </w:r>
      <w:r>
        <w:rPr>
          <w:sz w:val="24"/>
          <w:szCs w:val="24"/>
        </w:rPr>
        <w:t xml:space="preserve">, </w:t>
      </w:r>
      <w:r w:rsidRPr="00F420AA">
        <w:rPr>
          <w:sz w:val="24"/>
          <w:szCs w:val="24"/>
        </w:rPr>
        <w:t>implantované elektrody hlavně výrobce Biotronic© (Siello, Setrox, Safio, elektroda Safio je MRI kompatibilní), dále elektroda Flextend 2 (Boston-Scientific©) a Capsurefix (Medtronic©)</w:t>
      </w:r>
    </w:p>
    <w:p w:rsidR="006C1917" w:rsidRPr="00F420AA" w:rsidRDefault="006C1917" w:rsidP="002A5827">
      <w:pPr>
        <w:spacing w:line="360" w:lineRule="auto"/>
        <w:jc w:val="both"/>
        <w:rPr>
          <w:sz w:val="24"/>
          <w:szCs w:val="24"/>
        </w:rPr>
      </w:pPr>
      <w:r w:rsidRPr="00F420AA">
        <w:rPr>
          <w:sz w:val="24"/>
          <w:szCs w:val="24"/>
        </w:rPr>
        <w:t>Kontrolní soubor tvořilo 100 konsekutivních nemocných indikovaných k elektivní koronarografii, kde byl stanovován pouze trop</w:t>
      </w:r>
      <w:r>
        <w:rPr>
          <w:sz w:val="24"/>
          <w:szCs w:val="24"/>
        </w:rPr>
        <w:t>onin I. Data byla prospektivně</w:t>
      </w:r>
      <w:r w:rsidRPr="00F420AA">
        <w:rPr>
          <w:sz w:val="24"/>
          <w:szCs w:val="24"/>
        </w:rPr>
        <w:t xml:space="preserve"> sbírána </w:t>
      </w:r>
      <w:r>
        <w:rPr>
          <w:sz w:val="24"/>
          <w:szCs w:val="24"/>
        </w:rPr>
        <w:br/>
      </w:r>
      <w:r w:rsidRPr="00F420AA">
        <w:rPr>
          <w:sz w:val="24"/>
          <w:szCs w:val="24"/>
        </w:rPr>
        <w:t>u nemocných hospitalizovaných na Kardiologickém odd. Interní kliniky 1. LF UK a ÚVN. Zařazení pacienti podepsali informovaný souhlas, projekt byl schválen lokální etickou komisí.</w:t>
      </w:r>
    </w:p>
    <w:p w:rsidR="00540B9D" w:rsidRDefault="006C1917" w:rsidP="00540B9D">
      <w:pPr>
        <w:spacing w:line="360" w:lineRule="auto"/>
        <w:rPr>
          <w:sz w:val="24"/>
          <w:szCs w:val="24"/>
        </w:rPr>
      </w:pPr>
      <w:r w:rsidRPr="00F420AA">
        <w:rPr>
          <w:sz w:val="24"/>
          <w:szCs w:val="24"/>
        </w:rPr>
        <w:t>Výsledky byly statisticky zpracovány za pomocí Mann-Whitney U testu, a Wilcoxonova testu, kterými byla ověřena jednak hladina významn</w:t>
      </w:r>
      <w:r w:rsidR="00540B9D">
        <w:rPr>
          <w:sz w:val="24"/>
          <w:szCs w:val="24"/>
        </w:rPr>
        <w:t>osti (p&lt;0,05)</w:t>
      </w:r>
      <w:r>
        <w:rPr>
          <w:sz w:val="24"/>
          <w:szCs w:val="24"/>
        </w:rPr>
        <w:t xml:space="preserve">. K ověření </w:t>
      </w:r>
      <w:r w:rsidRPr="00F420AA">
        <w:rPr>
          <w:sz w:val="24"/>
          <w:szCs w:val="24"/>
        </w:rPr>
        <w:t xml:space="preserve">korelací studovaných veličin byl použit Spearmannův korelační koeficient. Dále byl použit χ² test k ověření náhodné veličiny, obě na hladině významnosti p&lt;0,05. </w:t>
      </w:r>
      <w:r w:rsidR="00540B9D">
        <w:rPr>
          <w:sz w:val="24"/>
          <w:szCs w:val="24"/>
        </w:rPr>
        <w:t xml:space="preserve">                                                    </w:t>
      </w:r>
      <w:r w:rsidRPr="00F420AA">
        <w:rPr>
          <w:sz w:val="24"/>
          <w:szCs w:val="24"/>
        </w:rPr>
        <w:t xml:space="preserve">Statistické vyhodnocení studovaných dat bylo provedeno ve spolupráci </w:t>
      </w:r>
    </w:p>
    <w:p w:rsidR="006C1917" w:rsidRDefault="006C1917" w:rsidP="002A5827">
      <w:pPr>
        <w:spacing w:line="360" w:lineRule="auto"/>
        <w:jc w:val="both"/>
        <w:rPr>
          <w:sz w:val="24"/>
          <w:szCs w:val="24"/>
        </w:rPr>
      </w:pPr>
      <w:r w:rsidRPr="00F420AA">
        <w:rPr>
          <w:sz w:val="24"/>
          <w:szCs w:val="24"/>
        </w:rPr>
        <w:lastRenderedPageBreak/>
        <w:t xml:space="preserve">s Institutem biostatistiky a analýz Masarykovy univerzity Brno (RNDr. Jiří Jarkovský, PhD. </w:t>
      </w:r>
      <w:r>
        <w:rPr>
          <w:sz w:val="24"/>
          <w:szCs w:val="24"/>
        </w:rPr>
        <w:br/>
      </w:r>
      <w:r w:rsidRPr="00F420AA">
        <w:rPr>
          <w:sz w:val="24"/>
          <w:szCs w:val="24"/>
        </w:rPr>
        <w:t>a RNDr. Simona Littnerová)</w:t>
      </w:r>
      <w:r>
        <w:rPr>
          <w:sz w:val="24"/>
          <w:szCs w:val="24"/>
        </w:rPr>
        <w:t>.</w:t>
      </w:r>
    </w:p>
    <w:p w:rsidR="006C1917" w:rsidRDefault="006C1917">
      <w:pPr>
        <w:spacing w:after="0" w:line="240" w:lineRule="auto"/>
        <w:rPr>
          <w:b/>
          <w:sz w:val="28"/>
          <w:szCs w:val="28"/>
        </w:rPr>
      </w:pPr>
      <w:r>
        <w:rPr>
          <w:b/>
          <w:sz w:val="28"/>
          <w:szCs w:val="28"/>
        </w:rPr>
        <w:br w:type="page"/>
      </w:r>
    </w:p>
    <w:p w:rsidR="006C1917" w:rsidRPr="00831E98" w:rsidRDefault="006C1917" w:rsidP="00831E98">
      <w:pPr>
        <w:pStyle w:val="Nadpis1"/>
      </w:pPr>
      <w:bookmarkStart w:id="39" w:name="_Toc422993250"/>
      <w:r w:rsidRPr="00831E98">
        <w:lastRenderedPageBreak/>
        <w:t>Výsledky</w:t>
      </w:r>
      <w:bookmarkEnd w:id="39"/>
      <w:r w:rsidRPr="00831E98">
        <w:t xml:space="preserve"> </w:t>
      </w: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t>Následující tabulka obsahuje charakteristiku studovaného souboru včetně rizikových faktorů:</w:t>
      </w:r>
    </w:p>
    <w:p w:rsidR="006C1917" w:rsidRPr="00F420AA" w:rsidRDefault="006C1917" w:rsidP="002A5827">
      <w:pPr>
        <w:spacing w:line="360" w:lineRule="auto"/>
        <w:jc w:val="both"/>
        <w:rPr>
          <w:sz w:val="24"/>
          <w:szCs w:val="24"/>
        </w:rPr>
      </w:pPr>
      <w:r w:rsidRPr="00F420AA">
        <w:rPr>
          <w:sz w:val="24"/>
          <w:szCs w:val="24"/>
        </w:rPr>
        <w:t>tabulka č.</w:t>
      </w:r>
      <w:r>
        <w:rPr>
          <w:sz w:val="24"/>
          <w:szCs w:val="24"/>
        </w:rPr>
        <w:t xml:space="preserve"> </w:t>
      </w:r>
      <w:r w:rsidRPr="00F420AA">
        <w:rPr>
          <w:sz w:val="24"/>
          <w:szCs w:val="24"/>
        </w:rPr>
        <w:t xml:space="preserve">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4606"/>
        <w:gridCol w:w="4606"/>
      </w:tblGrid>
      <w:tr w:rsidR="006C1917" w:rsidRPr="00EA385F" w:rsidTr="00F43B97">
        <w:tc>
          <w:tcPr>
            <w:tcW w:w="4606" w:type="dxa"/>
          </w:tcPr>
          <w:p w:rsidR="006C1917" w:rsidRPr="00F43B97" w:rsidRDefault="006C1917" w:rsidP="00F43B97">
            <w:pPr>
              <w:spacing w:after="0" w:line="360" w:lineRule="auto"/>
              <w:rPr>
                <w:b/>
                <w:bCs/>
              </w:rPr>
            </w:pPr>
            <w:r w:rsidRPr="00F43B97">
              <w:rPr>
                <w:b/>
                <w:bCs/>
              </w:rPr>
              <w:t>Průměrný věk</w:t>
            </w:r>
          </w:p>
        </w:tc>
        <w:tc>
          <w:tcPr>
            <w:tcW w:w="4606" w:type="dxa"/>
          </w:tcPr>
          <w:p w:rsidR="006C1917" w:rsidRPr="00F43B97" w:rsidRDefault="006C1917" w:rsidP="00F43B97">
            <w:pPr>
              <w:spacing w:after="0" w:line="360" w:lineRule="auto"/>
            </w:pPr>
            <w:r w:rsidRPr="00F43B97">
              <w:t>77,9 ± 8,0 roku (medián 79,5 let)</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Procento žen</w:t>
            </w:r>
          </w:p>
        </w:tc>
        <w:tc>
          <w:tcPr>
            <w:tcW w:w="4606" w:type="dxa"/>
          </w:tcPr>
          <w:p w:rsidR="006C1917" w:rsidRPr="00F43B97" w:rsidRDefault="006C1917" w:rsidP="00F43B97">
            <w:pPr>
              <w:spacing w:after="0" w:line="360" w:lineRule="auto"/>
            </w:pPr>
            <w:r w:rsidRPr="00F43B97">
              <w:t>44 %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Implantované přístroje</w:t>
            </w:r>
          </w:p>
        </w:tc>
        <w:tc>
          <w:tcPr>
            <w:tcW w:w="4606" w:type="dxa"/>
          </w:tcPr>
          <w:p w:rsidR="006C1917" w:rsidRPr="00F43B97" w:rsidRDefault="006C1917" w:rsidP="00F43B97">
            <w:pPr>
              <w:spacing w:after="0" w:line="360" w:lineRule="auto"/>
            </w:pPr>
            <w:r w:rsidRPr="00F43B97">
              <w:t>136 dvoudutinových, 94 jednodutinových*</w:t>
            </w:r>
          </w:p>
        </w:tc>
      </w:tr>
      <w:tr w:rsidR="006C1917" w:rsidRPr="00EA385F" w:rsidTr="00F43B97">
        <w:trPr>
          <w:trHeight w:val="505"/>
        </w:trPr>
        <w:tc>
          <w:tcPr>
            <w:tcW w:w="4606" w:type="dxa"/>
          </w:tcPr>
          <w:p w:rsidR="006C1917" w:rsidRPr="00F43B97" w:rsidRDefault="006C1917" w:rsidP="00F43B97">
            <w:pPr>
              <w:spacing w:after="0" w:line="360" w:lineRule="auto"/>
              <w:rPr>
                <w:b/>
                <w:bCs/>
              </w:rPr>
            </w:pPr>
            <w:r w:rsidRPr="00F43B97">
              <w:rPr>
                <w:b/>
                <w:bCs/>
              </w:rPr>
              <w:t>Průměrný skiaskopický čas</w:t>
            </w:r>
          </w:p>
        </w:tc>
        <w:tc>
          <w:tcPr>
            <w:tcW w:w="4606" w:type="dxa"/>
          </w:tcPr>
          <w:p w:rsidR="006C1917" w:rsidRPr="00F43B97" w:rsidRDefault="006C1917" w:rsidP="00F43B97">
            <w:pPr>
              <w:spacing w:after="0" w:line="360" w:lineRule="auto"/>
            </w:pPr>
            <w:r w:rsidRPr="00F43B97">
              <w:t xml:space="preserve">38,8 ± 22,0 s (medián 33,5 s).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Hypertenze</w:t>
            </w:r>
          </w:p>
        </w:tc>
        <w:tc>
          <w:tcPr>
            <w:tcW w:w="4606" w:type="dxa"/>
          </w:tcPr>
          <w:p w:rsidR="006C1917" w:rsidRPr="00F43B97" w:rsidRDefault="006C1917" w:rsidP="00F43B97">
            <w:pPr>
              <w:spacing w:after="0" w:line="360" w:lineRule="auto"/>
            </w:pPr>
            <w:r w:rsidRPr="00F43B97">
              <w:t>82 %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Diabetes</w:t>
            </w:r>
          </w:p>
        </w:tc>
        <w:tc>
          <w:tcPr>
            <w:tcW w:w="4606" w:type="dxa"/>
          </w:tcPr>
          <w:p w:rsidR="006C1917" w:rsidRPr="00F43B97" w:rsidRDefault="006C1917" w:rsidP="00F43B97">
            <w:pPr>
              <w:spacing w:after="0" w:line="360" w:lineRule="auto"/>
            </w:pPr>
            <w:r w:rsidRPr="00F43B97">
              <w:t>26 %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Dyslipidemie</w:t>
            </w:r>
          </w:p>
        </w:tc>
        <w:tc>
          <w:tcPr>
            <w:tcW w:w="4606" w:type="dxa"/>
          </w:tcPr>
          <w:p w:rsidR="006C1917" w:rsidRPr="00F43B97" w:rsidRDefault="006C1917" w:rsidP="00F43B97">
            <w:pPr>
              <w:spacing w:after="0" w:line="360" w:lineRule="auto"/>
            </w:pPr>
            <w:r w:rsidRPr="00F43B97">
              <w:t>31 %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ICHS</w:t>
            </w:r>
          </w:p>
        </w:tc>
        <w:tc>
          <w:tcPr>
            <w:tcW w:w="4606" w:type="dxa"/>
          </w:tcPr>
          <w:p w:rsidR="006C1917" w:rsidRPr="00F43B97" w:rsidRDefault="006C1917" w:rsidP="00F43B97">
            <w:pPr>
              <w:spacing w:after="0" w:line="360" w:lineRule="auto"/>
            </w:pPr>
            <w:r w:rsidRPr="00F43B97">
              <w:t>33 %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Srdeční selhání</w:t>
            </w:r>
          </w:p>
        </w:tc>
        <w:tc>
          <w:tcPr>
            <w:tcW w:w="4606" w:type="dxa"/>
          </w:tcPr>
          <w:p w:rsidR="006C1917" w:rsidRPr="00F43B97" w:rsidRDefault="006C1917" w:rsidP="00F43B97">
            <w:pPr>
              <w:spacing w:after="0" w:line="360" w:lineRule="auto"/>
            </w:pPr>
            <w:r w:rsidRPr="00F43B97">
              <w:t>10 %</w:t>
            </w:r>
          </w:p>
        </w:tc>
      </w:tr>
      <w:tr w:rsidR="006C1917" w:rsidRPr="00EA385F" w:rsidTr="00F43B97">
        <w:tc>
          <w:tcPr>
            <w:tcW w:w="4606" w:type="dxa"/>
          </w:tcPr>
          <w:p w:rsidR="006C1917" w:rsidRPr="00F43B97" w:rsidRDefault="006C1917" w:rsidP="00F43B97">
            <w:pPr>
              <w:spacing w:after="0" w:line="360" w:lineRule="auto"/>
              <w:rPr>
                <w:b/>
                <w:bCs/>
              </w:rPr>
            </w:pPr>
            <w:r w:rsidRPr="00F43B97">
              <w:rPr>
                <w:b/>
                <w:bCs/>
              </w:rPr>
              <w:t>CMP</w:t>
            </w:r>
          </w:p>
        </w:tc>
        <w:tc>
          <w:tcPr>
            <w:tcW w:w="4606" w:type="dxa"/>
          </w:tcPr>
          <w:p w:rsidR="006C1917" w:rsidRPr="00F43B97" w:rsidRDefault="006C1917" w:rsidP="00F43B97">
            <w:pPr>
              <w:spacing w:after="0" w:line="360" w:lineRule="auto"/>
            </w:pPr>
            <w:r w:rsidRPr="00F43B97">
              <w:t>13 %</w:t>
            </w:r>
          </w:p>
        </w:tc>
      </w:tr>
    </w:tbl>
    <w:p w:rsidR="006C1917" w:rsidRPr="00F420AA" w:rsidRDefault="006C1917" w:rsidP="002A5827">
      <w:pPr>
        <w:spacing w:line="360" w:lineRule="auto"/>
        <w:jc w:val="both"/>
      </w:pPr>
      <w:r w:rsidRPr="00F420AA">
        <w:t xml:space="preserve">                                                                                                         *přístroje značky Biotronic®, Guidant®</w:t>
      </w:r>
    </w:p>
    <w:p w:rsidR="006C1917" w:rsidRDefault="006C1917" w:rsidP="00831E98">
      <w:pPr>
        <w:spacing w:line="360" w:lineRule="auto"/>
        <w:jc w:val="both"/>
        <w:rPr>
          <w:sz w:val="24"/>
          <w:szCs w:val="24"/>
        </w:rPr>
      </w:pPr>
    </w:p>
    <w:p w:rsidR="006C1917" w:rsidRPr="00F420AA" w:rsidRDefault="006C1917" w:rsidP="00831E98">
      <w:pPr>
        <w:spacing w:line="360" w:lineRule="auto"/>
        <w:jc w:val="both"/>
        <w:rPr>
          <w:sz w:val="24"/>
          <w:szCs w:val="24"/>
        </w:rPr>
      </w:pPr>
      <w:r w:rsidRPr="00F420AA">
        <w:rPr>
          <w:sz w:val="24"/>
          <w:szCs w:val="24"/>
        </w:rPr>
        <w:t xml:space="preserve">Průměrný věk studovaného souboru odpovídá průměrnému věku implantovaných pacientů </w:t>
      </w:r>
      <w:r>
        <w:rPr>
          <w:sz w:val="24"/>
          <w:szCs w:val="24"/>
        </w:rPr>
        <w:br/>
      </w:r>
      <w:r w:rsidRPr="00F420AA">
        <w:rPr>
          <w:sz w:val="24"/>
          <w:szCs w:val="24"/>
        </w:rPr>
        <w:t>v ČR, rovněž podíl žen je odpovídající (REPACE registr 2010</w:t>
      </w:r>
      <w:r w:rsidR="009443DF">
        <w:rPr>
          <w:sz w:val="24"/>
          <w:szCs w:val="24"/>
        </w:rPr>
        <w:t xml:space="preserve"> – ref.</w:t>
      </w:r>
      <w:r w:rsidR="00851338">
        <w:rPr>
          <w:sz w:val="24"/>
          <w:szCs w:val="24"/>
        </w:rPr>
        <w:t xml:space="preserve"> 73</w:t>
      </w:r>
      <w:r w:rsidRPr="00F420AA">
        <w:rPr>
          <w:sz w:val="24"/>
          <w:szCs w:val="24"/>
        </w:rPr>
        <w:t>)</w:t>
      </w:r>
      <w:r w:rsidR="00D837B1">
        <w:rPr>
          <w:sz w:val="24"/>
          <w:szCs w:val="24"/>
        </w:rPr>
        <w:t>.</w:t>
      </w:r>
    </w:p>
    <w:p w:rsidR="006C1917" w:rsidRPr="00F420AA" w:rsidRDefault="006C1917" w:rsidP="00831E98">
      <w:pPr>
        <w:spacing w:line="360" w:lineRule="auto"/>
        <w:jc w:val="both"/>
        <w:rPr>
          <w:sz w:val="24"/>
          <w:szCs w:val="24"/>
        </w:rPr>
      </w:pPr>
      <w:r w:rsidRPr="00F420AA">
        <w:rPr>
          <w:sz w:val="24"/>
          <w:szCs w:val="24"/>
        </w:rPr>
        <w:t>Průměrný skiaskopický čas je ve srovnání s ú</w:t>
      </w:r>
      <w:r>
        <w:rPr>
          <w:sz w:val="24"/>
          <w:szCs w:val="24"/>
        </w:rPr>
        <w:t>daji z dostupných zdrojů krátký</w:t>
      </w:r>
      <w:r w:rsidRPr="00F420AA">
        <w:rPr>
          <w:sz w:val="24"/>
          <w:szCs w:val="24"/>
        </w:rPr>
        <w:t>, zkreslen může být metodikou, kdy u všech nemocných byl použit pulzní režim 4 snímky/sec.  A čas byl softwarem přepočítán do kontinua.</w:t>
      </w:r>
    </w:p>
    <w:p w:rsidR="006C1917" w:rsidRPr="00F420AA" w:rsidRDefault="006C1917" w:rsidP="00831E98">
      <w:pPr>
        <w:spacing w:line="360" w:lineRule="auto"/>
        <w:jc w:val="both"/>
        <w:rPr>
          <w:sz w:val="24"/>
          <w:szCs w:val="24"/>
        </w:rPr>
      </w:pPr>
      <w:r w:rsidRPr="00F420AA">
        <w:rPr>
          <w:sz w:val="24"/>
          <w:szCs w:val="24"/>
        </w:rPr>
        <w:t>Pacienti byli značně polymorbidní, v souboru dominovala hypertenze, čtvrtina nemocných trpěla diabetem, jedna třetina pacientů měl</w:t>
      </w:r>
      <w:r>
        <w:rPr>
          <w:sz w:val="24"/>
          <w:szCs w:val="24"/>
        </w:rPr>
        <w:t>a diagnostikovanou dyslipidemii</w:t>
      </w:r>
      <w:r w:rsidRPr="00F420AA">
        <w:rPr>
          <w:sz w:val="24"/>
          <w:szCs w:val="24"/>
        </w:rPr>
        <w:t>,</w:t>
      </w:r>
      <w:r>
        <w:rPr>
          <w:sz w:val="24"/>
          <w:szCs w:val="24"/>
        </w:rPr>
        <w:t xml:space="preserve"> </w:t>
      </w:r>
      <w:r w:rsidRPr="00F420AA">
        <w:rPr>
          <w:sz w:val="24"/>
          <w:szCs w:val="24"/>
        </w:rPr>
        <w:t>rovněž jedna třetina nemocných trpěla ischemickou chorobou srdečn</w:t>
      </w:r>
      <w:r>
        <w:rPr>
          <w:sz w:val="24"/>
          <w:szCs w:val="24"/>
        </w:rPr>
        <w:t xml:space="preserve">í. Rizikové faktory odpovídají </w:t>
      </w:r>
      <w:r w:rsidRPr="00F420AA">
        <w:rPr>
          <w:sz w:val="24"/>
          <w:szCs w:val="24"/>
        </w:rPr>
        <w:t>výskytu rizikových faktorů v </w:t>
      </w:r>
      <w:r w:rsidR="00851338">
        <w:rPr>
          <w:sz w:val="24"/>
          <w:szCs w:val="24"/>
        </w:rPr>
        <w:t>populaci srovnatelného věku. (74</w:t>
      </w:r>
      <w:r>
        <w:rPr>
          <w:sz w:val="24"/>
          <w:szCs w:val="24"/>
        </w:rPr>
        <w:t>–</w:t>
      </w:r>
      <w:r w:rsidR="00851338">
        <w:rPr>
          <w:sz w:val="24"/>
          <w:szCs w:val="24"/>
        </w:rPr>
        <w:t>75</w:t>
      </w:r>
      <w:r w:rsidRPr="00F420AA">
        <w:rPr>
          <w:sz w:val="24"/>
          <w:szCs w:val="24"/>
        </w:rPr>
        <w:t>). Soubor obsahoval malé procento nemocných se srdečním selháním, vesměs šlo o lehké srdeční selhání.</w:t>
      </w:r>
    </w:p>
    <w:p w:rsidR="006C1917" w:rsidRPr="00F420AA" w:rsidRDefault="006C1917" w:rsidP="00831E98">
      <w:pPr>
        <w:spacing w:line="360" w:lineRule="auto"/>
        <w:jc w:val="both"/>
        <w:rPr>
          <w:sz w:val="24"/>
          <w:szCs w:val="24"/>
        </w:rPr>
      </w:pPr>
      <w:r w:rsidRPr="00F420AA">
        <w:rPr>
          <w:sz w:val="24"/>
          <w:szCs w:val="24"/>
        </w:rPr>
        <w:t>Stimulace dvoudutinovým kardiostimulátorem u nemocných se zavachovalým sinuso</w:t>
      </w:r>
      <w:r>
        <w:rPr>
          <w:sz w:val="24"/>
          <w:szCs w:val="24"/>
        </w:rPr>
        <w:t>vým rytmem</w:t>
      </w:r>
      <w:r w:rsidRPr="00F420AA">
        <w:rPr>
          <w:sz w:val="24"/>
          <w:szCs w:val="24"/>
        </w:rPr>
        <w:t xml:space="preserve"> lépe zohledňuje fyziologii srdeční kontrakce za cenu prodloužení výkonu </w:t>
      </w:r>
      <w:r>
        <w:rPr>
          <w:sz w:val="24"/>
          <w:szCs w:val="24"/>
        </w:rPr>
        <w:br/>
      </w:r>
      <w:r w:rsidRPr="00F420AA">
        <w:rPr>
          <w:sz w:val="24"/>
          <w:szCs w:val="24"/>
        </w:rPr>
        <w:lastRenderedPageBreak/>
        <w:t>a očekávaně za</w:t>
      </w:r>
      <w:r>
        <w:rPr>
          <w:sz w:val="24"/>
          <w:szCs w:val="24"/>
        </w:rPr>
        <w:t xml:space="preserve"> cenu vyššího zvýšení troponinu. V </w:t>
      </w:r>
      <w:r w:rsidRPr="00F420AA">
        <w:rPr>
          <w:sz w:val="24"/>
          <w:szCs w:val="24"/>
        </w:rPr>
        <w:t>našem souboru jsme vycházeli z indikací, které jsou v souladu se současnými guidell</w:t>
      </w:r>
      <w:r>
        <w:rPr>
          <w:sz w:val="24"/>
          <w:szCs w:val="24"/>
        </w:rPr>
        <w:t>ines jak českými</w:t>
      </w:r>
      <w:r w:rsidRPr="00F420AA">
        <w:rPr>
          <w:sz w:val="24"/>
          <w:szCs w:val="24"/>
        </w:rPr>
        <w:t>, tak evropskými, kdy jednodutinová (komorová) kardiostimulace je akceptovatelná pouze u nemocných s permanentní fibrilací síní a pomalou odpovědí komor, případně jako čistě pravosíňová</w:t>
      </w:r>
      <w:r>
        <w:rPr>
          <w:sz w:val="24"/>
          <w:szCs w:val="24"/>
        </w:rPr>
        <w:t xml:space="preserve"> simulace v konfiguraci </w:t>
      </w:r>
      <w:proofErr w:type="gramStart"/>
      <w:r>
        <w:rPr>
          <w:sz w:val="24"/>
          <w:szCs w:val="24"/>
        </w:rPr>
        <w:t xml:space="preserve">AAI(R). </w:t>
      </w:r>
      <w:r w:rsidRPr="00F420AA">
        <w:rPr>
          <w:sz w:val="24"/>
          <w:szCs w:val="24"/>
        </w:rPr>
        <w:t>Stimulovat</w:t>
      </w:r>
      <w:proofErr w:type="gramEnd"/>
      <w:r w:rsidRPr="00F420AA">
        <w:rPr>
          <w:sz w:val="24"/>
          <w:szCs w:val="24"/>
        </w:rPr>
        <w:t xml:space="preserve"> jednodutinově pacienta se zachovalým sinusovým rytmem je v současné době již vysloveně nedoporučený postup, kdy hrozí rozvoj síňokomorové dyssynchronie a pacemakerového syndromu jak již bylo zmíněno v předešlé kapitole. </w:t>
      </w:r>
    </w:p>
    <w:p w:rsidR="006C1917" w:rsidRPr="00F420AA" w:rsidRDefault="006C1917" w:rsidP="00831E98">
      <w:pPr>
        <w:spacing w:line="360" w:lineRule="auto"/>
        <w:jc w:val="both"/>
        <w:rPr>
          <w:sz w:val="24"/>
          <w:szCs w:val="24"/>
        </w:rPr>
      </w:pPr>
      <w:r w:rsidRPr="00F420AA">
        <w:rPr>
          <w:sz w:val="24"/>
          <w:szCs w:val="24"/>
        </w:rPr>
        <w:t>Průměrná vstupní hodnota troponinu I byla v celém souboru 0,02±0,07 (medián 0,01) ug/l, tedy normální. Jak je patrné z tabulky č.</w:t>
      </w:r>
      <w:r>
        <w:rPr>
          <w:sz w:val="24"/>
          <w:szCs w:val="24"/>
        </w:rPr>
        <w:t xml:space="preserve"> </w:t>
      </w:r>
      <w:r w:rsidRPr="00F420AA">
        <w:rPr>
          <w:sz w:val="24"/>
          <w:szCs w:val="24"/>
        </w:rPr>
        <w:t>6</w:t>
      </w:r>
      <w:r>
        <w:rPr>
          <w:sz w:val="24"/>
          <w:szCs w:val="24"/>
        </w:rPr>
        <w:t>,</w:t>
      </w:r>
      <w:r w:rsidRPr="00F420AA">
        <w:rPr>
          <w:sz w:val="24"/>
          <w:szCs w:val="24"/>
        </w:rPr>
        <w:t xml:space="preserve"> dochází u celého studovaného souboru k signifikantnímu nárůstu troponinu I za 6 hodin po primoimplantaci kardiostimulátoru, </w:t>
      </w:r>
      <w:r>
        <w:rPr>
          <w:sz w:val="24"/>
          <w:szCs w:val="24"/>
        </w:rPr>
        <w:br/>
      </w:r>
      <w:r w:rsidRPr="00F420AA">
        <w:rPr>
          <w:sz w:val="24"/>
          <w:szCs w:val="24"/>
        </w:rPr>
        <w:t>za 18 hodin po primoimplantaci následuje pozvolný pokles, který ale stále není do pásma normálních hodnot, rozdíl je rovněž statisticky signifikantní oproti výchozím hladinám troponinu I před implantací kardiostimulačního systému.</w:t>
      </w:r>
    </w:p>
    <w:p w:rsidR="006C1917" w:rsidRPr="00F420AA" w:rsidRDefault="006C1917" w:rsidP="00831E98">
      <w:pPr>
        <w:spacing w:line="360" w:lineRule="auto"/>
        <w:jc w:val="both"/>
        <w:rPr>
          <w:sz w:val="24"/>
          <w:szCs w:val="24"/>
        </w:rPr>
      </w:pPr>
      <w:r w:rsidRPr="00F420AA">
        <w:rPr>
          <w:sz w:val="24"/>
          <w:szCs w:val="24"/>
        </w:rPr>
        <w:t xml:space="preserve"> U CKMB jsme vstupně zaznamenali hodnotu 0,45±0,44 (0,33) ukat/l,</w:t>
      </w:r>
      <w:r>
        <w:rPr>
          <w:sz w:val="24"/>
          <w:szCs w:val="24"/>
        </w:rPr>
        <w:t xml:space="preserve"> </w:t>
      </w:r>
      <w:r w:rsidRPr="00F420AA">
        <w:rPr>
          <w:sz w:val="24"/>
          <w:szCs w:val="24"/>
        </w:rPr>
        <w:t xml:space="preserve">po 6 a </w:t>
      </w:r>
      <w:r>
        <w:rPr>
          <w:sz w:val="24"/>
          <w:szCs w:val="24"/>
        </w:rPr>
        <w:t>18 hodinách</w:t>
      </w:r>
      <w:r w:rsidRPr="00F420AA">
        <w:rPr>
          <w:sz w:val="24"/>
          <w:szCs w:val="24"/>
        </w:rPr>
        <w:t xml:space="preserve"> po primoimplantaci jsme zaznamenali dokonce statistisky signifikantní pokles. </w:t>
      </w:r>
    </w:p>
    <w:p w:rsidR="006C1917" w:rsidRPr="00F420AA" w:rsidRDefault="006C1917" w:rsidP="00831E98">
      <w:pPr>
        <w:spacing w:line="360" w:lineRule="auto"/>
        <w:jc w:val="both"/>
        <w:rPr>
          <w:sz w:val="24"/>
          <w:szCs w:val="24"/>
        </w:rPr>
      </w:pPr>
      <w:r w:rsidRPr="00F420AA">
        <w:rPr>
          <w:sz w:val="24"/>
          <w:szCs w:val="24"/>
        </w:rPr>
        <w:t>Hodnoty myoglobinu</w:t>
      </w:r>
      <w:r>
        <w:rPr>
          <w:sz w:val="24"/>
          <w:szCs w:val="24"/>
        </w:rPr>
        <w:t xml:space="preserve"> byly před implantací,</w:t>
      </w:r>
      <w:r w:rsidRPr="00F420AA">
        <w:rPr>
          <w:sz w:val="24"/>
          <w:szCs w:val="24"/>
        </w:rPr>
        <w:t xml:space="preserve"> za 6 a 18 hodin lehce zvýšené oproti normě, měnily se ovšem statisticky nesignifikantně.  </w:t>
      </w:r>
    </w:p>
    <w:p w:rsidR="006C1917" w:rsidRDefault="006C1917" w:rsidP="00831E98">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Pr="00831E98" w:rsidRDefault="006C1917" w:rsidP="002A5827">
      <w:pPr>
        <w:spacing w:line="360" w:lineRule="auto"/>
        <w:jc w:val="both"/>
        <w:rPr>
          <w:b/>
          <w:sz w:val="24"/>
          <w:szCs w:val="24"/>
        </w:rPr>
      </w:pPr>
      <w:r w:rsidRPr="00F420AA">
        <w:rPr>
          <w:sz w:val="24"/>
          <w:szCs w:val="24"/>
        </w:rPr>
        <w:lastRenderedPageBreak/>
        <w:t xml:space="preserve">tabulka č. 6:   </w:t>
      </w:r>
      <w:r w:rsidRPr="00F420AA">
        <w:rPr>
          <w:b/>
          <w:sz w:val="24"/>
          <w:szCs w:val="24"/>
        </w:rPr>
        <w:t>Hladiny kardiospecifických markerů v séru:</w:t>
      </w:r>
    </w:p>
    <w:tbl>
      <w:tblPr>
        <w:tblpPr w:leftFromText="141" w:rightFromText="141" w:vertAnchor="text" w:horzAnchor="margin" w:tblpY="277"/>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82"/>
        <w:gridCol w:w="2204"/>
        <w:gridCol w:w="2458"/>
        <w:gridCol w:w="2025"/>
      </w:tblGrid>
      <w:tr w:rsidR="006C1917" w:rsidRPr="00EA385F" w:rsidTr="00F43B97">
        <w:trPr>
          <w:trHeight w:val="1442"/>
        </w:trPr>
        <w:tc>
          <w:tcPr>
            <w:tcW w:w="2682" w:type="dxa"/>
          </w:tcPr>
          <w:p w:rsidR="006C1917" w:rsidRPr="00F43B97" w:rsidRDefault="006C1917" w:rsidP="00F43B97">
            <w:pPr>
              <w:spacing w:after="0" w:line="240" w:lineRule="auto"/>
              <w:rPr>
                <w:b/>
                <w:bCs/>
              </w:rPr>
            </w:pPr>
            <w:proofErr w:type="gramStart"/>
            <w:r w:rsidRPr="00F43B97">
              <w:rPr>
                <w:b/>
                <w:bCs/>
              </w:rPr>
              <w:t>Celý  soubor</w:t>
            </w:r>
            <w:proofErr w:type="gramEnd"/>
            <w:r w:rsidRPr="00F43B97">
              <w:rPr>
                <w:b/>
                <w:bCs/>
              </w:rPr>
              <w:t xml:space="preserve"> pacientů</w:t>
            </w:r>
          </w:p>
        </w:tc>
        <w:tc>
          <w:tcPr>
            <w:tcW w:w="2204" w:type="dxa"/>
          </w:tcPr>
          <w:p w:rsidR="006C1917" w:rsidRPr="00F43B97" w:rsidRDefault="006C1917" w:rsidP="00F43B97">
            <w:pPr>
              <w:spacing w:after="0" w:line="240" w:lineRule="auto"/>
              <w:rPr>
                <w:b/>
                <w:bCs/>
              </w:rPr>
            </w:pPr>
            <w:r w:rsidRPr="00F43B97">
              <w:rPr>
                <w:b/>
                <w:bCs/>
              </w:rPr>
              <w:t xml:space="preserve">Hodnota troponinu I   </w:t>
            </w:r>
          </w:p>
          <w:p w:rsidR="006C1917" w:rsidRPr="00F43B97" w:rsidRDefault="006C1917" w:rsidP="00F43B97">
            <w:pPr>
              <w:spacing w:after="0" w:line="240" w:lineRule="auto"/>
              <w:rPr>
                <w:b/>
                <w:bCs/>
              </w:rPr>
            </w:pPr>
            <w:r w:rsidRPr="00F43B97">
              <w:rPr>
                <w:b/>
                <w:bCs/>
              </w:rPr>
              <w:t>(norma 0-0,06 ummol/l)</w:t>
            </w:r>
          </w:p>
        </w:tc>
        <w:tc>
          <w:tcPr>
            <w:tcW w:w="2458" w:type="dxa"/>
          </w:tcPr>
          <w:p w:rsidR="006C1917" w:rsidRPr="00F43B97" w:rsidRDefault="006C1917" w:rsidP="00F43B97">
            <w:pPr>
              <w:spacing w:line="240" w:lineRule="auto"/>
              <w:rPr>
                <w:b/>
                <w:bCs/>
              </w:rPr>
            </w:pPr>
            <w:r w:rsidRPr="00F43B97">
              <w:rPr>
                <w:b/>
                <w:bCs/>
              </w:rPr>
              <w:t>Hodnota CKMB</w:t>
            </w:r>
          </w:p>
          <w:p w:rsidR="006C1917" w:rsidRPr="00F43B97" w:rsidRDefault="006C1917" w:rsidP="00F43B97">
            <w:pPr>
              <w:spacing w:line="240" w:lineRule="auto"/>
              <w:rPr>
                <w:b/>
                <w:bCs/>
              </w:rPr>
            </w:pPr>
            <w:r w:rsidRPr="00F43B97">
              <w:rPr>
                <w:b/>
                <w:bCs/>
              </w:rPr>
              <w:t>(norma 0-1,0 ukat/l)</w:t>
            </w:r>
          </w:p>
        </w:tc>
        <w:tc>
          <w:tcPr>
            <w:tcW w:w="2025" w:type="dxa"/>
          </w:tcPr>
          <w:p w:rsidR="006C1917" w:rsidRPr="00F43B97" w:rsidRDefault="006C1917" w:rsidP="00F43B97">
            <w:pPr>
              <w:spacing w:line="240" w:lineRule="auto"/>
              <w:rPr>
                <w:b/>
                <w:bCs/>
              </w:rPr>
            </w:pPr>
            <w:r w:rsidRPr="00F43B97">
              <w:rPr>
                <w:b/>
                <w:bCs/>
              </w:rPr>
              <w:t>Hodnota myoglobinu</w:t>
            </w:r>
          </w:p>
          <w:p w:rsidR="006C1917" w:rsidRPr="00F43B97" w:rsidRDefault="006C1917" w:rsidP="00F43B97">
            <w:pPr>
              <w:spacing w:line="240" w:lineRule="auto"/>
              <w:rPr>
                <w:b/>
                <w:bCs/>
              </w:rPr>
            </w:pPr>
            <w:r w:rsidRPr="00F43B97">
              <w:rPr>
                <w:b/>
                <w:bCs/>
              </w:rPr>
              <w:t>(norma 28-72 ug/l)</w:t>
            </w:r>
          </w:p>
        </w:tc>
      </w:tr>
      <w:tr w:rsidR="006C1917" w:rsidRPr="00EA385F" w:rsidTr="00F43B97">
        <w:trPr>
          <w:trHeight w:val="557"/>
        </w:trPr>
        <w:tc>
          <w:tcPr>
            <w:tcW w:w="2682" w:type="dxa"/>
          </w:tcPr>
          <w:p w:rsidR="006C1917" w:rsidRPr="00F43B97" w:rsidRDefault="006C1917" w:rsidP="00F43B97">
            <w:pPr>
              <w:spacing w:after="0" w:line="240" w:lineRule="auto"/>
              <w:rPr>
                <w:b/>
                <w:bCs/>
              </w:rPr>
            </w:pPr>
            <w:r w:rsidRPr="00F43B97">
              <w:rPr>
                <w:b/>
                <w:bCs/>
              </w:rPr>
              <w:t xml:space="preserve">Před primoimplantací </w:t>
            </w:r>
          </w:p>
        </w:tc>
        <w:tc>
          <w:tcPr>
            <w:tcW w:w="2204" w:type="dxa"/>
          </w:tcPr>
          <w:p w:rsidR="006C1917" w:rsidRPr="00F43B97" w:rsidRDefault="006C1917" w:rsidP="00F43B97">
            <w:pPr>
              <w:spacing w:after="0" w:line="240" w:lineRule="auto"/>
              <w:jc w:val="both"/>
            </w:pPr>
            <w:r w:rsidRPr="00F43B97">
              <w:t>0,02±0,07 (0,01)*</w:t>
            </w:r>
          </w:p>
        </w:tc>
        <w:tc>
          <w:tcPr>
            <w:tcW w:w="2458" w:type="dxa"/>
          </w:tcPr>
          <w:p w:rsidR="006C1917" w:rsidRPr="00F43B97" w:rsidRDefault="006C1917" w:rsidP="00F43B97">
            <w:pPr>
              <w:spacing w:line="240" w:lineRule="auto"/>
              <w:jc w:val="both"/>
            </w:pPr>
            <w:r w:rsidRPr="00F43B97">
              <w:t>0,45±0,44 (0,33)</w:t>
            </w:r>
          </w:p>
        </w:tc>
        <w:tc>
          <w:tcPr>
            <w:tcW w:w="2025" w:type="dxa"/>
          </w:tcPr>
          <w:p w:rsidR="006C1917" w:rsidRPr="00F43B97" w:rsidRDefault="006C1917" w:rsidP="00F43B97">
            <w:pPr>
              <w:spacing w:line="240" w:lineRule="auto"/>
              <w:jc w:val="both"/>
            </w:pPr>
            <w:r w:rsidRPr="00F43B97">
              <w:t>107,8±59,4 (95,7)</w:t>
            </w:r>
          </w:p>
        </w:tc>
      </w:tr>
      <w:tr w:rsidR="006C1917" w:rsidRPr="00EA385F" w:rsidTr="00F43B97">
        <w:trPr>
          <w:trHeight w:val="638"/>
        </w:trPr>
        <w:tc>
          <w:tcPr>
            <w:tcW w:w="2682" w:type="dxa"/>
          </w:tcPr>
          <w:p w:rsidR="006C1917" w:rsidRPr="00F43B97" w:rsidRDefault="006C1917" w:rsidP="00F43B97">
            <w:pPr>
              <w:spacing w:after="0" w:line="240" w:lineRule="auto"/>
              <w:rPr>
                <w:b/>
                <w:bCs/>
              </w:rPr>
            </w:pPr>
            <w:r w:rsidRPr="00F43B97">
              <w:rPr>
                <w:b/>
                <w:bCs/>
              </w:rPr>
              <w:t>6 hodin po primoimplantaci</w:t>
            </w:r>
          </w:p>
        </w:tc>
        <w:tc>
          <w:tcPr>
            <w:tcW w:w="2204" w:type="dxa"/>
          </w:tcPr>
          <w:p w:rsidR="006C1917" w:rsidRPr="00F43B97" w:rsidRDefault="006C1917" w:rsidP="00F43B97">
            <w:pPr>
              <w:spacing w:after="0" w:line="240" w:lineRule="auto"/>
              <w:jc w:val="both"/>
            </w:pPr>
            <w:r w:rsidRPr="00F43B97">
              <w:t>0,18±0,17 (0,33)</w:t>
            </w:r>
          </w:p>
        </w:tc>
        <w:tc>
          <w:tcPr>
            <w:tcW w:w="2458" w:type="dxa"/>
          </w:tcPr>
          <w:p w:rsidR="006C1917" w:rsidRPr="00F43B97" w:rsidRDefault="006C1917" w:rsidP="00F43B97">
            <w:pPr>
              <w:spacing w:line="240" w:lineRule="auto"/>
              <w:jc w:val="both"/>
            </w:pPr>
            <w:r w:rsidRPr="00F43B97">
              <w:t>0,39±0,46 (0,31)</w:t>
            </w:r>
          </w:p>
        </w:tc>
        <w:tc>
          <w:tcPr>
            <w:tcW w:w="2025" w:type="dxa"/>
          </w:tcPr>
          <w:p w:rsidR="006C1917" w:rsidRPr="00F43B97" w:rsidRDefault="006C1917" w:rsidP="00F43B97">
            <w:pPr>
              <w:spacing w:line="240" w:lineRule="auto"/>
              <w:jc w:val="both"/>
            </w:pPr>
            <w:r w:rsidRPr="00F43B97">
              <w:t>112,1±76,8 (96,4)</w:t>
            </w:r>
          </w:p>
        </w:tc>
      </w:tr>
      <w:tr w:rsidR="006C1917" w:rsidRPr="00EA385F" w:rsidTr="00F43B97">
        <w:trPr>
          <w:trHeight w:val="638"/>
        </w:trPr>
        <w:tc>
          <w:tcPr>
            <w:tcW w:w="2682" w:type="dxa"/>
          </w:tcPr>
          <w:p w:rsidR="006C1917" w:rsidRPr="00F43B97" w:rsidRDefault="006C1917" w:rsidP="00F43B97">
            <w:pPr>
              <w:spacing w:after="0" w:line="240" w:lineRule="auto"/>
              <w:rPr>
                <w:b/>
                <w:bCs/>
              </w:rPr>
            </w:pPr>
            <w:r w:rsidRPr="00F43B97">
              <w:rPr>
                <w:b/>
                <w:bCs/>
              </w:rPr>
              <w:t>18 hodin po primoimplantaci</w:t>
            </w:r>
          </w:p>
        </w:tc>
        <w:tc>
          <w:tcPr>
            <w:tcW w:w="2204" w:type="dxa"/>
          </w:tcPr>
          <w:p w:rsidR="006C1917" w:rsidRPr="00F43B97" w:rsidRDefault="006C1917" w:rsidP="00F43B97">
            <w:pPr>
              <w:spacing w:after="0" w:line="240" w:lineRule="auto"/>
              <w:jc w:val="both"/>
            </w:pPr>
            <w:r w:rsidRPr="00F43B97">
              <w:t>0,09±0,18 (0,04)</w:t>
            </w:r>
          </w:p>
        </w:tc>
        <w:tc>
          <w:tcPr>
            <w:tcW w:w="2458" w:type="dxa"/>
          </w:tcPr>
          <w:p w:rsidR="006C1917" w:rsidRPr="00F43B97" w:rsidRDefault="006C1917" w:rsidP="00F43B97">
            <w:pPr>
              <w:spacing w:line="240" w:lineRule="auto"/>
              <w:jc w:val="both"/>
            </w:pPr>
            <w:r w:rsidRPr="00F43B97">
              <w:t>0,32±0,43 (0,27)</w:t>
            </w:r>
          </w:p>
        </w:tc>
        <w:tc>
          <w:tcPr>
            <w:tcW w:w="2025" w:type="dxa"/>
          </w:tcPr>
          <w:p w:rsidR="006C1917" w:rsidRPr="00F43B97" w:rsidRDefault="006C1917" w:rsidP="00F43B97">
            <w:pPr>
              <w:spacing w:line="240" w:lineRule="auto"/>
              <w:jc w:val="both"/>
            </w:pPr>
            <w:r w:rsidRPr="00F43B97">
              <w:t>99,1±60,5 (92,0)</w:t>
            </w:r>
          </w:p>
        </w:tc>
      </w:tr>
      <w:tr w:rsidR="006C1917" w:rsidRPr="00EA385F" w:rsidTr="00F43B97">
        <w:trPr>
          <w:trHeight w:val="948"/>
        </w:trPr>
        <w:tc>
          <w:tcPr>
            <w:tcW w:w="2682" w:type="dxa"/>
          </w:tcPr>
          <w:p w:rsidR="006C1917" w:rsidRPr="00F43B97" w:rsidRDefault="006C1917" w:rsidP="00F43B97">
            <w:pPr>
              <w:spacing w:after="0" w:line="240" w:lineRule="auto"/>
              <w:rPr>
                <w:b/>
                <w:bCs/>
              </w:rPr>
            </w:pPr>
            <w:r w:rsidRPr="00F43B97">
              <w:rPr>
                <w:b/>
                <w:bCs/>
              </w:rPr>
              <w:t>p (před primoimplantací vs za 6 hodin)</w:t>
            </w:r>
          </w:p>
          <w:p w:rsidR="006C1917" w:rsidRPr="00F43B97" w:rsidRDefault="006C1917" w:rsidP="00F43B97">
            <w:pPr>
              <w:spacing w:after="0" w:line="240" w:lineRule="auto"/>
              <w:rPr>
                <w:b/>
                <w:bCs/>
              </w:rPr>
            </w:pPr>
            <w:r w:rsidRPr="00F43B97">
              <w:rPr>
                <w:b/>
                <w:bCs/>
              </w:rPr>
              <w:t>(Wilcoxonův test)</w:t>
            </w:r>
          </w:p>
        </w:tc>
        <w:tc>
          <w:tcPr>
            <w:tcW w:w="2204" w:type="dxa"/>
          </w:tcPr>
          <w:p w:rsidR="006C1917" w:rsidRPr="00F43B97" w:rsidRDefault="006C1917" w:rsidP="00F43B97">
            <w:pPr>
              <w:spacing w:after="0" w:line="240" w:lineRule="auto"/>
              <w:ind w:left="34"/>
              <w:rPr>
                <w:bCs/>
              </w:rPr>
            </w:pPr>
            <w:r w:rsidRPr="00F43B97">
              <w:rPr>
                <w:bCs/>
              </w:rPr>
              <w:t>p&lt;0,001</w:t>
            </w:r>
          </w:p>
          <w:p w:rsidR="006C1917" w:rsidRPr="00F43B97" w:rsidRDefault="006C1917" w:rsidP="00F43B97">
            <w:pPr>
              <w:spacing w:after="0" w:line="240" w:lineRule="auto"/>
              <w:ind w:left="34"/>
              <w:rPr>
                <w:bCs/>
              </w:rPr>
            </w:pPr>
          </w:p>
        </w:tc>
        <w:tc>
          <w:tcPr>
            <w:tcW w:w="2458" w:type="dxa"/>
          </w:tcPr>
          <w:p w:rsidR="006C1917" w:rsidRPr="00F43B97" w:rsidRDefault="006C1917" w:rsidP="00F43B97">
            <w:pPr>
              <w:spacing w:after="0" w:line="240" w:lineRule="auto"/>
              <w:ind w:left="34"/>
              <w:rPr>
                <w:bCs/>
              </w:rPr>
            </w:pPr>
            <w:r w:rsidRPr="00F43B97">
              <w:rPr>
                <w:bCs/>
              </w:rPr>
              <w:t>p&lt;0,001</w:t>
            </w:r>
          </w:p>
          <w:p w:rsidR="006C1917" w:rsidRPr="00F43B97" w:rsidRDefault="006C1917" w:rsidP="00F43B97">
            <w:pPr>
              <w:spacing w:after="0" w:line="240" w:lineRule="auto"/>
              <w:ind w:left="34"/>
              <w:rPr>
                <w:bCs/>
              </w:rPr>
            </w:pPr>
          </w:p>
        </w:tc>
        <w:tc>
          <w:tcPr>
            <w:tcW w:w="2025" w:type="dxa"/>
          </w:tcPr>
          <w:p w:rsidR="006C1917" w:rsidRPr="00F43B97" w:rsidRDefault="006C1917" w:rsidP="00F43B97">
            <w:pPr>
              <w:spacing w:after="0" w:line="240" w:lineRule="auto"/>
              <w:rPr>
                <w:bCs/>
              </w:rPr>
            </w:pPr>
            <w:r w:rsidRPr="00F43B97">
              <w:rPr>
                <w:bCs/>
              </w:rPr>
              <w:t>p=NS</w:t>
            </w:r>
          </w:p>
        </w:tc>
      </w:tr>
      <w:tr w:rsidR="006C1917" w:rsidRPr="00EA385F" w:rsidTr="00F43B97">
        <w:trPr>
          <w:trHeight w:val="1299"/>
        </w:trPr>
        <w:tc>
          <w:tcPr>
            <w:tcW w:w="2682" w:type="dxa"/>
          </w:tcPr>
          <w:p w:rsidR="006C1917" w:rsidRPr="00F43B97" w:rsidRDefault="006C1917" w:rsidP="00F43B97">
            <w:pPr>
              <w:spacing w:after="0" w:line="240" w:lineRule="auto"/>
              <w:rPr>
                <w:b/>
                <w:bCs/>
              </w:rPr>
            </w:pPr>
            <w:r w:rsidRPr="00F43B97">
              <w:rPr>
                <w:b/>
                <w:bCs/>
              </w:rPr>
              <w:t>p (za 6h po  primoimplantaci vs  za 18 hodin)</w:t>
            </w:r>
          </w:p>
          <w:p w:rsidR="006C1917" w:rsidRPr="00F43B97" w:rsidRDefault="006C1917" w:rsidP="00F43B97">
            <w:pPr>
              <w:spacing w:after="0" w:line="240" w:lineRule="auto"/>
              <w:rPr>
                <w:b/>
                <w:bCs/>
              </w:rPr>
            </w:pPr>
            <w:r w:rsidRPr="00F43B97">
              <w:rPr>
                <w:b/>
                <w:bCs/>
              </w:rPr>
              <w:t>(Wilcoxonův test)</w:t>
            </w:r>
          </w:p>
        </w:tc>
        <w:tc>
          <w:tcPr>
            <w:tcW w:w="2204" w:type="dxa"/>
          </w:tcPr>
          <w:p w:rsidR="006C1917" w:rsidRPr="00F43B97" w:rsidRDefault="006C1917" w:rsidP="00F43B97">
            <w:pPr>
              <w:spacing w:after="0" w:line="240" w:lineRule="auto"/>
              <w:ind w:left="34"/>
            </w:pPr>
            <w:r w:rsidRPr="00F43B97">
              <w:t>p&lt;0,001</w:t>
            </w:r>
          </w:p>
          <w:p w:rsidR="006C1917" w:rsidRPr="00F43B97" w:rsidRDefault="006C1917" w:rsidP="00F43B97">
            <w:pPr>
              <w:spacing w:after="0" w:line="240" w:lineRule="auto"/>
              <w:ind w:left="34"/>
            </w:pPr>
          </w:p>
        </w:tc>
        <w:tc>
          <w:tcPr>
            <w:tcW w:w="2458" w:type="dxa"/>
          </w:tcPr>
          <w:p w:rsidR="006C1917" w:rsidRPr="00F43B97" w:rsidRDefault="006C1917" w:rsidP="00F43B97">
            <w:pPr>
              <w:spacing w:after="0" w:line="240" w:lineRule="auto"/>
              <w:ind w:left="34"/>
            </w:pPr>
            <w:r w:rsidRPr="00F43B97">
              <w:t>p&lt;0,001</w:t>
            </w:r>
          </w:p>
          <w:p w:rsidR="006C1917" w:rsidRPr="00F43B97" w:rsidRDefault="006C1917" w:rsidP="00F43B97">
            <w:pPr>
              <w:spacing w:after="0" w:line="240" w:lineRule="auto"/>
              <w:ind w:left="34"/>
            </w:pPr>
          </w:p>
        </w:tc>
        <w:tc>
          <w:tcPr>
            <w:tcW w:w="2025" w:type="dxa"/>
          </w:tcPr>
          <w:p w:rsidR="006C1917" w:rsidRPr="00F43B97" w:rsidRDefault="006C1917" w:rsidP="00F43B97">
            <w:pPr>
              <w:spacing w:after="0" w:line="240" w:lineRule="auto"/>
              <w:ind w:left="34"/>
            </w:pPr>
            <w:r w:rsidRPr="00F43B97">
              <w:t>p&lt;0,001</w:t>
            </w:r>
          </w:p>
          <w:p w:rsidR="006C1917" w:rsidRPr="00F43B97" w:rsidRDefault="006C1917" w:rsidP="00F43B97">
            <w:pPr>
              <w:spacing w:after="0" w:line="240" w:lineRule="auto"/>
            </w:pPr>
          </w:p>
        </w:tc>
      </w:tr>
    </w:tbl>
    <w:p w:rsidR="006C1917" w:rsidRPr="00F420AA" w:rsidRDefault="006C1917" w:rsidP="002A5827">
      <w:pPr>
        <w:spacing w:line="360" w:lineRule="auto"/>
        <w:jc w:val="both"/>
        <w:rPr>
          <w:sz w:val="24"/>
          <w:szCs w:val="24"/>
        </w:rPr>
      </w:pPr>
      <w:r w:rsidRPr="00F420AA">
        <w:rPr>
          <w:sz w:val="24"/>
          <w:szCs w:val="24"/>
        </w:rPr>
        <w:t xml:space="preserve">*medián </w:t>
      </w: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r w:rsidRPr="00F420AA">
        <w:rPr>
          <w:sz w:val="24"/>
          <w:szCs w:val="24"/>
        </w:rPr>
        <w:t>Následně jsme ještě studoval</w:t>
      </w:r>
      <w:r>
        <w:rPr>
          <w:sz w:val="24"/>
          <w:szCs w:val="24"/>
        </w:rPr>
        <w:t>i skupinu nemocných, kterým byl</w:t>
      </w:r>
      <w:r w:rsidRPr="00F420AA">
        <w:rPr>
          <w:sz w:val="24"/>
          <w:szCs w:val="24"/>
        </w:rPr>
        <w:t xml:space="preserve"> implantován jednodutinový systém (VVI)</w:t>
      </w:r>
      <w:r>
        <w:rPr>
          <w:sz w:val="24"/>
          <w:szCs w:val="24"/>
        </w:rPr>
        <w:t xml:space="preserve"> – 94 pacientů, </w:t>
      </w:r>
      <w:r w:rsidRPr="00F420AA">
        <w:rPr>
          <w:sz w:val="24"/>
          <w:szCs w:val="24"/>
        </w:rPr>
        <w:t>nebo dvoudutinový systém (DDD)</w:t>
      </w:r>
      <w:r>
        <w:rPr>
          <w:sz w:val="24"/>
          <w:szCs w:val="24"/>
        </w:rPr>
        <w:t xml:space="preserve"> –</w:t>
      </w:r>
      <w:r w:rsidRPr="00F420AA">
        <w:rPr>
          <w:sz w:val="24"/>
          <w:szCs w:val="24"/>
        </w:rPr>
        <w:t xml:space="preserve"> 136 pacientů</w:t>
      </w:r>
      <w:r>
        <w:rPr>
          <w:sz w:val="24"/>
          <w:szCs w:val="24"/>
        </w:rPr>
        <w:t>.</w:t>
      </w:r>
      <w:r w:rsidRPr="00F420AA">
        <w:rPr>
          <w:sz w:val="24"/>
          <w:szCs w:val="24"/>
        </w:rPr>
        <w:t xml:space="preserve"> Skupina jednodutinové stimulace vykazovala signifikantně kratší skiaskopický čas</w:t>
      </w:r>
      <w:r>
        <w:rPr>
          <w:sz w:val="24"/>
          <w:szCs w:val="24"/>
        </w:rPr>
        <w:t>,</w:t>
      </w:r>
      <w:r w:rsidRPr="00F420AA">
        <w:rPr>
          <w:sz w:val="24"/>
          <w:szCs w:val="24"/>
        </w:rPr>
        <w:t xml:space="preserve"> viz tabulka č.</w:t>
      </w:r>
      <w:r>
        <w:rPr>
          <w:sz w:val="24"/>
          <w:szCs w:val="24"/>
        </w:rPr>
        <w:t xml:space="preserve"> 7 </w:t>
      </w:r>
      <w:r>
        <w:rPr>
          <w:sz w:val="24"/>
          <w:szCs w:val="24"/>
        </w:rPr>
        <w:br/>
        <w:t>a graf</w:t>
      </w:r>
      <w:r w:rsidRPr="00F420AA">
        <w:rPr>
          <w:sz w:val="24"/>
          <w:szCs w:val="24"/>
        </w:rPr>
        <w:t xml:space="preserve"> č.</w:t>
      </w:r>
      <w:r>
        <w:rPr>
          <w:sz w:val="24"/>
          <w:szCs w:val="24"/>
        </w:rPr>
        <w:t xml:space="preserve"> </w:t>
      </w:r>
      <w:r w:rsidRPr="00F420AA">
        <w:rPr>
          <w:sz w:val="24"/>
          <w:szCs w:val="24"/>
        </w:rPr>
        <w:t>1:</w:t>
      </w:r>
    </w:p>
    <w:p w:rsidR="006C1917" w:rsidRPr="00F420AA" w:rsidRDefault="006C1917" w:rsidP="002A5827">
      <w:pPr>
        <w:spacing w:line="360" w:lineRule="auto"/>
        <w:jc w:val="both"/>
        <w:rPr>
          <w:sz w:val="24"/>
          <w:szCs w:val="24"/>
        </w:rPr>
      </w:pPr>
    </w:p>
    <w:p w:rsidR="006C1917" w:rsidRPr="00F420AA" w:rsidRDefault="006C1917" w:rsidP="002A5827">
      <w:pPr>
        <w:spacing w:line="360" w:lineRule="auto"/>
        <w:rPr>
          <w:sz w:val="24"/>
          <w:szCs w:val="24"/>
        </w:rPr>
      </w:pPr>
      <w:r>
        <w:rPr>
          <w:sz w:val="24"/>
          <w:szCs w:val="24"/>
        </w:rPr>
        <w:t>t</w:t>
      </w:r>
      <w:r w:rsidRPr="00F420AA">
        <w:rPr>
          <w:sz w:val="24"/>
          <w:szCs w:val="24"/>
        </w:rPr>
        <w:t>abulka č.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2292"/>
        <w:gridCol w:w="2292"/>
        <w:gridCol w:w="2292"/>
        <w:gridCol w:w="2292"/>
      </w:tblGrid>
      <w:tr w:rsidR="006C1917" w:rsidRPr="00EA385F" w:rsidTr="00F43B97">
        <w:trPr>
          <w:trHeight w:val="209"/>
        </w:trPr>
        <w:tc>
          <w:tcPr>
            <w:tcW w:w="2292" w:type="dxa"/>
          </w:tcPr>
          <w:p w:rsidR="006C1917" w:rsidRPr="00F43B97" w:rsidRDefault="006C1917" w:rsidP="00F43B97">
            <w:pPr>
              <w:spacing w:after="0" w:line="240" w:lineRule="auto"/>
              <w:rPr>
                <w:b/>
                <w:bCs/>
              </w:rPr>
            </w:pPr>
            <w:r w:rsidRPr="00F43B97">
              <w:rPr>
                <w:b/>
                <w:bCs/>
              </w:rPr>
              <w:t>Parametr</w:t>
            </w:r>
          </w:p>
        </w:tc>
        <w:tc>
          <w:tcPr>
            <w:tcW w:w="2292" w:type="dxa"/>
          </w:tcPr>
          <w:p w:rsidR="006C1917" w:rsidRPr="00F43B97" w:rsidRDefault="006C1917" w:rsidP="00F43B97">
            <w:pPr>
              <w:spacing w:after="0" w:line="240" w:lineRule="auto"/>
              <w:rPr>
                <w:b/>
                <w:bCs/>
              </w:rPr>
            </w:pPr>
            <w:r w:rsidRPr="00F43B97">
              <w:rPr>
                <w:b/>
                <w:bCs/>
              </w:rPr>
              <w:t>VVI(R)   n=94</w:t>
            </w:r>
          </w:p>
        </w:tc>
        <w:tc>
          <w:tcPr>
            <w:tcW w:w="2292" w:type="dxa"/>
          </w:tcPr>
          <w:p w:rsidR="006C1917" w:rsidRPr="00F43B97" w:rsidRDefault="006C1917" w:rsidP="00F43B97">
            <w:pPr>
              <w:spacing w:after="0" w:line="240" w:lineRule="auto"/>
              <w:rPr>
                <w:b/>
                <w:bCs/>
              </w:rPr>
            </w:pPr>
            <w:r w:rsidRPr="00F43B97">
              <w:rPr>
                <w:b/>
                <w:bCs/>
              </w:rPr>
              <w:t>DDD(R)  n=136</w:t>
            </w:r>
          </w:p>
        </w:tc>
        <w:tc>
          <w:tcPr>
            <w:tcW w:w="2292" w:type="dxa"/>
          </w:tcPr>
          <w:p w:rsidR="006C1917" w:rsidRPr="00F43B97" w:rsidRDefault="006C1917" w:rsidP="00F43B97">
            <w:pPr>
              <w:spacing w:after="0" w:line="240" w:lineRule="auto"/>
              <w:rPr>
                <w:b/>
                <w:bCs/>
              </w:rPr>
            </w:pPr>
            <w:proofErr w:type="gramStart"/>
            <w:r w:rsidRPr="00F43B97">
              <w:rPr>
                <w:b/>
                <w:bCs/>
              </w:rPr>
              <w:t>p  (Mann-Whitney</w:t>
            </w:r>
            <w:proofErr w:type="gramEnd"/>
            <w:r w:rsidRPr="00F43B97">
              <w:rPr>
                <w:b/>
                <w:bCs/>
              </w:rPr>
              <w:t xml:space="preserve"> test)</w:t>
            </w:r>
          </w:p>
        </w:tc>
      </w:tr>
      <w:tr w:rsidR="006C1917" w:rsidRPr="00EA385F" w:rsidTr="00F43B97">
        <w:trPr>
          <w:trHeight w:val="199"/>
        </w:trPr>
        <w:tc>
          <w:tcPr>
            <w:tcW w:w="2292" w:type="dxa"/>
          </w:tcPr>
          <w:p w:rsidR="006C1917" w:rsidRPr="00F43B97" w:rsidRDefault="006C1917" w:rsidP="00F43B97">
            <w:pPr>
              <w:spacing w:after="0" w:line="240" w:lineRule="auto"/>
            </w:pPr>
            <w:r w:rsidRPr="00F43B97">
              <w:t>SKIA čas (s.)</w:t>
            </w:r>
          </w:p>
        </w:tc>
        <w:tc>
          <w:tcPr>
            <w:tcW w:w="2292" w:type="dxa"/>
          </w:tcPr>
          <w:p w:rsidR="006C1917" w:rsidRPr="00F43B97" w:rsidRDefault="006C1917" w:rsidP="00F43B97">
            <w:pPr>
              <w:spacing w:after="0" w:line="240" w:lineRule="auto"/>
            </w:pPr>
            <w:r w:rsidRPr="00F43B97">
              <w:t>29,5±18,3 (medián 23,9)</w:t>
            </w:r>
          </w:p>
        </w:tc>
        <w:tc>
          <w:tcPr>
            <w:tcW w:w="2292" w:type="dxa"/>
          </w:tcPr>
          <w:p w:rsidR="006C1917" w:rsidRPr="00F43B97" w:rsidRDefault="006C1917" w:rsidP="00F43B97">
            <w:pPr>
              <w:spacing w:after="0" w:line="240" w:lineRule="auto"/>
            </w:pPr>
            <w:r w:rsidRPr="00F43B97">
              <w:t>45,2 ±22,1 (medián 39,1)</w:t>
            </w:r>
          </w:p>
        </w:tc>
        <w:tc>
          <w:tcPr>
            <w:tcW w:w="2292" w:type="dxa"/>
          </w:tcPr>
          <w:p w:rsidR="006C1917" w:rsidRPr="00F43B97" w:rsidRDefault="006C1917" w:rsidP="00F43B97">
            <w:pPr>
              <w:spacing w:after="0" w:line="240" w:lineRule="auto"/>
            </w:pPr>
            <w:r w:rsidRPr="00F43B97">
              <w:t>p&lt;0,05</w:t>
            </w:r>
          </w:p>
        </w:tc>
      </w:tr>
    </w:tbl>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Pr>
          <w:sz w:val="24"/>
          <w:szCs w:val="24"/>
        </w:rPr>
        <w:lastRenderedPageBreak/>
        <w:t>graf</w:t>
      </w:r>
      <w:r w:rsidRPr="00F420AA">
        <w:rPr>
          <w:sz w:val="24"/>
          <w:szCs w:val="24"/>
        </w:rPr>
        <w:t xml:space="preserve"> č.</w:t>
      </w:r>
      <w:r>
        <w:rPr>
          <w:sz w:val="24"/>
          <w:szCs w:val="24"/>
        </w:rPr>
        <w:t xml:space="preserve"> </w:t>
      </w:r>
      <w:r w:rsidRPr="00F420AA">
        <w:rPr>
          <w:sz w:val="24"/>
          <w:szCs w:val="24"/>
        </w:rPr>
        <w:t>1:</w:t>
      </w:r>
    </w:p>
    <w:p w:rsidR="006C1917" w:rsidRPr="00F420AA" w:rsidRDefault="00D904E8" w:rsidP="002A5827">
      <w:pPr>
        <w:spacing w:line="360" w:lineRule="auto"/>
        <w:jc w:val="both"/>
        <w:rPr>
          <w:sz w:val="24"/>
          <w:szCs w:val="24"/>
        </w:rPr>
      </w:pPr>
      <w:r w:rsidRPr="00D904E8">
        <w:rPr>
          <w:noProof/>
          <w:lang w:eastAsia="cs-CZ"/>
        </w:rPr>
        <w:pict>
          <v:shape id="_x0000_s1070" type="#_x0000_t32" style="position:absolute;left:0;text-align:left;margin-left:126.4pt;margin-top:68.5pt;width:12.75pt;height:.05pt;z-index:251636736" o:connectortype="straight"/>
        </w:pict>
      </w:r>
      <w:r w:rsidR="000C52EC">
        <w:rPr>
          <w:noProof/>
          <w:sz w:val="24"/>
          <w:szCs w:val="24"/>
          <w:lang w:eastAsia="cs-CZ"/>
        </w:rPr>
        <w:drawing>
          <wp:inline distT="0" distB="0" distL="0" distR="0">
            <wp:extent cx="5715000" cy="2686050"/>
            <wp:effectExtent l="19050" t="0" r="19050" b="0"/>
            <wp:docPr id="7" name="Graf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C1917" w:rsidRPr="00F420AA" w:rsidRDefault="006C1917" w:rsidP="00806A0D">
      <w:pPr>
        <w:spacing w:line="360" w:lineRule="auto"/>
        <w:jc w:val="both"/>
        <w:rPr>
          <w:sz w:val="24"/>
          <w:szCs w:val="24"/>
        </w:rPr>
      </w:pPr>
      <w:r w:rsidRPr="00F420AA">
        <w:rPr>
          <w:sz w:val="24"/>
          <w:szCs w:val="24"/>
        </w:rPr>
        <w:t xml:space="preserve">Dále jsme zjistili, že sérové hladiny troponinu I se před primoimplantací jednodutinového systému oproti dvoudutinovému lišily na hranici statistické významnosti (p=0,047, </w:t>
      </w:r>
      <w:r>
        <w:rPr>
          <w:sz w:val="24"/>
          <w:szCs w:val="24"/>
        </w:rPr>
        <w:br/>
      </w:r>
      <w:r w:rsidRPr="00F420AA">
        <w:rPr>
          <w:sz w:val="24"/>
          <w:szCs w:val="24"/>
        </w:rPr>
        <w:t>Mann-Whitney test), statisticky významně narostly za 6 hodin po primoimplantaci, a to statisticky signifikantně více ve skup</w:t>
      </w:r>
      <w:r>
        <w:rPr>
          <w:sz w:val="24"/>
          <w:szCs w:val="24"/>
        </w:rPr>
        <w:t xml:space="preserve">ině dvoudutinové stimulace, za </w:t>
      </w:r>
      <w:r w:rsidRPr="00F420AA">
        <w:rPr>
          <w:sz w:val="24"/>
          <w:szCs w:val="24"/>
        </w:rPr>
        <w:t>18 hodin po primoimplantaci  následuje pozvolný pokles</w:t>
      </w:r>
      <w:r>
        <w:rPr>
          <w:sz w:val="24"/>
          <w:szCs w:val="24"/>
        </w:rPr>
        <w:t>,</w:t>
      </w:r>
      <w:r w:rsidRPr="00F420AA">
        <w:rPr>
          <w:sz w:val="24"/>
          <w:szCs w:val="24"/>
        </w:rPr>
        <w:t xml:space="preserve"> viz tab č. 8:  </w:t>
      </w:r>
    </w:p>
    <w:p w:rsidR="006C1917" w:rsidRPr="00F420AA" w:rsidRDefault="006C1917" w:rsidP="00806A0D">
      <w:pPr>
        <w:spacing w:line="360" w:lineRule="auto"/>
        <w:jc w:val="both"/>
        <w:rPr>
          <w:sz w:val="24"/>
          <w:szCs w:val="24"/>
        </w:rPr>
      </w:pPr>
      <w:r>
        <w:rPr>
          <w:sz w:val="24"/>
          <w:szCs w:val="24"/>
        </w:rPr>
        <w:t>t</w:t>
      </w:r>
      <w:r w:rsidRPr="00F420AA">
        <w:rPr>
          <w:sz w:val="24"/>
          <w:szCs w:val="24"/>
        </w:rPr>
        <w:t>abulka č.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gridCol w:w="2693"/>
        <w:gridCol w:w="2127"/>
        <w:gridCol w:w="1874"/>
      </w:tblGrid>
      <w:tr w:rsidR="006C1917" w:rsidRPr="00EA385F" w:rsidTr="00F43B97">
        <w:trPr>
          <w:trHeight w:val="635"/>
        </w:trPr>
        <w:tc>
          <w:tcPr>
            <w:tcW w:w="2518" w:type="dxa"/>
            <w:vAlign w:val="center"/>
          </w:tcPr>
          <w:p w:rsidR="006C1917" w:rsidRPr="00F43B97" w:rsidRDefault="006C1917" w:rsidP="00F43B97">
            <w:pPr>
              <w:spacing w:after="0" w:line="240" w:lineRule="auto"/>
              <w:rPr>
                <w:b/>
                <w:bCs/>
              </w:rPr>
            </w:pPr>
            <w:r w:rsidRPr="00F43B97">
              <w:rPr>
                <w:b/>
                <w:bCs/>
              </w:rPr>
              <w:t>Parametr</w:t>
            </w:r>
          </w:p>
        </w:tc>
        <w:tc>
          <w:tcPr>
            <w:tcW w:w="2693" w:type="dxa"/>
            <w:vAlign w:val="center"/>
          </w:tcPr>
          <w:p w:rsidR="006C1917" w:rsidRPr="00F43B97" w:rsidRDefault="006C1917" w:rsidP="00F43B97">
            <w:pPr>
              <w:spacing w:after="0" w:line="240" w:lineRule="auto"/>
              <w:rPr>
                <w:b/>
                <w:bCs/>
              </w:rPr>
            </w:pPr>
            <w:r w:rsidRPr="00F43B97">
              <w:rPr>
                <w:b/>
                <w:bCs/>
                <w:noProof/>
                <w:lang w:eastAsia="cs-CZ"/>
              </w:rPr>
              <w:t>VVI(R)    n=94</w:t>
            </w:r>
          </w:p>
        </w:tc>
        <w:tc>
          <w:tcPr>
            <w:tcW w:w="2127" w:type="dxa"/>
            <w:vAlign w:val="center"/>
          </w:tcPr>
          <w:p w:rsidR="006C1917" w:rsidRPr="00F43B97" w:rsidRDefault="006C1917" w:rsidP="00F43B97">
            <w:pPr>
              <w:spacing w:after="0" w:line="240" w:lineRule="auto"/>
              <w:rPr>
                <w:b/>
                <w:bCs/>
              </w:rPr>
            </w:pPr>
            <w:r w:rsidRPr="00F43B97">
              <w:rPr>
                <w:b/>
                <w:bCs/>
              </w:rPr>
              <w:t>DDD(R)    n=136</w:t>
            </w:r>
          </w:p>
        </w:tc>
        <w:tc>
          <w:tcPr>
            <w:tcW w:w="1874" w:type="dxa"/>
            <w:vAlign w:val="center"/>
          </w:tcPr>
          <w:p w:rsidR="006C1917" w:rsidRPr="00F43B97" w:rsidRDefault="006C1917" w:rsidP="00F43B97">
            <w:pPr>
              <w:spacing w:after="0" w:line="240" w:lineRule="auto"/>
              <w:rPr>
                <w:b/>
                <w:bCs/>
              </w:rPr>
            </w:pPr>
            <w:r w:rsidRPr="00F43B97">
              <w:rPr>
                <w:b/>
                <w:bCs/>
              </w:rPr>
              <w:t>p (Mann-Whitney test)</w:t>
            </w:r>
          </w:p>
        </w:tc>
      </w:tr>
      <w:tr w:rsidR="006C1917" w:rsidRPr="00EA385F" w:rsidTr="00F43B97">
        <w:trPr>
          <w:trHeight w:val="672"/>
        </w:trPr>
        <w:tc>
          <w:tcPr>
            <w:tcW w:w="2518" w:type="dxa"/>
            <w:vAlign w:val="center"/>
          </w:tcPr>
          <w:p w:rsidR="006C1917" w:rsidRPr="00F43B97" w:rsidRDefault="006C1917" w:rsidP="00F43B97">
            <w:pPr>
              <w:spacing w:after="0" w:line="240" w:lineRule="auto"/>
              <w:rPr>
                <w:b/>
                <w:bCs/>
              </w:rPr>
            </w:pPr>
            <w:r w:rsidRPr="00F43B97">
              <w:rPr>
                <w:b/>
                <w:bCs/>
              </w:rPr>
              <w:t>TnI (ug/l) před implantací</w:t>
            </w:r>
          </w:p>
        </w:tc>
        <w:tc>
          <w:tcPr>
            <w:tcW w:w="2693" w:type="dxa"/>
            <w:vAlign w:val="center"/>
          </w:tcPr>
          <w:p w:rsidR="006C1917" w:rsidRPr="00F43B97" w:rsidRDefault="006C1917" w:rsidP="00F43B97">
            <w:pPr>
              <w:spacing w:after="0" w:line="240" w:lineRule="auto"/>
              <w:ind w:left="34"/>
              <w:rPr>
                <w:lang w:val="en-US"/>
              </w:rPr>
            </w:pPr>
            <w:r w:rsidRPr="00EA385F">
              <w:t>0,03</w:t>
            </w:r>
            <w:r w:rsidRPr="00F43B97">
              <w:rPr>
                <w:lang w:val="en-US"/>
              </w:rPr>
              <w:t>±</w:t>
            </w:r>
            <w:r w:rsidRPr="00EA385F">
              <w:t xml:space="preserve"> 0,09 (medián 0,01)</w:t>
            </w:r>
          </w:p>
        </w:tc>
        <w:tc>
          <w:tcPr>
            <w:tcW w:w="2127" w:type="dxa"/>
            <w:vAlign w:val="center"/>
          </w:tcPr>
          <w:p w:rsidR="006C1917" w:rsidRPr="00EA385F" w:rsidRDefault="006C1917" w:rsidP="00F43B97">
            <w:pPr>
              <w:spacing w:before="240" w:after="0" w:line="240" w:lineRule="auto"/>
            </w:pPr>
            <w:r w:rsidRPr="00EA385F">
              <w:t xml:space="preserve">0,02 </w:t>
            </w:r>
            <w:r w:rsidRPr="00F43B97">
              <w:rPr>
                <w:lang w:val="en-US"/>
              </w:rPr>
              <w:t>±</w:t>
            </w:r>
            <w:r w:rsidRPr="00EA385F">
              <w:t>0,05 (medián 0,01)</w:t>
            </w:r>
          </w:p>
        </w:tc>
        <w:tc>
          <w:tcPr>
            <w:tcW w:w="1874" w:type="dxa"/>
            <w:vAlign w:val="center"/>
          </w:tcPr>
          <w:p w:rsidR="006C1917" w:rsidRPr="00EA385F" w:rsidRDefault="006C1917" w:rsidP="00F43B97">
            <w:pPr>
              <w:spacing w:after="0" w:line="240" w:lineRule="auto"/>
            </w:pPr>
            <w:r w:rsidRPr="00EA385F">
              <w:t>p=0,047</w:t>
            </w:r>
          </w:p>
        </w:tc>
      </w:tr>
      <w:tr w:rsidR="006C1917" w:rsidRPr="00EA385F" w:rsidTr="00F43B97">
        <w:trPr>
          <w:trHeight w:val="635"/>
        </w:trPr>
        <w:tc>
          <w:tcPr>
            <w:tcW w:w="2518" w:type="dxa"/>
            <w:vAlign w:val="center"/>
          </w:tcPr>
          <w:p w:rsidR="006C1917" w:rsidRPr="00F43B97" w:rsidRDefault="006C1917" w:rsidP="00F43B97">
            <w:pPr>
              <w:spacing w:after="0" w:line="240" w:lineRule="auto"/>
              <w:rPr>
                <w:b/>
                <w:bCs/>
              </w:rPr>
            </w:pPr>
            <w:r w:rsidRPr="00F43B97">
              <w:rPr>
                <w:b/>
                <w:bCs/>
              </w:rPr>
              <w:t>TnI (ug/l) 6h po implantaci</w:t>
            </w:r>
          </w:p>
        </w:tc>
        <w:tc>
          <w:tcPr>
            <w:tcW w:w="2693" w:type="dxa"/>
            <w:vAlign w:val="center"/>
          </w:tcPr>
          <w:p w:rsidR="006C1917" w:rsidRPr="00EA385F" w:rsidRDefault="006C1917" w:rsidP="00F43B97">
            <w:pPr>
              <w:spacing w:after="0" w:line="240" w:lineRule="auto"/>
              <w:ind w:left="34"/>
            </w:pPr>
            <w:r w:rsidRPr="00EA385F">
              <w:t xml:space="preserve">0,12 </w:t>
            </w:r>
            <w:r w:rsidRPr="00F43B97">
              <w:rPr>
                <w:lang w:val="en-US"/>
              </w:rPr>
              <w:t>±</w:t>
            </w:r>
            <w:r w:rsidRPr="00EA385F">
              <w:t xml:space="preserve"> 0,10 (medián 0,08)</w:t>
            </w:r>
          </w:p>
        </w:tc>
        <w:tc>
          <w:tcPr>
            <w:tcW w:w="2127" w:type="dxa"/>
            <w:vAlign w:val="center"/>
          </w:tcPr>
          <w:p w:rsidR="006C1917" w:rsidRPr="00EA385F" w:rsidRDefault="006C1917" w:rsidP="00F43B97">
            <w:pPr>
              <w:spacing w:after="0" w:line="240" w:lineRule="auto"/>
              <w:ind w:left="34"/>
            </w:pPr>
            <w:r w:rsidRPr="00EA385F">
              <w:t xml:space="preserve">0,22 </w:t>
            </w:r>
            <w:r w:rsidRPr="00F43B97">
              <w:rPr>
                <w:lang w:val="en-US"/>
              </w:rPr>
              <w:t>±</w:t>
            </w:r>
            <w:r w:rsidRPr="00EA385F">
              <w:t xml:space="preserve"> 0,19 (medián 0,16)</w:t>
            </w:r>
          </w:p>
        </w:tc>
        <w:tc>
          <w:tcPr>
            <w:tcW w:w="1874" w:type="dxa"/>
            <w:vAlign w:val="center"/>
          </w:tcPr>
          <w:p w:rsidR="006C1917" w:rsidRPr="00EA385F" w:rsidRDefault="006C1917" w:rsidP="00F43B97">
            <w:pPr>
              <w:spacing w:after="0" w:line="240" w:lineRule="auto"/>
            </w:pPr>
            <w:r w:rsidRPr="00EA385F">
              <w:t>p&lt;0,001</w:t>
            </w:r>
          </w:p>
        </w:tc>
      </w:tr>
      <w:tr w:rsidR="006C1917" w:rsidRPr="00EA385F" w:rsidTr="00F43B97">
        <w:trPr>
          <w:trHeight w:val="635"/>
        </w:trPr>
        <w:tc>
          <w:tcPr>
            <w:tcW w:w="2518" w:type="dxa"/>
            <w:vAlign w:val="center"/>
          </w:tcPr>
          <w:p w:rsidR="006C1917" w:rsidRPr="00F43B97" w:rsidRDefault="006C1917" w:rsidP="00F43B97">
            <w:pPr>
              <w:spacing w:after="0" w:line="240" w:lineRule="auto"/>
              <w:rPr>
                <w:b/>
                <w:bCs/>
              </w:rPr>
            </w:pPr>
            <w:r w:rsidRPr="00F43B97">
              <w:rPr>
                <w:b/>
                <w:bCs/>
              </w:rPr>
              <w:t>Tn I (ug/l) 18 h po implantaci</w:t>
            </w:r>
          </w:p>
        </w:tc>
        <w:tc>
          <w:tcPr>
            <w:tcW w:w="2693" w:type="dxa"/>
            <w:vAlign w:val="center"/>
          </w:tcPr>
          <w:p w:rsidR="006C1917" w:rsidRPr="00F43B97" w:rsidRDefault="006C1917" w:rsidP="00F43B97">
            <w:pPr>
              <w:spacing w:after="0" w:line="240" w:lineRule="auto"/>
              <w:ind w:left="34"/>
              <w:rPr>
                <w:lang w:val="en-US"/>
              </w:rPr>
            </w:pPr>
            <w:r w:rsidRPr="00F43B97">
              <w:rPr>
                <w:lang w:val="en-US"/>
              </w:rPr>
              <w:t>0,07±0,25 (medián 0,04)</w:t>
            </w:r>
          </w:p>
        </w:tc>
        <w:tc>
          <w:tcPr>
            <w:tcW w:w="2127" w:type="dxa"/>
            <w:vAlign w:val="center"/>
          </w:tcPr>
          <w:p w:rsidR="006C1917" w:rsidRPr="00EA385F" w:rsidRDefault="006C1917" w:rsidP="00F43B97">
            <w:pPr>
              <w:spacing w:after="0" w:line="240" w:lineRule="auto"/>
              <w:ind w:left="34"/>
            </w:pPr>
            <w:r w:rsidRPr="00F43B97">
              <w:rPr>
                <w:lang w:val="en-US"/>
              </w:rPr>
              <w:t>0,10±0,11 (medián 0,06)</w:t>
            </w:r>
          </w:p>
        </w:tc>
        <w:tc>
          <w:tcPr>
            <w:tcW w:w="1874" w:type="dxa"/>
            <w:vAlign w:val="center"/>
          </w:tcPr>
          <w:p w:rsidR="006C1917" w:rsidRPr="00EA385F" w:rsidRDefault="006C1917" w:rsidP="00F43B97">
            <w:pPr>
              <w:spacing w:after="0" w:line="240" w:lineRule="auto"/>
            </w:pPr>
            <w:r w:rsidRPr="00EA385F">
              <w:t>p&lt;0,001</w:t>
            </w:r>
          </w:p>
        </w:tc>
      </w:tr>
      <w:tr w:rsidR="006C1917" w:rsidRPr="00EA385F" w:rsidTr="00F43B97">
        <w:trPr>
          <w:trHeight w:val="1095"/>
        </w:trPr>
        <w:tc>
          <w:tcPr>
            <w:tcW w:w="2518" w:type="dxa"/>
            <w:vAlign w:val="center"/>
          </w:tcPr>
          <w:p w:rsidR="006C1917" w:rsidRPr="00F43B97" w:rsidRDefault="006C1917" w:rsidP="00F43B97">
            <w:pPr>
              <w:spacing w:after="0" w:line="240" w:lineRule="auto"/>
              <w:rPr>
                <w:b/>
                <w:bCs/>
              </w:rPr>
            </w:pPr>
            <w:r w:rsidRPr="00F43B97">
              <w:rPr>
                <w:b/>
                <w:bCs/>
              </w:rPr>
              <w:t xml:space="preserve">p (před implantací vs za 6 </w:t>
            </w:r>
            <w:proofErr w:type="gramStart"/>
            <w:r w:rsidRPr="00F43B97">
              <w:rPr>
                <w:b/>
                <w:bCs/>
              </w:rPr>
              <w:t xml:space="preserve">hodin) </w:t>
            </w:r>
            <w:r w:rsidRPr="00F43B97">
              <w:rPr>
                <w:b/>
                <w:bCs/>
              </w:rPr>
              <w:br/>
              <w:t>(Wilcoxonův</w:t>
            </w:r>
            <w:proofErr w:type="gramEnd"/>
            <w:r w:rsidRPr="00F43B97">
              <w:rPr>
                <w:b/>
                <w:bCs/>
              </w:rPr>
              <w:t xml:space="preserve"> test)</w:t>
            </w:r>
          </w:p>
        </w:tc>
        <w:tc>
          <w:tcPr>
            <w:tcW w:w="2693" w:type="dxa"/>
            <w:vAlign w:val="center"/>
          </w:tcPr>
          <w:p w:rsidR="006C1917" w:rsidRPr="00EA385F" w:rsidRDefault="006C1917" w:rsidP="00F43B97">
            <w:pPr>
              <w:spacing w:after="0" w:line="240" w:lineRule="auto"/>
              <w:ind w:left="34"/>
            </w:pPr>
            <w:r w:rsidRPr="00EA385F">
              <w:t>p&lt;0,001</w:t>
            </w:r>
          </w:p>
          <w:p w:rsidR="006C1917" w:rsidRPr="00EA385F" w:rsidRDefault="006C1917" w:rsidP="00F43B97">
            <w:pPr>
              <w:spacing w:after="0" w:line="240" w:lineRule="auto"/>
              <w:ind w:left="34"/>
            </w:pPr>
          </w:p>
        </w:tc>
        <w:tc>
          <w:tcPr>
            <w:tcW w:w="2127" w:type="dxa"/>
            <w:vAlign w:val="center"/>
          </w:tcPr>
          <w:p w:rsidR="006C1917" w:rsidRPr="00EA385F" w:rsidRDefault="006C1917" w:rsidP="00F43B97">
            <w:pPr>
              <w:spacing w:after="0" w:line="240" w:lineRule="auto"/>
              <w:ind w:left="34"/>
            </w:pPr>
            <w:r w:rsidRPr="00EA385F">
              <w:t>p&lt;0,001</w:t>
            </w:r>
          </w:p>
          <w:p w:rsidR="006C1917" w:rsidRPr="00EA385F" w:rsidRDefault="006C1917" w:rsidP="00F43B97">
            <w:pPr>
              <w:spacing w:after="0" w:line="240" w:lineRule="auto"/>
              <w:ind w:left="34"/>
            </w:pPr>
          </w:p>
        </w:tc>
        <w:tc>
          <w:tcPr>
            <w:tcW w:w="1874" w:type="dxa"/>
            <w:vAlign w:val="center"/>
          </w:tcPr>
          <w:p w:rsidR="006C1917" w:rsidRPr="00EA385F" w:rsidRDefault="006C1917" w:rsidP="00F43B97">
            <w:pPr>
              <w:spacing w:after="0" w:line="240" w:lineRule="auto"/>
            </w:pPr>
          </w:p>
        </w:tc>
      </w:tr>
      <w:tr w:rsidR="006C1917" w:rsidRPr="00EA385F" w:rsidTr="00F43B97">
        <w:trPr>
          <w:trHeight w:val="1161"/>
        </w:trPr>
        <w:tc>
          <w:tcPr>
            <w:tcW w:w="2518" w:type="dxa"/>
            <w:vAlign w:val="center"/>
          </w:tcPr>
          <w:p w:rsidR="006C1917" w:rsidRPr="00F43B97" w:rsidRDefault="006C1917" w:rsidP="00F43B97">
            <w:pPr>
              <w:spacing w:after="0" w:line="240" w:lineRule="auto"/>
              <w:rPr>
                <w:b/>
                <w:bCs/>
              </w:rPr>
            </w:pPr>
            <w:r w:rsidRPr="00F43B97">
              <w:rPr>
                <w:b/>
                <w:bCs/>
              </w:rPr>
              <w:t>p (za 6h po implantaci vs 18 hodin po implantaci)</w:t>
            </w:r>
          </w:p>
          <w:p w:rsidR="006C1917" w:rsidRPr="00F43B97" w:rsidRDefault="006C1917" w:rsidP="00F43B97">
            <w:pPr>
              <w:spacing w:after="0" w:line="240" w:lineRule="auto"/>
              <w:rPr>
                <w:b/>
                <w:bCs/>
              </w:rPr>
            </w:pPr>
            <w:r w:rsidRPr="00F43B97">
              <w:rPr>
                <w:b/>
                <w:bCs/>
              </w:rPr>
              <w:t>(Wilcoxonův test)</w:t>
            </w:r>
          </w:p>
        </w:tc>
        <w:tc>
          <w:tcPr>
            <w:tcW w:w="2693" w:type="dxa"/>
            <w:vAlign w:val="center"/>
          </w:tcPr>
          <w:p w:rsidR="006C1917" w:rsidRPr="00EA385F" w:rsidRDefault="006C1917" w:rsidP="00F43B97">
            <w:pPr>
              <w:spacing w:after="0" w:line="240" w:lineRule="auto"/>
              <w:ind w:left="34"/>
            </w:pPr>
            <w:r w:rsidRPr="00EA385F">
              <w:t>p&lt;0,001</w:t>
            </w:r>
          </w:p>
          <w:p w:rsidR="006C1917" w:rsidRPr="00EA385F" w:rsidRDefault="006C1917" w:rsidP="00F43B97">
            <w:pPr>
              <w:spacing w:after="0" w:line="240" w:lineRule="auto"/>
              <w:ind w:left="34"/>
            </w:pPr>
          </w:p>
        </w:tc>
        <w:tc>
          <w:tcPr>
            <w:tcW w:w="2127" w:type="dxa"/>
            <w:vAlign w:val="center"/>
          </w:tcPr>
          <w:p w:rsidR="006C1917" w:rsidRPr="00EA385F" w:rsidRDefault="006C1917" w:rsidP="00F43B97">
            <w:pPr>
              <w:spacing w:after="0" w:line="240" w:lineRule="auto"/>
              <w:ind w:left="34"/>
            </w:pPr>
            <w:r w:rsidRPr="00EA385F">
              <w:t>p&lt;0,001</w:t>
            </w:r>
          </w:p>
          <w:p w:rsidR="006C1917" w:rsidRPr="00EA385F" w:rsidRDefault="006C1917" w:rsidP="00F43B97">
            <w:pPr>
              <w:spacing w:after="0" w:line="240" w:lineRule="auto"/>
              <w:ind w:left="34"/>
            </w:pPr>
          </w:p>
        </w:tc>
        <w:tc>
          <w:tcPr>
            <w:tcW w:w="1874" w:type="dxa"/>
            <w:vAlign w:val="center"/>
          </w:tcPr>
          <w:p w:rsidR="006C1917" w:rsidRPr="00EA385F" w:rsidRDefault="006C1917" w:rsidP="00F43B97">
            <w:pPr>
              <w:spacing w:after="0" w:line="240" w:lineRule="auto"/>
              <w:ind w:left="34"/>
            </w:pPr>
          </w:p>
        </w:tc>
      </w:tr>
    </w:tbl>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lastRenderedPageBreak/>
        <w:t>V celé studované skupině 230 pacientů byl výskyt positivního troponinu I před kardiostimulací zjištěn u 15 nemocných (7 %).</w:t>
      </w:r>
    </w:p>
    <w:p w:rsidR="006C1917" w:rsidRPr="00F420AA" w:rsidRDefault="006C1917" w:rsidP="002A5827">
      <w:pPr>
        <w:spacing w:line="360" w:lineRule="auto"/>
        <w:jc w:val="both"/>
        <w:rPr>
          <w:sz w:val="24"/>
          <w:szCs w:val="24"/>
        </w:rPr>
      </w:pPr>
      <w:r w:rsidRPr="00F420AA">
        <w:rPr>
          <w:sz w:val="24"/>
          <w:szCs w:val="24"/>
        </w:rPr>
        <w:t>Z celé skupiny 230 pacientů trpělo renální insuficiencí 48 pacientů, pouze 5 pacientů s renální insuficiencí vykazovalo vstupně pozitivitu troponinu, ostatních 10 nemocných s vstupní positivitou troponinu mělo normální hladinu kreatininu, rozdíl není</w:t>
      </w:r>
      <w:r>
        <w:rPr>
          <w:sz w:val="24"/>
          <w:szCs w:val="24"/>
        </w:rPr>
        <w:t xml:space="preserve"> signifikantní, p=0,24, χ² test</w:t>
      </w:r>
      <w:r w:rsidRPr="00F420AA">
        <w:rPr>
          <w:sz w:val="24"/>
          <w:szCs w:val="24"/>
        </w:rPr>
        <w:t xml:space="preserve"> </w:t>
      </w:r>
      <w:r>
        <w:rPr>
          <w:sz w:val="24"/>
          <w:szCs w:val="24"/>
        </w:rPr>
        <w:t xml:space="preserve">– viz graf </w:t>
      </w:r>
      <w:r w:rsidRPr="00F420AA">
        <w:rPr>
          <w:sz w:val="24"/>
          <w:szCs w:val="24"/>
        </w:rPr>
        <w:t>č.</w:t>
      </w:r>
      <w:r>
        <w:rPr>
          <w:sz w:val="24"/>
          <w:szCs w:val="24"/>
        </w:rPr>
        <w:t xml:space="preserve"> </w:t>
      </w:r>
      <w:r w:rsidRPr="00F420AA">
        <w:rPr>
          <w:sz w:val="24"/>
          <w:szCs w:val="24"/>
        </w:rPr>
        <w:t>2</w:t>
      </w:r>
    </w:p>
    <w:p w:rsidR="006C1917" w:rsidRPr="00F420AA" w:rsidRDefault="006C1917" w:rsidP="002A5827">
      <w:pPr>
        <w:spacing w:line="360" w:lineRule="auto"/>
        <w:jc w:val="both"/>
        <w:rPr>
          <w:sz w:val="24"/>
          <w:szCs w:val="24"/>
        </w:rPr>
      </w:pPr>
      <w:r w:rsidRPr="00F420AA">
        <w:rPr>
          <w:sz w:val="24"/>
          <w:szCs w:val="24"/>
        </w:rPr>
        <w:t>Renál</w:t>
      </w:r>
      <w:r>
        <w:rPr>
          <w:sz w:val="24"/>
          <w:szCs w:val="24"/>
        </w:rPr>
        <w:t>ní insuficience byla definována</w:t>
      </w:r>
      <w:r w:rsidRPr="00F420AA">
        <w:rPr>
          <w:sz w:val="24"/>
          <w:szCs w:val="24"/>
        </w:rPr>
        <w:t xml:space="preserve"> hladinou sérového kreatininu u žen &gt;1</w:t>
      </w:r>
      <w:r>
        <w:rPr>
          <w:sz w:val="24"/>
          <w:szCs w:val="24"/>
        </w:rPr>
        <w:t xml:space="preserve">10 mmol/l </w:t>
      </w:r>
      <w:r>
        <w:rPr>
          <w:sz w:val="24"/>
          <w:szCs w:val="24"/>
        </w:rPr>
        <w:br/>
        <w:t>a u mužů &gt; 125 mmol/l</w:t>
      </w:r>
      <w:r w:rsidRPr="00F420AA">
        <w:rPr>
          <w:sz w:val="24"/>
          <w:szCs w:val="24"/>
        </w:rPr>
        <w:t>.</w:t>
      </w:r>
    </w:p>
    <w:p w:rsidR="006C1917" w:rsidRPr="00F420AA" w:rsidRDefault="006C1917" w:rsidP="002A5827">
      <w:pPr>
        <w:spacing w:line="360" w:lineRule="auto"/>
        <w:jc w:val="both"/>
        <w:rPr>
          <w:sz w:val="24"/>
          <w:szCs w:val="24"/>
        </w:rPr>
      </w:pPr>
      <w:r>
        <w:rPr>
          <w:sz w:val="24"/>
          <w:szCs w:val="24"/>
        </w:rPr>
        <w:t xml:space="preserve">graf </w:t>
      </w:r>
      <w:r w:rsidRPr="00F420AA">
        <w:rPr>
          <w:sz w:val="24"/>
          <w:szCs w:val="24"/>
        </w:rPr>
        <w:t>č.</w:t>
      </w:r>
      <w:r>
        <w:rPr>
          <w:sz w:val="24"/>
          <w:szCs w:val="24"/>
        </w:rPr>
        <w:t xml:space="preserve"> </w:t>
      </w:r>
      <w:r w:rsidRPr="00F420AA">
        <w:rPr>
          <w:sz w:val="24"/>
          <w:szCs w:val="24"/>
        </w:rPr>
        <w:t>2</w:t>
      </w:r>
    </w:p>
    <w:p w:rsidR="006C1917" w:rsidRPr="00F420AA" w:rsidRDefault="000C52EC" w:rsidP="002A5827">
      <w:pPr>
        <w:spacing w:line="360" w:lineRule="auto"/>
        <w:jc w:val="both"/>
        <w:rPr>
          <w:sz w:val="24"/>
          <w:szCs w:val="24"/>
        </w:rPr>
      </w:pPr>
      <w:r>
        <w:rPr>
          <w:noProof/>
          <w:sz w:val="24"/>
          <w:szCs w:val="24"/>
          <w:lang w:eastAsia="cs-CZ"/>
        </w:rPr>
        <w:drawing>
          <wp:inline distT="0" distB="0" distL="0" distR="0">
            <wp:extent cx="5048250" cy="3333750"/>
            <wp:effectExtent l="0" t="0" r="0" b="0"/>
            <wp:docPr id="8" name="Graf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t xml:space="preserve">Zajímavý údaj představuje statisticky lehce vyšší hladina troponinu I u pacientů s jednodutinovou kardiostimulací. Po subanalýze této skupiny 94 nemocných jsme zjistili, </w:t>
      </w:r>
      <w:r>
        <w:rPr>
          <w:sz w:val="24"/>
          <w:szCs w:val="24"/>
        </w:rPr>
        <w:br/>
      </w:r>
      <w:r w:rsidRPr="00F420AA">
        <w:rPr>
          <w:sz w:val="24"/>
          <w:szCs w:val="24"/>
        </w:rPr>
        <w:t>že 82 pacientů mělo vstupní rytmus fibrilaci síní, 12 pacientů sinusový rytmus.  Ve skupině dvoudutinové stimulace měl 1 pacient paroxysmální fibrilaci síní, ostatních 135 mělo sinusový rytmus</w:t>
      </w:r>
      <w:r>
        <w:rPr>
          <w:sz w:val="24"/>
          <w:szCs w:val="24"/>
        </w:rPr>
        <w:t xml:space="preserve">. Viz graf </w:t>
      </w:r>
      <w:r w:rsidRPr="00F420AA">
        <w:rPr>
          <w:sz w:val="24"/>
          <w:szCs w:val="24"/>
        </w:rPr>
        <w:t>č. 3</w:t>
      </w:r>
      <w:r>
        <w:rPr>
          <w:sz w:val="24"/>
          <w:szCs w:val="24"/>
        </w:rPr>
        <w:t>.</w:t>
      </w: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Pr>
          <w:sz w:val="24"/>
          <w:szCs w:val="24"/>
        </w:rPr>
        <w:lastRenderedPageBreak/>
        <w:t xml:space="preserve">graf </w:t>
      </w:r>
      <w:r w:rsidRPr="00F420AA">
        <w:rPr>
          <w:sz w:val="24"/>
          <w:szCs w:val="24"/>
        </w:rPr>
        <w:t>č.</w:t>
      </w:r>
      <w:r>
        <w:rPr>
          <w:sz w:val="24"/>
          <w:szCs w:val="24"/>
        </w:rPr>
        <w:t xml:space="preserve"> </w:t>
      </w:r>
      <w:r w:rsidRPr="00F420AA">
        <w:rPr>
          <w:sz w:val="24"/>
          <w:szCs w:val="24"/>
        </w:rPr>
        <w:t>3 : Podíl výskytu sinusového rytmu resp. fibrilace síní k typu stimulace</w:t>
      </w:r>
    </w:p>
    <w:p w:rsidR="006C1917" w:rsidRPr="00F420AA" w:rsidRDefault="000C52EC" w:rsidP="002A5827">
      <w:pPr>
        <w:spacing w:line="360" w:lineRule="auto"/>
        <w:jc w:val="both"/>
        <w:rPr>
          <w:sz w:val="24"/>
          <w:szCs w:val="24"/>
        </w:rPr>
      </w:pPr>
      <w:r>
        <w:rPr>
          <w:noProof/>
          <w:sz w:val="24"/>
          <w:szCs w:val="24"/>
          <w:lang w:eastAsia="cs-CZ"/>
        </w:rPr>
        <w:drawing>
          <wp:inline distT="0" distB="0" distL="0" distR="0">
            <wp:extent cx="4105275" cy="3209925"/>
            <wp:effectExtent l="0" t="0" r="0" b="0"/>
            <wp:docPr id="9" name="Graf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C1917" w:rsidRPr="00F420AA"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t>Porovnáme-li hladinu troponinu ve skupině pacientů s fibrilací síní (n=83) a sinusovým rytmem (n=147)</w:t>
      </w:r>
      <w:r>
        <w:rPr>
          <w:sz w:val="24"/>
          <w:szCs w:val="24"/>
        </w:rPr>
        <w:t>,</w:t>
      </w:r>
      <w:r w:rsidRPr="00F420AA">
        <w:rPr>
          <w:sz w:val="24"/>
          <w:szCs w:val="24"/>
        </w:rPr>
        <w:t xml:space="preserve"> dojdeme k následujícímu zjištění (tab. 9): </w:t>
      </w:r>
    </w:p>
    <w:p w:rsidR="006C1917" w:rsidRPr="00F420AA" w:rsidRDefault="006C1917" w:rsidP="002A5827">
      <w:pPr>
        <w:spacing w:line="360" w:lineRule="auto"/>
        <w:jc w:val="both"/>
        <w:rPr>
          <w:sz w:val="24"/>
          <w:szCs w:val="24"/>
        </w:rPr>
      </w:pPr>
      <w:r w:rsidRPr="00F420AA">
        <w:rPr>
          <w:sz w:val="24"/>
          <w:szCs w:val="24"/>
        </w:rPr>
        <w:t>tabulka č.</w:t>
      </w:r>
      <w:r>
        <w:rPr>
          <w:sz w:val="24"/>
          <w:szCs w:val="24"/>
        </w:rPr>
        <w:t xml:space="preserve"> </w:t>
      </w:r>
      <w:r w:rsidRPr="00F420AA">
        <w:rPr>
          <w:sz w:val="24"/>
          <w:szCs w:val="24"/>
        </w:rPr>
        <w:t xml:space="preserve">9: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09"/>
        <w:gridCol w:w="867"/>
        <w:gridCol w:w="2597"/>
        <w:gridCol w:w="1498"/>
        <w:gridCol w:w="2398"/>
      </w:tblGrid>
      <w:tr w:rsidR="006C1917" w:rsidRPr="00F420AA" w:rsidTr="00F43B97">
        <w:trPr>
          <w:trHeight w:val="1070"/>
        </w:trPr>
        <w:tc>
          <w:tcPr>
            <w:tcW w:w="1409" w:type="dxa"/>
          </w:tcPr>
          <w:p w:rsidR="006C1917" w:rsidRPr="00F43B97" w:rsidRDefault="006C1917" w:rsidP="00F43B97">
            <w:pPr>
              <w:spacing w:line="360" w:lineRule="auto"/>
              <w:jc w:val="both"/>
              <w:rPr>
                <w:b/>
              </w:rPr>
            </w:pPr>
            <w:r w:rsidRPr="00F43B97">
              <w:rPr>
                <w:b/>
              </w:rPr>
              <w:t>rytmus</w:t>
            </w:r>
          </w:p>
        </w:tc>
        <w:tc>
          <w:tcPr>
            <w:tcW w:w="867" w:type="dxa"/>
          </w:tcPr>
          <w:p w:rsidR="006C1917" w:rsidRPr="00F43B97" w:rsidRDefault="006C1917" w:rsidP="00F43B97">
            <w:pPr>
              <w:spacing w:line="360" w:lineRule="auto"/>
              <w:jc w:val="both"/>
              <w:rPr>
                <w:b/>
              </w:rPr>
            </w:pPr>
            <w:r w:rsidRPr="00F43B97">
              <w:rPr>
                <w:b/>
              </w:rPr>
              <w:t>n</w:t>
            </w:r>
          </w:p>
        </w:tc>
        <w:tc>
          <w:tcPr>
            <w:tcW w:w="2597" w:type="dxa"/>
          </w:tcPr>
          <w:p w:rsidR="006C1917" w:rsidRPr="00F43B97" w:rsidRDefault="006C1917" w:rsidP="00F43B97">
            <w:pPr>
              <w:spacing w:line="360" w:lineRule="auto"/>
              <w:jc w:val="both"/>
              <w:rPr>
                <w:b/>
              </w:rPr>
            </w:pPr>
            <w:r w:rsidRPr="00F43B97">
              <w:rPr>
                <w:b/>
              </w:rPr>
              <w:t>hladina troponinu I (ug/l)</w:t>
            </w:r>
          </w:p>
        </w:tc>
        <w:tc>
          <w:tcPr>
            <w:tcW w:w="1498" w:type="dxa"/>
          </w:tcPr>
          <w:p w:rsidR="006C1917" w:rsidRPr="00F43B97" w:rsidRDefault="006C1917" w:rsidP="00F43B97">
            <w:pPr>
              <w:spacing w:line="360" w:lineRule="auto"/>
              <w:jc w:val="both"/>
              <w:rPr>
                <w:b/>
              </w:rPr>
            </w:pPr>
            <w:r w:rsidRPr="00F43B97">
              <w:rPr>
                <w:b/>
              </w:rPr>
              <w:t>medián</w:t>
            </w:r>
          </w:p>
        </w:tc>
        <w:tc>
          <w:tcPr>
            <w:tcW w:w="2398" w:type="dxa"/>
          </w:tcPr>
          <w:p w:rsidR="006C1917" w:rsidRPr="00F43B97" w:rsidRDefault="006C1917" w:rsidP="00F43B97">
            <w:pPr>
              <w:spacing w:line="360" w:lineRule="auto"/>
              <w:jc w:val="both"/>
              <w:rPr>
                <w:b/>
              </w:rPr>
            </w:pPr>
            <w:r w:rsidRPr="00F43B97">
              <w:rPr>
                <w:b/>
              </w:rPr>
              <w:t xml:space="preserve">Počet pozitivních hodnot TnI /% </w:t>
            </w:r>
          </w:p>
        </w:tc>
      </w:tr>
      <w:tr w:rsidR="006C1917" w:rsidRPr="00F420AA" w:rsidTr="00F43B97">
        <w:trPr>
          <w:trHeight w:val="646"/>
        </w:trPr>
        <w:tc>
          <w:tcPr>
            <w:tcW w:w="1409" w:type="dxa"/>
          </w:tcPr>
          <w:p w:rsidR="006C1917" w:rsidRPr="00F43B97" w:rsidRDefault="006C1917" w:rsidP="00F43B97">
            <w:pPr>
              <w:spacing w:line="360" w:lineRule="auto"/>
              <w:jc w:val="both"/>
              <w:rPr>
                <w:b/>
              </w:rPr>
            </w:pPr>
            <w:r w:rsidRPr="00F43B97">
              <w:rPr>
                <w:b/>
              </w:rPr>
              <w:t>fibrilace síní</w:t>
            </w:r>
          </w:p>
        </w:tc>
        <w:tc>
          <w:tcPr>
            <w:tcW w:w="867" w:type="dxa"/>
          </w:tcPr>
          <w:p w:rsidR="006C1917" w:rsidRPr="00A926EF" w:rsidRDefault="006C1917" w:rsidP="00F43B97">
            <w:pPr>
              <w:spacing w:line="360" w:lineRule="auto"/>
              <w:jc w:val="both"/>
            </w:pPr>
            <w:r w:rsidRPr="00A926EF">
              <w:t>83</w:t>
            </w:r>
          </w:p>
        </w:tc>
        <w:tc>
          <w:tcPr>
            <w:tcW w:w="2597" w:type="dxa"/>
          </w:tcPr>
          <w:p w:rsidR="006C1917" w:rsidRPr="00A926EF" w:rsidRDefault="006C1917" w:rsidP="00F43B97">
            <w:pPr>
              <w:spacing w:line="360" w:lineRule="auto"/>
              <w:jc w:val="both"/>
            </w:pPr>
            <w:r w:rsidRPr="00A926EF">
              <w:t>0,03</w:t>
            </w:r>
            <w:r w:rsidRPr="00F43B97">
              <w:rPr>
                <w:rFonts w:ascii="Times New Roman" w:hAnsi="Times New Roman"/>
              </w:rPr>
              <w:t>±</w:t>
            </w:r>
            <w:r w:rsidRPr="00A926EF">
              <w:t>0,10</w:t>
            </w:r>
          </w:p>
        </w:tc>
        <w:tc>
          <w:tcPr>
            <w:tcW w:w="1498" w:type="dxa"/>
          </w:tcPr>
          <w:p w:rsidR="006C1917" w:rsidRPr="00A926EF" w:rsidRDefault="006C1917" w:rsidP="00F43B97">
            <w:pPr>
              <w:spacing w:line="360" w:lineRule="auto"/>
              <w:jc w:val="both"/>
            </w:pPr>
            <w:r w:rsidRPr="00A926EF">
              <w:t>0,01</w:t>
            </w:r>
          </w:p>
        </w:tc>
        <w:tc>
          <w:tcPr>
            <w:tcW w:w="2398" w:type="dxa"/>
          </w:tcPr>
          <w:p w:rsidR="006C1917" w:rsidRPr="00A926EF" w:rsidRDefault="006C1917" w:rsidP="00F43B97">
            <w:pPr>
              <w:spacing w:line="360" w:lineRule="auto"/>
              <w:jc w:val="both"/>
            </w:pPr>
            <w:r w:rsidRPr="00A926EF">
              <w:t>7 (8,4%)</w:t>
            </w:r>
          </w:p>
        </w:tc>
      </w:tr>
      <w:tr w:rsidR="006C1917" w:rsidRPr="00F420AA" w:rsidTr="00F43B97">
        <w:trPr>
          <w:trHeight w:val="1070"/>
        </w:trPr>
        <w:tc>
          <w:tcPr>
            <w:tcW w:w="1409" w:type="dxa"/>
          </w:tcPr>
          <w:p w:rsidR="006C1917" w:rsidRPr="00F43B97" w:rsidRDefault="006C1917" w:rsidP="00F43B97">
            <w:pPr>
              <w:spacing w:line="360" w:lineRule="auto"/>
              <w:jc w:val="both"/>
              <w:rPr>
                <w:b/>
              </w:rPr>
            </w:pPr>
            <w:r w:rsidRPr="00F43B97">
              <w:rPr>
                <w:b/>
              </w:rPr>
              <w:t>sinusový rytmus</w:t>
            </w:r>
          </w:p>
        </w:tc>
        <w:tc>
          <w:tcPr>
            <w:tcW w:w="867" w:type="dxa"/>
          </w:tcPr>
          <w:p w:rsidR="006C1917" w:rsidRPr="00A926EF" w:rsidRDefault="006C1917" w:rsidP="00F43B97">
            <w:pPr>
              <w:spacing w:line="360" w:lineRule="auto"/>
              <w:jc w:val="both"/>
            </w:pPr>
            <w:r w:rsidRPr="00A926EF">
              <w:t>147</w:t>
            </w:r>
          </w:p>
        </w:tc>
        <w:tc>
          <w:tcPr>
            <w:tcW w:w="2597" w:type="dxa"/>
          </w:tcPr>
          <w:p w:rsidR="006C1917" w:rsidRPr="00A926EF" w:rsidRDefault="006C1917" w:rsidP="00F43B97">
            <w:pPr>
              <w:spacing w:line="360" w:lineRule="auto"/>
              <w:jc w:val="both"/>
            </w:pPr>
            <w:r w:rsidRPr="00A926EF">
              <w:t>0,02</w:t>
            </w:r>
            <w:r w:rsidRPr="00F43B97">
              <w:rPr>
                <w:rFonts w:ascii="Times New Roman" w:hAnsi="Times New Roman"/>
              </w:rPr>
              <w:t>±</w:t>
            </w:r>
            <w:r w:rsidRPr="00A926EF">
              <w:t>0,05</w:t>
            </w:r>
          </w:p>
        </w:tc>
        <w:tc>
          <w:tcPr>
            <w:tcW w:w="1498" w:type="dxa"/>
          </w:tcPr>
          <w:p w:rsidR="006C1917" w:rsidRPr="00A926EF" w:rsidRDefault="006C1917" w:rsidP="00F43B97">
            <w:pPr>
              <w:spacing w:line="360" w:lineRule="auto"/>
              <w:jc w:val="both"/>
            </w:pPr>
            <w:r w:rsidRPr="00A926EF">
              <w:t>0,01</w:t>
            </w:r>
          </w:p>
        </w:tc>
        <w:tc>
          <w:tcPr>
            <w:tcW w:w="2398" w:type="dxa"/>
          </w:tcPr>
          <w:p w:rsidR="006C1917" w:rsidRPr="00A926EF" w:rsidRDefault="006C1917" w:rsidP="00F43B97">
            <w:pPr>
              <w:spacing w:line="360" w:lineRule="auto"/>
              <w:jc w:val="both"/>
            </w:pPr>
            <w:r w:rsidRPr="00A926EF">
              <w:t>8 (5,4%)</w:t>
            </w:r>
          </w:p>
        </w:tc>
      </w:tr>
      <w:tr w:rsidR="006C1917" w:rsidRPr="00F420AA" w:rsidTr="00F43B97">
        <w:trPr>
          <w:trHeight w:val="859"/>
        </w:trPr>
        <w:tc>
          <w:tcPr>
            <w:tcW w:w="1409" w:type="dxa"/>
          </w:tcPr>
          <w:p w:rsidR="006C1917" w:rsidRPr="00F43B97" w:rsidRDefault="006C1917" w:rsidP="00F43B97">
            <w:pPr>
              <w:spacing w:line="360" w:lineRule="auto"/>
              <w:jc w:val="both"/>
              <w:rPr>
                <w:b/>
              </w:rPr>
            </w:pPr>
            <w:r w:rsidRPr="00F43B97">
              <w:rPr>
                <w:b/>
              </w:rPr>
              <w:t>p</w:t>
            </w:r>
          </w:p>
        </w:tc>
        <w:tc>
          <w:tcPr>
            <w:tcW w:w="867" w:type="dxa"/>
          </w:tcPr>
          <w:p w:rsidR="006C1917" w:rsidRPr="00A926EF" w:rsidRDefault="006C1917" w:rsidP="00F43B97">
            <w:pPr>
              <w:spacing w:line="360" w:lineRule="auto"/>
              <w:jc w:val="both"/>
            </w:pPr>
          </w:p>
        </w:tc>
        <w:tc>
          <w:tcPr>
            <w:tcW w:w="2597" w:type="dxa"/>
          </w:tcPr>
          <w:p w:rsidR="006C1917" w:rsidRPr="00A926EF" w:rsidRDefault="006C1917" w:rsidP="00F43B97">
            <w:pPr>
              <w:spacing w:line="360" w:lineRule="auto"/>
              <w:jc w:val="both"/>
            </w:pPr>
            <w:r>
              <w:t>p=0,02</w:t>
            </w:r>
            <w:r w:rsidRPr="00A926EF">
              <w:t>, Mann-Whitney test</w:t>
            </w:r>
          </w:p>
        </w:tc>
        <w:tc>
          <w:tcPr>
            <w:tcW w:w="1498" w:type="dxa"/>
          </w:tcPr>
          <w:p w:rsidR="006C1917" w:rsidRPr="00A926EF" w:rsidRDefault="006C1917" w:rsidP="00F43B97">
            <w:pPr>
              <w:spacing w:line="360" w:lineRule="auto"/>
              <w:jc w:val="both"/>
            </w:pPr>
          </w:p>
        </w:tc>
        <w:tc>
          <w:tcPr>
            <w:tcW w:w="2398" w:type="dxa"/>
          </w:tcPr>
          <w:p w:rsidR="006C1917" w:rsidRPr="00A926EF" w:rsidRDefault="006C1917" w:rsidP="00F43B97">
            <w:pPr>
              <w:spacing w:line="360" w:lineRule="auto"/>
              <w:jc w:val="both"/>
            </w:pPr>
            <w:r w:rsidRPr="00A926EF">
              <w:t>p=0,25,  χ² test</w:t>
            </w:r>
          </w:p>
        </w:tc>
      </w:tr>
    </w:tbl>
    <w:p w:rsidR="006C1917" w:rsidRPr="00F420AA"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lastRenderedPageBreak/>
        <w:t>Ve skupině pacientů s fibrilací síní indikovaných k primoimplantaci kardiostimulátoru je hladina troponinu I vyšší oproti skupině se sinusovým rytmem.  Průměrná hodnota ve skupině fibrilace síní ale nepřesahuje 99.</w:t>
      </w:r>
      <w:r>
        <w:rPr>
          <w:sz w:val="24"/>
          <w:szCs w:val="24"/>
        </w:rPr>
        <w:t xml:space="preserve"> </w:t>
      </w:r>
      <w:r w:rsidRPr="00F420AA">
        <w:rPr>
          <w:sz w:val="24"/>
          <w:szCs w:val="24"/>
        </w:rPr>
        <w:t>percentil, rozdíl oproti skupině se sinusovým rytmem je statisticky signifikantní za použití Mann Whitney testu. Posoudíme-li obě skupiny výskytem počtu positivních nálezů troponinu I (tedy hodnota vyšší než 99.</w:t>
      </w:r>
      <w:r>
        <w:rPr>
          <w:sz w:val="24"/>
          <w:szCs w:val="24"/>
        </w:rPr>
        <w:t xml:space="preserve"> </w:t>
      </w:r>
      <w:r w:rsidRPr="00F420AA">
        <w:rPr>
          <w:sz w:val="24"/>
          <w:szCs w:val="24"/>
        </w:rPr>
        <w:t>percentil), nacházíme ve skupině pacientů se vstupním rytmem fibrilace síní 7 positivních nálezů (8,4</w:t>
      </w:r>
      <w:r>
        <w:rPr>
          <w:sz w:val="24"/>
          <w:szCs w:val="24"/>
        </w:rPr>
        <w:t xml:space="preserve"> </w:t>
      </w:r>
      <w:r w:rsidRPr="00F420AA">
        <w:rPr>
          <w:sz w:val="24"/>
          <w:szCs w:val="24"/>
        </w:rPr>
        <w:t>%) a ve skupině se zachovalým sinusovým rytmem 8 nemocných</w:t>
      </w:r>
      <w:r>
        <w:rPr>
          <w:sz w:val="24"/>
          <w:szCs w:val="24"/>
        </w:rPr>
        <w:t xml:space="preserve"> </w:t>
      </w:r>
      <w:r w:rsidRPr="00F420AA">
        <w:rPr>
          <w:sz w:val="24"/>
          <w:szCs w:val="24"/>
        </w:rPr>
        <w:t>(5,4</w:t>
      </w:r>
      <w:r>
        <w:rPr>
          <w:sz w:val="24"/>
          <w:szCs w:val="24"/>
        </w:rPr>
        <w:t xml:space="preserve"> </w:t>
      </w:r>
      <w:r w:rsidRPr="00F420AA">
        <w:rPr>
          <w:sz w:val="24"/>
          <w:szCs w:val="24"/>
        </w:rPr>
        <w:t xml:space="preserve">%). Tento  rozíl nedosáhl statistické signifikance, p=0,25, χ² test.   </w:t>
      </w:r>
    </w:p>
    <w:p w:rsidR="006C1917" w:rsidRPr="00F420AA" w:rsidRDefault="006C1917" w:rsidP="002A5827">
      <w:pPr>
        <w:spacing w:line="360" w:lineRule="auto"/>
        <w:jc w:val="both"/>
        <w:rPr>
          <w:sz w:val="24"/>
          <w:szCs w:val="24"/>
        </w:rPr>
      </w:pPr>
      <w:r w:rsidRPr="00F420AA">
        <w:rPr>
          <w:sz w:val="24"/>
          <w:szCs w:val="24"/>
        </w:rPr>
        <w:t>Prokázali jsme statisticky významnou korelaci nárůstu hladiny troponinu po primoimplantaci k nárůstu skiaskopického času (Spe</w:t>
      </w:r>
      <w:r w:rsidR="0042201F">
        <w:rPr>
          <w:sz w:val="24"/>
          <w:szCs w:val="24"/>
        </w:rPr>
        <w:t>a</w:t>
      </w:r>
      <w:r w:rsidRPr="00F420AA">
        <w:rPr>
          <w:sz w:val="24"/>
          <w:szCs w:val="24"/>
        </w:rPr>
        <w:t>rmanův korelační koeficient = 0,39, p&lt;0,001 a 0,37, p&lt;0,001 po 6 resp. 18 hodinách). Viz graf č.</w:t>
      </w:r>
      <w:r>
        <w:rPr>
          <w:sz w:val="24"/>
          <w:szCs w:val="24"/>
        </w:rPr>
        <w:t xml:space="preserve"> </w:t>
      </w:r>
      <w:r w:rsidRPr="00F420AA">
        <w:rPr>
          <w:sz w:val="24"/>
          <w:szCs w:val="24"/>
        </w:rPr>
        <w:t>4 a graf č.</w:t>
      </w:r>
      <w:r>
        <w:rPr>
          <w:sz w:val="24"/>
          <w:szCs w:val="24"/>
        </w:rPr>
        <w:t xml:space="preserve"> </w:t>
      </w:r>
      <w:r w:rsidRPr="00F420AA">
        <w:rPr>
          <w:sz w:val="24"/>
          <w:szCs w:val="24"/>
        </w:rPr>
        <w:t>5</w:t>
      </w: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Pr>
          <w:sz w:val="24"/>
          <w:szCs w:val="24"/>
        </w:rPr>
        <w:t xml:space="preserve">graf </w:t>
      </w:r>
      <w:r w:rsidRPr="00F420AA">
        <w:rPr>
          <w:sz w:val="24"/>
          <w:szCs w:val="24"/>
        </w:rPr>
        <w:t>č.</w:t>
      </w:r>
      <w:r>
        <w:rPr>
          <w:sz w:val="24"/>
          <w:szCs w:val="24"/>
        </w:rPr>
        <w:t xml:space="preserve"> </w:t>
      </w:r>
      <w:r w:rsidRPr="00F420AA">
        <w:rPr>
          <w:sz w:val="24"/>
          <w:szCs w:val="24"/>
        </w:rPr>
        <w:t>4</w:t>
      </w:r>
      <w:r w:rsidRPr="0026033C">
        <w:rPr>
          <w:sz w:val="24"/>
          <w:szCs w:val="24"/>
        </w:rPr>
        <w:t>:</w:t>
      </w:r>
      <w:r>
        <w:rPr>
          <w:sz w:val="24"/>
          <w:szCs w:val="24"/>
        </w:rPr>
        <w:t xml:space="preserve"> </w:t>
      </w:r>
      <w:r w:rsidRPr="0026033C">
        <w:rPr>
          <w:b/>
          <w:sz w:val="24"/>
          <w:szCs w:val="24"/>
        </w:rPr>
        <w:t>Vztah mezi hodnotami troponinu I za 6 h. po primoimplantaci a skiaskopického času:</w:t>
      </w:r>
      <w:r>
        <w:rPr>
          <w:sz w:val="24"/>
          <w:szCs w:val="24"/>
        </w:rPr>
        <w:t xml:space="preserve"> </w:t>
      </w:r>
      <w:r w:rsidRPr="00F420AA">
        <w:rPr>
          <w:sz w:val="24"/>
          <w:szCs w:val="24"/>
        </w:rPr>
        <w:t>(Spe</w:t>
      </w:r>
      <w:r w:rsidR="0042201F">
        <w:rPr>
          <w:sz w:val="24"/>
          <w:szCs w:val="24"/>
        </w:rPr>
        <w:t>a</w:t>
      </w:r>
      <w:r w:rsidRPr="00F420AA">
        <w:rPr>
          <w:sz w:val="24"/>
          <w:szCs w:val="24"/>
        </w:rPr>
        <w:t>rmanův korelační koeficient = 0,39, p&lt;0,001)</w:t>
      </w:r>
    </w:p>
    <w:p w:rsidR="006C1917" w:rsidRPr="00F420AA" w:rsidRDefault="00D904E8" w:rsidP="002A5827">
      <w:pPr>
        <w:spacing w:line="360" w:lineRule="auto"/>
        <w:jc w:val="both"/>
        <w:rPr>
          <w:sz w:val="24"/>
          <w:szCs w:val="24"/>
        </w:rPr>
      </w:pPr>
      <w:r w:rsidRPr="00D904E8">
        <w:rPr>
          <w:noProof/>
          <w:lang w:eastAsia="cs-CZ"/>
        </w:rPr>
        <w:pict>
          <v:shape id="_x0000_s1098" type="#_x0000_t32" style="position:absolute;left:0;text-align:left;margin-left:1.15pt;margin-top:240.8pt;width:428.25pt;height:0;z-index:251693056" o:connectortype="straight"/>
        </w:pict>
      </w:r>
      <w:r w:rsidRPr="00D904E8">
        <w:rPr>
          <w:noProof/>
          <w:lang w:eastAsia="cs-CZ"/>
        </w:rPr>
        <w:pict>
          <v:shape id="_x0000_s1086" type="#_x0000_t32" style="position:absolute;left:0;text-align:left;margin-left:1.15pt;margin-top:240.05pt;width:428.25pt;height:.75pt;z-index:251686912" o:connectortype="straight"/>
        </w:pict>
      </w:r>
      <w:r w:rsidRPr="00D904E8">
        <w:rPr>
          <w:noProof/>
          <w:lang w:eastAsia="cs-CZ"/>
        </w:rPr>
        <w:pict>
          <v:oval id="_x0000_s1071" style="position:absolute;left:0;text-align:left;margin-left:103.75pt;margin-top:126.3pt;width:100.35pt;height:81.6pt;z-index:251637760" fillcolor="red" strokecolor="red" strokeweight="1pt">
            <v:fill opacity="0"/>
          </v:oval>
        </w:pict>
      </w:r>
      <w:r w:rsidRPr="00D904E8">
        <w:rPr>
          <w:noProof/>
          <w:lang w:eastAsia="cs-CZ"/>
        </w:rPr>
        <w:pict>
          <v:shape id="_x0000_s1072" type="#_x0000_t32" style="position:absolute;left:0;text-align:left;margin-left:103.75pt;margin-top:123.9pt;width:87pt;height:84pt;z-index:251633664" o:connectortype="straight" strokecolor="#f2f2f2" strokeweight="2pt">
            <v:shadow type="perspective" color="#622423" opacity=".5" offset="1pt" offset2="-1pt"/>
          </v:shape>
        </w:pict>
      </w:r>
      <w:r w:rsidRPr="00D904E8">
        <w:rPr>
          <w:noProof/>
          <w:lang w:eastAsia="cs-CZ"/>
        </w:rPr>
        <w:pict>
          <v:shape id="_x0000_s1073" type="#_x0000_t32" style="position:absolute;left:0;text-align:left;margin-left:94.9pt;margin-top:135.9pt;width:120.75pt;height:64.5pt;flip:y;z-index:251632640" o:connectortype="straight" strokecolor="#f2f2f2" strokeweight="2pt">
            <v:shadow type="perspective" color="#622423" opacity=".5" offset="1pt" offset2="-1pt"/>
          </v:shape>
        </w:pict>
      </w:r>
      <w:r w:rsidR="000C52EC">
        <w:rPr>
          <w:noProof/>
          <w:sz w:val="24"/>
          <w:szCs w:val="24"/>
          <w:lang w:eastAsia="cs-CZ"/>
        </w:rPr>
        <w:drawing>
          <wp:inline distT="0" distB="0" distL="0" distR="0">
            <wp:extent cx="5448300" cy="3057525"/>
            <wp:effectExtent l="19050" t="0" r="0" b="0"/>
            <wp:docPr id="10" name="obráze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rrowheads="1"/>
                    </pic:cNvPicPr>
                  </pic:nvPicPr>
                  <pic:blipFill>
                    <a:blip r:embed="rId17"/>
                    <a:srcRect/>
                    <a:stretch>
                      <a:fillRect/>
                    </a:stretch>
                  </pic:blipFill>
                  <pic:spPr bwMode="auto">
                    <a:xfrm>
                      <a:off x="0" y="0"/>
                      <a:ext cx="5448300" cy="3057525"/>
                    </a:xfrm>
                    <a:prstGeom prst="rect">
                      <a:avLst/>
                    </a:prstGeom>
                    <a:noFill/>
                    <a:ln w="9525">
                      <a:noFill/>
                      <a:miter lim="800000"/>
                      <a:headEnd/>
                      <a:tailEnd/>
                    </a:ln>
                  </pic:spPr>
                </pic:pic>
              </a:graphicData>
            </a:graphic>
          </wp:inline>
        </w:drawing>
      </w:r>
    </w:p>
    <w:p w:rsidR="006C1917" w:rsidRPr="00F420AA"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b/>
          <w:sz w:val="24"/>
          <w:szCs w:val="24"/>
        </w:rPr>
      </w:pPr>
      <w:r w:rsidRPr="00F420AA">
        <w:rPr>
          <w:sz w:val="24"/>
          <w:szCs w:val="24"/>
        </w:rPr>
        <w:lastRenderedPageBreak/>
        <w:t>graf č.</w:t>
      </w:r>
      <w:r>
        <w:rPr>
          <w:sz w:val="24"/>
          <w:szCs w:val="24"/>
        </w:rPr>
        <w:t xml:space="preserve"> </w:t>
      </w:r>
      <w:r w:rsidRPr="00F420AA">
        <w:rPr>
          <w:sz w:val="24"/>
          <w:szCs w:val="24"/>
        </w:rPr>
        <w:t>5</w:t>
      </w:r>
      <w:r>
        <w:rPr>
          <w:sz w:val="24"/>
          <w:szCs w:val="24"/>
        </w:rPr>
        <w:t xml:space="preserve"> </w:t>
      </w:r>
      <w:r w:rsidRPr="00F420AA">
        <w:rPr>
          <w:b/>
          <w:sz w:val="24"/>
          <w:szCs w:val="24"/>
        </w:rPr>
        <w:t xml:space="preserve">Vztah mezi hodnotami troponinu I za 18 h. po primoimplantaci a skiaskopického času: </w:t>
      </w:r>
      <w:r w:rsidRPr="00F420AA">
        <w:rPr>
          <w:sz w:val="24"/>
          <w:szCs w:val="24"/>
        </w:rPr>
        <w:t>(Spermanův korelační koeficient = 0,37, p&lt;0,001)</w:t>
      </w:r>
    </w:p>
    <w:p w:rsidR="006C1917" w:rsidRPr="00F420AA" w:rsidRDefault="00D904E8" w:rsidP="002A5827">
      <w:pPr>
        <w:spacing w:line="360" w:lineRule="auto"/>
        <w:jc w:val="both"/>
        <w:rPr>
          <w:sz w:val="24"/>
          <w:szCs w:val="24"/>
        </w:rPr>
      </w:pPr>
      <w:r w:rsidRPr="00D904E8">
        <w:rPr>
          <w:noProof/>
          <w:lang w:eastAsia="cs-CZ"/>
        </w:rPr>
        <w:pict>
          <v:shape id="_x0000_s1099" type="#_x0000_t32" style="position:absolute;left:0;text-align:left;margin-left:3.4pt;margin-top:213.45pt;width:453pt;height:0;z-index:251694080" o:connectortype="straight"/>
        </w:pict>
      </w:r>
      <w:r w:rsidRPr="00D904E8">
        <w:rPr>
          <w:noProof/>
          <w:lang w:eastAsia="cs-CZ"/>
        </w:rPr>
        <w:pict>
          <v:shape id="_x0000_s1085" type="#_x0000_t32" style="position:absolute;left:0;text-align:left;margin-left:3.4pt;margin-top:213.45pt;width:453pt;height:0;z-index:251685888" o:connectortype="straight"/>
        </w:pict>
      </w:r>
      <w:r w:rsidRPr="00D904E8">
        <w:rPr>
          <w:noProof/>
          <w:lang w:eastAsia="cs-CZ"/>
        </w:rPr>
        <w:pict>
          <v:shape id="_x0000_s1074" type="#_x0000_t32" style="position:absolute;left:0;text-align:left;margin-left:134.8pt;margin-top:86.75pt;width:132.75pt;height:67.65pt;z-index:251635712" o:connectortype="straight" strokecolor="#f2f2f2" strokeweight="2pt">
            <v:shadow type="perspective" color="#622423" opacity=".5" offset="1pt" offset2="-1pt"/>
          </v:shape>
        </w:pict>
      </w:r>
      <w:r w:rsidRPr="00D904E8">
        <w:rPr>
          <w:noProof/>
          <w:lang w:eastAsia="cs-CZ"/>
        </w:rPr>
        <w:pict>
          <v:shape id="_x0000_s1075" type="#_x0000_t32" style="position:absolute;left:0;text-align:left;margin-left:130.3pt;margin-top:137.9pt;width:137.25pt;height:16.5pt;flip:y;z-index:251634688" o:connectortype="straight" strokecolor="#f2f2f2" strokeweight="2pt">
            <v:shadow type="perspective" color="#622423" opacity=".5" offset="1pt" offset2="-1pt"/>
          </v:shape>
        </w:pict>
      </w:r>
      <w:r w:rsidR="000C52EC">
        <w:rPr>
          <w:noProof/>
          <w:sz w:val="24"/>
          <w:szCs w:val="24"/>
          <w:lang w:eastAsia="cs-CZ"/>
        </w:rPr>
        <w:drawing>
          <wp:inline distT="0" distB="0" distL="0" distR="0">
            <wp:extent cx="5800725" cy="2724150"/>
            <wp:effectExtent l="19050" t="0" r="9525" b="0"/>
            <wp:docPr id="11" name="Graf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2"/>
                    <pic:cNvPicPr>
                      <a:picLocks noChangeArrowheads="1"/>
                    </pic:cNvPicPr>
                  </pic:nvPicPr>
                  <pic:blipFill>
                    <a:blip r:embed="rId18"/>
                    <a:srcRect b="-93"/>
                    <a:stretch>
                      <a:fillRect/>
                    </a:stretch>
                  </pic:blipFill>
                  <pic:spPr bwMode="auto">
                    <a:xfrm>
                      <a:off x="0" y="0"/>
                      <a:ext cx="5800725" cy="2724150"/>
                    </a:xfrm>
                    <a:prstGeom prst="rect">
                      <a:avLst/>
                    </a:prstGeom>
                    <a:noFill/>
                    <a:ln w="9525">
                      <a:noFill/>
                      <a:miter lim="800000"/>
                      <a:headEnd/>
                      <a:tailEnd/>
                    </a:ln>
                  </pic:spPr>
                </pic:pic>
              </a:graphicData>
            </a:graphic>
          </wp:inline>
        </w:drawing>
      </w:r>
    </w:p>
    <w:p w:rsidR="006C1917" w:rsidRPr="00F420AA" w:rsidRDefault="006C1917" w:rsidP="002A5827">
      <w:pPr>
        <w:spacing w:line="360" w:lineRule="auto"/>
        <w:jc w:val="both"/>
        <w:rPr>
          <w:sz w:val="24"/>
          <w:szCs w:val="24"/>
        </w:rPr>
      </w:pPr>
      <w:r w:rsidRPr="00F420AA">
        <w:rPr>
          <w:sz w:val="24"/>
          <w:szCs w:val="24"/>
        </w:rPr>
        <w:t xml:space="preserve">Kardiostimulační elektrodu se vždy nepodaří umístit na první pokus. Někdy se provede </w:t>
      </w:r>
      <w:r>
        <w:rPr>
          <w:sz w:val="24"/>
          <w:szCs w:val="24"/>
        </w:rPr>
        <w:br/>
      </w:r>
      <w:r w:rsidRPr="00F420AA">
        <w:rPr>
          <w:sz w:val="24"/>
          <w:szCs w:val="24"/>
        </w:rPr>
        <w:t>i několik pokusů o umístění do tkáně (závrtů fixačního systému do myokardu – neexistuje český ekvivalent-v a</w:t>
      </w:r>
      <w:r>
        <w:rPr>
          <w:sz w:val="24"/>
          <w:szCs w:val="24"/>
        </w:rPr>
        <w:t>nglické literatuře „deployment“</w:t>
      </w:r>
      <w:r w:rsidRPr="00F420AA">
        <w:rPr>
          <w:sz w:val="24"/>
          <w:szCs w:val="24"/>
        </w:rPr>
        <w:t>) a opět uvolnění. P</w:t>
      </w:r>
      <w:r>
        <w:rPr>
          <w:sz w:val="24"/>
          <w:szCs w:val="24"/>
        </w:rPr>
        <w:t xml:space="preserve">oranění myokardu je tak </w:t>
      </w:r>
      <w:r w:rsidRPr="00F420AA">
        <w:rPr>
          <w:sz w:val="24"/>
          <w:szCs w:val="24"/>
        </w:rPr>
        <w:t>vyšší.</w:t>
      </w:r>
      <w:r>
        <w:rPr>
          <w:sz w:val="24"/>
          <w:szCs w:val="24"/>
        </w:rPr>
        <w:t xml:space="preserve"> </w:t>
      </w:r>
      <w:r w:rsidRPr="00F420AA">
        <w:rPr>
          <w:sz w:val="24"/>
          <w:szCs w:val="24"/>
        </w:rPr>
        <w:t>V našem souboru byl počet provedených fixací nízký, většinou se elektrodu podařilo umístit na 1.</w:t>
      </w:r>
      <w:r>
        <w:rPr>
          <w:sz w:val="24"/>
          <w:szCs w:val="24"/>
        </w:rPr>
        <w:t xml:space="preserve"> pokus., viz graf </w:t>
      </w:r>
      <w:r w:rsidRPr="00F420AA">
        <w:rPr>
          <w:sz w:val="24"/>
          <w:szCs w:val="24"/>
        </w:rPr>
        <w:t>č. 6</w:t>
      </w:r>
    </w:p>
    <w:p w:rsidR="006C1917" w:rsidRPr="00F420AA" w:rsidRDefault="000C52EC" w:rsidP="002A5827">
      <w:pPr>
        <w:spacing w:line="360" w:lineRule="auto"/>
        <w:jc w:val="both"/>
        <w:rPr>
          <w:sz w:val="24"/>
          <w:szCs w:val="24"/>
        </w:rPr>
      </w:pPr>
      <w:r>
        <w:rPr>
          <w:noProof/>
          <w:sz w:val="24"/>
          <w:szCs w:val="24"/>
          <w:lang w:eastAsia="cs-CZ"/>
        </w:rPr>
        <w:drawing>
          <wp:inline distT="0" distB="0" distL="0" distR="0">
            <wp:extent cx="5286375" cy="3048000"/>
            <wp:effectExtent l="0" t="0" r="0" b="0"/>
            <wp:docPr id="12" name="objek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C1917" w:rsidRPr="00F420AA" w:rsidRDefault="006C1917" w:rsidP="002A5827">
      <w:pPr>
        <w:spacing w:line="360" w:lineRule="auto"/>
        <w:jc w:val="both"/>
        <w:rPr>
          <w:sz w:val="24"/>
          <w:szCs w:val="24"/>
        </w:rPr>
      </w:pPr>
      <w:r w:rsidRPr="00F420AA">
        <w:rPr>
          <w:sz w:val="24"/>
          <w:szCs w:val="24"/>
        </w:rPr>
        <w:t xml:space="preserve">graf </w:t>
      </w:r>
      <w:proofErr w:type="gramStart"/>
      <w:r w:rsidRPr="00F420AA">
        <w:rPr>
          <w:sz w:val="24"/>
          <w:szCs w:val="24"/>
        </w:rPr>
        <w:t>č.6</w:t>
      </w:r>
      <w:proofErr w:type="gramEnd"/>
    </w:p>
    <w:p w:rsidR="006C1917" w:rsidRDefault="006C1917" w:rsidP="001324DB">
      <w:pPr>
        <w:spacing w:line="360" w:lineRule="auto"/>
        <w:rPr>
          <w:sz w:val="24"/>
          <w:szCs w:val="24"/>
        </w:rPr>
      </w:pPr>
      <w:r w:rsidRPr="00F420AA">
        <w:rPr>
          <w:sz w:val="24"/>
          <w:szCs w:val="24"/>
        </w:rPr>
        <w:lastRenderedPageBreak/>
        <w:t>Přesto jsme prokázali vyšší hladinu troponinu I u skupiny nemocných, kterým byla provedena více než 1 fixace do myokardiální tkáně oproti pacientům s fixací</w:t>
      </w:r>
      <w:r>
        <w:rPr>
          <w:sz w:val="24"/>
          <w:szCs w:val="24"/>
        </w:rPr>
        <w:t xml:space="preserve"> umístěnou </w:t>
      </w:r>
      <w:r w:rsidRPr="00F420AA">
        <w:rPr>
          <w:sz w:val="24"/>
          <w:szCs w:val="24"/>
        </w:rPr>
        <w:t>na první pokus</w:t>
      </w:r>
      <w:r>
        <w:rPr>
          <w:sz w:val="24"/>
          <w:szCs w:val="24"/>
        </w:rPr>
        <w:t>:</w:t>
      </w:r>
    </w:p>
    <w:p w:rsidR="006C1917" w:rsidRDefault="006C1917" w:rsidP="002A5827">
      <w:pPr>
        <w:spacing w:line="360" w:lineRule="auto"/>
        <w:jc w:val="both"/>
        <w:rPr>
          <w:sz w:val="24"/>
          <w:szCs w:val="24"/>
        </w:rPr>
      </w:pPr>
      <w:r>
        <w:rPr>
          <w:sz w:val="24"/>
          <w:szCs w:val="24"/>
        </w:rPr>
        <w:t>tabulka č. 10</w:t>
      </w:r>
    </w:p>
    <w:tbl>
      <w:tblPr>
        <w:tblW w:w="9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81"/>
        <w:gridCol w:w="2216"/>
        <w:gridCol w:w="2216"/>
        <w:gridCol w:w="2216"/>
        <w:gridCol w:w="1403"/>
      </w:tblGrid>
      <w:tr w:rsidR="006C1917" w:rsidRPr="000D1AC9" w:rsidTr="00F43B97">
        <w:trPr>
          <w:trHeight w:val="382"/>
        </w:trPr>
        <w:tc>
          <w:tcPr>
            <w:tcW w:w="1181" w:type="dxa"/>
            <w:noWrap/>
          </w:tcPr>
          <w:p w:rsidR="006C1917" w:rsidRPr="00F43B97" w:rsidRDefault="006C1917" w:rsidP="00F43B97">
            <w:pPr>
              <w:spacing w:after="0" w:line="240" w:lineRule="auto"/>
              <w:rPr>
                <w:b/>
                <w:lang w:eastAsia="cs-CZ"/>
              </w:rPr>
            </w:pPr>
          </w:p>
        </w:tc>
        <w:tc>
          <w:tcPr>
            <w:tcW w:w="2216" w:type="dxa"/>
          </w:tcPr>
          <w:p w:rsidR="006C1917" w:rsidRPr="00F43B97" w:rsidRDefault="006C1917" w:rsidP="00F43B97">
            <w:pPr>
              <w:spacing w:after="0" w:line="240" w:lineRule="auto"/>
              <w:jc w:val="center"/>
              <w:rPr>
                <w:b/>
                <w:lang w:eastAsia="cs-CZ"/>
              </w:rPr>
            </w:pPr>
            <w:r w:rsidRPr="00F43B97">
              <w:rPr>
                <w:b/>
                <w:lang w:eastAsia="cs-CZ"/>
              </w:rPr>
              <w:t>Celkem</w:t>
            </w:r>
          </w:p>
        </w:tc>
        <w:tc>
          <w:tcPr>
            <w:tcW w:w="2216" w:type="dxa"/>
            <w:noWrap/>
          </w:tcPr>
          <w:p w:rsidR="006C1917" w:rsidRPr="00F43B97" w:rsidRDefault="006C1917" w:rsidP="00F43B97">
            <w:pPr>
              <w:spacing w:after="0" w:line="240" w:lineRule="auto"/>
              <w:jc w:val="center"/>
              <w:rPr>
                <w:b/>
                <w:lang w:eastAsia="cs-CZ"/>
              </w:rPr>
            </w:pPr>
            <w:r w:rsidRPr="00F43B97">
              <w:rPr>
                <w:b/>
                <w:lang w:eastAsia="cs-CZ"/>
              </w:rPr>
              <w:t>1 závrt</w:t>
            </w:r>
          </w:p>
        </w:tc>
        <w:tc>
          <w:tcPr>
            <w:tcW w:w="2216" w:type="dxa"/>
            <w:noWrap/>
          </w:tcPr>
          <w:p w:rsidR="006C1917" w:rsidRPr="00F43B97" w:rsidRDefault="006C1917" w:rsidP="00F43B97">
            <w:pPr>
              <w:spacing w:after="0" w:line="240" w:lineRule="auto"/>
              <w:jc w:val="center"/>
              <w:rPr>
                <w:b/>
                <w:lang w:eastAsia="cs-CZ"/>
              </w:rPr>
            </w:pPr>
            <w:r w:rsidRPr="00F43B97">
              <w:rPr>
                <w:b/>
                <w:lang w:eastAsia="cs-CZ"/>
              </w:rPr>
              <w:t>2 a více závrtů</w:t>
            </w:r>
          </w:p>
        </w:tc>
        <w:tc>
          <w:tcPr>
            <w:tcW w:w="1403" w:type="dxa"/>
            <w:vMerge w:val="restart"/>
            <w:noWrap/>
          </w:tcPr>
          <w:p w:rsidR="006C1917" w:rsidRPr="00F43B97" w:rsidRDefault="006C1917" w:rsidP="00F43B97">
            <w:pPr>
              <w:spacing w:after="0" w:line="240" w:lineRule="auto"/>
              <w:jc w:val="center"/>
              <w:rPr>
                <w:b/>
                <w:lang w:eastAsia="cs-CZ"/>
              </w:rPr>
            </w:pPr>
            <w:r w:rsidRPr="00F43B97">
              <w:rPr>
                <w:b/>
                <w:lang w:eastAsia="cs-CZ"/>
              </w:rPr>
              <w:t>p</w:t>
            </w:r>
            <w:r w:rsidRPr="00F43B97">
              <w:rPr>
                <w:b/>
                <w:vertAlign w:val="superscript"/>
                <w:lang w:eastAsia="cs-CZ"/>
              </w:rPr>
              <w:t>1</w:t>
            </w:r>
          </w:p>
        </w:tc>
      </w:tr>
      <w:tr w:rsidR="006C1917" w:rsidRPr="000D1AC9" w:rsidTr="00F43B97">
        <w:trPr>
          <w:trHeight w:val="52"/>
        </w:trPr>
        <w:tc>
          <w:tcPr>
            <w:tcW w:w="1181" w:type="dxa"/>
            <w:noWrap/>
          </w:tcPr>
          <w:p w:rsidR="006C1917" w:rsidRPr="00F43B97" w:rsidRDefault="006C1917" w:rsidP="00F43B97">
            <w:pPr>
              <w:spacing w:after="0" w:line="240" w:lineRule="auto"/>
              <w:rPr>
                <w:b/>
                <w:lang w:eastAsia="cs-CZ"/>
              </w:rPr>
            </w:pPr>
            <w:r w:rsidRPr="00F43B97">
              <w:rPr>
                <w:b/>
                <w:lang w:eastAsia="cs-CZ"/>
              </w:rPr>
              <w:t>počet pacientů</w:t>
            </w:r>
          </w:p>
        </w:tc>
        <w:tc>
          <w:tcPr>
            <w:tcW w:w="2216" w:type="dxa"/>
            <w:noWrap/>
          </w:tcPr>
          <w:p w:rsidR="006C1917" w:rsidRPr="00F43B97" w:rsidRDefault="006C1917" w:rsidP="00F43B97">
            <w:pPr>
              <w:spacing w:after="0" w:line="240" w:lineRule="auto"/>
              <w:jc w:val="center"/>
              <w:rPr>
                <w:b/>
                <w:lang w:eastAsia="cs-CZ"/>
              </w:rPr>
            </w:pPr>
            <w:r w:rsidRPr="00F43B97">
              <w:rPr>
                <w:b/>
                <w:lang w:eastAsia="cs-CZ"/>
              </w:rPr>
              <w:t>230</w:t>
            </w:r>
          </w:p>
        </w:tc>
        <w:tc>
          <w:tcPr>
            <w:tcW w:w="2216" w:type="dxa"/>
            <w:noWrap/>
          </w:tcPr>
          <w:p w:rsidR="006C1917" w:rsidRPr="00F43B97" w:rsidRDefault="006C1917" w:rsidP="00F43B97">
            <w:pPr>
              <w:spacing w:after="0" w:line="240" w:lineRule="auto"/>
              <w:jc w:val="center"/>
              <w:rPr>
                <w:b/>
                <w:lang w:eastAsia="cs-CZ"/>
              </w:rPr>
            </w:pPr>
            <w:r w:rsidRPr="00F43B97">
              <w:rPr>
                <w:b/>
                <w:lang w:eastAsia="cs-CZ"/>
              </w:rPr>
              <w:t>189</w:t>
            </w:r>
          </w:p>
        </w:tc>
        <w:tc>
          <w:tcPr>
            <w:tcW w:w="2216" w:type="dxa"/>
            <w:noWrap/>
          </w:tcPr>
          <w:p w:rsidR="006C1917" w:rsidRPr="00F43B97" w:rsidRDefault="006C1917" w:rsidP="00F43B97">
            <w:pPr>
              <w:spacing w:after="0" w:line="240" w:lineRule="auto"/>
              <w:jc w:val="center"/>
              <w:rPr>
                <w:b/>
                <w:lang w:eastAsia="cs-CZ"/>
              </w:rPr>
            </w:pPr>
            <w:r w:rsidRPr="00F43B97">
              <w:rPr>
                <w:b/>
                <w:lang w:eastAsia="cs-CZ"/>
              </w:rPr>
              <w:t>41</w:t>
            </w:r>
          </w:p>
        </w:tc>
        <w:tc>
          <w:tcPr>
            <w:tcW w:w="1403" w:type="dxa"/>
            <w:vMerge/>
            <w:noWrap/>
          </w:tcPr>
          <w:p w:rsidR="006C1917" w:rsidRPr="00F43B97" w:rsidRDefault="006C1917" w:rsidP="00F43B97">
            <w:pPr>
              <w:spacing w:after="0" w:line="240" w:lineRule="auto"/>
              <w:jc w:val="center"/>
              <w:rPr>
                <w:lang w:eastAsia="cs-CZ"/>
              </w:rPr>
            </w:pPr>
          </w:p>
        </w:tc>
      </w:tr>
      <w:tr w:rsidR="006C1917" w:rsidRPr="000D1AC9" w:rsidTr="00F43B97">
        <w:trPr>
          <w:trHeight w:val="787"/>
        </w:trPr>
        <w:tc>
          <w:tcPr>
            <w:tcW w:w="1181" w:type="dxa"/>
          </w:tcPr>
          <w:p w:rsidR="006C1917" w:rsidRPr="00F43B97" w:rsidRDefault="006C1917" w:rsidP="00F43B97">
            <w:pPr>
              <w:spacing w:after="0" w:line="240" w:lineRule="auto"/>
              <w:rPr>
                <w:b/>
                <w:lang w:eastAsia="cs-CZ"/>
              </w:rPr>
            </w:pPr>
            <w:r w:rsidRPr="00F43B97">
              <w:rPr>
                <w:b/>
                <w:lang w:eastAsia="cs-CZ"/>
              </w:rPr>
              <w:t>TnI 6</w:t>
            </w:r>
          </w:p>
        </w:tc>
        <w:tc>
          <w:tcPr>
            <w:tcW w:w="2216" w:type="dxa"/>
            <w:noWrap/>
          </w:tcPr>
          <w:p w:rsidR="006C1917" w:rsidRPr="00F43B97" w:rsidRDefault="006C1917" w:rsidP="00F43B97">
            <w:pPr>
              <w:spacing w:after="0" w:line="240" w:lineRule="auto"/>
              <w:jc w:val="center"/>
              <w:rPr>
                <w:lang w:eastAsia="cs-CZ"/>
              </w:rPr>
            </w:pPr>
            <w:r w:rsidRPr="00F43B97">
              <w:rPr>
                <w:lang w:eastAsia="cs-CZ"/>
              </w:rPr>
              <w:t>0.13(0.02;0.53)</w:t>
            </w:r>
          </w:p>
        </w:tc>
        <w:tc>
          <w:tcPr>
            <w:tcW w:w="2216" w:type="dxa"/>
            <w:noWrap/>
          </w:tcPr>
          <w:p w:rsidR="006C1917" w:rsidRPr="00F43B97" w:rsidRDefault="006C1917" w:rsidP="00F43B97">
            <w:pPr>
              <w:spacing w:after="0" w:line="240" w:lineRule="auto"/>
              <w:jc w:val="center"/>
              <w:rPr>
                <w:lang w:eastAsia="cs-CZ"/>
              </w:rPr>
            </w:pPr>
            <w:r w:rsidRPr="00F43B97">
              <w:rPr>
                <w:lang w:eastAsia="cs-CZ"/>
              </w:rPr>
              <w:t>0.11(0.02;0.49)</w:t>
            </w:r>
          </w:p>
        </w:tc>
        <w:tc>
          <w:tcPr>
            <w:tcW w:w="2216" w:type="dxa"/>
            <w:noWrap/>
          </w:tcPr>
          <w:p w:rsidR="006C1917" w:rsidRPr="00F43B97" w:rsidRDefault="006C1917" w:rsidP="00F43B97">
            <w:pPr>
              <w:spacing w:after="0" w:line="240" w:lineRule="auto"/>
              <w:jc w:val="center"/>
              <w:rPr>
                <w:lang w:eastAsia="cs-CZ"/>
              </w:rPr>
            </w:pPr>
            <w:r w:rsidRPr="00F43B97">
              <w:rPr>
                <w:lang w:eastAsia="cs-CZ"/>
              </w:rPr>
              <w:t>0.21(0.04;0.80)</w:t>
            </w:r>
          </w:p>
        </w:tc>
        <w:tc>
          <w:tcPr>
            <w:tcW w:w="1403" w:type="dxa"/>
            <w:noWrap/>
          </w:tcPr>
          <w:p w:rsidR="006C1917" w:rsidRPr="00F43B97" w:rsidRDefault="006C1917" w:rsidP="00F43B97">
            <w:pPr>
              <w:spacing w:after="0" w:line="240" w:lineRule="auto"/>
              <w:jc w:val="center"/>
              <w:rPr>
                <w:b/>
                <w:bCs/>
                <w:lang w:eastAsia="cs-CZ"/>
              </w:rPr>
            </w:pPr>
            <w:r w:rsidRPr="00F43B97">
              <w:rPr>
                <w:b/>
                <w:bCs/>
                <w:lang w:eastAsia="cs-CZ"/>
              </w:rPr>
              <w:t>&lt;0.001</w:t>
            </w:r>
          </w:p>
        </w:tc>
      </w:tr>
      <w:tr w:rsidR="006C1917" w:rsidRPr="000D1AC9" w:rsidTr="00F43B97">
        <w:trPr>
          <w:trHeight w:val="787"/>
        </w:trPr>
        <w:tc>
          <w:tcPr>
            <w:tcW w:w="1181" w:type="dxa"/>
          </w:tcPr>
          <w:p w:rsidR="006C1917" w:rsidRPr="00F43B97" w:rsidRDefault="006C1917" w:rsidP="00F43B97">
            <w:pPr>
              <w:spacing w:after="0" w:line="240" w:lineRule="auto"/>
              <w:rPr>
                <w:b/>
                <w:lang w:eastAsia="cs-CZ"/>
              </w:rPr>
            </w:pPr>
            <w:r w:rsidRPr="00F43B97">
              <w:rPr>
                <w:b/>
                <w:lang w:eastAsia="cs-CZ"/>
              </w:rPr>
              <w:t>TnI 18</w:t>
            </w:r>
          </w:p>
        </w:tc>
        <w:tc>
          <w:tcPr>
            <w:tcW w:w="2216" w:type="dxa"/>
            <w:noWrap/>
          </w:tcPr>
          <w:p w:rsidR="006C1917" w:rsidRPr="00F43B97" w:rsidRDefault="006C1917" w:rsidP="00F43B97">
            <w:pPr>
              <w:spacing w:after="0" w:line="240" w:lineRule="auto"/>
              <w:jc w:val="center"/>
              <w:rPr>
                <w:lang w:eastAsia="cs-CZ"/>
              </w:rPr>
            </w:pPr>
            <w:r w:rsidRPr="00F43B97">
              <w:rPr>
                <w:lang w:eastAsia="cs-CZ"/>
              </w:rPr>
              <w:t>0.04(0.00;0.27)</w:t>
            </w:r>
          </w:p>
        </w:tc>
        <w:tc>
          <w:tcPr>
            <w:tcW w:w="2216" w:type="dxa"/>
            <w:noWrap/>
          </w:tcPr>
          <w:p w:rsidR="006C1917" w:rsidRPr="00F43B97" w:rsidRDefault="006C1917" w:rsidP="00F43B97">
            <w:pPr>
              <w:spacing w:after="0" w:line="240" w:lineRule="auto"/>
              <w:jc w:val="center"/>
              <w:rPr>
                <w:lang w:eastAsia="cs-CZ"/>
              </w:rPr>
            </w:pPr>
            <w:r w:rsidRPr="00F43B97">
              <w:rPr>
                <w:lang w:eastAsia="cs-CZ"/>
              </w:rPr>
              <w:t>0.04(0.00;0.24)</w:t>
            </w:r>
          </w:p>
        </w:tc>
        <w:tc>
          <w:tcPr>
            <w:tcW w:w="2216" w:type="dxa"/>
            <w:noWrap/>
          </w:tcPr>
          <w:p w:rsidR="006C1917" w:rsidRPr="00F43B97" w:rsidRDefault="006C1917" w:rsidP="00F43B97">
            <w:pPr>
              <w:spacing w:after="0" w:line="240" w:lineRule="auto"/>
              <w:jc w:val="center"/>
              <w:rPr>
                <w:lang w:eastAsia="cs-CZ"/>
              </w:rPr>
            </w:pPr>
            <w:r w:rsidRPr="00F43B97">
              <w:rPr>
                <w:lang w:eastAsia="cs-CZ"/>
              </w:rPr>
              <w:t>0.06(0.00;0.39)</w:t>
            </w:r>
          </w:p>
        </w:tc>
        <w:tc>
          <w:tcPr>
            <w:tcW w:w="1403" w:type="dxa"/>
            <w:noWrap/>
          </w:tcPr>
          <w:p w:rsidR="006C1917" w:rsidRPr="00F43B97" w:rsidRDefault="006C1917" w:rsidP="00F43B97">
            <w:pPr>
              <w:spacing w:after="0" w:line="240" w:lineRule="auto"/>
              <w:jc w:val="center"/>
              <w:rPr>
                <w:b/>
                <w:bCs/>
                <w:lang w:eastAsia="cs-CZ"/>
              </w:rPr>
            </w:pPr>
            <w:r w:rsidRPr="00F43B97">
              <w:rPr>
                <w:b/>
                <w:bCs/>
                <w:lang w:eastAsia="cs-CZ"/>
              </w:rPr>
              <w:t>0.026</w:t>
            </w:r>
          </w:p>
        </w:tc>
      </w:tr>
    </w:tbl>
    <w:p w:rsidR="006C1917" w:rsidRPr="00B11AA6" w:rsidRDefault="006C1917" w:rsidP="00714003">
      <w:pPr>
        <w:spacing w:after="0" w:line="240" w:lineRule="auto"/>
        <w:rPr>
          <w:rFonts w:ascii="Times New Roman" w:hAnsi="Times New Roman"/>
          <w:color w:val="000000"/>
          <w:lang w:eastAsia="cs-CZ"/>
        </w:rPr>
      </w:pPr>
      <w:r w:rsidRPr="00B11AA6">
        <w:rPr>
          <w:rFonts w:ascii="Times New Roman" w:hAnsi="Times New Roman"/>
          <w:color w:val="000000"/>
          <w:lang w:eastAsia="cs-CZ"/>
        </w:rPr>
        <w:t xml:space="preserve">Parametry popsány mediánem doplněným o 5. a 95. </w:t>
      </w:r>
      <w:r>
        <w:rPr>
          <w:rFonts w:ascii="Times New Roman" w:hAnsi="Times New Roman"/>
          <w:color w:val="000000"/>
          <w:lang w:eastAsia="cs-CZ"/>
        </w:rPr>
        <w:t xml:space="preserve"> </w:t>
      </w:r>
      <w:r w:rsidRPr="00B11AA6">
        <w:rPr>
          <w:rFonts w:ascii="Times New Roman" w:hAnsi="Times New Roman"/>
          <w:color w:val="000000"/>
          <w:lang w:eastAsia="cs-CZ"/>
        </w:rPr>
        <w:t>Percentil</w:t>
      </w:r>
    </w:p>
    <w:p w:rsidR="006C1917" w:rsidRDefault="006C1917" w:rsidP="00714003">
      <w:pPr>
        <w:spacing w:after="0" w:line="240" w:lineRule="auto"/>
        <w:rPr>
          <w:rFonts w:ascii="Times New Roman" w:hAnsi="Times New Roman"/>
          <w:color w:val="000000"/>
          <w:lang w:eastAsia="cs-CZ"/>
        </w:rPr>
      </w:pPr>
      <w:r w:rsidRPr="00B11AA6">
        <w:rPr>
          <w:rFonts w:ascii="Times New Roman" w:hAnsi="Times New Roman"/>
          <w:color w:val="000000"/>
          <w:vertAlign w:val="superscript"/>
          <w:lang w:eastAsia="cs-CZ"/>
        </w:rPr>
        <w:t xml:space="preserve">1 </w:t>
      </w:r>
      <w:r w:rsidRPr="00B11AA6">
        <w:rPr>
          <w:rFonts w:ascii="Times New Roman" w:hAnsi="Times New Roman"/>
          <w:color w:val="000000"/>
          <w:lang w:eastAsia="cs-CZ"/>
        </w:rPr>
        <w:t xml:space="preserve">statistická významnost Mann-Whitney testu  </w:t>
      </w:r>
    </w:p>
    <w:p w:rsidR="006C1917" w:rsidRDefault="006C1917" w:rsidP="00714003">
      <w:pPr>
        <w:spacing w:after="0" w:line="240" w:lineRule="auto"/>
        <w:rPr>
          <w:rFonts w:ascii="Times New Roman" w:hAnsi="Times New Roman"/>
          <w:color w:val="000000"/>
          <w:lang w:eastAsia="cs-CZ"/>
        </w:rPr>
      </w:pPr>
      <w:proofErr w:type="gramStart"/>
      <w:r>
        <w:rPr>
          <w:rFonts w:ascii="Times New Roman" w:hAnsi="Times New Roman"/>
          <w:color w:val="000000"/>
          <w:lang w:eastAsia="cs-CZ"/>
        </w:rPr>
        <w:t>TnI   6 = hladina</w:t>
      </w:r>
      <w:proofErr w:type="gramEnd"/>
      <w:r>
        <w:rPr>
          <w:rFonts w:ascii="Times New Roman" w:hAnsi="Times New Roman"/>
          <w:color w:val="000000"/>
          <w:lang w:eastAsia="cs-CZ"/>
        </w:rPr>
        <w:t xml:space="preserve"> troponinu I    6 hodin po primoimplantaci (ug/l)</w:t>
      </w:r>
    </w:p>
    <w:p w:rsidR="006C1917" w:rsidRPr="00B11AA6" w:rsidRDefault="006C1917" w:rsidP="00714003">
      <w:pPr>
        <w:spacing w:after="0" w:line="240" w:lineRule="auto"/>
        <w:rPr>
          <w:rFonts w:ascii="Times New Roman" w:hAnsi="Times New Roman"/>
          <w:color w:val="000000"/>
          <w:lang w:eastAsia="cs-CZ"/>
        </w:rPr>
      </w:pPr>
      <w:r>
        <w:rPr>
          <w:rFonts w:ascii="Times New Roman" w:hAnsi="Times New Roman"/>
          <w:color w:val="000000"/>
          <w:lang w:eastAsia="cs-CZ"/>
        </w:rPr>
        <w:t xml:space="preserve">TnI 18 = hladina </w:t>
      </w:r>
      <w:proofErr w:type="gramStart"/>
      <w:r>
        <w:rPr>
          <w:rFonts w:ascii="Times New Roman" w:hAnsi="Times New Roman"/>
          <w:color w:val="000000"/>
          <w:lang w:eastAsia="cs-CZ"/>
        </w:rPr>
        <w:t>troponinu I  18</w:t>
      </w:r>
      <w:proofErr w:type="gramEnd"/>
      <w:r>
        <w:rPr>
          <w:rFonts w:ascii="Times New Roman" w:hAnsi="Times New Roman"/>
          <w:color w:val="000000"/>
          <w:lang w:eastAsia="cs-CZ"/>
        </w:rPr>
        <w:t xml:space="preserve"> hodin po primoimplantaci (ug/l)</w:t>
      </w:r>
    </w:p>
    <w:p w:rsidR="006C1917" w:rsidRDefault="000C52EC" w:rsidP="00714003">
      <w:pPr>
        <w:keepNext/>
        <w:autoSpaceDE w:val="0"/>
        <w:autoSpaceDN w:val="0"/>
        <w:adjustRightInd w:val="0"/>
        <w:spacing w:after="0" w:line="240" w:lineRule="auto"/>
      </w:pPr>
      <w:r>
        <w:rPr>
          <w:rFonts w:ascii="Times New Roman" w:hAnsi="Times New Roman"/>
          <w:noProof/>
          <w:sz w:val="24"/>
          <w:szCs w:val="24"/>
          <w:lang w:eastAsia="cs-CZ"/>
        </w:rPr>
        <w:lastRenderedPageBreak/>
        <w:drawing>
          <wp:inline distT="0" distB="0" distL="0" distR="0">
            <wp:extent cx="5210175" cy="5210175"/>
            <wp:effectExtent l="19050" t="0" r="9525" b="0"/>
            <wp:docPr id="1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20"/>
                    <a:srcRect/>
                    <a:stretch>
                      <a:fillRect/>
                    </a:stretch>
                  </pic:blipFill>
                  <pic:spPr bwMode="auto">
                    <a:xfrm>
                      <a:off x="0" y="0"/>
                      <a:ext cx="5210175" cy="5210175"/>
                    </a:xfrm>
                    <a:prstGeom prst="rect">
                      <a:avLst/>
                    </a:prstGeom>
                    <a:noFill/>
                    <a:ln w="9525">
                      <a:noFill/>
                      <a:miter lim="800000"/>
                      <a:headEnd/>
                      <a:tailEnd/>
                    </a:ln>
                  </pic:spPr>
                </pic:pic>
              </a:graphicData>
            </a:graphic>
          </wp:inline>
        </w:drawing>
      </w:r>
    </w:p>
    <w:p w:rsidR="006C1917" w:rsidRPr="00143804" w:rsidRDefault="003534C0" w:rsidP="00FF6200">
      <w:pPr>
        <w:pStyle w:val="Titulek"/>
        <w:rPr>
          <w:color w:val="auto"/>
          <w:sz w:val="22"/>
          <w:szCs w:val="22"/>
        </w:rPr>
      </w:pPr>
      <w:proofErr w:type="gramStart"/>
      <w:r>
        <w:rPr>
          <w:color w:val="auto"/>
          <w:sz w:val="22"/>
          <w:szCs w:val="22"/>
        </w:rPr>
        <w:t xml:space="preserve">graf </w:t>
      </w:r>
      <w:r w:rsidR="006C1917" w:rsidRPr="00143804">
        <w:rPr>
          <w:color w:val="auto"/>
          <w:sz w:val="22"/>
          <w:szCs w:val="22"/>
        </w:rPr>
        <w:t xml:space="preserve"> č.</w:t>
      </w:r>
      <w:proofErr w:type="gramEnd"/>
      <w:r w:rsidR="006C1917">
        <w:rPr>
          <w:color w:val="auto"/>
          <w:sz w:val="22"/>
          <w:szCs w:val="22"/>
        </w:rPr>
        <w:t xml:space="preserve"> </w:t>
      </w:r>
      <w:r>
        <w:rPr>
          <w:color w:val="auto"/>
          <w:sz w:val="22"/>
          <w:szCs w:val="22"/>
        </w:rPr>
        <w:t>7</w:t>
      </w:r>
      <w:r w:rsidR="006C1917">
        <w:rPr>
          <w:color w:val="auto"/>
          <w:sz w:val="22"/>
          <w:szCs w:val="22"/>
        </w:rPr>
        <w:t>:  Troponin I</w:t>
      </w:r>
      <w:r w:rsidR="006C1917" w:rsidRPr="00143804">
        <w:rPr>
          <w:color w:val="auto"/>
          <w:sz w:val="22"/>
          <w:szCs w:val="22"/>
        </w:rPr>
        <w:t xml:space="preserve"> 6 hodin po primoimplantaci kardiostimulátoru dle počtu aktivních fixací </w:t>
      </w:r>
      <w:r w:rsidR="006C1917">
        <w:rPr>
          <w:color w:val="auto"/>
          <w:sz w:val="22"/>
          <w:szCs w:val="22"/>
        </w:rPr>
        <w:t>–</w:t>
      </w:r>
      <w:r w:rsidR="006C1917" w:rsidRPr="00143804">
        <w:rPr>
          <w:color w:val="auto"/>
          <w:sz w:val="22"/>
          <w:szCs w:val="22"/>
        </w:rPr>
        <w:t xml:space="preserve"> závrtů</w:t>
      </w:r>
      <w:r w:rsidR="006C1917">
        <w:rPr>
          <w:color w:val="auto"/>
          <w:sz w:val="22"/>
          <w:szCs w:val="22"/>
        </w:rPr>
        <w:t xml:space="preserve"> </w:t>
      </w:r>
      <w:r w:rsidR="006C1917" w:rsidRPr="00143804">
        <w:rPr>
          <w:color w:val="auto"/>
          <w:sz w:val="22"/>
          <w:szCs w:val="22"/>
        </w:rPr>
        <w:t>( 1= 1 závrt, 2= 2 a více závrtů).</w:t>
      </w:r>
    </w:p>
    <w:p w:rsidR="006C1917" w:rsidRDefault="000C52EC" w:rsidP="00714003">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cs-CZ"/>
        </w:rPr>
        <w:lastRenderedPageBreak/>
        <w:drawing>
          <wp:inline distT="0" distB="0" distL="0" distR="0">
            <wp:extent cx="4933950" cy="4933950"/>
            <wp:effectExtent l="1905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a:stretch>
                      <a:fillRect/>
                    </a:stretch>
                  </pic:blipFill>
                  <pic:spPr bwMode="auto">
                    <a:xfrm>
                      <a:off x="0" y="0"/>
                      <a:ext cx="4933950" cy="4933950"/>
                    </a:xfrm>
                    <a:prstGeom prst="rect">
                      <a:avLst/>
                    </a:prstGeom>
                    <a:noFill/>
                    <a:ln w="9525">
                      <a:noFill/>
                      <a:miter lim="800000"/>
                      <a:headEnd/>
                      <a:tailEnd/>
                    </a:ln>
                  </pic:spPr>
                </pic:pic>
              </a:graphicData>
            </a:graphic>
          </wp:inline>
        </w:drawing>
      </w:r>
    </w:p>
    <w:p w:rsidR="006C1917" w:rsidRPr="00143804" w:rsidRDefault="003534C0" w:rsidP="00143804">
      <w:pPr>
        <w:pStyle w:val="Titulek"/>
        <w:rPr>
          <w:color w:val="auto"/>
          <w:sz w:val="22"/>
          <w:szCs w:val="22"/>
        </w:rPr>
      </w:pPr>
      <w:proofErr w:type="gramStart"/>
      <w:r>
        <w:rPr>
          <w:color w:val="auto"/>
          <w:sz w:val="22"/>
          <w:szCs w:val="22"/>
        </w:rPr>
        <w:t xml:space="preserve">graf </w:t>
      </w:r>
      <w:r w:rsidR="006C1917" w:rsidRPr="00143804">
        <w:rPr>
          <w:color w:val="auto"/>
          <w:sz w:val="22"/>
          <w:szCs w:val="22"/>
        </w:rPr>
        <w:t xml:space="preserve"> č.</w:t>
      </w:r>
      <w:proofErr w:type="gramEnd"/>
      <w:r>
        <w:rPr>
          <w:color w:val="auto"/>
          <w:sz w:val="22"/>
          <w:szCs w:val="22"/>
        </w:rPr>
        <w:t xml:space="preserve"> 8</w:t>
      </w:r>
      <w:r w:rsidR="006C1917">
        <w:rPr>
          <w:color w:val="auto"/>
          <w:sz w:val="22"/>
          <w:szCs w:val="22"/>
        </w:rPr>
        <w:t>:  Troponin I 18</w:t>
      </w:r>
      <w:r w:rsidR="006C1917" w:rsidRPr="00143804">
        <w:rPr>
          <w:color w:val="auto"/>
          <w:sz w:val="22"/>
          <w:szCs w:val="22"/>
        </w:rPr>
        <w:t xml:space="preserve"> hodin po primoimplantaci kardiostimulátoru dle počt</w:t>
      </w:r>
      <w:r w:rsidR="006C1917">
        <w:rPr>
          <w:color w:val="auto"/>
          <w:sz w:val="22"/>
          <w:szCs w:val="22"/>
        </w:rPr>
        <w:t>u aktivních fixací - závrtů (</w:t>
      </w:r>
      <w:r w:rsidR="006C1917" w:rsidRPr="00143804">
        <w:rPr>
          <w:color w:val="auto"/>
          <w:sz w:val="22"/>
          <w:szCs w:val="22"/>
        </w:rPr>
        <w:t>1= 1 závrt, 2= 2 a více závrtů).</w:t>
      </w:r>
    </w:p>
    <w:p w:rsidR="006C1917" w:rsidRDefault="006C1917" w:rsidP="00714003">
      <w:pPr>
        <w:pStyle w:val="Titulek"/>
        <w:rPr>
          <w:rFonts w:ascii="Times New Roman" w:hAnsi="Times New Roman"/>
          <w:sz w:val="24"/>
          <w:szCs w:val="24"/>
        </w:rPr>
      </w:pPr>
    </w:p>
    <w:p w:rsidR="006C1917" w:rsidRPr="00F420AA" w:rsidRDefault="006C1917" w:rsidP="002A5827">
      <w:pPr>
        <w:spacing w:line="360" w:lineRule="auto"/>
        <w:jc w:val="both"/>
        <w:rPr>
          <w:sz w:val="24"/>
          <w:szCs w:val="24"/>
        </w:rPr>
      </w:pPr>
      <w:proofErr w:type="gramStart"/>
      <w:r w:rsidRPr="00F420AA">
        <w:rPr>
          <w:sz w:val="24"/>
          <w:szCs w:val="24"/>
        </w:rPr>
        <w:t>Skupinu</w:t>
      </w:r>
      <w:proofErr w:type="gramEnd"/>
      <w:r w:rsidRPr="00F420AA">
        <w:rPr>
          <w:sz w:val="24"/>
          <w:szCs w:val="24"/>
        </w:rPr>
        <w:t xml:space="preserve"> 100 nemocných definovaných jako kontrol</w:t>
      </w:r>
      <w:r>
        <w:rPr>
          <w:sz w:val="24"/>
          <w:szCs w:val="24"/>
        </w:rPr>
        <w:t>ní skupina byli nemocní</w:t>
      </w:r>
      <w:r w:rsidRPr="00F420AA">
        <w:rPr>
          <w:sz w:val="24"/>
          <w:szCs w:val="24"/>
        </w:rPr>
        <w:t xml:space="preserve">, plánovaní k elektivní </w:t>
      </w:r>
      <w:proofErr w:type="gramStart"/>
      <w:r w:rsidRPr="00F420AA">
        <w:rPr>
          <w:sz w:val="24"/>
          <w:szCs w:val="24"/>
        </w:rPr>
        <w:t>koronarografii.</w:t>
      </w:r>
      <w:proofErr w:type="gramEnd"/>
      <w:r w:rsidRPr="00F420AA">
        <w:rPr>
          <w:sz w:val="24"/>
          <w:szCs w:val="24"/>
        </w:rPr>
        <w:t xml:space="preserve"> Pozitivní troponin byl detekován u 10 ze 100 nemocných (10 %), průměrná hodnota představovala 0,05</w:t>
      </w:r>
      <w:r w:rsidRPr="00F420AA">
        <w:rPr>
          <w:rFonts w:ascii="Times New Roman" w:hAnsi="Times New Roman"/>
          <w:sz w:val="24"/>
          <w:szCs w:val="24"/>
        </w:rPr>
        <w:t>±</w:t>
      </w:r>
      <w:r w:rsidRPr="00F420AA">
        <w:rPr>
          <w:sz w:val="24"/>
          <w:szCs w:val="24"/>
        </w:rPr>
        <w:t xml:space="preserve">0,17 ug/l, medián 0,01 ug/l. Renální insuficience se vyskytla v celém souboru u 5 pacientů ze 100 (5 %). </w:t>
      </w:r>
    </w:p>
    <w:p w:rsidR="006C1917" w:rsidRPr="00F420AA" w:rsidRDefault="006C1917" w:rsidP="002A5827">
      <w:pPr>
        <w:spacing w:line="360" w:lineRule="auto"/>
        <w:jc w:val="both"/>
        <w:rPr>
          <w:sz w:val="24"/>
          <w:szCs w:val="24"/>
        </w:rPr>
      </w:pPr>
      <w:r w:rsidRPr="00F420AA">
        <w:rPr>
          <w:sz w:val="24"/>
          <w:szCs w:val="24"/>
        </w:rPr>
        <w:t>V celém so</w:t>
      </w:r>
      <w:r w:rsidR="00B33211">
        <w:rPr>
          <w:sz w:val="24"/>
          <w:szCs w:val="24"/>
        </w:rPr>
        <w:t>u</w:t>
      </w:r>
      <w:r w:rsidRPr="00F420AA">
        <w:rPr>
          <w:sz w:val="24"/>
          <w:szCs w:val="24"/>
        </w:rPr>
        <w:t>boru 230 pacientů se vyskytlo 167 nálezů positivního troponinu za 6 hodin po implantačním výkonu. Posi</w:t>
      </w:r>
      <w:r>
        <w:rPr>
          <w:sz w:val="24"/>
          <w:szCs w:val="24"/>
        </w:rPr>
        <w:t xml:space="preserve">tivita přetrvávala i </w:t>
      </w:r>
      <w:r w:rsidRPr="00F420AA">
        <w:rPr>
          <w:sz w:val="24"/>
          <w:szCs w:val="24"/>
        </w:rPr>
        <w:t>po 18 hodinách od impl</w:t>
      </w:r>
      <w:r>
        <w:rPr>
          <w:sz w:val="24"/>
          <w:szCs w:val="24"/>
        </w:rPr>
        <w:t>antace, kdy jsme zaznamenali 88</w:t>
      </w:r>
      <w:r w:rsidRPr="00F420AA">
        <w:rPr>
          <w:sz w:val="24"/>
          <w:szCs w:val="24"/>
        </w:rPr>
        <w:t xml:space="preserve"> positivních nálezů (viz graf č.</w:t>
      </w:r>
      <w:r>
        <w:rPr>
          <w:sz w:val="24"/>
          <w:szCs w:val="24"/>
        </w:rPr>
        <w:t xml:space="preserve"> </w:t>
      </w:r>
      <w:r w:rsidR="003534C0">
        <w:rPr>
          <w:sz w:val="24"/>
          <w:szCs w:val="24"/>
        </w:rPr>
        <w:t>9</w:t>
      </w:r>
      <w:r w:rsidRPr="00F420AA">
        <w:rPr>
          <w:sz w:val="24"/>
          <w:szCs w:val="24"/>
        </w:rPr>
        <w:t>)</w:t>
      </w:r>
      <w:r>
        <w:rPr>
          <w:sz w:val="24"/>
          <w:szCs w:val="24"/>
        </w:rPr>
        <w:t>. 85</w:t>
      </w:r>
      <w:r w:rsidRPr="00F420AA">
        <w:rPr>
          <w:sz w:val="24"/>
          <w:szCs w:val="24"/>
        </w:rPr>
        <w:t xml:space="preserve"> positivních vzorků pocházelo od pacientů, kteří měli troponin</w:t>
      </w:r>
      <w:r>
        <w:rPr>
          <w:sz w:val="24"/>
          <w:szCs w:val="24"/>
        </w:rPr>
        <w:t xml:space="preserve"> elevovaný již po 6 hodinách, 3 vzor</w:t>
      </w:r>
      <w:r w:rsidRPr="00F420AA">
        <w:rPr>
          <w:sz w:val="24"/>
          <w:szCs w:val="24"/>
        </w:rPr>
        <w:t>k</w:t>
      </w:r>
      <w:r>
        <w:rPr>
          <w:sz w:val="24"/>
          <w:szCs w:val="24"/>
        </w:rPr>
        <w:t>y</w:t>
      </w:r>
      <w:r w:rsidRPr="00F420AA">
        <w:rPr>
          <w:sz w:val="24"/>
          <w:szCs w:val="24"/>
        </w:rPr>
        <w:t xml:space="preserve"> byl</w:t>
      </w:r>
      <w:r>
        <w:rPr>
          <w:sz w:val="24"/>
          <w:szCs w:val="24"/>
        </w:rPr>
        <w:t>y positivní u pacientů, kteří</w:t>
      </w:r>
      <w:r w:rsidRPr="00F420AA">
        <w:rPr>
          <w:sz w:val="24"/>
          <w:szCs w:val="24"/>
        </w:rPr>
        <w:t xml:space="preserve"> původně po 6 hodinách měl</w:t>
      </w:r>
      <w:r>
        <w:rPr>
          <w:sz w:val="24"/>
          <w:szCs w:val="24"/>
        </w:rPr>
        <w:t>i</w:t>
      </w:r>
      <w:r w:rsidRPr="00F420AA">
        <w:rPr>
          <w:sz w:val="24"/>
          <w:szCs w:val="24"/>
        </w:rPr>
        <w:t xml:space="preserve"> troponin I negativní. </w:t>
      </w:r>
    </w:p>
    <w:p w:rsidR="006C1917" w:rsidRDefault="006C1917" w:rsidP="002A5827">
      <w:pPr>
        <w:spacing w:line="360" w:lineRule="auto"/>
        <w:jc w:val="both"/>
        <w:rPr>
          <w:sz w:val="24"/>
          <w:szCs w:val="24"/>
        </w:rPr>
      </w:pPr>
    </w:p>
    <w:p w:rsidR="006C1917" w:rsidRPr="00F420AA" w:rsidRDefault="006C1917" w:rsidP="002A5827">
      <w:pPr>
        <w:spacing w:line="360" w:lineRule="auto"/>
        <w:jc w:val="both"/>
        <w:rPr>
          <w:sz w:val="24"/>
          <w:szCs w:val="24"/>
        </w:rPr>
      </w:pPr>
      <w:r w:rsidRPr="00F420AA">
        <w:rPr>
          <w:sz w:val="24"/>
          <w:szCs w:val="24"/>
        </w:rPr>
        <w:lastRenderedPageBreak/>
        <w:t>graf č.</w:t>
      </w:r>
      <w:r>
        <w:rPr>
          <w:sz w:val="24"/>
          <w:szCs w:val="24"/>
        </w:rPr>
        <w:t xml:space="preserve"> </w:t>
      </w:r>
      <w:r w:rsidRPr="00F420AA">
        <w:rPr>
          <w:sz w:val="24"/>
          <w:szCs w:val="24"/>
        </w:rPr>
        <w:t>7</w:t>
      </w:r>
    </w:p>
    <w:p w:rsidR="006C1917" w:rsidRPr="00F420AA" w:rsidRDefault="000C52EC" w:rsidP="002A5827">
      <w:pPr>
        <w:spacing w:line="360" w:lineRule="auto"/>
        <w:jc w:val="both"/>
        <w:rPr>
          <w:sz w:val="24"/>
          <w:szCs w:val="24"/>
        </w:rPr>
      </w:pPr>
      <w:r>
        <w:rPr>
          <w:noProof/>
          <w:sz w:val="24"/>
          <w:szCs w:val="24"/>
          <w:lang w:eastAsia="cs-CZ"/>
        </w:rPr>
        <w:drawing>
          <wp:inline distT="0" distB="0" distL="0" distR="0">
            <wp:extent cx="5400675" cy="2600325"/>
            <wp:effectExtent l="0" t="0" r="0" b="0"/>
            <wp:docPr id="15" name="objek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C1917" w:rsidRPr="00F420AA" w:rsidRDefault="006C1917" w:rsidP="002A5827">
      <w:pPr>
        <w:spacing w:line="360" w:lineRule="auto"/>
        <w:rPr>
          <w:b/>
          <w:bCs/>
          <w:sz w:val="24"/>
          <w:szCs w:val="24"/>
        </w:rPr>
      </w:pPr>
    </w:p>
    <w:p w:rsidR="006C1917" w:rsidRPr="00F420AA" w:rsidRDefault="006C1917" w:rsidP="002A5827">
      <w:pPr>
        <w:spacing w:line="360" w:lineRule="auto"/>
        <w:jc w:val="both"/>
        <w:rPr>
          <w:sz w:val="24"/>
          <w:szCs w:val="24"/>
        </w:rPr>
      </w:pPr>
      <w:r w:rsidRPr="00F420AA">
        <w:rPr>
          <w:sz w:val="24"/>
          <w:szCs w:val="24"/>
        </w:rPr>
        <w:t>Jak již bylo uvedeno výše, vstupně byl výskyt positivity troponinu I v celé</w:t>
      </w:r>
      <w:r>
        <w:rPr>
          <w:sz w:val="24"/>
          <w:szCs w:val="24"/>
        </w:rPr>
        <w:t>m</w:t>
      </w:r>
      <w:r w:rsidRPr="00F420AA">
        <w:rPr>
          <w:sz w:val="24"/>
          <w:szCs w:val="24"/>
        </w:rPr>
        <w:t xml:space="preserve"> souboru </w:t>
      </w:r>
      <w:r>
        <w:rPr>
          <w:sz w:val="24"/>
          <w:szCs w:val="24"/>
        </w:rPr>
        <w:br/>
      </w:r>
      <w:r w:rsidRPr="00F420AA">
        <w:rPr>
          <w:sz w:val="24"/>
          <w:szCs w:val="24"/>
        </w:rPr>
        <w:t>230 pacientů zjištěn u 15 nemo</w:t>
      </w:r>
      <w:r>
        <w:rPr>
          <w:sz w:val="24"/>
          <w:szCs w:val="24"/>
        </w:rPr>
        <w:t xml:space="preserve">cných. U jedné pacientky došlo </w:t>
      </w:r>
      <w:r w:rsidRPr="00F420AA">
        <w:rPr>
          <w:sz w:val="24"/>
          <w:szCs w:val="24"/>
        </w:rPr>
        <w:t>za 6 hodin po primoimplantaci naopak k poklesu troponinu do pásma normálních hodnot, tento pokračoval i po 18 hodinách. Ostatních 14 pacientů mělo hodnoty troponinu I za 6 hodin po implantační proceduře zvýšené, toto zvýšení přetrvávalo u 11 nemocných i po 18 hodinách.</w:t>
      </w:r>
    </w:p>
    <w:p w:rsidR="006C1917" w:rsidRPr="00F420AA" w:rsidRDefault="006C1917" w:rsidP="002A5827">
      <w:pPr>
        <w:spacing w:line="360" w:lineRule="auto"/>
        <w:rPr>
          <w:b/>
          <w:bCs/>
          <w:sz w:val="24"/>
          <w:szCs w:val="24"/>
        </w:rPr>
      </w:pPr>
    </w:p>
    <w:p w:rsidR="006C1917" w:rsidRDefault="006C1917" w:rsidP="002A5827">
      <w:pPr>
        <w:spacing w:line="360" w:lineRule="auto"/>
        <w:rPr>
          <w:b/>
          <w:bCs/>
          <w:sz w:val="28"/>
          <w:szCs w:val="28"/>
        </w:rPr>
      </w:pPr>
    </w:p>
    <w:p w:rsidR="006C1917" w:rsidRDefault="006C1917" w:rsidP="002A5827">
      <w:pPr>
        <w:spacing w:line="360" w:lineRule="auto"/>
        <w:rPr>
          <w:b/>
          <w:bCs/>
          <w:sz w:val="28"/>
          <w:szCs w:val="28"/>
        </w:rPr>
      </w:pPr>
    </w:p>
    <w:p w:rsidR="006C1917" w:rsidRDefault="006C1917" w:rsidP="002A5827">
      <w:pPr>
        <w:spacing w:line="360" w:lineRule="auto"/>
        <w:rPr>
          <w:b/>
          <w:bCs/>
          <w:sz w:val="28"/>
          <w:szCs w:val="28"/>
        </w:rPr>
      </w:pPr>
    </w:p>
    <w:p w:rsidR="006C1917" w:rsidRDefault="006C1917" w:rsidP="002A5827">
      <w:pPr>
        <w:spacing w:line="360" w:lineRule="auto"/>
        <w:rPr>
          <w:b/>
          <w:bCs/>
          <w:sz w:val="28"/>
          <w:szCs w:val="28"/>
        </w:rPr>
      </w:pPr>
    </w:p>
    <w:p w:rsidR="006C1917" w:rsidRDefault="006C1917" w:rsidP="002A5827">
      <w:pPr>
        <w:spacing w:line="360" w:lineRule="auto"/>
        <w:rPr>
          <w:b/>
          <w:bCs/>
          <w:sz w:val="28"/>
          <w:szCs w:val="28"/>
        </w:rPr>
      </w:pPr>
    </w:p>
    <w:p w:rsidR="006C1917" w:rsidRDefault="006C1917" w:rsidP="002A5827">
      <w:pPr>
        <w:spacing w:line="360" w:lineRule="auto"/>
        <w:rPr>
          <w:b/>
          <w:bCs/>
          <w:sz w:val="28"/>
          <w:szCs w:val="28"/>
        </w:rPr>
      </w:pPr>
    </w:p>
    <w:p w:rsidR="006C1917" w:rsidRDefault="006C1917" w:rsidP="002A5827">
      <w:pPr>
        <w:spacing w:line="360" w:lineRule="auto"/>
        <w:rPr>
          <w:b/>
          <w:bCs/>
          <w:sz w:val="28"/>
          <w:szCs w:val="28"/>
        </w:rPr>
      </w:pPr>
    </w:p>
    <w:p w:rsidR="006C1917" w:rsidRPr="001324DB" w:rsidRDefault="006C1917" w:rsidP="001324DB">
      <w:pPr>
        <w:pStyle w:val="Nadpis1"/>
      </w:pPr>
      <w:bookmarkStart w:id="40" w:name="_Toc422993251"/>
      <w:r w:rsidRPr="001324DB">
        <w:lastRenderedPageBreak/>
        <w:t>Diskuze</w:t>
      </w:r>
      <w:bookmarkEnd w:id="40"/>
      <w:r w:rsidRPr="001324DB">
        <w:t xml:space="preserve">  </w:t>
      </w:r>
    </w:p>
    <w:p w:rsidR="006C1917" w:rsidRDefault="006C1917" w:rsidP="002A5827">
      <w:pPr>
        <w:spacing w:line="360" w:lineRule="auto"/>
        <w:rPr>
          <w:sz w:val="24"/>
          <w:szCs w:val="24"/>
        </w:rPr>
      </w:pPr>
    </w:p>
    <w:p w:rsidR="006C1917" w:rsidRPr="00F420AA" w:rsidRDefault="006C1917" w:rsidP="001324DB">
      <w:pPr>
        <w:spacing w:line="360" w:lineRule="auto"/>
        <w:jc w:val="both"/>
        <w:rPr>
          <w:sz w:val="24"/>
          <w:szCs w:val="24"/>
        </w:rPr>
      </w:pPr>
      <w:r w:rsidRPr="00F420AA">
        <w:rPr>
          <w:sz w:val="24"/>
          <w:szCs w:val="24"/>
        </w:rPr>
        <w:t>Mírná elevace troponinu I po nekomplikované primoimplantaci kardiostimulátoru s aktivně fixovaným elektrodovým systémem je tedy běžným jevem. Patrně jde o čistě mechanické poškození lokalizované části myoka</w:t>
      </w:r>
      <w:r>
        <w:rPr>
          <w:sz w:val="24"/>
          <w:szCs w:val="24"/>
        </w:rPr>
        <w:t>rdu se zničením malého množství</w:t>
      </w:r>
      <w:r w:rsidRPr="00F420AA">
        <w:rPr>
          <w:sz w:val="24"/>
          <w:szCs w:val="24"/>
        </w:rPr>
        <w:t xml:space="preserve"> kardiomyocytů </w:t>
      </w:r>
      <w:r>
        <w:rPr>
          <w:sz w:val="24"/>
          <w:szCs w:val="24"/>
        </w:rPr>
        <w:br/>
      </w:r>
      <w:r w:rsidRPr="00F420AA">
        <w:rPr>
          <w:sz w:val="24"/>
          <w:szCs w:val="24"/>
        </w:rPr>
        <w:t xml:space="preserve">a  následným troponinovým leakem do séra. </w:t>
      </w:r>
    </w:p>
    <w:p w:rsidR="006C1917" w:rsidRPr="00F420AA" w:rsidRDefault="006C1917" w:rsidP="001324DB">
      <w:pPr>
        <w:spacing w:line="360" w:lineRule="auto"/>
        <w:jc w:val="both"/>
        <w:rPr>
          <w:sz w:val="24"/>
          <w:szCs w:val="24"/>
        </w:rPr>
      </w:pPr>
      <w:r w:rsidRPr="00F420AA">
        <w:rPr>
          <w:sz w:val="24"/>
          <w:szCs w:val="24"/>
        </w:rPr>
        <w:t xml:space="preserve"> V naší práci prokazujeme mírnou elevaci troponinu I již vstupně u 15 nemocných z celého souboru n=230 (6,5</w:t>
      </w:r>
      <w:r>
        <w:rPr>
          <w:sz w:val="24"/>
          <w:szCs w:val="24"/>
        </w:rPr>
        <w:t xml:space="preserve"> </w:t>
      </w:r>
      <w:r w:rsidRPr="00F420AA">
        <w:rPr>
          <w:sz w:val="24"/>
          <w:szCs w:val="24"/>
        </w:rPr>
        <w:t>%). Následně po provedení primoimplantační procedury hladina troponinu I roste</w:t>
      </w:r>
      <w:r>
        <w:rPr>
          <w:sz w:val="24"/>
          <w:szCs w:val="24"/>
        </w:rPr>
        <w:t xml:space="preserve">, </w:t>
      </w:r>
      <w:r w:rsidRPr="00F420AA">
        <w:rPr>
          <w:sz w:val="24"/>
          <w:szCs w:val="24"/>
        </w:rPr>
        <w:t xml:space="preserve">očekávatelně více ve skupině dvoudutinové kardiostimulace. V případě dvoudutinové kardiostimulace jsou zavedeny 2 elektrody, myokard je tak „zraněn“ na dvou místech. </w:t>
      </w:r>
    </w:p>
    <w:p w:rsidR="006C1917" w:rsidRPr="00F420AA" w:rsidRDefault="006C1917" w:rsidP="001324DB">
      <w:pPr>
        <w:spacing w:line="360" w:lineRule="auto"/>
        <w:jc w:val="both"/>
        <w:rPr>
          <w:sz w:val="24"/>
          <w:szCs w:val="24"/>
        </w:rPr>
      </w:pPr>
      <w:r w:rsidRPr="00F420AA">
        <w:rPr>
          <w:sz w:val="24"/>
          <w:szCs w:val="24"/>
        </w:rPr>
        <w:t>Martignani</w:t>
      </w:r>
      <w:r>
        <w:rPr>
          <w:sz w:val="24"/>
          <w:szCs w:val="24"/>
        </w:rPr>
        <w:t xml:space="preserve"> ve své původní </w:t>
      </w:r>
      <w:r w:rsidRPr="00F420AA">
        <w:rPr>
          <w:sz w:val="24"/>
          <w:szCs w:val="24"/>
        </w:rPr>
        <w:t>práci obsahující soubor 70 pacientů</w:t>
      </w:r>
      <w:r>
        <w:rPr>
          <w:sz w:val="24"/>
          <w:szCs w:val="24"/>
        </w:rPr>
        <w:t>,</w:t>
      </w:r>
      <w:r w:rsidRPr="00F420AA">
        <w:rPr>
          <w:sz w:val="24"/>
          <w:szCs w:val="24"/>
        </w:rPr>
        <w:t xml:space="preserve"> kterým byl pro primoimplantaci kardiostimulátoru sledován troponin I</w:t>
      </w:r>
      <w:r>
        <w:rPr>
          <w:sz w:val="24"/>
          <w:szCs w:val="24"/>
        </w:rPr>
        <w:t>,</w:t>
      </w:r>
      <w:r w:rsidRPr="00F420AA">
        <w:rPr>
          <w:sz w:val="24"/>
          <w:szCs w:val="24"/>
        </w:rPr>
        <w:t xml:space="preserve"> nenalézá výraznější zvýšení hladin při implantaci síňové elektrody, vysvětluje to menším ob</w:t>
      </w:r>
      <w:r w:rsidR="00851338">
        <w:rPr>
          <w:sz w:val="24"/>
          <w:szCs w:val="24"/>
        </w:rPr>
        <w:t>sahem svaloviny v pravé síni (76</w:t>
      </w:r>
      <w:r>
        <w:rPr>
          <w:sz w:val="24"/>
          <w:szCs w:val="24"/>
        </w:rPr>
        <w:t>)</w:t>
      </w:r>
      <w:r w:rsidRPr="00F420AA">
        <w:rPr>
          <w:sz w:val="24"/>
          <w:szCs w:val="24"/>
        </w:rPr>
        <w:t>. Martignan</w:t>
      </w:r>
      <w:r>
        <w:rPr>
          <w:sz w:val="24"/>
          <w:szCs w:val="24"/>
        </w:rPr>
        <w:t xml:space="preserve">i dále pozoruje u svého souboru </w:t>
      </w:r>
      <w:r w:rsidRPr="00F420AA">
        <w:rPr>
          <w:sz w:val="24"/>
          <w:szCs w:val="24"/>
        </w:rPr>
        <w:t>nárůst troponinu I u 1/3 pacientů po primoimplantaci, většina pacientů měla aktivně fixovanou stimulační elektrodu, nárůst troponinu končí v 12. hodině, k normálu se vrací p</w:t>
      </w:r>
      <w:r w:rsidR="00851338">
        <w:rPr>
          <w:sz w:val="24"/>
          <w:szCs w:val="24"/>
        </w:rPr>
        <w:t>o 24 hod. V Bossově souboru (72</w:t>
      </w:r>
      <w:r>
        <w:rPr>
          <w:sz w:val="24"/>
          <w:szCs w:val="24"/>
        </w:rPr>
        <w:t>)</w:t>
      </w:r>
      <w:r w:rsidRPr="00F420AA">
        <w:rPr>
          <w:sz w:val="24"/>
          <w:szCs w:val="24"/>
        </w:rPr>
        <w:t xml:space="preserve"> je po zavedení trvalé kardiostimulace u 76 pacientů nalezena  positivita troponinu I u 21 % nemocných. V našem souboru jsme na</w:t>
      </w:r>
      <w:r>
        <w:rPr>
          <w:sz w:val="24"/>
          <w:szCs w:val="24"/>
        </w:rPr>
        <w:t>lezli pozitivitu troponinu I v </w:t>
      </w:r>
      <w:r w:rsidRPr="00F420AA">
        <w:rPr>
          <w:sz w:val="24"/>
          <w:szCs w:val="24"/>
        </w:rPr>
        <w:t>73</w:t>
      </w:r>
      <w:r>
        <w:rPr>
          <w:sz w:val="24"/>
          <w:szCs w:val="24"/>
        </w:rPr>
        <w:t xml:space="preserve"> </w:t>
      </w:r>
      <w:r w:rsidRPr="00F420AA">
        <w:rPr>
          <w:sz w:val="24"/>
          <w:szCs w:val="24"/>
        </w:rPr>
        <w:t>% po 6 hodi</w:t>
      </w:r>
      <w:r>
        <w:rPr>
          <w:sz w:val="24"/>
          <w:szCs w:val="24"/>
        </w:rPr>
        <w:t xml:space="preserve">nách od výkonu (167 z 230) a </w:t>
      </w:r>
      <w:r w:rsidRPr="00F420AA">
        <w:rPr>
          <w:sz w:val="24"/>
          <w:szCs w:val="24"/>
        </w:rPr>
        <w:t>v</w:t>
      </w:r>
      <w:r>
        <w:rPr>
          <w:sz w:val="24"/>
          <w:szCs w:val="24"/>
        </w:rPr>
        <w:t> </w:t>
      </w:r>
      <w:r w:rsidRPr="00F420AA">
        <w:rPr>
          <w:sz w:val="24"/>
          <w:szCs w:val="24"/>
        </w:rPr>
        <w:t>71</w:t>
      </w:r>
      <w:r>
        <w:rPr>
          <w:sz w:val="24"/>
          <w:szCs w:val="24"/>
        </w:rPr>
        <w:t xml:space="preserve"> </w:t>
      </w:r>
      <w:r w:rsidRPr="00F420AA">
        <w:rPr>
          <w:sz w:val="24"/>
          <w:szCs w:val="24"/>
        </w:rPr>
        <w:t>% po 18 hodinách od</w:t>
      </w:r>
      <w:r w:rsidR="00B33211">
        <w:rPr>
          <w:sz w:val="24"/>
          <w:szCs w:val="24"/>
        </w:rPr>
        <w:t xml:space="preserve"> výkonu (163 z 230). Vstupní poz</w:t>
      </w:r>
      <w:r w:rsidRPr="00F420AA">
        <w:rPr>
          <w:sz w:val="24"/>
          <w:szCs w:val="24"/>
        </w:rPr>
        <w:t>itivita tr</w:t>
      </w:r>
      <w:r w:rsidR="00851338">
        <w:rPr>
          <w:sz w:val="24"/>
          <w:szCs w:val="24"/>
        </w:rPr>
        <w:t>oponinu I v souborech Boosse (72) a Martignaniho (76</w:t>
      </w:r>
      <w:r w:rsidRPr="00F420AA">
        <w:rPr>
          <w:sz w:val="24"/>
          <w:szCs w:val="24"/>
        </w:rPr>
        <w:t xml:space="preserve">) </w:t>
      </w:r>
      <w:r>
        <w:rPr>
          <w:sz w:val="24"/>
          <w:szCs w:val="24"/>
        </w:rPr>
        <w:t xml:space="preserve">není uvedena, my jsme tuto zjistili </w:t>
      </w:r>
      <w:r>
        <w:rPr>
          <w:sz w:val="24"/>
          <w:szCs w:val="24"/>
        </w:rPr>
        <w:br/>
      </w:r>
      <w:r w:rsidRPr="00F420AA">
        <w:rPr>
          <w:sz w:val="24"/>
          <w:szCs w:val="24"/>
        </w:rPr>
        <w:t>u 15</w:t>
      </w:r>
      <w:r>
        <w:rPr>
          <w:sz w:val="24"/>
          <w:szCs w:val="24"/>
        </w:rPr>
        <w:t xml:space="preserve"> </w:t>
      </w:r>
      <w:r w:rsidRPr="00F420AA">
        <w:rPr>
          <w:sz w:val="24"/>
          <w:szCs w:val="24"/>
        </w:rPr>
        <w:t>% pacientů. Tento zdánlivý rozpor lze vysvětlit použitím rozdílných diagnostických kitů troponinu I, kdy použití diagnostické soupravy od jiného výrobce je zcela odlišně kalibrováno a kompletně se liší nejen limit detekce, ale zejména hodnota 99. percentilu. Výrazně lišit by se neměl variační koeficient, který by měl být při použití jakýchkoliv diagnostických souprav ≤10%.</w:t>
      </w:r>
      <w:r>
        <w:rPr>
          <w:sz w:val="24"/>
          <w:szCs w:val="24"/>
        </w:rPr>
        <w:t xml:space="preserve"> </w:t>
      </w:r>
      <w:r w:rsidRPr="00F420AA">
        <w:rPr>
          <w:sz w:val="24"/>
          <w:szCs w:val="24"/>
        </w:rPr>
        <w:t>(3, strana 20).</w:t>
      </w:r>
    </w:p>
    <w:p w:rsidR="006C1917" w:rsidRPr="00F420AA" w:rsidRDefault="006C1917" w:rsidP="001324DB">
      <w:pPr>
        <w:spacing w:line="360" w:lineRule="auto"/>
        <w:jc w:val="both"/>
        <w:rPr>
          <w:sz w:val="24"/>
          <w:szCs w:val="24"/>
        </w:rPr>
      </w:pPr>
      <w:r w:rsidRPr="00F420AA">
        <w:rPr>
          <w:sz w:val="24"/>
          <w:szCs w:val="24"/>
        </w:rPr>
        <w:t>Důvodem</w:t>
      </w:r>
      <w:r>
        <w:rPr>
          <w:sz w:val="24"/>
          <w:szCs w:val="24"/>
        </w:rPr>
        <w:t xml:space="preserve"> vyšší </w:t>
      </w:r>
      <w:r w:rsidR="002D2D77">
        <w:rPr>
          <w:sz w:val="24"/>
          <w:szCs w:val="24"/>
        </w:rPr>
        <w:t>míry poz</w:t>
      </w:r>
      <w:r w:rsidRPr="00F420AA">
        <w:rPr>
          <w:sz w:val="24"/>
          <w:szCs w:val="24"/>
        </w:rPr>
        <w:t xml:space="preserve">itivity troponinu I po primoimplantaci kardiostimulátoru v našem studovaném souboru </w:t>
      </w:r>
      <w:r>
        <w:rPr>
          <w:sz w:val="24"/>
          <w:szCs w:val="24"/>
        </w:rPr>
        <w:t xml:space="preserve">může být </w:t>
      </w:r>
      <w:r w:rsidRPr="00F420AA">
        <w:rPr>
          <w:sz w:val="24"/>
          <w:szCs w:val="24"/>
        </w:rPr>
        <w:t>100% užití aktivní fixac</w:t>
      </w:r>
      <w:r w:rsidR="003B764C">
        <w:rPr>
          <w:sz w:val="24"/>
          <w:szCs w:val="24"/>
        </w:rPr>
        <w:t>e, která v obou citovaných prace</w:t>
      </w:r>
      <w:r w:rsidRPr="00F420AA">
        <w:rPr>
          <w:sz w:val="24"/>
          <w:szCs w:val="24"/>
        </w:rPr>
        <w:t xml:space="preserve">ch </w:t>
      </w:r>
      <w:r>
        <w:rPr>
          <w:sz w:val="24"/>
          <w:szCs w:val="24"/>
        </w:rPr>
        <w:lastRenderedPageBreak/>
        <w:t xml:space="preserve">takto </w:t>
      </w:r>
      <w:r w:rsidRPr="00F420AA">
        <w:rPr>
          <w:sz w:val="24"/>
          <w:szCs w:val="24"/>
        </w:rPr>
        <w:t>použita nebyla, v</w:t>
      </w:r>
      <w:r w:rsidR="00851338">
        <w:rPr>
          <w:sz w:val="24"/>
          <w:szCs w:val="24"/>
        </w:rPr>
        <w:t> Boossově práci (72</w:t>
      </w:r>
      <w:r w:rsidRPr="00F420AA">
        <w:rPr>
          <w:sz w:val="24"/>
          <w:szCs w:val="24"/>
        </w:rPr>
        <w:t xml:space="preserve">) byla dokonce vylučovacím kriteriem (práce pochází z roku 2002, kdy aktivní fixace teprve nastupovala do klinické praxe). </w:t>
      </w:r>
    </w:p>
    <w:p w:rsidR="006C1917" w:rsidRPr="00F420AA" w:rsidRDefault="006C1917" w:rsidP="001324DB">
      <w:pPr>
        <w:spacing w:line="360" w:lineRule="auto"/>
        <w:jc w:val="both"/>
        <w:rPr>
          <w:sz w:val="24"/>
          <w:szCs w:val="24"/>
        </w:rPr>
      </w:pPr>
      <w:r w:rsidRPr="00F420AA">
        <w:rPr>
          <w:sz w:val="24"/>
          <w:szCs w:val="24"/>
        </w:rPr>
        <w:t>V porovnání s ischemický</w:t>
      </w:r>
      <w:r>
        <w:rPr>
          <w:sz w:val="24"/>
          <w:szCs w:val="24"/>
        </w:rPr>
        <w:t xml:space="preserve">m postižením myokardu nacházíme </w:t>
      </w:r>
      <w:r w:rsidRPr="00F420AA">
        <w:rPr>
          <w:sz w:val="24"/>
          <w:szCs w:val="24"/>
        </w:rPr>
        <w:t xml:space="preserve">při přímém mechanickém postižení myokardu o něco rychlejší peak hladin troponinu s normalizací do 24 </w:t>
      </w:r>
      <w:r w:rsidR="00851338">
        <w:rPr>
          <w:sz w:val="24"/>
          <w:szCs w:val="24"/>
        </w:rPr>
        <w:t>hodin od výkonu (Martignani-76</w:t>
      </w:r>
      <w:r>
        <w:rPr>
          <w:sz w:val="24"/>
          <w:szCs w:val="24"/>
        </w:rPr>
        <w:t xml:space="preserve">). </w:t>
      </w:r>
      <w:r w:rsidRPr="00F420AA">
        <w:rPr>
          <w:sz w:val="24"/>
          <w:szCs w:val="24"/>
        </w:rPr>
        <w:t>Podobn</w:t>
      </w:r>
      <w:r>
        <w:rPr>
          <w:sz w:val="24"/>
          <w:szCs w:val="24"/>
        </w:rPr>
        <w:t xml:space="preserve">ou rychlost nástupu elevace troponinu </w:t>
      </w:r>
      <w:r w:rsidR="00851338">
        <w:rPr>
          <w:sz w:val="24"/>
          <w:szCs w:val="24"/>
        </w:rPr>
        <w:t>popisuje Altin (77</w:t>
      </w:r>
      <w:r w:rsidRPr="00F420AA">
        <w:rPr>
          <w:sz w:val="24"/>
          <w:szCs w:val="24"/>
        </w:rPr>
        <w:t>) v práci, která sledovala 30 pacientů po implantaci různých typů kardiostimulátorů. Možnost poškození myokardu při zavedení pasivní elektrody připoušt</w:t>
      </w:r>
      <w:r w:rsidR="00851338">
        <w:rPr>
          <w:sz w:val="24"/>
          <w:szCs w:val="24"/>
        </w:rPr>
        <w:t>í ve svém sledování Sbarouni (78</w:t>
      </w:r>
      <w:r w:rsidRPr="00F420AA">
        <w:rPr>
          <w:sz w:val="24"/>
          <w:szCs w:val="24"/>
        </w:rPr>
        <w:t>),</w:t>
      </w:r>
      <w:r>
        <w:rPr>
          <w:sz w:val="24"/>
          <w:szCs w:val="24"/>
        </w:rPr>
        <w:t xml:space="preserve"> </w:t>
      </w:r>
      <w:r w:rsidRPr="00F420AA">
        <w:rPr>
          <w:sz w:val="24"/>
          <w:szCs w:val="24"/>
        </w:rPr>
        <w:t>kdy v této práci byl na  souboru 64 pacientů po primoimplantaci přístrojů elevován jak troponin, tak i ischemií modifikovaný albumin (IMA)</w:t>
      </w:r>
      <w:r>
        <w:rPr>
          <w:sz w:val="24"/>
          <w:szCs w:val="24"/>
        </w:rPr>
        <w:t xml:space="preserve"> –</w:t>
      </w:r>
      <w:r w:rsidRPr="00F420AA">
        <w:rPr>
          <w:sz w:val="24"/>
          <w:szCs w:val="24"/>
        </w:rPr>
        <w:t xml:space="preserve"> myokardiální poškození působí dle autora i pouhá drobná nekróza pod tipem elektrody.</w:t>
      </w:r>
    </w:p>
    <w:p w:rsidR="006C1917" w:rsidRDefault="00851338" w:rsidP="001324DB">
      <w:pPr>
        <w:spacing w:line="360" w:lineRule="auto"/>
        <w:jc w:val="both"/>
        <w:rPr>
          <w:sz w:val="24"/>
          <w:szCs w:val="24"/>
        </w:rPr>
      </w:pPr>
      <w:r>
        <w:rPr>
          <w:sz w:val="24"/>
          <w:szCs w:val="24"/>
        </w:rPr>
        <w:t>Konečně práce Davoodiho (79</w:t>
      </w:r>
      <w:r w:rsidR="006C1917" w:rsidRPr="00F420AA">
        <w:rPr>
          <w:sz w:val="24"/>
          <w:szCs w:val="24"/>
        </w:rPr>
        <w:t xml:space="preserve">) stanovující hladinu troponinu T porovnávala zvýšení </w:t>
      </w:r>
      <w:r w:rsidR="006C1917">
        <w:rPr>
          <w:sz w:val="24"/>
          <w:szCs w:val="24"/>
        </w:rPr>
        <w:br/>
      </w:r>
      <w:r w:rsidR="006C1917" w:rsidRPr="00F420AA">
        <w:rPr>
          <w:sz w:val="24"/>
          <w:szCs w:val="24"/>
        </w:rPr>
        <w:t>u nemocných s primoimplantací kardiostimulátoru a ICD, kdy skupina pacientů s ICD měla hladiny vyšší</w:t>
      </w:r>
      <w:r w:rsidR="006C1917">
        <w:rPr>
          <w:sz w:val="24"/>
          <w:szCs w:val="24"/>
        </w:rPr>
        <w:t xml:space="preserve"> –</w:t>
      </w:r>
      <w:r w:rsidR="006C1917" w:rsidRPr="00F420AA">
        <w:rPr>
          <w:sz w:val="24"/>
          <w:szCs w:val="24"/>
        </w:rPr>
        <w:t xml:space="preserve"> tam je vysvětlení etiologie tohoto jevu polyfaktoriá</w:t>
      </w:r>
      <w:r w:rsidR="002D2D77">
        <w:rPr>
          <w:sz w:val="24"/>
          <w:szCs w:val="24"/>
        </w:rPr>
        <w:t>lní. Několik prací připisuje poz</w:t>
      </w:r>
      <w:r w:rsidR="006C1917" w:rsidRPr="00F420AA">
        <w:rPr>
          <w:sz w:val="24"/>
          <w:szCs w:val="24"/>
        </w:rPr>
        <w:t>itivitu sérového troponinu kombinaci užití</w:t>
      </w:r>
      <w:r w:rsidR="006C1917">
        <w:rPr>
          <w:sz w:val="24"/>
          <w:szCs w:val="24"/>
        </w:rPr>
        <w:t xml:space="preserve"> fixace defibrilační elektrody a</w:t>
      </w:r>
      <w:r w:rsidR="006C1917" w:rsidRPr="00F420AA">
        <w:rPr>
          <w:sz w:val="24"/>
          <w:szCs w:val="24"/>
        </w:rPr>
        <w:t xml:space="preserve"> aplikace defibrilačního výboje u nemocných s primoim</w:t>
      </w:r>
      <w:r>
        <w:rPr>
          <w:sz w:val="24"/>
          <w:szCs w:val="24"/>
        </w:rPr>
        <w:t>plantovaným ICD:  Hurst 1999 (80</w:t>
      </w:r>
      <w:r w:rsidR="006C1917" w:rsidRPr="00F420AA">
        <w:rPr>
          <w:sz w:val="24"/>
          <w:szCs w:val="24"/>
        </w:rPr>
        <w:t>) – jde o práci 49 nemocných po implantaci ICD, elevace troponinu I se vyskytla pouze ve</w:t>
      </w:r>
      <w:r w:rsidR="002D2D77">
        <w:rPr>
          <w:sz w:val="24"/>
          <w:szCs w:val="24"/>
        </w:rPr>
        <w:t xml:space="preserve"> 14 %, hladina troponinu zde poz</w:t>
      </w:r>
      <w:r w:rsidR="006C1917" w:rsidRPr="00F420AA">
        <w:rPr>
          <w:sz w:val="24"/>
          <w:szCs w:val="24"/>
        </w:rPr>
        <w:t>itivně korelovala s aplikovanou energií během testovacího výboje, rovněž s dobou trvání komorové tachykardie během testu ICD. Jedná se rovněž o poměrně malou práci, jednotlivé riz</w:t>
      </w:r>
      <w:r w:rsidR="006C1917">
        <w:rPr>
          <w:sz w:val="24"/>
          <w:szCs w:val="24"/>
        </w:rPr>
        <w:t xml:space="preserve">ikové faktory studovaného jevu </w:t>
      </w:r>
      <w:r w:rsidR="006C1917" w:rsidRPr="00F420AA">
        <w:rPr>
          <w:sz w:val="24"/>
          <w:szCs w:val="24"/>
        </w:rPr>
        <w:t>se tam objevují v jednotkách.  Další pr</w:t>
      </w:r>
      <w:r>
        <w:rPr>
          <w:sz w:val="24"/>
          <w:szCs w:val="24"/>
        </w:rPr>
        <w:t>áce Dworschakova z roku 2001 (81</w:t>
      </w:r>
      <w:r w:rsidR="006C1917" w:rsidRPr="00F420AA">
        <w:rPr>
          <w:sz w:val="24"/>
          <w:szCs w:val="24"/>
        </w:rPr>
        <w:t>) konstatuje u 27 pacientů nárůst troponinu T po implantaci defibrilační elektrody, nárůst troponinu je vyšší u systémů s aktivní fixací, nekoreluje s energií tes</w:t>
      </w:r>
      <w:r w:rsidR="002D2D77">
        <w:rPr>
          <w:sz w:val="24"/>
          <w:szCs w:val="24"/>
        </w:rPr>
        <w:t>tovacího výboje. Je přítomna poz</w:t>
      </w:r>
      <w:r w:rsidR="006C1917" w:rsidRPr="00F420AA">
        <w:rPr>
          <w:sz w:val="24"/>
          <w:szCs w:val="24"/>
        </w:rPr>
        <w:t>itivní korelace mezi troponinem T a délkou implantačního výkonu (skiaskopický čas jako marker obtížnosti procedury zde stanovová</w:t>
      </w:r>
      <w:r w:rsidR="006C1917">
        <w:rPr>
          <w:sz w:val="24"/>
          <w:szCs w:val="24"/>
        </w:rPr>
        <w:t xml:space="preserve">n nebyl). </w:t>
      </w:r>
      <w:r>
        <w:rPr>
          <w:sz w:val="24"/>
          <w:szCs w:val="24"/>
        </w:rPr>
        <w:t>Soubor Schluterův (82</w:t>
      </w:r>
      <w:r w:rsidR="006C1917" w:rsidRPr="00F420AA">
        <w:rPr>
          <w:sz w:val="24"/>
          <w:szCs w:val="24"/>
        </w:rPr>
        <w:t>) obsahuje opět pouze 14 pacientů indikovaných k implantaci</w:t>
      </w:r>
      <w:r w:rsidR="006C1917">
        <w:rPr>
          <w:sz w:val="24"/>
          <w:szCs w:val="24"/>
        </w:rPr>
        <w:t xml:space="preserve"> ICD. Byl stanovován troponin T</w:t>
      </w:r>
      <w:r w:rsidR="006C1917" w:rsidRPr="00F420AA">
        <w:rPr>
          <w:sz w:val="24"/>
          <w:szCs w:val="24"/>
        </w:rPr>
        <w:t>, I, CKMB. Hladiny těchto markerů jsou po implantaci zvýšené u pacientů</w:t>
      </w:r>
      <w:r w:rsidR="006C1917">
        <w:rPr>
          <w:sz w:val="24"/>
          <w:szCs w:val="24"/>
        </w:rPr>
        <w:t>,</w:t>
      </w:r>
      <w:r w:rsidR="006C1917" w:rsidRPr="00F420AA">
        <w:rPr>
          <w:sz w:val="24"/>
          <w:szCs w:val="24"/>
        </w:rPr>
        <w:t xml:space="preserve"> kterým byly aplikovány alespoň 2 výboje, je zde konstatován časný vzestup všech markerů. Testovací výboj bývá aplikován při implantaci ICD vždy, doba po kterou běží komorová tachykardie je obecně krátká, může se lišit podle nastavení detekčního schématu defibrilátoru a to maximálně v řádech jednotek sekund, doba po kterou je komorová arytmie přítomna při testovacím výboji nemá na vzrůst hladiny troponinu pravděpodobně žádný vliv. </w:t>
      </w:r>
    </w:p>
    <w:p w:rsidR="006C1917" w:rsidRPr="00F420AA" w:rsidRDefault="00851338" w:rsidP="001324DB">
      <w:pPr>
        <w:spacing w:line="360" w:lineRule="auto"/>
        <w:jc w:val="both"/>
        <w:rPr>
          <w:sz w:val="24"/>
          <w:szCs w:val="24"/>
        </w:rPr>
      </w:pPr>
      <w:r>
        <w:rPr>
          <w:sz w:val="24"/>
          <w:szCs w:val="24"/>
        </w:rPr>
        <w:lastRenderedPageBreak/>
        <w:t>Letošní práce Furnissova (83</w:t>
      </w:r>
      <w:r w:rsidR="006C1917" w:rsidRPr="00F420AA">
        <w:rPr>
          <w:sz w:val="24"/>
          <w:szCs w:val="24"/>
        </w:rPr>
        <w:t xml:space="preserve">) však popisuje zvýšení hladin troponinu T jak u nemocných s prostou implantací ICD kterým nebyl aplikován výboj, tak u pacientů kterým během implantace testovací výboj aplikován byl. Elevace hs troponinu T se v obou větvích nelišila, nelišila se ani v závislosti na aplikované celkové energii testovacího výboje. Jedná se rozsahem o malou práci (skupiny 11 a 13 pacientů v obou ramenech, navíc odběry troponinu byly pouze 2 – vstupní a dále za 6-8 hodin pro primoimplantaci ICD), přesto byla prokázána positivní korelace mezi počtem aktivních fixací do myokardiální tkáně (deployments) </w:t>
      </w:r>
      <w:r w:rsidR="006C1917">
        <w:rPr>
          <w:sz w:val="24"/>
          <w:szCs w:val="24"/>
        </w:rPr>
        <w:br/>
      </w:r>
      <w:r w:rsidR="006C1917" w:rsidRPr="00F420AA">
        <w:rPr>
          <w:sz w:val="24"/>
          <w:szCs w:val="24"/>
        </w:rPr>
        <w:t>a hladinou troponinu podobně jako v našem souboru 230 nemocných</w:t>
      </w:r>
      <w:r w:rsidR="006C1917">
        <w:rPr>
          <w:sz w:val="24"/>
          <w:szCs w:val="24"/>
        </w:rPr>
        <w:t xml:space="preserve">. </w:t>
      </w:r>
      <w:r w:rsidR="006C1917" w:rsidRPr="00F420AA">
        <w:rPr>
          <w:sz w:val="24"/>
          <w:szCs w:val="24"/>
        </w:rPr>
        <w:t>Problémem všech výše uvedených prací je poměrně malý počet zařazených pacientů, což jejich ač statisticky významný závěr poměrně znehodnocuje. Nicméně je-li pozitivita troponinu konstatována v pracech s implantovanými kardiostimulátory, lze extrapolovat, že u nemocných s ICD tomu nebude jinak, použív</w:t>
      </w:r>
      <w:r w:rsidR="006C1917">
        <w:rPr>
          <w:sz w:val="24"/>
          <w:szCs w:val="24"/>
        </w:rPr>
        <w:t>ání testovacího výboje (výbojů)</w:t>
      </w:r>
      <w:r w:rsidR="006C1917" w:rsidRPr="00F420AA">
        <w:rPr>
          <w:sz w:val="24"/>
          <w:szCs w:val="24"/>
        </w:rPr>
        <w:t xml:space="preserve"> u primoimplantace ICD  může hladinu troponinu spíše lehce navýšit.</w:t>
      </w:r>
    </w:p>
    <w:p w:rsidR="006C1917" w:rsidRPr="00F420AA" w:rsidRDefault="006C1917" w:rsidP="001324DB">
      <w:pPr>
        <w:spacing w:line="360" w:lineRule="auto"/>
        <w:jc w:val="both"/>
        <w:rPr>
          <w:sz w:val="24"/>
          <w:szCs w:val="24"/>
        </w:rPr>
      </w:pPr>
      <w:r w:rsidRPr="00F420AA">
        <w:rPr>
          <w:sz w:val="24"/>
          <w:szCs w:val="24"/>
        </w:rPr>
        <w:t>Výše uvedené práce popisující elevaci troponinu po primoimplantaci stimulační/defibrilační elektrody s aktivní fixací popisují rychlý peak hladin troponinů. My v našem souboru tento fenomén potvrzujeme. Je obecně vysvětlitelný zejména rychlým uvolněním solubilního troponinu z poraněného kardiomyocytu (</w:t>
      </w:r>
      <w:r w:rsidR="002D2D77">
        <w:rPr>
          <w:sz w:val="24"/>
          <w:szCs w:val="24"/>
        </w:rPr>
        <w:t xml:space="preserve">ref. </w:t>
      </w:r>
      <w:r w:rsidRPr="00F420AA">
        <w:rPr>
          <w:sz w:val="24"/>
          <w:szCs w:val="24"/>
        </w:rPr>
        <w:t xml:space="preserve">3, strana 14). Interindividuálně může být rychlost uvolnění troponinu z poraněného </w:t>
      </w:r>
      <w:r>
        <w:rPr>
          <w:sz w:val="24"/>
          <w:szCs w:val="24"/>
        </w:rPr>
        <w:t>myokardu modifikována kapacitou</w:t>
      </w:r>
      <w:r w:rsidRPr="00F420AA">
        <w:rPr>
          <w:sz w:val="24"/>
          <w:szCs w:val="24"/>
        </w:rPr>
        <w:t xml:space="preserve"> lymfatické drenáže srdeční, kdy troponin vstupuje do kapilární síně až po naplnění lymfatického systému, který ale stejně nakonec ústí do žilního systému cestou ductus thoracicus (</w:t>
      </w:r>
      <w:r w:rsidR="002D2D77">
        <w:rPr>
          <w:sz w:val="24"/>
          <w:szCs w:val="24"/>
        </w:rPr>
        <w:t xml:space="preserve">ref. </w:t>
      </w:r>
      <w:r w:rsidRPr="00F420AA">
        <w:rPr>
          <w:sz w:val="24"/>
          <w:szCs w:val="24"/>
        </w:rPr>
        <w:t xml:space="preserve">3, strana 20).  </w:t>
      </w:r>
    </w:p>
    <w:p w:rsidR="006C1917" w:rsidRPr="00F420AA" w:rsidRDefault="006C1917" w:rsidP="001324DB">
      <w:pPr>
        <w:spacing w:line="360" w:lineRule="auto"/>
        <w:jc w:val="both"/>
        <w:rPr>
          <w:sz w:val="24"/>
          <w:szCs w:val="24"/>
        </w:rPr>
      </w:pPr>
      <w:r w:rsidRPr="00F420AA">
        <w:rPr>
          <w:sz w:val="24"/>
          <w:szCs w:val="24"/>
        </w:rPr>
        <w:t>Zaj</w:t>
      </w:r>
      <w:r>
        <w:rPr>
          <w:sz w:val="24"/>
          <w:szCs w:val="24"/>
        </w:rPr>
        <w:t xml:space="preserve">ímavou otázku může představovat </w:t>
      </w:r>
      <w:r w:rsidRPr="00F420AA">
        <w:rPr>
          <w:sz w:val="24"/>
          <w:szCs w:val="24"/>
        </w:rPr>
        <w:t>problematika ovlivnění elevace troponinu po primoimplantaci stimulační elektrody ostatními faktory, které jsou významné u elevace troponinu u ostatních neischemických onemocnění (srdeční selhání, renální insuficience, sepse</w:t>
      </w:r>
      <w:r>
        <w:rPr>
          <w:sz w:val="24"/>
          <w:szCs w:val="24"/>
        </w:rPr>
        <w:t xml:space="preserve"> </w:t>
      </w:r>
      <w:r w:rsidRPr="00F420AA">
        <w:rPr>
          <w:sz w:val="24"/>
          <w:szCs w:val="24"/>
        </w:rPr>
        <w:t xml:space="preserve">etc.) Náš studovaný soubor je vysokého průměrného věku 77,9 ± 8,0 let (medián </w:t>
      </w:r>
      <w:r>
        <w:rPr>
          <w:sz w:val="24"/>
          <w:szCs w:val="24"/>
        </w:rPr>
        <w:br/>
      </w:r>
      <w:r w:rsidRPr="00F420AA">
        <w:rPr>
          <w:sz w:val="24"/>
          <w:szCs w:val="24"/>
        </w:rPr>
        <w:t>79,5 let). U ostatních výše citovaných autorů (Sbarouni, Altin, Nikolaos, Boss, Martignani) není situace jiná,</w:t>
      </w:r>
      <w:r w:rsidR="002D2D77">
        <w:rPr>
          <w:sz w:val="24"/>
          <w:szCs w:val="24"/>
        </w:rPr>
        <w:t xml:space="preserve"> tam jsou studováni také starší, </w:t>
      </w:r>
      <w:r w:rsidRPr="00F420AA">
        <w:rPr>
          <w:sz w:val="24"/>
          <w:szCs w:val="24"/>
        </w:rPr>
        <w:t>polymorbidní pacienti.  Jelikož mechanismus uvolnění troponinu z kardiomyocytu je čisté „mechanický“ při poranění kardiomyocytu, lze předpokládat, že vysoký průměrný věk a množství významných přidružených chorob u našeho studovaného souboru nepředstavuje významný problém. Literárně ne</w:t>
      </w:r>
      <w:r>
        <w:rPr>
          <w:sz w:val="24"/>
          <w:szCs w:val="24"/>
        </w:rPr>
        <w:t xml:space="preserve">ní známa žádná práce, která by studovala čistě </w:t>
      </w:r>
      <w:r w:rsidRPr="00F420AA">
        <w:rPr>
          <w:sz w:val="24"/>
          <w:szCs w:val="24"/>
        </w:rPr>
        <w:t xml:space="preserve">pacienty nižšího věku a sledovala u nich míru poškození </w:t>
      </w:r>
      <w:r w:rsidRPr="00F420AA">
        <w:rPr>
          <w:sz w:val="24"/>
          <w:szCs w:val="24"/>
        </w:rPr>
        <w:lastRenderedPageBreak/>
        <w:t>myokardu (elevaci troponinu). Taková studie by byla logisticky náročná</w:t>
      </w:r>
      <w:r>
        <w:rPr>
          <w:sz w:val="24"/>
          <w:szCs w:val="24"/>
        </w:rPr>
        <w:t>,</w:t>
      </w:r>
      <w:r w:rsidRPr="00F420AA">
        <w:rPr>
          <w:sz w:val="24"/>
          <w:szCs w:val="24"/>
        </w:rPr>
        <w:t xml:space="preserve"> protože mladých nemocných s indikací k trvalé kardiostimulaci je obecně velmi málo. Nicméně jasný průkaz tohoto jevu v populaci mladých pacientů by jen blíže potvrdil čistě mechanické uvolnění trop</w:t>
      </w:r>
      <w:r>
        <w:rPr>
          <w:sz w:val="24"/>
          <w:szCs w:val="24"/>
        </w:rPr>
        <w:t>oninu z poraněného myokardu.</w:t>
      </w:r>
    </w:p>
    <w:p w:rsidR="006C1917" w:rsidRPr="00F420AA" w:rsidRDefault="006C1917" w:rsidP="001324DB">
      <w:pPr>
        <w:spacing w:line="360" w:lineRule="auto"/>
        <w:jc w:val="both"/>
        <w:rPr>
          <w:sz w:val="24"/>
          <w:szCs w:val="24"/>
        </w:rPr>
      </w:pPr>
      <w:r w:rsidRPr="00F420AA">
        <w:rPr>
          <w:sz w:val="24"/>
          <w:szCs w:val="24"/>
        </w:rPr>
        <w:t>Neméně zajímavým fenomenem sledovaným v literárních zdrojích je skiaskopický (fluoroskopický) čas, který je některými autory považován za jakýsi marker obtížnosti implantačního výkonu</w:t>
      </w:r>
      <w:r>
        <w:rPr>
          <w:sz w:val="24"/>
          <w:szCs w:val="24"/>
        </w:rPr>
        <w:t xml:space="preserve">. Což odpovídá </w:t>
      </w:r>
      <w:r w:rsidRPr="00F420AA">
        <w:rPr>
          <w:sz w:val="24"/>
          <w:szCs w:val="24"/>
        </w:rPr>
        <w:t>situaci, kdy s</w:t>
      </w:r>
      <w:r>
        <w:rPr>
          <w:sz w:val="24"/>
          <w:szCs w:val="24"/>
        </w:rPr>
        <w:t xml:space="preserve">e například operatérovi nedaří </w:t>
      </w:r>
      <w:r w:rsidRPr="00F420AA">
        <w:rPr>
          <w:sz w:val="24"/>
          <w:szCs w:val="24"/>
        </w:rPr>
        <w:t>optimalizovat pozici pravokomorové elektrody mid-septálně, optimální pozici dlouho hledá, čímž narůstá</w:t>
      </w:r>
      <w:r>
        <w:rPr>
          <w:sz w:val="24"/>
          <w:szCs w:val="24"/>
        </w:rPr>
        <w:t xml:space="preserve"> skiaskopický čas.  Následující autoři </w:t>
      </w:r>
      <w:r w:rsidRPr="00F420AA">
        <w:rPr>
          <w:sz w:val="24"/>
          <w:szCs w:val="24"/>
        </w:rPr>
        <w:t>popisují přímou úměru mezi myokardiálním poškození (tedy elevací troponinu) a délkou skiaskopického času</w:t>
      </w:r>
      <w:r>
        <w:rPr>
          <w:sz w:val="24"/>
          <w:szCs w:val="24"/>
        </w:rPr>
        <w:t xml:space="preserve">. </w:t>
      </w:r>
      <w:r w:rsidR="00851338">
        <w:rPr>
          <w:sz w:val="24"/>
          <w:szCs w:val="24"/>
        </w:rPr>
        <w:t>Například Boss (72</w:t>
      </w:r>
      <w:r w:rsidRPr="00F420AA">
        <w:rPr>
          <w:sz w:val="24"/>
          <w:szCs w:val="24"/>
        </w:rPr>
        <w:t xml:space="preserve">) </w:t>
      </w:r>
      <w:r>
        <w:rPr>
          <w:sz w:val="24"/>
          <w:szCs w:val="24"/>
        </w:rPr>
        <w:br/>
      </w:r>
      <w:r w:rsidRPr="00F420AA">
        <w:rPr>
          <w:sz w:val="24"/>
          <w:szCs w:val="24"/>
        </w:rPr>
        <w:t>v</w:t>
      </w:r>
      <w:r w:rsidR="00DD43A3">
        <w:rPr>
          <w:sz w:val="24"/>
          <w:szCs w:val="24"/>
        </w:rPr>
        <w:t xml:space="preserve"> již výše zmíněné práci tuto poz</w:t>
      </w:r>
      <w:r w:rsidRPr="00F420AA">
        <w:rPr>
          <w:sz w:val="24"/>
          <w:szCs w:val="24"/>
        </w:rPr>
        <w:t>itivní korelaci</w:t>
      </w:r>
      <w:r>
        <w:rPr>
          <w:sz w:val="24"/>
          <w:szCs w:val="24"/>
        </w:rPr>
        <w:t xml:space="preserve"> popisuje. </w:t>
      </w:r>
      <w:r w:rsidR="00851338">
        <w:rPr>
          <w:sz w:val="24"/>
          <w:szCs w:val="24"/>
        </w:rPr>
        <w:t>Naopak Martignani (76</w:t>
      </w:r>
      <w:r w:rsidRPr="00F420AA">
        <w:rPr>
          <w:sz w:val="24"/>
          <w:szCs w:val="24"/>
        </w:rPr>
        <w:t xml:space="preserve">) korelaci fluoroskopie a troponinu I neprokazuje. </w:t>
      </w:r>
      <w:r>
        <w:rPr>
          <w:sz w:val="24"/>
          <w:szCs w:val="24"/>
        </w:rPr>
        <w:t xml:space="preserve"> V  naší práci jsme </w:t>
      </w:r>
      <w:r w:rsidRPr="00F420AA">
        <w:rPr>
          <w:sz w:val="24"/>
          <w:szCs w:val="24"/>
        </w:rPr>
        <w:t xml:space="preserve">korelaci mezi elevací troponinu I </w:t>
      </w:r>
      <w:r>
        <w:rPr>
          <w:sz w:val="24"/>
          <w:szCs w:val="24"/>
        </w:rPr>
        <w:br/>
      </w:r>
      <w:r w:rsidRPr="00F420AA">
        <w:rPr>
          <w:sz w:val="24"/>
          <w:szCs w:val="24"/>
        </w:rPr>
        <w:t xml:space="preserve">a délkou fluoroskopického času nalezli, ačkoliv skiaskopické časy byly opravdu krátké, nalezli jsme také signifikantně kratší průměrný skiaskopický čas ve skupině jednodutinové stimulace, což je očekávatelný výsledek. </w:t>
      </w:r>
    </w:p>
    <w:p w:rsidR="006C1917" w:rsidRPr="00F420AA" w:rsidRDefault="006C1917" w:rsidP="001324DB">
      <w:pPr>
        <w:spacing w:line="360" w:lineRule="auto"/>
        <w:jc w:val="both"/>
        <w:rPr>
          <w:sz w:val="24"/>
          <w:szCs w:val="24"/>
        </w:rPr>
      </w:pPr>
      <w:r w:rsidRPr="00F420AA">
        <w:rPr>
          <w:sz w:val="24"/>
          <w:szCs w:val="24"/>
        </w:rPr>
        <w:t>Co se týče komentáře k ostatním stanovovaným markerům, jsou</w:t>
      </w:r>
      <w:r>
        <w:rPr>
          <w:sz w:val="24"/>
          <w:szCs w:val="24"/>
        </w:rPr>
        <w:t xml:space="preserve"> výsledky značně nepřesvědčivé: </w:t>
      </w:r>
      <w:r w:rsidRPr="00F420AA">
        <w:rPr>
          <w:sz w:val="24"/>
          <w:szCs w:val="24"/>
        </w:rPr>
        <w:t xml:space="preserve">U CKMB jsme zaznamenali dokonce signifikantní pokles za 6 a 18 hodin po primoimplantaci. </w:t>
      </w:r>
      <w:r>
        <w:rPr>
          <w:sz w:val="24"/>
          <w:szCs w:val="24"/>
        </w:rPr>
        <w:t>Pokles hladiny</w:t>
      </w:r>
      <w:r w:rsidRPr="00F420AA">
        <w:rPr>
          <w:sz w:val="24"/>
          <w:szCs w:val="24"/>
        </w:rPr>
        <w:t xml:space="preserve"> o 0,06 resp. 0,07 ukat/l nepředstavuje z klinického hlediska významnou diferenci</w:t>
      </w:r>
      <w:r>
        <w:rPr>
          <w:sz w:val="24"/>
          <w:szCs w:val="24"/>
        </w:rPr>
        <w:t>,</w:t>
      </w:r>
      <w:r w:rsidRPr="00F420AA">
        <w:rPr>
          <w:sz w:val="24"/>
          <w:szCs w:val="24"/>
        </w:rPr>
        <w:t xml:space="preserve"> ač je statisticky významný.</w:t>
      </w:r>
    </w:p>
    <w:p w:rsidR="006C1917" w:rsidRPr="00F420AA" w:rsidRDefault="006C1917" w:rsidP="001324DB">
      <w:pPr>
        <w:spacing w:line="360" w:lineRule="auto"/>
        <w:jc w:val="both"/>
        <w:rPr>
          <w:sz w:val="24"/>
          <w:szCs w:val="24"/>
        </w:rPr>
      </w:pPr>
      <w:r w:rsidRPr="00F420AA">
        <w:rPr>
          <w:sz w:val="24"/>
          <w:szCs w:val="24"/>
        </w:rPr>
        <w:t>Literá</w:t>
      </w:r>
      <w:r w:rsidR="002D2D77">
        <w:rPr>
          <w:sz w:val="24"/>
          <w:szCs w:val="24"/>
        </w:rPr>
        <w:t>rně je známa</w:t>
      </w:r>
      <w:r w:rsidR="00851338">
        <w:rPr>
          <w:sz w:val="24"/>
          <w:szCs w:val="24"/>
        </w:rPr>
        <w:t xml:space="preserve"> práce Nikolaose (84</w:t>
      </w:r>
      <w:r w:rsidRPr="00F420AA">
        <w:rPr>
          <w:sz w:val="24"/>
          <w:szCs w:val="24"/>
        </w:rPr>
        <w:t xml:space="preserve">), která změny CKMB hodnotí jako statisticky nesignifikantní. Naproti tomu Sbarouni popisuje statisticky signifikantní nárůst CKMB po primoimplantaci kardiostimulátoru. V současné době je však CKMB jakožto marker ischemického </w:t>
      </w:r>
      <w:r>
        <w:rPr>
          <w:sz w:val="24"/>
          <w:szCs w:val="24"/>
        </w:rPr>
        <w:t xml:space="preserve">myokardiálního poškození </w:t>
      </w:r>
      <w:r w:rsidRPr="00F420AA">
        <w:rPr>
          <w:sz w:val="24"/>
          <w:szCs w:val="24"/>
        </w:rPr>
        <w:t>značně na ústupu, dostupná guidellines CKMB k diagnostice akutního koronárního syndromu již spíše nedoporučují s vyjímkou časné detekce reinfarktu myokardu, proto další extenzivní studium tohoto jevu postrádá na klinickém významu.</w:t>
      </w:r>
    </w:p>
    <w:p w:rsidR="006C1917" w:rsidRPr="00F420AA" w:rsidRDefault="006C1917" w:rsidP="001324DB">
      <w:pPr>
        <w:spacing w:line="360" w:lineRule="auto"/>
        <w:jc w:val="both"/>
        <w:rPr>
          <w:sz w:val="24"/>
          <w:szCs w:val="24"/>
        </w:rPr>
      </w:pPr>
      <w:r w:rsidRPr="00F420AA">
        <w:rPr>
          <w:sz w:val="24"/>
          <w:szCs w:val="24"/>
        </w:rPr>
        <w:t>Hodnota myoglobinu se v našem souboru 230 pacientů mění za</w:t>
      </w:r>
      <w:r>
        <w:rPr>
          <w:sz w:val="24"/>
          <w:szCs w:val="24"/>
        </w:rPr>
        <w:t xml:space="preserve"> 6 a 18 hodin nesignifikantně. </w:t>
      </w:r>
      <w:r w:rsidRPr="00F420AA">
        <w:rPr>
          <w:sz w:val="24"/>
          <w:szCs w:val="24"/>
        </w:rPr>
        <w:t>U myoglobinu po primoimplantaci kardiostimulátoru konstatuje po</w:t>
      </w:r>
      <w:r>
        <w:rPr>
          <w:sz w:val="24"/>
          <w:szCs w:val="24"/>
        </w:rPr>
        <w:t xml:space="preserve">dobný závěr v již výše zmíněné </w:t>
      </w:r>
      <w:r w:rsidR="00F078BA">
        <w:rPr>
          <w:sz w:val="24"/>
          <w:szCs w:val="24"/>
        </w:rPr>
        <w:t>práci  Nikolaos (84</w:t>
      </w:r>
      <w:r w:rsidRPr="00F420AA">
        <w:rPr>
          <w:sz w:val="24"/>
          <w:szCs w:val="24"/>
        </w:rPr>
        <w:t xml:space="preserve">). Nicméně myoglobin má klinický význam ještě menší než CKMB a v diagnostice akutního koronárního syndromu se již neužívá. Použití myoglobinu má </w:t>
      </w:r>
      <w:r w:rsidRPr="00F420AA">
        <w:rPr>
          <w:sz w:val="24"/>
          <w:szCs w:val="24"/>
        </w:rPr>
        <w:lastRenderedPageBreak/>
        <w:t>podob</w:t>
      </w:r>
      <w:r>
        <w:rPr>
          <w:sz w:val="24"/>
          <w:szCs w:val="24"/>
        </w:rPr>
        <w:t>ně jako CK význam u diagnostiky</w:t>
      </w:r>
      <w:r w:rsidRPr="00F420AA">
        <w:rPr>
          <w:sz w:val="24"/>
          <w:szCs w:val="24"/>
        </w:rPr>
        <w:t xml:space="preserve"> lézí příčně pruhovaného svalu, například </w:t>
      </w:r>
      <w:r>
        <w:rPr>
          <w:sz w:val="24"/>
          <w:szCs w:val="24"/>
        </w:rPr>
        <w:br/>
      </w:r>
      <w:r w:rsidRPr="00F420AA">
        <w:rPr>
          <w:sz w:val="24"/>
          <w:szCs w:val="24"/>
        </w:rPr>
        <w:t>u rhabdomyolýzy.</w:t>
      </w:r>
    </w:p>
    <w:p w:rsidR="006C1917" w:rsidRPr="00F420AA" w:rsidRDefault="006C1917" w:rsidP="001324DB">
      <w:pPr>
        <w:spacing w:line="360" w:lineRule="auto"/>
        <w:jc w:val="both"/>
        <w:rPr>
          <w:sz w:val="24"/>
          <w:szCs w:val="24"/>
        </w:rPr>
      </w:pPr>
      <w:r w:rsidRPr="00F420AA">
        <w:rPr>
          <w:sz w:val="24"/>
          <w:szCs w:val="24"/>
        </w:rPr>
        <w:t>Proč vlastně studovat elevaci troponinu po implantaci kardiostimulátoru? Nález tohoto jevu zapadá do aktuální mozaiky p</w:t>
      </w:r>
      <w:r>
        <w:rPr>
          <w:sz w:val="24"/>
          <w:szCs w:val="24"/>
        </w:rPr>
        <w:t xml:space="preserve">roblematiky srdečních markerů. </w:t>
      </w:r>
      <w:r w:rsidRPr="00F420AA">
        <w:rPr>
          <w:sz w:val="24"/>
          <w:szCs w:val="24"/>
        </w:rPr>
        <w:t>V odborné lékařské (kardiologi</w:t>
      </w:r>
      <w:r>
        <w:rPr>
          <w:sz w:val="24"/>
          <w:szCs w:val="24"/>
        </w:rPr>
        <w:t xml:space="preserve">cké) veřejnosti stále rezonuje </w:t>
      </w:r>
      <w:r w:rsidRPr="00F420AA">
        <w:rPr>
          <w:sz w:val="24"/>
          <w:szCs w:val="24"/>
        </w:rPr>
        <w:t>zjednodušující schéma: pozitivní tropon</w:t>
      </w:r>
      <w:r>
        <w:rPr>
          <w:sz w:val="24"/>
          <w:szCs w:val="24"/>
        </w:rPr>
        <w:t xml:space="preserve">in = akutní koronární syndrom. </w:t>
      </w:r>
      <w:r w:rsidRPr="00F420AA">
        <w:rPr>
          <w:sz w:val="24"/>
          <w:szCs w:val="24"/>
        </w:rPr>
        <w:t>To, že tato rovnice neplatí je dostatečně literárně známo, ale přesto je v odborných kardiologických a biochemických kruzích vyvíjena osvěta stran této významné problematiky. Na straně druhé stojí řada prací např. Horwich (</w:t>
      </w:r>
      <w:r w:rsidR="004534DB">
        <w:rPr>
          <w:sz w:val="24"/>
          <w:szCs w:val="24"/>
        </w:rPr>
        <w:t>19), Schwinkels (36), Hijazi (85</w:t>
      </w:r>
      <w:r w:rsidRPr="00F420AA">
        <w:rPr>
          <w:sz w:val="24"/>
          <w:szCs w:val="24"/>
        </w:rPr>
        <w:t xml:space="preserve">), </w:t>
      </w:r>
      <w:r>
        <w:rPr>
          <w:sz w:val="24"/>
          <w:szCs w:val="24"/>
        </w:rPr>
        <w:t xml:space="preserve">Kucher </w:t>
      </w:r>
      <w:r w:rsidR="004534DB">
        <w:rPr>
          <w:sz w:val="24"/>
          <w:szCs w:val="24"/>
        </w:rPr>
        <w:t>(86</w:t>
      </w:r>
      <w:r w:rsidRPr="00F420AA">
        <w:rPr>
          <w:sz w:val="24"/>
          <w:szCs w:val="24"/>
        </w:rPr>
        <w:t>),</w:t>
      </w:r>
      <w:r>
        <w:rPr>
          <w:sz w:val="24"/>
          <w:szCs w:val="24"/>
        </w:rPr>
        <w:t xml:space="preserve"> které prokazují </w:t>
      </w:r>
      <w:r w:rsidRPr="00F420AA">
        <w:rPr>
          <w:sz w:val="24"/>
          <w:szCs w:val="24"/>
        </w:rPr>
        <w:t>horší prognózu (včetně mortalitních dat) u pacientů, kteří mají sérovou hladinu troponinu zvýšenou. To v klinických lékařích, zejména nekardiologického zaměření vzbuzuje určité obavy a vede je to často k indikaci koronarografického vyšetření (emergentního nebo elektivního) u pacientů, kteř</w:t>
      </w:r>
      <w:r>
        <w:rPr>
          <w:sz w:val="24"/>
          <w:szCs w:val="24"/>
        </w:rPr>
        <w:t xml:space="preserve">í primárně žádnými typickými symptomy </w:t>
      </w:r>
      <w:r w:rsidR="002D2D77">
        <w:rPr>
          <w:sz w:val="24"/>
          <w:szCs w:val="24"/>
        </w:rPr>
        <w:t>akutní isché</w:t>
      </w:r>
      <w:r w:rsidR="00DD43A3">
        <w:rPr>
          <w:sz w:val="24"/>
          <w:szCs w:val="24"/>
        </w:rPr>
        <w:t xml:space="preserve">mie netrpí. Této indikaci mnohdy </w:t>
      </w:r>
      <w:r w:rsidRPr="00F420AA">
        <w:rPr>
          <w:sz w:val="24"/>
          <w:szCs w:val="24"/>
        </w:rPr>
        <w:t>nahrává fakt, že takoví nemocní m</w:t>
      </w:r>
      <w:r>
        <w:rPr>
          <w:sz w:val="24"/>
          <w:szCs w:val="24"/>
        </w:rPr>
        <w:t xml:space="preserve">ají často drobné repolarizační </w:t>
      </w:r>
      <w:r w:rsidRPr="00F420AA">
        <w:rPr>
          <w:sz w:val="24"/>
          <w:szCs w:val="24"/>
        </w:rPr>
        <w:t xml:space="preserve">změny na EKG, které jsou mylně hodnoceny jako akutní.  Nebo se jedná o pacienty s implantovaným kardiostimulátorem, kteří jsou intermitentně stimulováni a díky fenomenu </w:t>
      </w:r>
      <w:r>
        <w:rPr>
          <w:sz w:val="24"/>
          <w:szCs w:val="24"/>
        </w:rPr>
        <w:t>„cardiac memory“</w:t>
      </w:r>
      <w:r w:rsidRPr="00F420AA">
        <w:rPr>
          <w:sz w:val="24"/>
          <w:szCs w:val="24"/>
        </w:rPr>
        <w:t xml:space="preserve"> jsou přítomny repolarizační změny typ</w:t>
      </w:r>
      <w:r w:rsidR="004534DB">
        <w:rPr>
          <w:sz w:val="24"/>
          <w:szCs w:val="24"/>
        </w:rPr>
        <w:t>icky na přední stěně srdeční (87</w:t>
      </w:r>
      <w:r w:rsidRPr="00F420AA">
        <w:rPr>
          <w:sz w:val="24"/>
          <w:szCs w:val="24"/>
        </w:rPr>
        <w:t>).</w:t>
      </w:r>
      <w:r>
        <w:rPr>
          <w:sz w:val="24"/>
          <w:szCs w:val="24"/>
        </w:rPr>
        <w:t xml:space="preserve"> </w:t>
      </w:r>
      <w:r w:rsidRPr="00F420AA">
        <w:rPr>
          <w:sz w:val="24"/>
          <w:szCs w:val="24"/>
        </w:rPr>
        <w:t>Pacienti ve výše citovaných pracech trpěli roz</w:t>
      </w:r>
      <w:r w:rsidR="003B764C">
        <w:rPr>
          <w:sz w:val="24"/>
          <w:szCs w:val="24"/>
        </w:rPr>
        <w:t>d</w:t>
      </w:r>
      <w:r w:rsidRPr="00F420AA">
        <w:rPr>
          <w:sz w:val="24"/>
          <w:szCs w:val="24"/>
        </w:rPr>
        <w:t xml:space="preserve">ílnými onemocněními (fibrilací síní, srdečním selháním, plicní embolizací atc.) </w:t>
      </w:r>
      <w:r>
        <w:rPr>
          <w:sz w:val="24"/>
          <w:szCs w:val="24"/>
        </w:rPr>
        <w:br/>
      </w:r>
      <w:r w:rsidRPr="00F420AA">
        <w:rPr>
          <w:sz w:val="24"/>
          <w:szCs w:val="24"/>
        </w:rPr>
        <w:t xml:space="preserve">a konstatování pozitivity troponinu jistě představuje pro konkrétního pacienta vyšší individuální riziko morbiditní i mortalitní. Nicméně provedení koronarografie má smysl pouze u části takovýchto pacientů, u některých nemocných může invazivní diagnostika dané onemocnění spíše zhoršit (renální insuficience, sepse etc.). Nemocní, kteří mají zvýšenou sérovou hladinu troponinu a negativní nález na koronarografickém vyšetření mají být důkladně vyšetřeni a evaluováni  stran mortalitního rizika. </w:t>
      </w:r>
    </w:p>
    <w:p w:rsidR="006C1917" w:rsidRPr="00F420AA" w:rsidRDefault="006C1917" w:rsidP="001324DB">
      <w:pPr>
        <w:spacing w:line="360" w:lineRule="auto"/>
        <w:jc w:val="both"/>
        <w:rPr>
          <w:sz w:val="24"/>
          <w:szCs w:val="24"/>
        </w:rPr>
      </w:pPr>
      <w:r w:rsidRPr="00F420AA">
        <w:rPr>
          <w:sz w:val="24"/>
          <w:szCs w:val="24"/>
        </w:rPr>
        <w:t>Hlavní otázkou je problematika tzv. nízkých hodnot troponinu</w:t>
      </w:r>
      <w:r>
        <w:rPr>
          <w:sz w:val="24"/>
          <w:szCs w:val="24"/>
        </w:rPr>
        <w:t xml:space="preserve">. </w:t>
      </w:r>
      <w:r w:rsidRPr="00F420AA">
        <w:rPr>
          <w:sz w:val="24"/>
          <w:szCs w:val="24"/>
        </w:rPr>
        <w:t>Se vzrůstající citlivostí použité metody totiž roste záchyt pozitivity vzorků (tedy nálezů sérové koncentrace převyšující 99.</w:t>
      </w:r>
      <w:r>
        <w:rPr>
          <w:sz w:val="24"/>
          <w:szCs w:val="24"/>
        </w:rPr>
        <w:t xml:space="preserve"> </w:t>
      </w:r>
      <w:r w:rsidRPr="00F420AA">
        <w:rPr>
          <w:sz w:val="24"/>
          <w:szCs w:val="24"/>
        </w:rPr>
        <w:t>percentil).  Jak jsem dokladoval výše, obecná populace st</w:t>
      </w:r>
      <w:r>
        <w:rPr>
          <w:sz w:val="24"/>
          <w:szCs w:val="24"/>
        </w:rPr>
        <w:t>abilizovaných kardiaků nemá</w:t>
      </w:r>
      <w:r w:rsidRPr="00F420AA">
        <w:rPr>
          <w:sz w:val="24"/>
          <w:szCs w:val="24"/>
        </w:rPr>
        <w:t xml:space="preserve"> hladinu troponinu zcela normální. V našem souboru tvořil podíl vstupně pozitivních vzorků troponinu I </w:t>
      </w:r>
      <w:r>
        <w:rPr>
          <w:sz w:val="24"/>
          <w:szCs w:val="24"/>
        </w:rPr>
        <w:t xml:space="preserve">6,5%. </w:t>
      </w:r>
      <w:r w:rsidRPr="00F420AA">
        <w:rPr>
          <w:sz w:val="24"/>
          <w:szCs w:val="24"/>
        </w:rPr>
        <w:t>V kontrolním souboru nemocných přicházejících k plánované koronarografii tvořil podíl troponin I pozitivních vzorků 10</w:t>
      </w:r>
      <w:r>
        <w:rPr>
          <w:sz w:val="24"/>
          <w:szCs w:val="24"/>
        </w:rPr>
        <w:t xml:space="preserve"> </w:t>
      </w:r>
      <w:r w:rsidRPr="00F420AA">
        <w:rPr>
          <w:sz w:val="24"/>
          <w:szCs w:val="24"/>
        </w:rPr>
        <w:t xml:space="preserve">%. </w:t>
      </w:r>
    </w:p>
    <w:p w:rsidR="006C1917" w:rsidRPr="00F420AA" w:rsidRDefault="006C1917" w:rsidP="001324DB">
      <w:pPr>
        <w:spacing w:line="360" w:lineRule="auto"/>
        <w:jc w:val="both"/>
        <w:rPr>
          <w:sz w:val="24"/>
          <w:szCs w:val="24"/>
        </w:rPr>
      </w:pPr>
      <w:r w:rsidRPr="00F420AA">
        <w:rPr>
          <w:sz w:val="24"/>
          <w:szCs w:val="24"/>
        </w:rPr>
        <w:lastRenderedPageBreak/>
        <w:t xml:space="preserve">Vzhledem k tomu, že naše nemocnice (ÚVN) přešla v květnu 2012 již na systém Cobas </w:t>
      </w:r>
      <w:r w:rsidR="002D2A0D">
        <w:rPr>
          <w:sz w:val="24"/>
          <w:szCs w:val="24"/>
        </w:rPr>
        <w:t xml:space="preserve">8000 </w:t>
      </w:r>
      <w:r w:rsidRPr="00F420AA">
        <w:rPr>
          <w:sz w:val="24"/>
          <w:szCs w:val="24"/>
        </w:rPr>
        <w:t>firmy Roche © a používá tak diagnostických souprav ke stanovování hs troponinu T, provedli jsme v</w:t>
      </w:r>
      <w:r>
        <w:rPr>
          <w:sz w:val="24"/>
          <w:szCs w:val="24"/>
        </w:rPr>
        <w:t xml:space="preserve"> </w:t>
      </w:r>
      <w:r w:rsidRPr="00F420AA">
        <w:rPr>
          <w:sz w:val="24"/>
          <w:szCs w:val="24"/>
        </w:rPr>
        <w:t>rámci jiného pro</w:t>
      </w:r>
      <w:r>
        <w:rPr>
          <w:sz w:val="24"/>
          <w:szCs w:val="24"/>
        </w:rPr>
        <w:t xml:space="preserve">jektu stanovení hs troponinu T </w:t>
      </w:r>
      <w:r w:rsidRPr="00F420AA">
        <w:rPr>
          <w:sz w:val="24"/>
          <w:szCs w:val="24"/>
        </w:rPr>
        <w:t>u stabilizovaných nemocných, kteří byli plánováni k provedení selektivní koronarografie (SKG).</w:t>
      </w:r>
      <w:r>
        <w:rPr>
          <w:sz w:val="24"/>
          <w:szCs w:val="24"/>
        </w:rPr>
        <w:t xml:space="preserve"> </w:t>
      </w:r>
      <w:r w:rsidRPr="00F420AA">
        <w:rPr>
          <w:sz w:val="24"/>
          <w:szCs w:val="24"/>
        </w:rPr>
        <w:t xml:space="preserve">Nutno podotknout, že jde o jiný soubor pacientů, než byl náš kontrolní soubor, </w:t>
      </w:r>
      <w:r>
        <w:rPr>
          <w:sz w:val="24"/>
          <w:szCs w:val="24"/>
        </w:rPr>
        <w:t xml:space="preserve">nelze tedy </w:t>
      </w:r>
      <w:r w:rsidRPr="00F420AA">
        <w:rPr>
          <w:sz w:val="24"/>
          <w:szCs w:val="24"/>
        </w:rPr>
        <w:t xml:space="preserve">obě analytické metody </w:t>
      </w:r>
      <w:r>
        <w:rPr>
          <w:sz w:val="24"/>
          <w:szCs w:val="24"/>
        </w:rPr>
        <w:t xml:space="preserve">podrobit </w:t>
      </w:r>
      <w:r w:rsidRPr="00F420AA">
        <w:rPr>
          <w:sz w:val="24"/>
          <w:szCs w:val="24"/>
        </w:rPr>
        <w:t>přímé komparaci,</w:t>
      </w:r>
      <w:r>
        <w:rPr>
          <w:sz w:val="24"/>
          <w:szCs w:val="24"/>
        </w:rPr>
        <w:t xml:space="preserve"> v obou případech se jednalo o </w:t>
      </w:r>
      <w:r w:rsidRPr="00F420AA">
        <w:rPr>
          <w:sz w:val="24"/>
          <w:szCs w:val="24"/>
        </w:rPr>
        <w:t>soubory ko</w:t>
      </w:r>
      <w:r>
        <w:rPr>
          <w:sz w:val="24"/>
          <w:szCs w:val="24"/>
        </w:rPr>
        <w:t xml:space="preserve">nsekutivních </w:t>
      </w:r>
      <w:r w:rsidRPr="00F420AA">
        <w:rPr>
          <w:sz w:val="24"/>
          <w:szCs w:val="24"/>
        </w:rPr>
        <w:t>pacientů</w:t>
      </w:r>
      <w:r>
        <w:rPr>
          <w:sz w:val="24"/>
          <w:szCs w:val="24"/>
        </w:rPr>
        <w:t xml:space="preserve">. </w:t>
      </w:r>
      <w:r w:rsidRPr="00F420AA">
        <w:rPr>
          <w:sz w:val="24"/>
          <w:szCs w:val="24"/>
        </w:rPr>
        <w:t xml:space="preserve">I tak při stanovení hs </w:t>
      </w:r>
      <w:r>
        <w:rPr>
          <w:sz w:val="24"/>
          <w:szCs w:val="24"/>
        </w:rPr>
        <w:t>troponinu T</w:t>
      </w:r>
      <w:r w:rsidRPr="00F420AA">
        <w:rPr>
          <w:sz w:val="24"/>
          <w:szCs w:val="24"/>
        </w:rPr>
        <w:t xml:space="preserve"> v tomto souboru stabilních nemocných před SKG byl záchyt pozitivních vzorků hs troponinu T 46</w:t>
      </w:r>
      <w:r>
        <w:rPr>
          <w:sz w:val="24"/>
          <w:szCs w:val="24"/>
        </w:rPr>
        <w:t xml:space="preserve"> </w:t>
      </w:r>
      <w:r w:rsidRPr="00F420AA">
        <w:rPr>
          <w:sz w:val="24"/>
          <w:szCs w:val="24"/>
        </w:rPr>
        <w:t xml:space="preserve">%. </w:t>
      </w:r>
      <w:r>
        <w:rPr>
          <w:sz w:val="24"/>
          <w:szCs w:val="24"/>
        </w:rPr>
        <w:t>Další analýzou</w:t>
      </w:r>
      <w:r w:rsidRPr="00F420AA">
        <w:rPr>
          <w:sz w:val="24"/>
          <w:szCs w:val="24"/>
        </w:rPr>
        <w:t xml:space="preserve"> tohoto souboru jsme zjistili, že hladina hs TnT positivně koreluje s přítomnosti významného</w:t>
      </w:r>
      <w:r>
        <w:rPr>
          <w:sz w:val="24"/>
          <w:szCs w:val="24"/>
        </w:rPr>
        <w:t xml:space="preserve"> koronárního nálezu v porovnání</w:t>
      </w:r>
      <w:r w:rsidRPr="00F420AA">
        <w:rPr>
          <w:sz w:val="24"/>
          <w:szCs w:val="24"/>
        </w:rPr>
        <w:t xml:space="preserve"> s nevýznamným ne</w:t>
      </w:r>
      <w:r w:rsidR="00DD43A3">
        <w:rPr>
          <w:sz w:val="24"/>
          <w:szCs w:val="24"/>
        </w:rPr>
        <w:t>bo normálním koronarogramem</w:t>
      </w:r>
      <w:r w:rsidR="004534DB">
        <w:rPr>
          <w:sz w:val="24"/>
          <w:szCs w:val="24"/>
        </w:rPr>
        <w:t xml:space="preserve"> (88</w:t>
      </w:r>
      <w:r w:rsidRPr="00F420AA">
        <w:rPr>
          <w:sz w:val="24"/>
          <w:szCs w:val="24"/>
        </w:rPr>
        <w:t>)</w:t>
      </w:r>
      <w:r w:rsidR="00DD43A3">
        <w:rPr>
          <w:sz w:val="24"/>
          <w:szCs w:val="24"/>
        </w:rPr>
        <w:t>.</w:t>
      </w:r>
    </w:p>
    <w:p w:rsidR="006C1917" w:rsidRPr="00F420AA" w:rsidRDefault="006C1917" w:rsidP="001324DB">
      <w:pPr>
        <w:spacing w:line="360" w:lineRule="auto"/>
        <w:jc w:val="both"/>
        <w:rPr>
          <w:sz w:val="24"/>
          <w:szCs w:val="24"/>
        </w:rPr>
      </w:pPr>
      <w:r>
        <w:rPr>
          <w:sz w:val="24"/>
          <w:szCs w:val="24"/>
        </w:rPr>
        <w:t>Proč</w:t>
      </w:r>
      <w:r w:rsidRPr="00F420AA">
        <w:rPr>
          <w:sz w:val="24"/>
          <w:szCs w:val="24"/>
        </w:rPr>
        <w:t xml:space="preserve"> je u drtivé většiny neischemických myokardiálních lézí přítomna pouze lehká elevace troponinu v</w:t>
      </w:r>
      <w:r>
        <w:rPr>
          <w:sz w:val="24"/>
          <w:szCs w:val="24"/>
        </w:rPr>
        <w:t> řádech desetin mikrogramů/litr</w:t>
      </w:r>
      <w:r w:rsidRPr="00F420AA">
        <w:rPr>
          <w:sz w:val="24"/>
          <w:szCs w:val="24"/>
        </w:rPr>
        <w:t>? Těch důvodů může být více, zpravidla působící noxa není čistě zaměřena na myokard (sep</w:t>
      </w:r>
      <w:r>
        <w:rPr>
          <w:sz w:val="24"/>
          <w:szCs w:val="24"/>
        </w:rPr>
        <w:t xml:space="preserve">se), dále při menším poškození </w:t>
      </w:r>
      <w:r w:rsidRPr="00F420AA">
        <w:rPr>
          <w:sz w:val="24"/>
          <w:szCs w:val="24"/>
        </w:rPr>
        <w:t>kard</w:t>
      </w:r>
      <w:r>
        <w:rPr>
          <w:sz w:val="24"/>
          <w:szCs w:val="24"/>
        </w:rPr>
        <w:t>iomyocytu bývá zachycen zejména</w:t>
      </w:r>
      <w:r w:rsidRPr="00F420AA">
        <w:rPr>
          <w:sz w:val="24"/>
          <w:szCs w:val="24"/>
        </w:rPr>
        <w:t xml:space="preserve"> rychlý únik solubil</w:t>
      </w:r>
      <w:r>
        <w:rPr>
          <w:sz w:val="24"/>
          <w:szCs w:val="24"/>
        </w:rPr>
        <w:t xml:space="preserve">ního troponinu, (detekovatelný </w:t>
      </w:r>
      <w:r w:rsidRPr="00F420AA">
        <w:rPr>
          <w:sz w:val="24"/>
          <w:szCs w:val="24"/>
        </w:rPr>
        <w:t>již za 1</w:t>
      </w:r>
      <w:r>
        <w:rPr>
          <w:sz w:val="24"/>
          <w:szCs w:val="24"/>
        </w:rPr>
        <w:t>–</w:t>
      </w:r>
      <w:r w:rsidRPr="00F420AA">
        <w:rPr>
          <w:sz w:val="24"/>
          <w:szCs w:val="24"/>
        </w:rPr>
        <w:t xml:space="preserve">2 hodiny).  </w:t>
      </w:r>
      <w:r>
        <w:rPr>
          <w:sz w:val="24"/>
          <w:szCs w:val="24"/>
        </w:rPr>
        <w:t>Role následného</w:t>
      </w:r>
      <w:r w:rsidRPr="00F420AA">
        <w:rPr>
          <w:sz w:val="24"/>
          <w:szCs w:val="24"/>
        </w:rPr>
        <w:t xml:space="preserve"> dlouhého období  proteolytické degradace troponin-tropomyosinového komplexu (centrální acidorezistentní části troponinu) je zde při malém rozsahu myokardiálního poškození patrně omezena. </w:t>
      </w:r>
      <w:r>
        <w:rPr>
          <w:sz w:val="24"/>
          <w:szCs w:val="24"/>
        </w:rPr>
        <w:t xml:space="preserve"> Při ischemickém postižení</w:t>
      </w:r>
      <w:r w:rsidRPr="00F420AA">
        <w:rPr>
          <w:sz w:val="24"/>
          <w:szCs w:val="24"/>
        </w:rPr>
        <w:t xml:space="preserve"> totiž během prvních 10 hodin roste troponin pomalu</w:t>
      </w:r>
      <w:r>
        <w:rPr>
          <w:sz w:val="24"/>
          <w:szCs w:val="24"/>
        </w:rPr>
        <w:t>, následně dochází</w:t>
      </w:r>
      <w:r w:rsidRPr="00F420AA">
        <w:rPr>
          <w:sz w:val="24"/>
          <w:szCs w:val="24"/>
        </w:rPr>
        <w:t xml:space="preserve"> k postupnému strukturálnímu uvolňování troponinu, proteolýza postihuje nejprve N a C terminální části cTn, relativně odolnější jsou centrální části, které mohou být zachovány z</w:t>
      </w:r>
      <w:r>
        <w:rPr>
          <w:sz w:val="24"/>
          <w:szCs w:val="24"/>
        </w:rPr>
        <w:t> </w:t>
      </w:r>
      <w:r w:rsidRPr="00F420AA">
        <w:rPr>
          <w:sz w:val="24"/>
          <w:szCs w:val="24"/>
        </w:rPr>
        <w:t>80</w:t>
      </w:r>
      <w:r>
        <w:rPr>
          <w:sz w:val="24"/>
          <w:szCs w:val="24"/>
        </w:rPr>
        <w:t xml:space="preserve"> </w:t>
      </w:r>
      <w:r w:rsidR="004534DB">
        <w:rPr>
          <w:sz w:val="24"/>
          <w:szCs w:val="24"/>
        </w:rPr>
        <w:t>% i 5 dní (62</w:t>
      </w:r>
      <w:r>
        <w:rPr>
          <w:sz w:val="24"/>
          <w:szCs w:val="24"/>
        </w:rPr>
        <w:t>–</w:t>
      </w:r>
      <w:r w:rsidR="004534DB">
        <w:rPr>
          <w:sz w:val="24"/>
          <w:szCs w:val="24"/>
        </w:rPr>
        <w:t>64</w:t>
      </w:r>
      <w:r w:rsidRPr="00F420AA">
        <w:rPr>
          <w:sz w:val="24"/>
          <w:szCs w:val="24"/>
        </w:rPr>
        <w:t xml:space="preserve">).  </w:t>
      </w:r>
    </w:p>
    <w:p w:rsidR="006C1917" w:rsidRPr="00F420AA" w:rsidRDefault="006C1917" w:rsidP="001324DB">
      <w:pPr>
        <w:spacing w:line="360" w:lineRule="auto"/>
        <w:jc w:val="both"/>
        <w:rPr>
          <w:sz w:val="24"/>
          <w:szCs w:val="24"/>
        </w:rPr>
      </w:pPr>
      <w:r w:rsidRPr="00F420AA">
        <w:rPr>
          <w:sz w:val="24"/>
          <w:szCs w:val="24"/>
        </w:rPr>
        <w:t>V současné době tedy proti sobě stojí dva přístupy: Jednak ten „biochemick</w:t>
      </w:r>
      <w:r>
        <w:rPr>
          <w:sz w:val="24"/>
          <w:szCs w:val="24"/>
        </w:rPr>
        <w:t>ý“, který prosazuje co největší</w:t>
      </w:r>
      <w:r w:rsidRPr="00F420AA">
        <w:rPr>
          <w:sz w:val="24"/>
          <w:szCs w:val="24"/>
        </w:rPr>
        <w:t xml:space="preserve"> analytickou přesnost a co největší eliminaci falešně negativních nálezů. Ruku v ruce s tím jde stále se zlepšující citlivost a technická dokonalost laboratorní analýzy. Naproti jde přístup „klinický“, kterému na straně jedné prospívá vyšší senzitivita p</w:t>
      </w:r>
      <w:r>
        <w:rPr>
          <w:sz w:val="24"/>
          <w:szCs w:val="24"/>
        </w:rPr>
        <w:t xml:space="preserve">oužívaných troponinových esejí </w:t>
      </w:r>
      <w:r w:rsidRPr="00F420AA">
        <w:rPr>
          <w:sz w:val="24"/>
          <w:szCs w:val="24"/>
        </w:rPr>
        <w:t>např. při diagnostice akutních koronárních syndromů bez ST elevací, včasnější diagnostika všech infarktů myokardu, ale na straně druhé nesmíme zapomínat na celou škálu neischemického po</w:t>
      </w:r>
      <w:r>
        <w:rPr>
          <w:sz w:val="24"/>
          <w:szCs w:val="24"/>
        </w:rPr>
        <w:t>škození sr</w:t>
      </w:r>
      <w:r w:rsidR="00DD43A3">
        <w:rPr>
          <w:sz w:val="24"/>
          <w:szCs w:val="24"/>
        </w:rPr>
        <w:t>d</w:t>
      </w:r>
      <w:r>
        <w:rPr>
          <w:sz w:val="24"/>
          <w:szCs w:val="24"/>
        </w:rPr>
        <w:t xml:space="preserve">ečního svalu </w:t>
      </w:r>
      <w:r w:rsidRPr="00F420AA">
        <w:rPr>
          <w:sz w:val="24"/>
          <w:szCs w:val="24"/>
        </w:rPr>
        <w:t xml:space="preserve">onemocněními, které mohou být přítomny současně </w:t>
      </w:r>
      <w:r>
        <w:rPr>
          <w:sz w:val="24"/>
          <w:szCs w:val="24"/>
        </w:rPr>
        <w:t xml:space="preserve">buď u nemocného s přítomnou, </w:t>
      </w:r>
      <w:r w:rsidRPr="00F420AA">
        <w:rPr>
          <w:sz w:val="24"/>
          <w:szCs w:val="24"/>
        </w:rPr>
        <w:t xml:space="preserve">nebo i nepřítomnou ischemickou chorobou srdečních. Tam může být nález pozitivního troponinu zavádějící, pacientovi je přisouzena diagnóza akutního koronárního syndromu a další důležitá diagnostika (srdeční selhání, sepse, plicní embolie) tak může být opomenuta. </w:t>
      </w:r>
    </w:p>
    <w:p w:rsidR="006C1917" w:rsidRPr="00F420AA" w:rsidRDefault="002D2A0D" w:rsidP="001324DB">
      <w:pPr>
        <w:spacing w:line="360" w:lineRule="auto"/>
        <w:jc w:val="both"/>
        <w:rPr>
          <w:sz w:val="24"/>
          <w:szCs w:val="24"/>
        </w:rPr>
      </w:pPr>
      <w:r>
        <w:rPr>
          <w:sz w:val="24"/>
          <w:szCs w:val="24"/>
        </w:rPr>
        <w:lastRenderedPageBreak/>
        <w:t>Jaké je tedy procento poz</w:t>
      </w:r>
      <w:r w:rsidR="006C1917" w:rsidRPr="00F420AA">
        <w:rPr>
          <w:sz w:val="24"/>
          <w:szCs w:val="24"/>
        </w:rPr>
        <w:t xml:space="preserve">itivity troponinu v obecné populaci kardiologických nemocných? </w:t>
      </w:r>
      <w:r w:rsidR="006C1917">
        <w:rPr>
          <w:sz w:val="24"/>
          <w:szCs w:val="24"/>
        </w:rPr>
        <w:t xml:space="preserve">Jakkoli </w:t>
      </w:r>
      <w:r w:rsidR="006C1917" w:rsidRPr="00F420AA">
        <w:rPr>
          <w:sz w:val="24"/>
          <w:szCs w:val="24"/>
        </w:rPr>
        <w:t>můžeme</w:t>
      </w:r>
      <w:r w:rsidR="00DD43A3">
        <w:rPr>
          <w:sz w:val="24"/>
          <w:szCs w:val="24"/>
        </w:rPr>
        <w:t xml:space="preserve"> spekulovat o tom, že sérová poz</w:t>
      </w:r>
      <w:r w:rsidR="006C1917" w:rsidRPr="00F420AA">
        <w:rPr>
          <w:sz w:val="24"/>
          <w:szCs w:val="24"/>
        </w:rPr>
        <w:t>itivita troponinu se u zd</w:t>
      </w:r>
      <w:r w:rsidR="003B764C">
        <w:rPr>
          <w:sz w:val="24"/>
          <w:szCs w:val="24"/>
        </w:rPr>
        <w:t>ravých stabilizovaných pacientů</w:t>
      </w:r>
      <w:r w:rsidR="006C1917" w:rsidRPr="00F420AA">
        <w:rPr>
          <w:sz w:val="24"/>
          <w:szCs w:val="24"/>
        </w:rPr>
        <w:t xml:space="preserve"> nevyskytuje, denní praxe nás přesvědčuje o opaku, jak uvádím dále v textu.</w:t>
      </w:r>
    </w:p>
    <w:p w:rsidR="006C1917" w:rsidRPr="00F420AA" w:rsidRDefault="006C1917" w:rsidP="001324DB">
      <w:pPr>
        <w:spacing w:line="360" w:lineRule="auto"/>
        <w:jc w:val="both"/>
        <w:rPr>
          <w:sz w:val="24"/>
          <w:szCs w:val="24"/>
        </w:rPr>
      </w:pPr>
      <w:r w:rsidRPr="00F420AA">
        <w:rPr>
          <w:sz w:val="24"/>
          <w:szCs w:val="24"/>
        </w:rPr>
        <w:t xml:space="preserve"> Literární data se značně liší, v obecné populaci (např. preventivní studie) jde </w:t>
      </w:r>
      <w:r w:rsidR="00656929">
        <w:rPr>
          <w:sz w:val="24"/>
          <w:szCs w:val="24"/>
        </w:rPr>
        <w:t>o jednotlivá procenta sérové poz</w:t>
      </w:r>
      <w:r w:rsidRPr="00F420AA">
        <w:rPr>
          <w:sz w:val="24"/>
          <w:szCs w:val="24"/>
        </w:rPr>
        <w:t>itivity troponinu (hladina přesahující 99% percen</w:t>
      </w:r>
      <w:r>
        <w:rPr>
          <w:sz w:val="24"/>
          <w:szCs w:val="24"/>
        </w:rPr>
        <w:t>til výskytu ve zdravé populaci)</w:t>
      </w:r>
      <w:r w:rsidRPr="00F420AA">
        <w:rPr>
          <w:sz w:val="24"/>
          <w:szCs w:val="24"/>
        </w:rPr>
        <w:t>, v so</w:t>
      </w:r>
      <w:r w:rsidR="00DD43A3">
        <w:rPr>
          <w:sz w:val="24"/>
          <w:szCs w:val="24"/>
        </w:rPr>
        <w:t>u</w:t>
      </w:r>
      <w:r w:rsidRPr="00F420AA">
        <w:rPr>
          <w:sz w:val="24"/>
          <w:szCs w:val="24"/>
        </w:rPr>
        <w:t>borech více polymorbidních nemocných jde až o desítky procent. V populaci zdravých dobrovolníku však z definice musí být troponin normální, respetive výskyt nesmí přesáhnout 1% (99.</w:t>
      </w:r>
      <w:r>
        <w:rPr>
          <w:sz w:val="24"/>
          <w:szCs w:val="24"/>
        </w:rPr>
        <w:t xml:space="preserve"> </w:t>
      </w:r>
      <w:r w:rsidRPr="00F420AA">
        <w:rPr>
          <w:sz w:val="24"/>
          <w:szCs w:val="24"/>
        </w:rPr>
        <w:t>percent</w:t>
      </w:r>
      <w:r w:rsidR="004534DB">
        <w:rPr>
          <w:sz w:val="24"/>
          <w:szCs w:val="24"/>
        </w:rPr>
        <w:t xml:space="preserve">il je mezní hodnota </w:t>
      </w:r>
      <w:proofErr w:type="gramStart"/>
      <w:r w:rsidR="004534DB">
        <w:rPr>
          <w:sz w:val="24"/>
          <w:szCs w:val="24"/>
        </w:rPr>
        <w:t>normálu) (89</w:t>
      </w:r>
      <w:r>
        <w:rPr>
          <w:sz w:val="24"/>
          <w:szCs w:val="24"/>
        </w:rPr>
        <w:t>–</w:t>
      </w:r>
      <w:r w:rsidR="004534DB">
        <w:rPr>
          <w:sz w:val="24"/>
          <w:szCs w:val="24"/>
        </w:rPr>
        <w:t>90</w:t>
      </w:r>
      <w:proofErr w:type="gramEnd"/>
      <w:r w:rsidRPr="00F420AA">
        <w:rPr>
          <w:sz w:val="24"/>
          <w:szCs w:val="24"/>
        </w:rPr>
        <w:t>).</w:t>
      </w:r>
    </w:p>
    <w:p w:rsidR="006C1917" w:rsidRPr="00F420AA" w:rsidRDefault="006C1917" w:rsidP="001324DB">
      <w:pPr>
        <w:spacing w:line="360" w:lineRule="auto"/>
        <w:jc w:val="both"/>
        <w:rPr>
          <w:sz w:val="24"/>
          <w:szCs w:val="24"/>
        </w:rPr>
      </w:pPr>
      <w:r w:rsidRPr="00F420AA">
        <w:rPr>
          <w:sz w:val="24"/>
          <w:szCs w:val="24"/>
        </w:rPr>
        <w:t>Jaké klinické situace</w:t>
      </w:r>
      <w:r w:rsidR="004B0BDD">
        <w:rPr>
          <w:sz w:val="24"/>
          <w:szCs w:val="24"/>
        </w:rPr>
        <w:t xml:space="preserve"> tedy predisponují k </w:t>
      </w:r>
      <w:proofErr w:type="gramStart"/>
      <w:r w:rsidR="004B0BDD">
        <w:rPr>
          <w:sz w:val="24"/>
          <w:szCs w:val="24"/>
        </w:rPr>
        <w:t>nálezu  poz</w:t>
      </w:r>
      <w:r w:rsidRPr="00F420AA">
        <w:rPr>
          <w:sz w:val="24"/>
          <w:szCs w:val="24"/>
        </w:rPr>
        <w:t>itivity</w:t>
      </w:r>
      <w:proofErr w:type="gramEnd"/>
      <w:r w:rsidRPr="00F420AA">
        <w:rPr>
          <w:sz w:val="24"/>
          <w:szCs w:val="24"/>
        </w:rPr>
        <w:t xml:space="preserve"> troponinu?</w:t>
      </w:r>
    </w:p>
    <w:p w:rsidR="006C1917" w:rsidRPr="00F420AA" w:rsidRDefault="006C1917" w:rsidP="001324DB">
      <w:pPr>
        <w:spacing w:line="360" w:lineRule="auto"/>
        <w:jc w:val="both"/>
        <w:rPr>
          <w:sz w:val="24"/>
          <w:szCs w:val="24"/>
        </w:rPr>
      </w:pPr>
      <w:r w:rsidRPr="00F420AA">
        <w:rPr>
          <w:sz w:val="24"/>
          <w:szCs w:val="24"/>
        </w:rPr>
        <w:t>Krom ischemické etiologie existuje v klinické praxi několik klinických jednotek s pozitivitou troponinu, který je uvolněn z myokardiální tkáně. Troponin se může do séra uvolňova</w:t>
      </w:r>
      <w:r>
        <w:rPr>
          <w:sz w:val="24"/>
          <w:szCs w:val="24"/>
        </w:rPr>
        <w:t xml:space="preserve">t </w:t>
      </w:r>
      <w:r w:rsidRPr="00F420AA">
        <w:rPr>
          <w:sz w:val="24"/>
          <w:szCs w:val="24"/>
        </w:rPr>
        <w:t>například při zánětlivých onemocněních: myokarditida i perikarditida mohou zapříčinit výrazně zvýšené hodnoty troponinů u hs troponinu T</w:t>
      </w:r>
      <w:r w:rsidR="004534DB">
        <w:rPr>
          <w:sz w:val="24"/>
          <w:szCs w:val="24"/>
        </w:rPr>
        <w:t xml:space="preserve"> až desítkové hodnoty (</w:t>
      </w:r>
      <w:proofErr w:type="gramStart"/>
      <w:r w:rsidR="004534DB">
        <w:rPr>
          <w:sz w:val="24"/>
          <w:szCs w:val="24"/>
        </w:rPr>
        <w:t>ug/l) (91</w:t>
      </w:r>
      <w:proofErr w:type="gramEnd"/>
      <w:r w:rsidR="00DD43A3">
        <w:rPr>
          <w:sz w:val="24"/>
          <w:szCs w:val="24"/>
        </w:rPr>
        <w:t>). Studie pu</w:t>
      </w:r>
      <w:r w:rsidRPr="00F420AA">
        <w:rPr>
          <w:sz w:val="24"/>
          <w:szCs w:val="24"/>
        </w:rPr>
        <w:t xml:space="preserve">blikovaná Massimem v JACCu v roce 2003 však prokazuje pozitivitu troponinu T pouze </w:t>
      </w:r>
      <w:r>
        <w:rPr>
          <w:sz w:val="24"/>
          <w:szCs w:val="24"/>
        </w:rPr>
        <w:br/>
      </w:r>
      <w:r w:rsidRPr="00F420AA">
        <w:rPr>
          <w:sz w:val="24"/>
          <w:szCs w:val="24"/>
        </w:rPr>
        <w:t xml:space="preserve">u třetiny nemocných s akutní virovou </w:t>
      </w:r>
      <w:r>
        <w:rPr>
          <w:sz w:val="24"/>
          <w:szCs w:val="24"/>
        </w:rPr>
        <w:t>nebo idiopatickou myokarditidou</w:t>
      </w:r>
      <w:r w:rsidRPr="00F420AA">
        <w:rPr>
          <w:sz w:val="24"/>
          <w:szCs w:val="24"/>
        </w:rPr>
        <w:t xml:space="preserve">, CKMB pouze </w:t>
      </w:r>
      <w:r>
        <w:rPr>
          <w:sz w:val="24"/>
          <w:szCs w:val="24"/>
        </w:rPr>
        <w:br/>
      </w:r>
      <w:r w:rsidR="004534DB">
        <w:rPr>
          <w:sz w:val="24"/>
          <w:szCs w:val="24"/>
        </w:rPr>
        <w:t>u desetiny (92</w:t>
      </w:r>
      <w:r w:rsidRPr="00F420AA">
        <w:rPr>
          <w:sz w:val="24"/>
          <w:szCs w:val="24"/>
        </w:rPr>
        <w:t xml:space="preserve">), vyšší tendenci k pozitivitě troponinu měli mladší nemocní. Prognostický dopad pozitivity troponinu nebyl v této ani jiné studii dosud spolehlivě prokázán. Role virového zánětu ovlivňující myokard a působící drobnou myokardiální lézi může být značně podceněna. </w:t>
      </w:r>
      <w:r>
        <w:rPr>
          <w:sz w:val="24"/>
          <w:szCs w:val="24"/>
        </w:rPr>
        <w:t xml:space="preserve">Zvláště, pokud si </w:t>
      </w:r>
      <w:r w:rsidRPr="00F420AA">
        <w:rPr>
          <w:sz w:val="24"/>
          <w:szCs w:val="24"/>
        </w:rPr>
        <w:t>uvědomíme prevalenci virových onemocnění v běžné populaci. Na druhé straně však zůstává fakt, že většina pacientů, kteří prodělali benigní virové onemocnění</w:t>
      </w:r>
      <w:r>
        <w:rPr>
          <w:sz w:val="24"/>
          <w:szCs w:val="24"/>
        </w:rPr>
        <w:t>,</w:t>
      </w:r>
      <w:r w:rsidRPr="00F420AA">
        <w:rPr>
          <w:sz w:val="24"/>
          <w:szCs w:val="24"/>
        </w:rPr>
        <w:t xml:space="preserve"> zpravidla nevyhledají lékařské ošetření, nejsou</w:t>
      </w:r>
      <w:r>
        <w:rPr>
          <w:sz w:val="24"/>
          <w:szCs w:val="24"/>
        </w:rPr>
        <w:t xml:space="preserve"> tedy vyšetřeni a ani jim není stanovena </w:t>
      </w:r>
      <w:r w:rsidRPr="00F420AA">
        <w:rPr>
          <w:sz w:val="24"/>
          <w:szCs w:val="24"/>
        </w:rPr>
        <w:t>hladina</w:t>
      </w:r>
      <w:r>
        <w:rPr>
          <w:sz w:val="24"/>
          <w:szCs w:val="24"/>
        </w:rPr>
        <w:t xml:space="preserve"> troponinu. Virová myokarditida</w:t>
      </w:r>
      <w:r w:rsidRPr="00F420AA">
        <w:rPr>
          <w:sz w:val="24"/>
          <w:szCs w:val="24"/>
        </w:rPr>
        <w:t xml:space="preserve"> tak může být v běžné populaci častější</w:t>
      </w:r>
      <w:r>
        <w:rPr>
          <w:sz w:val="24"/>
          <w:szCs w:val="24"/>
        </w:rPr>
        <w:t>,</w:t>
      </w:r>
      <w:r w:rsidRPr="00F420AA">
        <w:rPr>
          <w:sz w:val="24"/>
          <w:szCs w:val="24"/>
        </w:rPr>
        <w:t xml:space="preserve"> než se domníváme, běžně může působit subklinicky vyjádřenou myokarditidu, ve své fulminantní formě pak ale může vést k těžkému srdečnímu selhání případně i k úmrtí pacienta.</w:t>
      </w:r>
    </w:p>
    <w:p w:rsidR="006C1917" w:rsidRPr="00F420AA" w:rsidRDefault="006C1917" w:rsidP="001324DB">
      <w:pPr>
        <w:spacing w:line="360" w:lineRule="auto"/>
        <w:jc w:val="both"/>
        <w:rPr>
          <w:sz w:val="24"/>
          <w:szCs w:val="24"/>
        </w:rPr>
      </w:pPr>
      <w:r w:rsidRPr="00F420AA">
        <w:rPr>
          <w:sz w:val="24"/>
          <w:szCs w:val="24"/>
        </w:rPr>
        <w:t>Podobně srdeční selhání</w:t>
      </w:r>
      <w:r>
        <w:rPr>
          <w:sz w:val="24"/>
          <w:szCs w:val="24"/>
        </w:rPr>
        <w:t xml:space="preserve"> jakékoliv etiologie</w:t>
      </w:r>
      <w:r w:rsidRPr="00F420AA">
        <w:rPr>
          <w:sz w:val="24"/>
          <w:szCs w:val="24"/>
        </w:rPr>
        <w:t xml:space="preserve"> může vést k elevaci troponinu. Mechanismem uvolnění je prostá nekróza, ale i apoptóza. Ve studii publikované Horwichovou (19) se nelišila přítomn</w:t>
      </w:r>
      <w:r w:rsidR="00FC0803">
        <w:rPr>
          <w:sz w:val="24"/>
          <w:szCs w:val="24"/>
        </w:rPr>
        <w:t xml:space="preserve">ost sérové pozitivity troponinu I </w:t>
      </w:r>
      <w:r w:rsidRPr="00F420AA">
        <w:rPr>
          <w:sz w:val="24"/>
          <w:szCs w:val="24"/>
        </w:rPr>
        <w:t xml:space="preserve">u nemocných se srdečním selháním ischemické oproti neischemické etiologie, nicméně nález pozitivity troponinu znamenal rychlejší </w:t>
      </w:r>
      <w:r w:rsidRPr="00F420AA">
        <w:rPr>
          <w:sz w:val="24"/>
          <w:szCs w:val="24"/>
        </w:rPr>
        <w:lastRenderedPageBreak/>
        <w:t xml:space="preserve">progresi srdečního selhání a horší prognózu. </w:t>
      </w:r>
      <w:r>
        <w:rPr>
          <w:sz w:val="24"/>
          <w:szCs w:val="24"/>
        </w:rPr>
        <w:t>Výskyt srdečního selhání</w:t>
      </w:r>
      <w:r w:rsidRPr="00F420AA">
        <w:rPr>
          <w:sz w:val="24"/>
          <w:szCs w:val="24"/>
        </w:rPr>
        <w:t xml:space="preserve"> byl v našem souboru poměrně nízký</w:t>
      </w:r>
      <w:r>
        <w:rPr>
          <w:sz w:val="24"/>
          <w:szCs w:val="24"/>
        </w:rPr>
        <w:t xml:space="preserve">, resp. odpovídal </w:t>
      </w:r>
      <w:r w:rsidRPr="00F420AA">
        <w:rPr>
          <w:sz w:val="24"/>
          <w:szCs w:val="24"/>
        </w:rPr>
        <w:t>prevalenci v obecné  populaci osmdesátiletých – cca 10</w:t>
      </w:r>
      <w:r>
        <w:rPr>
          <w:sz w:val="24"/>
          <w:szCs w:val="24"/>
        </w:rPr>
        <w:t xml:space="preserve"> </w:t>
      </w:r>
      <w:r w:rsidRPr="00F420AA">
        <w:rPr>
          <w:sz w:val="24"/>
          <w:szCs w:val="24"/>
        </w:rPr>
        <w:t>% (Málek</w:t>
      </w:r>
      <w:r>
        <w:rPr>
          <w:sz w:val="24"/>
          <w:szCs w:val="24"/>
        </w:rPr>
        <w:t xml:space="preserve"> – </w:t>
      </w:r>
      <w:r w:rsidR="004534DB">
        <w:rPr>
          <w:sz w:val="24"/>
          <w:szCs w:val="24"/>
        </w:rPr>
        <w:t>93</w:t>
      </w:r>
      <w:r w:rsidRPr="00F420AA">
        <w:rPr>
          <w:sz w:val="24"/>
          <w:szCs w:val="24"/>
        </w:rPr>
        <w:t>). Podskupina našich pacientů se srdečním selháním vykazovala jeho mírnou formu. Ostatně kdyby tomu bylo jinak, byla by minimálně významná část indikovaná k resynchronizační léč</w:t>
      </w:r>
      <w:r w:rsidR="004534DB">
        <w:rPr>
          <w:sz w:val="24"/>
          <w:szCs w:val="24"/>
        </w:rPr>
        <w:t>bě biventrikulárním systémem (66</w:t>
      </w:r>
      <w:r w:rsidRPr="00F420AA">
        <w:rPr>
          <w:sz w:val="24"/>
          <w:szCs w:val="24"/>
        </w:rPr>
        <w:t xml:space="preserve">). </w:t>
      </w:r>
    </w:p>
    <w:p w:rsidR="006C1917" w:rsidRPr="00F420AA" w:rsidRDefault="006C1917" w:rsidP="001324DB">
      <w:pPr>
        <w:spacing w:line="360" w:lineRule="auto"/>
        <w:jc w:val="both"/>
        <w:rPr>
          <w:sz w:val="24"/>
          <w:szCs w:val="24"/>
        </w:rPr>
      </w:pPr>
      <w:r w:rsidRPr="00F420AA">
        <w:rPr>
          <w:sz w:val="24"/>
          <w:szCs w:val="24"/>
        </w:rPr>
        <w:t>Pacienti se srdečním selháním také často trpí fibrilací síní. Před deseti lety byla udávaná prevalence v rozmezí 5</w:t>
      </w:r>
      <w:r>
        <w:rPr>
          <w:sz w:val="24"/>
          <w:szCs w:val="24"/>
        </w:rPr>
        <w:t xml:space="preserve"> </w:t>
      </w:r>
      <w:r w:rsidRPr="00F420AA">
        <w:rPr>
          <w:sz w:val="24"/>
          <w:szCs w:val="24"/>
        </w:rPr>
        <w:t>% u nemocných s dušností NYHA I do 50</w:t>
      </w:r>
      <w:r>
        <w:rPr>
          <w:sz w:val="24"/>
          <w:szCs w:val="24"/>
        </w:rPr>
        <w:t xml:space="preserve"> </w:t>
      </w:r>
      <w:r w:rsidRPr="00F420AA">
        <w:rPr>
          <w:sz w:val="24"/>
          <w:szCs w:val="24"/>
        </w:rPr>
        <w:t>% u pacie</w:t>
      </w:r>
      <w:r w:rsidR="004534DB">
        <w:rPr>
          <w:sz w:val="24"/>
          <w:szCs w:val="24"/>
        </w:rPr>
        <w:t>ntů ve funkční třídě NYHA IV (94</w:t>
      </w:r>
      <w:r>
        <w:rPr>
          <w:sz w:val="24"/>
          <w:szCs w:val="24"/>
        </w:rPr>
        <w:t>),</w:t>
      </w:r>
      <w:r w:rsidRPr="00F420AA">
        <w:rPr>
          <w:sz w:val="24"/>
          <w:szCs w:val="24"/>
        </w:rPr>
        <w:t xml:space="preserve"> soudobé soubory nemocných se srdečním selháním </w:t>
      </w:r>
      <w:r>
        <w:rPr>
          <w:sz w:val="24"/>
          <w:szCs w:val="24"/>
        </w:rPr>
        <w:t xml:space="preserve">hovoří o </w:t>
      </w:r>
      <w:r w:rsidRPr="00F420AA">
        <w:rPr>
          <w:sz w:val="24"/>
          <w:szCs w:val="24"/>
        </w:rPr>
        <w:t>prevalenci</w:t>
      </w:r>
      <w:r>
        <w:rPr>
          <w:sz w:val="24"/>
          <w:szCs w:val="24"/>
        </w:rPr>
        <w:t xml:space="preserve"> </w:t>
      </w:r>
      <w:r w:rsidRPr="00F420AA">
        <w:rPr>
          <w:sz w:val="24"/>
          <w:szCs w:val="24"/>
        </w:rPr>
        <w:t>fibrilace síní v 13</w:t>
      </w:r>
      <w:r>
        <w:rPr>
          <w:sz w:val="24"/>
          <w:szCs w:val="24"/>
        </w:rPr>
        <w:t>–</w:t>
      </w:r>
      <w:r w:rsidRPr="00F420AA">
        <w:rPr>
          <w:sz w:val="24"/>
          <w:szCs w:val="24"/>
        </w:rPr>
        <w:t>27</w:t>
      </w:r>
      <w:r>
        <w:rPr>
          <w:sz w:val="24"/>
          <w:szCs w:val="24"/>
        </w:rPr>
        <w:t xml:space="preserve"> </w:t>
      </w:r>
      <w:r w:rsidR="004534DB">
        <w:rPr>
          <w:sz w:val="24"/>
          <w:szCs w:val="24"/>
        </w:rPr>
        <w:t>% (95</w:t>
      </w:r>
      <w:r w:rsidRPr="00F420AA">
        <w:rPr>
          <w:sz w:val="24"/>
          <w:szCs w:val="24"/>
        </w:rPr>
        <w:t>). Fibrilace síní krom svého tromboembolického rizika také bývá spojována s vyšším výskytem pozitivity troponinu v séru.  Prof. Hijazi udává v subanalýze studie Aristotle 9,2% výskyt elevovaného high sensitivního troponinu I v souboru 14 821 nemocných. V této analýze je troponin spojován s horší prognozou pacientů, jeho elevace souvi</w:t>
      </w:r>
      <w:r>
        <w:rPr>
          <w:sz w:val="24"/>
          <w:szCs w:val="24"/>
        </w:rPr>
        <w:t>sí se statisticky signifikantně</w:t>
      </w:r>
      <w:r w:rsidRPr="00F420AA">
        <w:rPr>
          <w:sz w:val="24"/>
          <w:szCs w:val="24"/>
        </w:rPr>
        <w:t xml:space="preserve"> častější</w:t>
      </w:r>
      <w:r>
        <w:rPr>
          <w:sz w:val="24"/>
          <w:szCs w:val="24"/>
        </w:rPr>
        <w:t xml:space="preserve">m výskytem </w:t>
      </w:r>
      <w:r w:rsidR="004534DB">
        <w:rPr>
          <w:sz w:val="24"/>
          <w:szCs w:val="24"/>
        </w:rPr>
        <w:t>CMP (85</w:t>
      </w:r>
      <w:r w:rsidRPr="00F420AA">
        <w:rPr>
          <w:sz w:val="24"/>
          <w:szCs w:val="24"/>
        </w:rPr>
        <w:t>).</w:t>
      </w:r>
      <w:r w:rsidR="004534DB">
        <w:rPr>
          <w:sz w:val="24"/>
          <w:szCs w:val="24"/>
        </w:rPr>
        <w:t xml:space="preserve"> Rovněž práce Roldánova 2012 (96</w:t>
      </w:r>
      <w:r w:rsidRPr="00F420AA">
        <w:rPr>
          <w:sz w:val="24"/>
          <w:szCs w:val="24"/>
        </w:rPr>
        <w:t>) u</w:t>
      </w:r>
      <w:r>
        <w:rPr>
          <w:sz w:val="24"/>
          <w:szCs w:val="24"/>
        </w:rPr>
        <w:t>dává positivitu hs troponinu T u 31 %  populace 930 pacientů</w:t>
      </w:r>
      <w:r w:rsidRPr="00F420AA">
        <w:rPr>
          <w:sz w:val="24"/>
          <w:szCs w:val="24"/>
        </w:rPr>
        <w:t xml:space="preserve"> s fibrilací síní. Roldánova práce také udává hs troponin T jako marker horší prognózy (kombinovaný cíl kardiovaskulárních příhod), větší predikční hodnotu v tomto souboru </w:t>
      </w:r>
      <w:r>
        <w:rPr>
          <w:sz w:val="24"/>
          <w:szCs w:val="24"/>
        </w:rPr>
        <w:t>poskytuje kombinace troponinu T</w:t>
      </w:r>
      <w:r w:rsidR="004534DB">
        <w:rPr>
          <w:sz w:val="24"/>
          <w:szCs w:val="24"/>
        </w:rPr>
        <w:t xml:space="preserve"> a interleukinu 6 (</w:t>
      </w:r>
      <w:proofErr w:type="gramStart"/>
      <w:r w:rsidR="004534DB">
        <w:rPr>
          <w:sz w:val="24"/>
          <w:szCs w:val="24"/>
        </w:rPr>
        <w:t>IL6) (</w:t>
      </w:r>
      <w:r w:rsidR="00FC0803">
        <w:rPr>
          <w:sz w:val="24"/>
          <w:szCs w:val="24"/>
        </w:rPr>
        <w:t>ref</w:t>
      </w:r>
      <w:proofErr w:type="gramEnd"/>
      <w:r w:rsidR="00FC0803">
        <w:rPr>
          <w:sz w:val="24"/>
          <w:szCs w:val="24"/>
        </w:rPr>
        <w:t xml:space="preserve">. </w:t>
      </w:r>
      <w:r w:rsidR="004534DB">
        <w:rPr>
          <w:sz w:val="24"/>
          <w:szCs w:val="24"/>
        </w:rPr>
        <w:t>96</w:t>
      </w:r>
      <w:r w:rsidRPr="00F420AA">
        <w:rPr>
          <w:sz w:val="24"/>
          <w:szCs w:val="24"/>
        </w:rPr>
        <w:t xml:space="preserve">). Kombinace těchto dvou veličin je logická, zejména to poukazuje na přítomnost systémové zánětlivé odpovědi a vyšší morbidita takových pacientů není překvapující. </w:t>
      </w:r>
      <w:r>
        <w:rPr>
          <w:sz w:val="24"/>
          <w:szCs w:val="24"/>
        </w:rPr>
        <w:t xml:space="preserve">Fibrilace síní zde spíše </w:t>
      </w:r>
      <w:r w:rsidRPr="00F420AA">
        <w:rPr>
          <w:sz w:val="24"/>
          <w:szCs w:val="24"/>
        </w:rPr>
        <w:t>reprezentuje sekundární pr</w:t>
      </w:r>
      <w:r>
        <w:rPr>
          <w:sz w:val="24"/>
          <w:szCs w:val="24"/>
        </w:rPr>
        <w:t xml:space="preserve">ojev jiného často mitigovaného onemocnění (sepse, srdeční selhání etc.). </w:t>
      </w:r>
      <w:r w:rsidRPr="00F420AA">
        <w:rPr>
          <w:sz w:val="24"/>
          <w:szCs w:val="24"/>
        </w:rPr>
        <w:t>Proč ale i zcela „endotelově stabilní“ nemocní s fibrilací síní mají vyšší hladiny troponi</w:t>
      </w:r>
      <w:r>
        <w:rPr>
          <w:sz w:val="24"/>
          <w:szCs w:val="24"/>
        </w:rPr>
        <w:t>nů, přijatelně vysvětleno není.</w:t>
      </w:r>
    </w:p>
    <w:p w:rsidR="006C1917" w:rsidRPr="00F420AA" w:rsidRDefault="006C1917" w:rsidP="001324DB">
      <w:pPr>
        <w:spacing w:line="360" w:lineRule="auto"/>
        <w:jc w:val="both"/>
        <w:rPr>
          <w:sz w:val="24"/>
          <w:szCs w:val="24"/>
        </w:rPr>
      </w:pPr>
      <w:r w:rsidRPr="00F420AA">
        <w:rPr>
          <w:sz w:val="24"/>
          <w:szCs w:val="24"/>
        </w:rPr>
        <w:t>My v naš</w:t>
      </w:r>
      <w:r>
        <w:rPr>
          <w:sz w:val="24"/>
          <w:szCs w:val="24"/>
        </w:rPr>
        <w:t>í práci také konstatujeme vyšší</w:t>
      </w:r>
      <w:r w:rsidRPr="00F420AA">
        <w:rPr>
          <w:sz w:val="24"/>
          <w:szCs w:val="24"/>
        </w:rPr>
        <w:t xml:space="preserve"> vstupní koncentrace troponinu I u nemocných s následnou jednodutinovou kardiostimulací a také u pacientů se vstupním rytmem  fibrilace síní oproti nemocným s prováděnou dvou</w:t>
      </w:r>
      <w:r>
        <w:rPr>
          <w:sz w:val="24"/>
          <w:szCs w:val="24"/>
        </w:rPr>
        <w:t xml:space="preserve">dutinovou </w:t>
      </w:r>
      <w:r w:rsidRPr="00F420AA">
        <w:rPr>
          <w:sz w:val="24"/>
          <w:szCs w:val="24"/>
        </w:rPr>
        <w:t xml:space="preserve">stimulací a zachovalým sinusovým rytmem. Tyto skupiny se vzájemně zcela nekryjí – viz graf č. 3, vyšší hladina troponinu I je </w:t>
      </w:r>
      <w:r>
        <w:rPr>
          <w:sz w:val="24"/>
          <w:szCs w:val="24"/>
        </w:rPr>
        <w:br/>
      </w:r>
      <w:r w:rsidRPr="00F420AA">
        <w:rPr>
          <w:sz w:val="24"/>
          <w:szCs w:val="24"/>
        </w:rPr>
        <w:t>u nemocných s iniciálním rytmem fibrilace síní zřetelná- viz tabulka č.</w:t>
      </w:r>
      <w:r>
        <w:rPr>
          <w:sz w:val="24"/>
          <w:szCs w:val="24"/>
        </w:rPr>
        <w:t xml:space="preserve"> </w:t>
      </w:r>
      <w:r w:rsidRPr="00F420AA">
        <w:rPr>
          <w:sz w:val="24"/>
          <w:szCs w:val="24"/>
        </w:rPr>
        <w:t>9. Průměrná hladina ale nepřesahuje 99.</w:t>
      </w:r>
      <w:r>
        <w:rPr>
          <w:sz w:val="24"/>
          <w:szCs w:val="24"/>
        </w:rPr>
        <w:t xml:space="preserve"> </w:t>
      </w:r>
      <w:r w:rsidRPr="00F420AA">
        <w:rPr>
          <w:sz w:val="24"/>
          <w:szCs w:val="24"/>
        </w:rPr>
        <w:t>percentil a počet pozitivních záchytů troponinu I (tedy počet nálezu hladin vyšších než 99. percentil)</w:t>
      </w:r>
      <w:r>
        <w:rPr>
          <w:sz w:val="24"/>
          <w:szCs w:val="24"/>
        </w:rPr>
        <w:t xml:space="preserve"> se neliší.</w:t>
      </w:r>
      <w:r w:rsidRPr="00F420AA">
        <w:rPr>
          <w:sz w:val="24"/>
          <w:szCs w:val="24"/>
        </w:rPr>
        <w:t xml:space="preserve"> O patofyziologické podstatě tohoto jevu můžeme pouze spekulovat.  </w:t>
      </w:r>
      <w:r>
        <w:rPr>
          <w:sz w:val="24"/>
          <w:szCs w:val="24"/>
        </w:rPr>
        <w:t xml:space="preserve">Čistě hemodynamické vysvětlení </w:t>
      </w:r>
      <w:r w:rsidRPr="00F420AA">
        <w:rPr>
          <w:sz w:val="24"/>
          <w:szCs w:val="24"/>
        </w:rPr>
        <w:t>dopadů fibrilace síní na cirkulaci patrně neobstojí. Je potřeba spíše se zaměřit na výskyt komorbidit. Pacienti s fibrilací síní bývají starší a opravdu v našem souboru starší jsou</w:t>
      </w:r>
      <w:r>
        <w:rPr>
          <w:sz w:val="24"/>
          <w:szCs w:val="24"/>
        </w:rPr>
        <w:t>,</w:t>
      </w:r>
      <w:r w:rsidRPr="00F420AA">
        <w:rPr>
          <w:sz w:val="24"/>
          <w:szCs w:val="24"/>
        </w:rPr>
        <w:t xml:space="preserve"> i když jen o 2 roky, což patrně nehraje </w:t>
      </w:r>
      <w:r>
        <w:rPr>
          <w:sz w:val="24"/>
          <w:szCs w:val="24"/>
        </w:rPr>
        <w:lastRenderedPageBreak/>
        <w:t>významnou roli</w:t>
      </w:r>
      <w:r w:rsidRPr="00F420AA">
        <w:rPr>
          <w:sz w:val="24"/>
          <w:szCs w:val="24"/>
        </w:rPr>
        <w:t>, dále býv</w:t>
      </w:r>
      <w:r>
        <w:rPr>
          <w:sz w:val="24"/>
          <w:szCs w:val="24"/>
        </w:rPr>
        <w:t>ají zpravidla více polymorbidní</w:t>
      </w:r>
      <w:r w:rsidRPr="00F420AA">
        <w:rPr>
          <w:sz w:val="24"/>
          <w:szCs w:val="24"/>
        </w:rPr>
        <w:t>, což jednoznačně nek</w:t>
      </w:r>
      <w:r>
        <w:rPr>
          <w:sz w:val="24"/>
          <w:szCs w:val="24"/>
        </w:rPr>
        <w:t>onstatujeme, vliv může mít také</w:t>
      </w:r>
      <w:r w:rsidRPr="00F420AA">
        <w:rPr>
          <w:sz w:val="24"/>
          <w:szCs w:val="24"/>
        </w:rPr>
        <w:t xml:space="preserve"> přítomnost tachykardie u nositelů fibrilace síní. </w:t>
      </w:r>
    </w:p>
    <w:p w:rsidR="006C1917" w:rsidRPr="00F420AA" w:rsidRDefault="006C1917" w:rsidP="001324DB">
      <w:pPr>
        <w:spacing w:line="360" w:lineRule="auto"/>
        <w:jc w:val="both"/>
        <w:rPr>
          <w:sz w:val="24"/>
          <w:szCs w:val="24"/>
        </w:rPr>
      </w:pPr>
      <w:r>
        <w:rPr>
          <w:sz w:val="24"/>
          <w:szCs w:val="24"/>
        </w:rPr>
        <w:t xml:space="preserve">V našem souboru bylo </w:t>
      </w:r>
      <w:r w:rsidRPr="00F420AA">
        <w:rPr>
          <w:sz w:val="24"/>
          <w:szCs w:val="24"/>
        </w:rPr>
        <w:t>ve skupině s jednodutinovou stimulací zařazeno k</w:t>
      </w:r>
      <w:r>
        <w:rPr>
          <w:sz w:val="24"/>
          <w:szCs w:val="24"/>
        </w:rPr>
        <w:t>rom</w:t>
      </w:r>
      <w:r w:rsidR="000F4673">
        <w:rPr>
          <w:sz w:val="24"/>
          <w:szCs w:val="24"/>
        </w:rPr>
        <w:t>ě</w:t>
      </w:r>
      <w:r>
        <w:rPr>
          <w:sz w:val="24"/>
          <w:szCs w:val="24"/>
        </w:rPr>
        <w:t xml:space="preserve"> většího množství nemocných, </w:t>
      </w:r>
      <w:r w:rsidRPr="00F420AA">
        <w:rPr>
          <w:sz w:val="24"/>
          <w:szCs w:val="24"/>
        </w:rPr>
        <w:t>jejichž iniciální rytmus před primoimplantací kardiostimulátoru byla  permanent</w:t>
      </w:r>
      <w:r>
        <w:rPr>
          <w:sz w:val="24"/>
          <w:szCs w:val="24"/>
        </w:rPr>
        <w:t xml:space="preserve">ní fibrilace síní také </w:t>
      </w:r>
      <w:r w:rsidRPr="00F420AA">
        <w:rPr>
          <w:sz w:val="24"/>
          <w:szCs w:val="24"/>
        </w:rPr>
        <w:t xml:space="preserve">12 pacientů se zachovalým sinusovým rytmem. V době zahájení naší studie (2009) neplatila tolik striktní pravidla stran nutnosti implantace dvoudutinového systému u nemocných se zachovalým sinusovým rytmem. V našem souboru tak malé skupině 12 pacientů se zachovalým sinusovým rytmem byl implantován pouze jednodutinový kardiostimulátor. Jednalo se vesměs o indikace u polymorbidních pacientů </w:t>
      </w:r>
      <w:r>
        <w:rPr>
          <w:sz w:val="24"/>
          <w:szCs w:val="24"/>
        </w:rPr>
        <w:br/>
      </w:r>
      <w:r w:rsidRPr="00F420AA">
        <w:rPr>
          <w:sz w:val="24"/>
          <w:szCs w:val="24"/>
        </w:rPr>
        <w:t>a programce byla v záložním back-up režimu VVI 40/min.</w:t>
      </w:r>
    </w:p>
    <w:p w:rsidR="006C1917" w:rsidRPr="00F420AA" w:rsidRDefault="006C1917" w:rsidP="001324DB">
      <w:pPr>
        <w:spacing w:line="360" w:lineRule="auto"/>
        <w:jc w:val="both"/>
        <w:rPr>
          <w:sz w:val="24"/>
          <w:szCs w:val="24"/>
        </w:rPr>
      </w:pPr>
      <w:r w:rsidRPr="00F420AA">
        <w:rPr>
          <w:sz w:val="24"/>
          <w:szCs w:val="24"/>
        </w:rPr>
        <w:t>Zatímco u pacientů s ischemickou myokardiální lézí je patofy</w:t>
      </w:r>
      <w:r>
        <w:rPr>
          <w:sz w:val="24"/>
          <w:szCs w:val="24"/>
        </w:rPr>
        <w:t>ziologický mechanismus uvolnění</w:t>
      </w:r>
      <w:r w:rsidRPr="00F420AA">
        <w:rPr>
          <w:sz w:val="24"/>
          <w:szCs w:val="24"/>
        </w:rPr>
        <w:t xml:space="preserve"> jednotný, v případě srdečního selhání se velmi často jedná o </w:t>
      </w:r>
      <w:r>
        <w:rPr>
          <w:sz w:val="24"/>
          <w:szCs w:val="24"/>
        </w:rPr>
        <w:t>kombinaci několika mechanismů. Mechanismus</w:t>
      </w:r>
      <w:r w:rsidRPr="00F420AA">
        <w:rPr>
          <w:sz w:val="24"/>
          <w:szCs w:val="24"/>
        </w:rPr>
        <w:t xml:space="preserve"> odúmrti kardiomyocytů, resp. poměru nekrózy a apoptózy </w:t>
      </w:r>
      <w:r>
        <w:rPr>
          <w:sz w:val="24"/>
          <w:szCs w:val="24"/>
        </w:rPr>
        <w:br/>
      </w:r>
      <w:r w:rsidRPr="00F420AA">
        <w:rPr>
          <w:sz w:val="24"/>
          <w:szCs w:val="24"/>
        </w:rPr>
        <w:t xml:space="preserve">u nemocných s chronickým srdečním selháním </w:t>
      </w:r>
      <w:r>
        <w:rPr>
          <w:sz w:val="24"/>
          <w:szCs w:val="24"/>
        </w:rPr>
        <w:t>není jasný</w:t>
      </w:r>
      <w:r w:rsidRPr="00F420AA">
        <w:rPr>
          <w:sz w:val="24"/>
          <w:szCs w:val="24"/>
        </w:rPr>
        <w:t>, apoptóza jednoznačně hraje v progresi srdečního selhání klíčovou roli, zvýšený enddiastolický tlak vede k expresi prot</w:t>
      </w:r>
      <w:r>
        <w:rPr>
          <w:sz w:val="24"/>
          <w:szCs w:val="24"/>
        </w:rPr>
        <w:t>oonkogenů</w:t>
      </w:r>
      <w:r w:rsidRPr="00F420AA">
        <w:rPr>
          <w:sz w:val="24"/>
          <w:szCs w:val="24"/>
        </w:rPr>
        <w:t>, které podporují hypertrofii, přetrvávající vliv růstových faktorů vede k iniciaci apoptózy</w:t>
      </w:r>
      <w:r>
        <w:rPr>
          <w:sz w:val="24"/>
          <w:szCs w:val="24"/>
        </w:rPr>
        <w:t xml:space="preserve"> </w:t>
      </w:r>
      <w:r w:rsidR="004534DB">
        <w:rPr>
          <w:sz w:val="24"/>
          <w:szCs w:val="24"/>
        </w:rPr>
        <w:t>(97</w:t>
      </w:r>
      <w:r>
        <w:rPr>
          <w:sz w:val="24"/>
          <w:szCs w:val="24"/>
        </w:rPr>
        <w:t>–</w:t>
      </w:r>
      <w:r w:rsidR="004534DB">
        <w:rPr>
          <w:sz w:val="24"/>
          <w:szCs w:val="24"/>
        </w:rPr>
        <w:t>98</w:t>
      </w:r>
      <w:r w:rsidRPr="00F420AA">
        <w:rPr>
          <w:sz w:val="24"/>
          <w:szCs w:val="24"/>
        </w:rPr>
        <w:t>). Samotná hypertrofie myokardu je rovněž spojen</w:t>
      </w:r>
      <w:r w:rsidR="004534DB">
        <w:rPr>
          <w:sz w:val="24"/>
          <w:szCs w:val="24"/>
        </w:rPr>
        <w:t>a s lehkou elevací troponinu (99</w:t>
      </w:r>
      <w:r w:rsidRPr="00F420AA">
        <w:rPr>
          <w:sz w:val="24"/>
          <w:szCs w:val="24"/>
        </w:rPr>
        <w:t>), mechanismem může být jistě relativní ischemie u hypertrofického</w:t>
      </w:r>
      <w:r>
        <w:rPr>
          <w:sz w:val="24"/>
          <w:szCs w:val="24"/>
        </w:rPr>
        <w:t xml:space="preserve"> myokardu akcentovaná koronární</w:t>
      </w:r>
      <w:r w:rsidRPr="00F420AA">
        <w:rPr>
          <w:sz w:val="24"/>
          <w:szCs w:val="24"/>
        </w:rPr>
        <w:t xml:space="preserve"> nemocí. Poz</w:t>
      </w:r>
      <w:r>
        <w:rPr>
          <w:sz w:val="24"/>
          <w:szCs w:val="24"/>
        </w:rPr>
        <w:t xml:space="preserve">itivita troponinu jako markeru </w:t>
      </w:r>
      <w:r w:rsidRPr="00F420AA">
        <w:rPr>
          <w:sz w:val="24"/>
          <w:szCs w:val="24"/>
        </w:rPr>
        <w:t>tíže srdečního selhání byla popsána i v aktuálně publikované studii PARAMOUNT s n</w:t>
      </w:r>
      <w:r w:rsidR="004534DB">
        <w:rPr>
          <w:sz w:val="24"/>
          <w:szCs w:val="24"/>
        </w:rPr>
        <w:t>eprilysinem (100</w:t>
      </w:r>
      <w:r w:rsidRPr="00F420AA">
        <w:rPr>
          <w:sz w:val="24"/>
          <w:szCs w:val="24"/>
        </w:rPr>
        <w:t xml:space="preserve">). </w:t>
      </w:r>
    </w:p>
    <w:p w:rsidR="006C1917" w:rsidRPr="00F420AA" w:rsidRDefault="006C1917" w:rsidP="001324DB">
      <w:pPr>
        <w:spacing w:line="360" w:lineRule="auto"/>
        <w:jc w:val="both"/>
        <w:rPr>
          <w:sz w:val="24"/>
          <w:szCs w:val="24"/>
        </w:rPr>
      </w:pPr>
      <w:r w:rsidRPr="00F420AA">
        <w:rPr>
          <w:sz w:val="24"/>
          <w:szCs w:val="24"/>
        </w:rPr>
        <w:t xml:space="preserve">Další nosologickou jednotkou, u které může dojít ke zvýšení hodnoty troponinu je plicní embolie. </w:t>
      </w:r>
      <w:r>
        <w:rPr>
          <w:sz w:val="24"/>
          <w:szCs w:val="24"/>
        </w:rPr>
        <w:t xml:space="preserve">Diagnostický význam </w:t>
      </w:r>
      <w:r w:rsidRPr="00F420AA">
        <w:rPr>
          <w:sz w:val="24"/>
          <w:szCs w:val="24"/>
        </w:rPr>
        <w:t>troponinu je však okrajový, krom</w:t>
      </w:r>
      <w:r w:rsidR="000F4673">
        <w:rPr>
          <w:sz w:val="24"/>
          <w:szCs w:val="24"/>
        </w:rPr>
        <w:t>ě</w:t>
      </w:r>
      <w:r w:rsidRPr="00F420AA">
        <w:rPr>
          <w:sz w:val="24"/>
          <w:szCs w:val="24"/>
        </w:rPr>
        <w:t xml:space="preserve"> anamnestických dat jsou klíčová zobrazovací vyšetření (spirální CT angiografie plicnice nebo ventilačně perfuzní scintigrafie plicní), dříve používaná angiografie plicnice se pro svou invazivitu již provádí spíše vyjímečně.</w:t>
      </w:r>
    </w:p>
    <w:p w:rsidR="006C1917" w:rsidRPr="00F420AA" w:rsidRDefault="006C1917" w:rsidP="001324DB">
      <w:pPr>
        <w:spacing w:line="360" w:lineRule="auto"/>
        <w:jc w:val="both"/>
        <w:rPr>
          <w:sz w:val="24"/>
          <w:szCs w:val="24"/>
        </w:rPr>
      </w:pPr>
      <w:r w:rsidRPr="00F420AA">
        <w:rPr>
          <w:sz w:val="24"/>
          <w:szCs w:val="24"/>
        </w:rPr>
        <w:t>K uvolnění</w:t>
      </w:r>
      <w:r>
        <w:rPr>
          <w:sz w:val="24"/>
          <w:szCs w:val="24"/>
        </w:rPr>
        <w:t xml:space="preserve"> troponinu do séra</w:t>
      </w:r>
      <w:r w:rsidRPr="00F420AA">
        <w:rPr>
          <w:sz w:val="24"/>
          <w:szCs w:val="24"/>
        </w:rPr>
        <w:t xml:space="preserve"> vede jednak mikroskopické poškození stěny pravé komory </w:t>
      </w:r>
      <w:r>
        <w:rPr>
          <w:sz w:val="24"/>
          <w:szCs w:val="24"/>
        </w:rPr>
        <w:br/>
      </w:r>
      <w:r w:rsidRPr="00F420AA">
        <w:rPr>
          <w:sz w:val="24"/>
          <w:szCs w:val="24"/>
        </w:rPr>
        <w:t xml:space="preserve">a dále též vyšší napětí stěny pravé komory, které působí zvýšení spotřeby kyslíku a možný rozvoj ischémie pravé komory. Během dilatace pravé komory dochází k disrupci </w:t>
      </w:r>
      <w:r>
        <w:rPr>
          <w:sz w:val="24"/>
          <w:szCs w:val="24"/>
        </w:rPr>
        <w:br/>
      </w:r>
      <w:r w:rsidRPr="00F420AA">
        <w:rPr>
          <w:sz w:val="24"/>
          <w:szCs w:val="24"/>
        </w:rPr>
        <w:t>a mikroskopickému poškození myokardu, dál</w:t>
      </w:r>
      <w:r w:rsidR="00FC0803">
        <w:rPr>
          <w:sz w:val="24"/>
          <w:szCs w:val="24"/>
        </w:rPr>
        <w:t>e též k lokální isché</w:t>
      </w:r>
      <w:r w:rsidRPr="00F420AA">
        <w:rPr>
          <w:sz w:val="24"/>
          <w:szCs w:val="24"/>
        </w:rPr>
        <w:t>mii dané dilatací (20</w:t>
      </w:r>
      <w:r>
        <w:rPr>
          <w:sz w:val="24"/>
          <w:szCs w:val="24"/>
        </w:rPr>
        <w:t>–</w:t>
      </w:r>
      <w:r w:rsidR="000F4673">
        <w:rPr>
          <w:sz w:val="24"/>
          <w:szCs w:val="24"/>
        </w:rPr>
        <w:t>22). Poz</w:t>
      </w:r>
      <w:r w:rsidRPr="00F420AA">
        <w:rPr>
          <w:sz w:val="24"/>
          <w:szCs w:val="24"/>
        </w:rPr>
        <w:t>itivita troponinu u plicní embolie je navíc považov</w:t>
      </w:r>
      <w:r w:rsidR="004534DB">
        <w:rPr>
          <w:sz w:val="24"/>
          <w:szCs w:val="24"/>
        </w:rPr>
        <w:t>ána za marker horší prognózy (86</w:t>
      </w:r>
      <w:r w:rsidRPr="00F420AA">
        <w:rPr>
          <w:sz w:val="24"/>
          <w:szCs w:val="24"/>
        </w:rPr>
        <w:t xml:space="preserve">). </w:t>
      </w:r>
      <w:r w:rsidRPr="00F420AA">
        <w:rPr>
          <w:sz w:val="24"/>
          <w:szCs w:val="24"/>
        </w:rPr>
        <w:lastRenderedPageBreak/>
        <w:t xml:space="preserve">Markery horší prognózy představují zvýšené sérové hladiny obou troponinů jak T, tak I </w:t>
      </w:r>
      <w:r>
        <w:rPr>
          <w:sz w:val="24"/>
          <w:szCs w:val="24"/>
        </w:rPr>
        <w:br/>
      </w:r>
      <w:r w:rsidR="004534DB">
        <w:rPr>
          <w:sz w:val="24"/>
          <w:szCs w:val="24"/>
        </w:rPr>
        <w:t>(101</w:t>
      </w:r>
      <w:r>
        <w:rPr>
          <w:sz w:val="24"/>
          <w:szCs w:val="24"/>
        </w:rPr>
        <w:t>–</w:t>
      </w:r>
      <w:r w:rsidR="004534DB">
        <w:rPr>
          <w:sz w:val="24"/>
          <w:szCs w:val="24"/>
        </w:rPr>
        <w:t>103</w:t>
      </w:r>
      <w:r w:rsidRPr="00F420AA">
        <w:rPr>
          <w:sz w:val="24"/>
          <w:szCs w:val="24"/>
        </w:rPr>
        <w:t xml:space="preserve">). Negativní hodnota troponinu T je s 98% pravděpodobností markerem příznivé prognozy (ESC guidellines pro </w:t>
      </w:r>
      <w:r w:rsidR="004534DB">
        <w:rPr>
          <w:sz w:val="24"/>
          <w:szCs w:val="24"/>
        </w:rPr>
        <w:t>plicní embolizaci 2014 – viz 104</w:t>
      </w:r>
      <w:r w:rsidRPr="00F420AA">
        <w:rPr>
          <w:sz w:val="24"/>
          <w:szCs w:val="24"/>
        </w:rPr>
        <w:t xml:space="preserve">). Plicní embolie je časté onemocnění doprovázející celou škálu interních stavů. Při diagnostice plicní embolie může pozitivita troponinu naopak vést k chybné diagnóze akutního koronárního syndromu, zejména když jsou přítomny EKG repolarizační změny na přední stěně srdeční. </w:t>
      </w:r>
    </w:p>
    <w:p w:rsidR="006C1917" w:rsidRPr="00F420AA" w:rsidRDefault="006C1917" w:rsidP="001324DB">
      <w:pPr>
        <w:spacing w:line="360" w:lineRule="auto"/>
        <w:jc w:val="both"/>
        <w:rPr>
          <w:sz w:val="24"/>
          <w:szCs w:val="24"/>
        </w:rPr>
      </w:pPr>
      <w:r w:rsidRPr="00F420AA">
        <w:rPr>
          <w:sz w:val="24"/>
          <w:szCs w:val="24"/>
        </w:rPr>
        <w:t>Pozitivita troponinu je často zjištěna při renální insuficienci. Etiopatogeneze tohoto jevu je zatím nejasná, nízké hladiny troponinu u nemocných s chronickou renální insuficiencí jsou popisovány opakovaně (35). Původní teorie o snížené clearenci troponinu u nemocných s renálním selháním se nezdají být opodstatněné již z toho důvodu, že molekula troponinu je příliš velká. Nelze však vyloučit sníženou clearence fragmentů troponinu (8-25 kDa), které jsou dále v séru detekovány (36). Troponin T se u nemocných s renální insuficiencí vyskytuje mn</w:t>
      </w:r>
      <w:r w:rsidR="004534DB">
        <w:rPr>
          <w:sz w:val="24"/>
          <w:szCs w:val="24"/>
        </w:rPr>
        <w:t>ohem častěji než troponin I (105</w:t>
      </w:r>
      <w:r w:rsidRPr="00F420AA">
        <w:rPr>
          <w:sz w:val="24"/>
          <w:szCs w:val="24"/>
        </w:rPr>
        <w:t>). Diris (36) ve své práci diskutuje jaká je normální clearence troponinu, respektive fragmentů troponinu, neboť ve zdravé populaci je normou sérová koncentrace troponinu T 0,0002 ug/l, to představuje fyziologi</w:t>
      </w:r>
      <w:r>
        <w:rPr>
          <w:sz w:val="24"/>
          <w:szCs w:val="24"/>
        </w:rPr>
        <w:t xml:space="preserve">ckou </w:t>
      </w:r>
      <w:r w:rsidRPr="00F420AA">
        <w:rPr>
          <w:sz w:val="24"/>
          <w:szCs w:val="24"/>
        </w:rPr>
        <w:t>roční ztrátu myokardu 27 mg</w:t>
      </w:r>
      <w:r>
        <w:rPr>
          <w:sz w:val="24"/>
          <w:szCs w:val="24"/>
        </w:rPr>
        <w:t xml:space="preserve">. </w:t>
      </w:r>
      <w:r w:rsidRPr="00F420AA">
        <w:rPr>
          <w:sz w:val="24"/>
          <w:szCs w:val="24"/>
        </w:rPr>
        <w:t>Běžně je tedy troponin v séru zdravých osob nedetekovatelný (limit detekce 0,003 ug/l), u pacientů se sníženou renální clearence však může dojít k nahromadění fragmentů troponinu v séru a zvýšení jejich hladiny nad 99. percentil výskytu v populaci. Teorii o snížené clearence troponinových fragmentů odpovídá i skutečnost, že u pacientů po úspěšné transplantaci ledviny dochází ke snížení hladin troponi</w:t>
      </w:r>
      <w:r w:rsidR="004534DB">
        <w:rPr>
          <w:sz w:val="24"/>
          <w:szCs w:val="24"/>
        </w:rPr>
        <w:t>nu (107</w:t>
      </w:r>
      <w:r>
        <w:rPr>
          <w:sz w:val="24"/>
          <w:szCs w:val="24"/>
        </w:rPr>
        <w:t>–</w:t>
      </w:r>
      <w:r w:rsidR="004534DB">
        <w:rPr>
          <w:sz w:val="24"/>
          <w:szCs w:val="24"/>
        </w:rPr>
        <w:t>108</w:t>
      </w:r>
      <w:r w:rsidRPr="00F420AA">
        <w:rPr>
          <w:sz w:val="24"/>
          <w:szCs w:val="24"/>
        </w:rPr>
        <w:t xml:space="preserve">). </w:t>
      </w:r>
    </w:p>
    <w:p w:rsidR="006C1917" w:rsidRPr="00F420AA" w:rsidRDefault="006C1917" w:rsidP="001324DB">
      <w:pPr>
        <w:spacing w:line="360" w:lineRule="auto"/>
        <w:jc w:val="both"/>
        <w:rPr>
          <w:sz w:val="24"/>
          <w:szCs w:val="24"/>
        </w:rPr>
      </w:pPr>
      <w:r w:rsidRPr="00F420AA">
        <w:rPr>
          <w:sz w:val="24"/>
          <w:szCs w:val="24"/>
        </w:rPr>
        <w:t>U většiny situací tak musíme identifikovat patologickou noxu, která působí na</w:t>
      </w:r>
      <w:r>
        <w:rPr>
          <w:sz w:val="24"/>
          <w:szCs w:val="24"/>
        </w:rPr>
        <w:t xml:space="preserve"> myokard a vede tak ke zvýšení </w:t>
      </w:r>
      <w:r w:rsidRPr="00F420AA">
        <w:rPr>
          <w:sz w:val="24"/>
          <w:szCs w:val="24"/>
        </w:rPr>
        <w:t>hladin</w:t>
      </w:r>
      <w:r>
        <w:rPr>
          <w:sz w:val="24"/>
          <w:szCs w:val="24"/>
        </w:rPr>
        <w:t xml:space="preserve">y troponinu nad 99. percentil. </w:t>
      </w:r>
      <w:r w:rsidRPr="00F420AA">
        <w:rPr>
          <w:sz w:val="24"/>
          <w:szCs w:val="24"/>
        </w:rPr>
        <w:t>Vyjímkou je právě renální insuficience, kdy primárně na myokard žádná noxa nepůsobí, troponin se v séru hromadí pouze z důvodu jeho snížené clearence. Profil dialyzovaných pacientů je stran ischemické choroby srdeční výrazně rizikový (hypert</w:t>
      </w:r>
      <w:r>
        <w:rPr>
          <w:sz w:val="24"/>
          <w:szCs w:val="24"/>
        </w:rPr>
        <w:t xml:space="preserve">enze, diabetes, dyslipidemie), </w:t>
      </w:r>
      <w:r w:rsidRPr="00F420AA">
        <w:rPr>
          <w:sz w:val="24"/>
          <w:szCs w:val="24"/>
        </w:rPr>
        <w:t>nemocní jsou dále významně polymorbidní (CHOPN, stavy po CMP).</w:t>
      </w:r>
      <w:r>
        <w:rPr>
          <w:sz w:val="24"/>
          <w:szCs w:val="24"/>
        </w:rPr>
        <w:t xml:space="preserve"> </w:t>
      </w:r>
      <w:r w:rsidRPr="00F420AA">
        <w:rPr>
          <w:sz w:val="24"/>
          <w:szCs w:val="24"/>
        </w:rPr>
        <w:t>Khan ve své metaa</w:t>
      </w:r>
      <w:r w:rsidR="00410330">
        <w:rPr>
          <w:sz w:val="24"/>
          <w:szCs w:val="24"/>
        </w:rPr>
        <w:t>nalýze  (109</w:t>
      </w:r>
      <w:r w:rsidRPr="00F420AA">
        <w:rPr>
          <w:sz w:val="24"/>
          <w:szCs w:val="24"/>
        </w:rPr>
        <w:t>) uvádí prognostickou souvislost elevace obou troponinů na zvýšenou mortalitu nemocných s c</w:t>
      </w:r>
      <w:r>
        <w:rPr>
          <w:sz w:val="24"/>
          <w:szCs w:val="24"/>
        </w:rPr>
        <w:t>hronickou renální insuficiencí.</w:t>
      </w:r>
      <w:r w:rsidRPr="00F420AA">
        <w:rPr>
          <w:sz w:val="24"/>
          <w:szCs w:val="24"/>
        </w:rPr>
        <w:t xml:space="preserve"> Se zvýšenou mortalitou dále významně pozitivně koreluje doba</w:t>
      </w:r>
      <w:r>
        <w:rPr>
          <w:sz w:val="24"/>
          <w:szCs w:val="24"/>
        </w:rPr>
        <w:t>,</w:t>
      </w:r>
      <w:r w:rsidRPr="00F420AA">
        <w:rPr>
          <w:sz w:val="24"/>
          <w:szCs w:val="24"/>
        </w:rPr>
        <w:t xml:space="preserve"> po kterou je nemocný přítomen v dialyzačním programu.</w:t>
      </w:r>
    </w:p>
    <w:p w:rsidR="006C1917" w:rsidRPr="00F420AA" w:rsidRDefault="006C1917" w:rsidP="001324DB">
      <w:pPr>
        <w:spacing w:line="360" w:lineRule="auto"/>
        <w:jc w:val="both"/>
        <w:rPr>
          <w:sz w:val="24"/>
          <w:szCs w:val="24"/>
        </w:rPr>
      </w:pPr>
      <w:r w:rsidRPr="00F420AA">
        <w:rPr>
          <w:sz w:val="24"/>
          <w:szCs w:val="24"/>
        </w:rPr>
        <w:lastRenderedPageBreak/>
        <w:t>Etiologie zvýšení troponinů u těchto stavů je pravděpodobně multifaktoriální, významná část pacientů má chronickou ischemickou chorobu, za přispívajících</w:t>
      </w:r>
      <w:r>
        <w:rPr>
          <w:sz w:val="24"/>
          <w:szCs w:val="24"/>
        </w:rPr>
        <w:t xml:space="preserve"> faktorů jako jsou tachyarytmie</w:t>
      </w:r>
      <w:r w:rsidR="003B764C">
        <w:rPr>
          <w:sz w:val="24"/>
          <w:szCs w:val="24"/>
        </w:rPr>
        <w:t>, ané</w:t>
      </w:r>
      <w:r w:rsidRPr="00F420AA">
        <w:rPr>
          <w:sz w:val="24"/>
          <w:szCs w:val="24"/>
        </w:rPr>
        <w:t>mie, akutní infekt tak může dojít k rozvoji myokardiální léze a troponin je detekován v séru. Dalším pravděpodobným mechanismem je nejspíše akutní koronární sy</w:t>
      </w:r>
      <w:r>
        <w:rPr>
          <w:sz w:val="24"/>
          <w:szCs w:val="24"/>
        </w:rPr>
        <w:t xml:space="preserve">ndrom, který může být zejména u nemocných s diabetem v dialyzačním programu </w:t>
      </w:r>
      <w:r w:rsidRPr="00F420AA">
        <w:rPr>
          <w:sz w:val="24"/>
          <w:szCs w:val="24"/>
        </w:rPr>
        <w:t>poddiagnostikován, může jít o proběhlé drobné oligosymptomatické až asymptomatické akutní koronární léze s drobným sérovým leakem troponinu.</w:t>
      </w:r>
    </w:p>
    <w:p w:rsidR="006C1917" w:rsidRPr="00F420AA" w:rsidRDefault="006C1917" w:rsidP="001324DB">
      <w:pPr>
        <w:spacing w:line="360" w:lineRule="auto"/>
        <w:jc w:val="both"/>
        <w:rPr>
          <w:sz w:val="24"/>
          <w:szCs w:val="24"/>
        </w:rPr>
      </w:pPr>
      <w:r w:rsidRPr="00F420AA">
        <w:rPr>
          <w:sz w:val="24"/>
          <w:szCs w:val="24"/>
        </w:rPr>
        <w:t>V naší práci byl podíl pacientů s renální insuficiencí poměrně nízký a korelaci mezi vstupní elevací troponinu a renálních parametrů jsme neprokázali. Přesto ele</w:t>
      </w:r>
      <w:r w:rsidR="000F4673">
        <w:rPr>
          <w:sz w:val="24"/>
          <w:szCs w:val="24"/>
        </w:rPr>
        <w:t>v</w:t>
      </w:r>
      <w:r w:rsidRPr="00F420AA">
        <w:rPr>
          <w:sz w:val="24"/>
          <w:szCs w:val="24"/>
        </w:rPr>
        <w:t xml:space="preserve">ace troponinu </w:t>
      </w:r>
      <w:r>
        <w:rPr>
          <w:sz w:val="24"/>
          <w:szCs w:val="24"/>
        </w:rPr>
        <w:br/>
      </w:r>
      <w:r w:rsidRPr="00F420AA">
        <w:rPr>
          <w:sz w:val="24"/>
          <w:szCs w:val="24"/>
        </w:rPr>
        <w:t>u nemo</w:t>
      </w:r>
      <w:r w:rsidR="002451D7">
        <w:rPr>
          <w:sz w:val="24"/>
          <w:szCs w:val="24"/>
        </w:rPr>
        <w:t>cných s renální insuficiencí poz</w:t>
      </w:r>
      <w:r w:rsidRPr="00F420AA">
        <w:rPr>
          <w:sz w:val="24"/>
          <w:szCs w:val="24"/>
        </w:rPr>
        <w:t>itivně koreluje s vyšší mortalitou. Důvodem však není aktuální přítomnost akutního koronárního syndromu, ale vyšší mortalita obecně včetně té kardiovaskulární (37</w:t>
      </w:r>
      <w:r>
        <w:rPr>
          <w:sz w:val="24"/>
          <w:szCs w:val="24"/>
        </w:rPr>
        <w:t>–</w:t>
      </w:r>
      <w:r w:rsidRPr="00F420AA">
        <w:rPr>
          <w:sz w:val="24"/>
          <w:szCs w:val="24"/>
        </w:rPr>
        <w:t>38)</w:t>
      </w:r>
      <w:r>
        <w:rPr>
          <w:sz w:val="24"/>
          <w:szCs w:val="24"/>
        </w:rPr>
        <w:t xml:space="preserve">. Kardiologičtí </w:t>
      </w:r>
      <w:r w:rsidRPr="00F420AA">
        <w:rPr>
          <w:sz w:val="24"/>
          <w:szCs w:val="24"/>
        </w:rPr>
        <w:t>nemocní zpravidla netrpí pouze jednou přidruženou chorobou, nýbr</w:t>
      </w:r>
      <w:r>
        <w:rPr>
          <w:sz w:val="24"/>
          <w:szCs w:val="24"/>
        </w:rPr>
        <w:t>ž komplexem spolu souvisejících</w:t>
      </w:r>
      <w:r w:rsidRPr="00F420AA">
        <w:rPr>
          <w:sz w:val="24"/>
          <w:szCs w:val="24"/>
        </w:rPr>
        <w:t xml:space="preserve"> klinických syndromů – diabetes, hypertenze, dyslipidemie, nikotinismus, obezita etc. Proto je vcelku logické, že pacienti se zvýšeným troponinem při renální insuficienci mají vyšší riziko kardiovaskulární mortality (Khan</w:t>
      </w:r>
      <w:r>
        <w:rPr>
          <w:sz w:val="24"/>
          <w:szCs w:val="24"/>
        </w:rPr>
        <w:t xml:space="preserve"> – </w:t>
      </w:r>
      <w:r w:rsidR="00410330">
        <w:rPr>
          <w:sz w:val="24"/>
          <w:szCs w:val="24"/>
        </w:rPr>
        <w:t>109</w:t>
      </w:r>
      <w:r w:rsidRPr="00F420AA">
        <w:rPr>
          <w:sz w:val="24"/>
          <w:szCs w:val="24"/>
        </w:rPr>
        <w:t xml:space="preserve">). Klinický význam tohoto jevu by měl být interpretován opatrně, rozhodně bychom se neměli uchylovat pouze k přímočaré indikaci ke koronarografickému vyšetření, které ve svém důsledku může nemocnému s významnou renální insuficiencí i uškodit, ale pacienta komplexně posoudit stran jeho rizikového profilu.  </w:t>
      </w:r>
    </w:p>
    <w:p w:rsidR="006C1917" w:rsidRPr="00F420AA" w:rsidRDefault="006C1917" w:rsidP="001324DB">
      <w:pPr>
        <w:spacing w:line="360" w:lineRule="auto"/>
        <w:jc w:val="both"/>
        <w:rPr>
          <w:sz w:val="24"/>
          <w:szCs w:val="24"/>
        </w:rPr>
      </w:pPr>
      <w:r w:rsidRPr="00F420AA">
        <w:rPr>
          <w:sz w:val="24"/>
          <w:szCs w:val="24"/>
        </w:rPr>
        <w:t xml:space="preserve">Pozitivitu troponinu zjišťujeme též u sepse. Při ní dochází vlivem uvolnění cytokinů </w:t>
      </w:r>
      <w:r>
        <w:rPr>
          <w:sz w:val="24"/>
          <w:szCs w:val="24"/>
        </w:rPr>
        <w:br/>
      </w:r>
      <w:r w:rsidRPr="00F420AA">
        <w:rPr>
          <w:sz w:val="24"/>
          <w:szCs w:val="24"/>
        </w:rPr>
        <w:t>a mediátorů zánětu k poklesu kontraktilní funkce myokardu. Klíčov</w:t>
      </w:r>
      <w:r>
        <w:rPr>
          <w:sz w:val="24"/>
          <w:szCs w:val="24"/>
        </w:rPr>
        <w:t>ým mediátorem sepse je TNF alfa</w:t>
      </w:r>
      <w:r w:rsidRPr="00F420AA">
        <w:rPr>
          <w:sz w:val="24"/>
          <w:szCs w:val="24"/>
        </w:rPr>
        <w:t xml:space="preserve">, </w:t>
      </w:r>
      <w:proofErr w:type="gramStart"/>
      <w:r w:rsidRPr="00F420AA">
        <w:rPr>
          <w:sz w:val="24"/>
          <w:szCs w:val="24"/>
        </w:rPr>
        <w:t>který</w:t>
      </w:r>
      <w:proofErr w:type="gramEnd"/>
      <w:r w:rsidRPr="00F420AA">
        <w:rPr>
          <w:sz w:val="24"/>
          <w:szCs w:val="24"/>
        </w:rPr>
        <w:t xml:space="preserve"> je významným činitelem systémové </w:t>
      </w:r>
      <w:r w:rsidR="00410330">
        <w:rPr>
          <w:sz w:val="24"/>
          <w:szCs w:val="24"/>
        </w:rPr>
        <w:t>odpovědi na infekční insult (110</w:t>
      </w:r>
      <w:r w:rsidRPr="00F420AA">
        <w:rPr>
          <w:sz w:val="24"/>
          <w:szCs w:val="24"/>
        </w:rPr>
        <w:t>).</w:t>
      </w:r>
      <w:r>
        <w:rPr>
          <w:sz w:val="24"/>
          <w:szCs w:val="24"/>
        </w:rPr>
        <w:t xml:space="preserve"> </w:t>
      </w:r>
      <w:r w:rsidRPr="00F420AA">
        <w:rPr>
          <w:sz w:val="24"/>
          <w:szCs w:val="24"/>
        </w:rPr>
        <w:t xml:space="preserve">Dále interleukiny 1 a 6.  Amman 2003 </w:t>
      </w:r>
      <w:r w:rsidR="00B87BC9">
        <w:rPr>
          <w:sz w:val="24"/>
          <w:szCs w:val="24"/>
        </w:rPr>
        <w:t>(111)</w:t>
      </w:r>
      <w:r w:rsidRPr="00F420AA">
        <w:rPr>
          <w:sz w:val="24"/>
          <w:szCs w:val="24"/>
        </w:rPr>
        <w:t xml:space="preserve"> popisuje korelaci mezi hladinou TNF alfa a troponinu T. TNF alfa jakožto mediátor systémové odpovědi </w:t>
      </w:r>
      <w:r w:rsidR="000F4673">
        <w:rPr>
          <w:sz w:val="24"/>
          <w:szCs w:val="24"/>
        </w:rPr>
        <w:t>z</w:t>
      </w:r>
      <w:r w:rsidRPr="00F420AA">
        <w:rPr>
          <w:sz w:val="24"/>
          <w:szCs w:val="24"/>
        </w:rPr>
        <w:t xml:space="preserve">ároveň působí rozvoj dysfunkce levé komory. </w:t>
      </w:r>
      <w:r>
        <w:rPr>
          <w:sz w:val="24"/>
          <w:szCs w:val="24"/>
        </w:rPr>
        <w:t>TNF alfa a IL1 patří také mezi</w:t>
      </w:r>
      <w:r w:rsidRPr="00F420AA">
        <w:rPr>
          <w:sz w:val="24"/>
          <w:szCs w:val="24"/>
        </w:rPr>
        <w:t xml:space="preserve"> aktivátory koagulační kaskády a mají klíčovou roli v rozvoji DIC v rozvinuté fázi septického šoku. Specifické blokátory TNF alfa však v léčbě sepse efekt nepřinesly (Zazula</w:t>
      </w:r>
      <w:r>
        <w:rPr>
          <w:sz w:val="24"/>
          <w:szCs w:val="24"/>
        </w:rPr>
        <w:t xml:space="preserve"> – </w:t>
      </w:r>
      <w:r w:rsidR="00B87BC9">
        <w:rPr>
          <w:sz w:val="24"/>
          <w:szCs w:val="24"/>
        </w:rPr>
        <w:t>110</w:t>
      </w:r>
      <w:r w:rsidRPr="00F420AA">
        <w:rPr>
          <w:sz w:val="24"/>
          <w:szCs w:val="24"/>
        </w:rPr>
        <w:t>). Typickými činiteli poklesu kontraktilní funkce jsou bakteriální toxiny:</w:t>
      </w:r>
      <w:r>
        <w:rPr>
          <w:sz w:val="24"/>
          <w:szCs w:val="24"/>
        </w:rPr>
        <w:t xml:space="preserve"> endotoxin u G – bakterií, dále </w:t>
      </w:r>
      <w:r w:rsidRPr="00F420AA">
        <w:rPr>
          <w:sz w:val="24"/>
          <w:szCs w:val="24"/>
        </w:rPr>
        <w:t>toxin Stafylococc</w:t>
      </w:r>
      <w:r w:rsidR="00E819DA">
        <w:rPr>
          <w:sz w:val="24"/>
          <w:szCs w:val="24"/>
        </w:rPr>
        <w:t xml:space="preserve">us aureus (tzv. toxin toxického </w:t>
      </w:r>
      <w:r w:rsidRPr="00F420AA">
        <w:rPr>
          <w:sz w:val="24"/>
          <w:szCs w:val="24"/>
        </w:rPr>
        <w:t>šoku) a streptokokový toxin A (streptokoky skupiny A)</w:t>
      </w:r>
      <w:r w:rsidR="00E819DA">
        <w:rPr>
          <w:sz w:val="24"/>
          <w:szCs w:val="24"/>
        </w:rPr>
        <w:t>.</w:t>
      </w:r>
      <w:r w:rsidRPr="00F420AA">
        <w:rPr>
          <w:sz w:val="24"/>
          <w:szCs w:val="24"/>
        </w:rPr>
        <w:t xml:space="preserve"> Zároveň dochází k lokální poruše mikrocirkulace a k hypoxémii, která následně vede k myokardiální nekroze (23). Dalším přispívajícím fakt</w:t>
      </w:r>
      <w:r w:rsidR="00B87BC9">
        <w:rPr>
          <w:sz w:val="24"/>
          <w:szCs w:val="24"/>
        </w:rPr>
        <w:t>orem je bakteriální toxemie (112</w:t>
      </w:r>
      <w:r w:rsidRPr="00F420AA">
        <w:rPr>
          <w:sz w:val="24"/>
          <w:szCs w:val="24"/>
        </w:rPr>
        <w:t xml:space="preserve">) a její negativní toxický dopad na </w:t>
      </w:r>
      <w:r w:rsidRPr="00F420AA">
        <w:rPr>
          <w:sz w:val="24"/>
          <w:szCs w:val="24"/>
        </w:rPr>
        <w:lastRenderedPageBreak/>
        <w:t>myokard.</w:t>
      </w:r>
      <w:r>
        <w:rPr>
          <w:sz w:val="24"/>
          <w:szCs w:val="24"/>
        </w:rPr>
        <w:t xml:space="preserve"> </w:t>
      </w:r>
      <w:r w:rsidRPr="00F420AA">
        <w:rPr>
          <w:sz w:val="24"/>
          <w:szCs w:val="24"/>
        </w:rPr>
        <w:t>Při genezi myokardiálního poškození jsou také významné doprovodné příznaky sepse: Mír</w:t>
      </w:r>
      <w:r w:rsidR="002451D7">
        <w:rPr>
          <w:sz w:val="24"/>
          <w:szCs w:val="24"/>
        </w:rPr>
        <w:t>a elevace troponinu koreluje poz</w:t>
      </w:r>
      <w:r w:rsidRPr="00F420AA">
        <w:rPr>
          <w:sz w:val="24"/>
          <w:szCs w:val="24"/>
        </w:rPr>
        <w:t xml:space="preserve">itivně s tíží </w:t>
      </w:r>
      <w:r w:rsidR="00E819DA">
        <w:rPr>
          <w:sz w:val="24"/>
          <w:szCs w:val="24"/>
        </w:rPr>
        <w:t>hypotenze (25) a tedy i s intenz</w:t>
      </w:r>
      <w:r w:rsidRPr="00F420AA">
        <w:rPr>
          <w:sz w:val="24"/>
          <w:szCs w:val="24"/>
        </w:rPr>
        <w:t>itou vasopresor</w:t>
      </w:r>
      <w:r w:rsidR="008E6917">
        <w:rPr>
          <w:sz w:val="24"/>
          <w:szCs w:val="24"/>
        </w:rPr>
        <w:t>ické podpory (24). Záměna diagnó</w:t>
      </w:r>
      <w:r w:rsidRPr="00F420AA">
        <w:rPr>
          <w:sz w:val="24"/>
          <w:szCs w:val="24"/>
        </w:rPr>
        <w:t>zy za akutní koronární syndrom u septických nemocných může mít závažné důsledky.</w:t>
      </w:r>
      <w:r>
        <w:rPr>
          <w:sz w:val="24"/>
          <w:szCs w:val="24"/>
        </w:rPr>
        <w:t xml:space="preserve"> </w:t>
      </w:r>
      <w:r w:rsidRPr="00F420AA">
        <w:rPr>
          <w:sz w:val="24"/>
          <w:szCs w:val="24"/>
        </w:rPr>
        <w:t>Provedení prosté koronarografie pacientovi nemusí ublížit. Pokud je však ne</w:t>
      </w:r>
      <w:r>
        <w:rPr>
          <w:sz w:val="24"/>
          <w:szCs w:val="24"/>
        </w:rPr>
        <w:t xml:space="preserve">indikovaně provedena koronární </w:t>
      </w:r>
      <w:r w:rsidRPr="00F420AA">
        <w:rPr>
          <w:sz w:val="24"/>
          <w:szCs w:val="24"/>
        </w:rPr>
        <w:t xml:space="preserve">angioplastika, pacient je zbytečně zatížen </w:t>
      </w:r>
      <w:r w:rsidR="008E6917">
        <w:rPr>
          <w:sz w:val="24"/>
          <w:szCs w:val="24"/>
        </w:rPr>
        <w:t>duální inhibicí a z toho vyplýva</w:t>
      </w:r>
      <w:r w:rsidRPr="00F420AA">
        <w:rPr>
          <w:sz w:val="24"/>
          <w:szCs w:val="24"/>
        </w:rPr>
        <w:t>jícím vyšším rizikem krvácení</w:t>
      </w:r>
      <w:r>
        <w:rPr>
          <w:sz w:val="24"/>
          <w:szCs w:val="24"/>
        </w:rPr>
        <w:t>.</w:t>
      </w:r>
    </w:p>
    <w:p w:rsidR="006C1917" w:rsidRPr="00F420AA" w:rsidRDefault="006C1917" w:rsidP="001324DB">
      <w:pPr>
        <w:spacing w:line="360" w:lineRule="auto"/>
        <w:jc w:val="both"/>
        <w:rPr>
          <w:sz w:val="24"/>
          <w:szCs w:val="24"/>
        </w:rPr>
      </w:pPr>
      <w:r w:rsidRPr="00F420AA">
        <w:rPr>
          <w:sz w:val="24"/>
          <w:szCs w:val="24"/>
        </w:rPr>
        <w:t xml:space="preserve">Dalším mechanismem </w:t>
      </w:r>
      <w:r>
        <w:rPr>
          <w:sz w:val="24"/>
          <w:szCs w:val="24"/>
        </w:rPr>
        <w:t>uvolnění troponinu při sepsi je</w:t>
      </w:r>
      <w:r w:rsidRPr="00F420AA">
        <w:rPr>
          <w:sz w:val="24"/>
          <w:szCs w:val="24"/>
        </w:rPr>
        <w:t xml:space="preserve"> únik troponinu z kardiomyocy</w:t>
      </w:r>
      <w:r w:rsidR="002451D7">
        <w:rPr>
          <w:sz w:val="24"/>
          <w:szCs w:val="24"/>
        </w:rPr>
        <w:t>tů ve formě myokardiálních blebs</w:t>
      </w:r>
      <w:r w:rsidRPr="00F420AA">
        <w:rPr>
          <w:sz w:val="24"/>
          <w:szCs w:val="24"/>
        </w:rPr>
        <w:t>, jak již bylo popsáno výše a publikováno Favorym (39).  Patrně působí souběžně několik mechanismů uvolnění troponinu do séra. Je známo, že elevace troponinu je markerem hoší prognozy a vyšší mortality u nemocných se septickým šokem (24</w:t>
      </w:r>
      <w:r>
        <w:rPr>
          <w:sz w:val="24"/>
          <w:szCs w:val="24"/>
        </w:rPr>
        <w:t>–</w:t>
      </w:r>
      <w:r w:rsidRPr="00F420AA">
        <w:rPr>
          <w:sz w:val="24"/>
          <w:szCs w:val="24"/>
        </w:rPr>
        <w:t>26). U septických nemocných se jako první podobně jako u dysfunkce jiné etiologie vyvíjí nejprve diastolické srdeční selhání. Diastolická dysfunkce levé komory a dilatace pravé komory nejlépe koreluje s elevací troponinu. Sepsí navozená dysfunkce LK nez</w:t>
      </w:r>
      <w:r w:rsidR="00B87BC9">
        <w:rPr>
          <w:sz w:val="24"/>
          <w:szCs w:val="24"/>
        </w:rPr>
        <w:t>vyšuje jednoroční mortalitu (115</w:t>
      </w:r>
      <w:r w:rsidRPr="00F420AA">
        <w:rPr>
          <w:sz w:val="24"/>
          <w:szCs w:val="24"/>
        </w:rPr>
        <w:t>), změny jsou pravděpodobně reverzibilní. Všichni pacienti v našem souboru žádným závažným infekčním onemocněním netrpěli, proto tento mechanismus se na elevaci troponinu I v našem studovaném souboru nepodílel.</w:t>
      </w:r>
    </w:p>
    <w:p w:rsidR="006C1917" w:rsidRPr="00F420AA" w:rsidRDefault="006C1917" w:rsidP="001324DB">
      <w:pPr>
        <w:spacing w:line="360" w:lineRule="auto"/>
        <w:jc w:val="both"/>
        <w:rPr>
          <w:sz w:val="24"/>
          <w:szCs w:val="24"/>
        </w:rPr>
      </w:pPr>
      <w:r w:rsidRPr="00F420AA">
        <w:rPr>
          <w:sz w:val="24"/>
          <w:szCs w:val="24"/>
        </w:rPr>
        <w:t>Podobný efekt nebyl ale pozorován v </w:t>
      </w:r>
      <w:r w:rsidR="002451D7">
        <w:rPr>
          <w:sz w:val="24"/>
          <w:szCs w:val="24"/>
        </w:rPr>
        <w:t>pediatrické populaci, kdy v </w:t>
      </w:r>
      <w:r w:rsidRPr="00F420AA">
        <w:rPr>
          <w:sz w:val="24"/>
          <w:szCs w:val="24"/>
        </w:rPr>
        <w:t>práci</w:t>
      </w:r>
      <w:r w:rsidR="002451D7">
        <w:rPr>
          <w:sz w:val="24"/>
          <w:szCs w:val="24"/>
        </w:rPr>
        <w:t xml:space="preserve"> Raye</w:t>
      </w:r>
      <w:r w:rsidRPr="00F420AA">
        <w:rPr>
          <w:sz w:val="24"/>
          <w:szCs w:val="24"/>
        </w:rPr>
        <w:t xml:space="preserve"> (28) bylo studováno 30 dětí se sepsí průměrného věku 9,5 roku s mortalitou 7</w:t>
      </w:r>
      <w:r>
        <w:rPr>
          <w:sz w:val="24"/>
          <w:szCs w:val="24"/>
        </w:rPr>
        <w:t xml:space="preserve"> </w:t>
      </w:r>
      <w:r w:rsidRPr="00F420AA">
        <w:rPr>
          <w:sz w:val="24"/>
          <w:szCs w:val="24"/>
        </w:rPr>
        <w:t>%. V celém souboru bylo 53</w:t>
      </w:r>
      <w:r>
        <w:rPr>
          <w:sz w:val="24"/>
          <w:szCs w:val="24"/>
        </w:rPr>
        <w:t xml:space="preserve"> </w:t>
      </w:r>
      <w:r w:rsidRPr="00F420AA">
        <w:rPr>
          <w:sz w:val="24"/>
          <w:szCs w:val="24"/>
        </w:rPr>
        <w:t xml:space="preserve">% pacientů s přítomností nějaké formy dysfunkce levé komory. Elevace troponinu ani přítomnost dysfunkce levé komory však s mortalitou nekorelovaly. Ačkoli v souboru bylo </w:t>
      </w:r>
      <w:r>
        <w:rPr>
          <w:sz w:val="24"/>
          <w:szCs w:val="24"/>
        </w:rPr>
        <w:br/>
      </w:r>
      <w:r w:rsidRPr="00F420AA">
        <w:rPr>
          <w:sz w:val="24"/>
          <w:szCs w:val="24"/>
        </w:rPr>
        <w:t>70</w:t>
      </w:r>
      <w:r>
        <w:rPr>
          <w:sz w:val="24"/>
          <w:szCs w:val="24"/>
        </w:rPr>
        <w:t xml:space="preserve"> </w:t>
      </w:r>
      <w:r w:rsidRPr="00F420AA">
        <w:rPr>
          <w:sz w:val="24"/>
          <w:szCs w:val="24"/>
        </w:rPr>
        <w:t>% pacientů chronicky nemocných v předchorobí, lze předpokládat,</w:t>
      </w:r>
      <w:r>
        <w:rPr>
          <w:sz w:val="24"/>
          <w:szCs w:val="24"/>
        </w:rPr>
        <w:t xml:space="preserve"> že se jedná o soubo</w:t>
      </w:r>
      <w:r w:rsidRPr="00F420AA">
        <w:rPr>
          <w:sz w:val="24"/>
          <w:szCs w:val="24"/>
        </w:rPr>
        <w:t>r se zcela jinou charakteristikou než ve vět</w:t>
      </w:r>
      <w:r w:rsidR="000F4673">
        <w:rPr>
          <w:sz w:val="24"/>
          <w:szCs w:val="24"/>
        </w:rPr>
        <w:t>šině prací s dospělými</w:t>
      </w:r>
      <w:r w:rsidRPr="00F420AA">
        <w:rPr>
          <w:sz w:val="24"/>
          <w:szCs w:val="24"/>
        </w:rPr>
        <w:t xml:space="preserve">, kteří budou trpět přítomností ischemické choroby srdeční. Dále je zcela klíčové hodnocení diastolické dysfunkce (v dětské populaci poměr E/É &gt;2, v dospělé populaci bývá hodnota poměru </w:t>
      </w:r>
      <w:r>
        <w:rPr>
          <w:sz w:val="24"/>
          <w:szCs w:val="24"/>
        </w:rPr>
        <w:br/>
      </w:r>
      <w:r w:rsidRPr="00F420AA">
        <w:rPr>
          <w:sz w:val="24"/>
          <w:szCs w:val="24"/>
        </w:rPr>
        <w:t xml:space="preserve">E/É &gt;8). Obecně srovnávat dětskou a dospělou populaci s ohledem na výskyt troponinu by bylo značně zavádějící a jakkoliv pozitivita troponinu v dospělé populaci pacientů se sepsí nese prognostickou informaci, v dětské populaci se jedná spíše o marker okrajového významu. </w:t>
      </w:r>
    </w:p>
    <w:p w:rsidR="006C1917" w:rsidRPr="00F420AA" w:rsidRDefault="006C1917" w:rsidP="001324DB">
      <w:pPr>
        <w:spacing w:line="360" w:lineRule="auto"/>
        <w:jc w:val="both"/>
        <w:rPr>
          <w:sz w:val="24"/>
          <w:szCs w:val="24"/>
        </w:rPr>
      </w:pPr>
      <w:r w:rsidRPr="00F420AA">
        <w:rPr>
          <w:sz w:val="24"/>
          <w:szCs w:val="24"/>
        </w:rPr>
        <w:t>Další významnou skupinou s elevací troponinu jsou nemocní s ischemickou cévní mozkovou příhodou.</w:t>
      </w:r>
      <w:r>
        <w:rPr>
          <w:sz w:val="24"/>
          <w:szCs w:val="24"/>
        </w:rPr>
        <w:t xml:space="preserve"> </w:t>
      </w:r>
      <w:r w:rsidRPr="00F420AA">
        <w:rPr>
          <w:sz w:val="24"/>
          <w:szCs w:val="24"/>
        </w:rPr>
        <w:t xml:space="preserve">Elevace troponinu u pacientů s proběhlým ischemickým iktem je známou </w:t>
      </w:r>
      <w:r w:rsidR="00B87BC9">
        <w:rPr>
          <w:sz w:val="24"/>
          <w:szCs w:val="24"/>
        </w:rPr>
        <w:lastRenderedPageBreak/>
        <w:t>skutečností (32, 116</w:t>
      </w:r>
      <w:r w:rsidRPr="00F420AA">
        <w:rPr>
          <w:sz w:val="24"/>
          <w:szCs w:val="24"/>
        </w:rPr>
        <w:t>). Zejména to konstatuje Kerr ve své metaanalýze (32), kdy zároveň uvádí významnou korelaci s ischemickými změnami na EKG a zvýšenou mortalitu takový</w:t>
      </w:r>
      <w:r w:rsidR="00B474A1">
        <w:rPr>
          <w:sz w:val="24"/>
          <w:szCs w:val="24"/>
        </w:rPr>
        <w:t>chto pacientů. Naopak Ay</w:t>
      </w:r>
      <w:r w:rsidR="00B87BC9">
        <w:rPr>
          <w:sz w:val="24"/>
          <w:szCs w:val="24"/>
        </w:rPr>
        <w:t xml:space="preserve"> (11</w:t>
      </w:r>
      <w:r w:rsidR="00B474A1">
        <w:rPr>
          <w:sz w:val="24"/>
          <w:szCs w:val="24"/>
        </w:rPr>
        <w:t>6</w:t>
      </w:r>
      <w:r w:rsidRPr="00F420AA">
        <w:rPr>
          <w:sz w:val="24"/>
          <w:szCs w:val="24"/>
        </w:rPr>
        <w:t>) ve své práci uvádí 32 pacientů s nepřítomností isc</w:t>
      </w:r>
      <w:r>
        <w:rPr>
          <w:sz w:val="24"/>
          <w:szCs w:val="24"/>
        </w:rPr>
        <w:t>hemické choroby srde</w:t>
      </w:r>
      <w:r w:rsidR="00485C4B">
        <w:rPr>
          <w:sz w:val="24"/>
          <w:szCs w:val="24"/>
        </w:rPr>
        <w:t xml:space="preserve">ční, kteří prodělali těžkou </w:t>
      </w:r>
      <w:proofErr w:type="gramStart"/>
      <w:r w:rsidR="00485C4B">
        <w:rPr>
          <w:sz w:val="24"/>
          <w:szCs w:val="24"/>
        </w:rPr>
        <w:t xml:space="preserve">CMP </w:t>
      </w:r>
      <w:r>
        <w:rPr>
          <w:sz w:val="24"/>
          <w:szCs w:val="24"/>
        </w:rPr>
        <w:t xml:space="preserve">a </w:t>
      </w:r>
      <w:r w:rsidRPr="00F420AA">
        <w:rPr>
          <w:sz w:val="24"/>
          <w:szCs w:val="24"/>
        </w:rPr>
        <w:t>pozitivní</w:t>
      </w:r>
      <w:proofErr w:type="gramEnd"/>
      <w:r w:rsidRPr="00F420AA">
        <w:rPr>
          <w:sz w:val="24"/>
          <w:szCs w:val="24"/>
        </w:rPr>
        <w:t xml:space="preserve"> troponin neměl nikdo z nich. K většímu výskytu pozitivního troponinu se kloní i Anders (33), který analyzoval 8</w:t>
      </w:r>
      <w:r w:rsidR="000F4673">
        <w:rPr>
          <w:sz w:val="24"/>
          <w:szCs w:val="24"/>
        </w:rPr>
        <w:t>34 pacientů s akutním iktem, poz</w:t>
      </w:r>
      <w:r w:rsidRPr="00F420AA">
        <w:rPr>
          <w:sz w:val="24"/>
          <w:szCs w:val="24"/>
        </w:rPr>
        <w:t>itivitu troponinu konstatuje u 20,6</w:t>
      </w:r>
      <w:r>
        <w:rPr>
          <w:sz w:val="24"/>
          <w:szCs w:val="24"/>
        </w:rPr>
        <w:t xml:space="preserve"> </w:t>
      </w:r>
      <w:r w:rsidR="000F4673">
        <w:rPr>
          <w:sz w:val="24"/>
          <w:szCs w:val="24"/>
        </w:rPr>
        <w:t>% nemocných, ve skupině s poz</w:t>
      </w:r>
      <w:r w:rsidRPr="00F420AA">
        <w:rPr>
          <w:sz w:val="24"/>
          <w:szCs w:val="24"/>
        </w:rPr>
        <w:t xml:space="preserve">itivním troponinem byly signifikantně častěji přítomny rizikové faktory </w:t>
      </w:r>
      <w:proofErr w:type="gramStart"/>
      <w:r w:rsidRPr="00F420AA">
        <w:rPr>
          <w:sz w:val="24"/>
          <w:szCs w:val="24"/>
        </w:rPr>
        <w:t>ICHS jakož</w:t>
      </w:r>
      <w:proofErr w:type="gramEnd"/>
      <w:r w:rsidRPr="00F420AA">
        <w:rPr>
          <w:sz w:val="24"/>
          <w:szCs w:val="24"/>
        </w:rPr>
        <w:t xml:space="preserve"> </w:t>
      </w:r>
      <w:r>
        <w:rPr>
          <w:sz w:val="24"/>
          <w:szCs w:val="24"/>
        </w:rPr>
        <w:br/>
      </w:r>
      <w:r w:rsidR="00485C4B">
        <w:rPr>
          <w:sz w:val="24"/>
          <w:szCs w:val="24"/>
        </w:rPr>
        <w:t>i anamné</w:t>
      </w:r>
      <w:r w:rsidRPr="00F420AA">
        <w:rPr>
          <w:sz w:val="24"/>
          <w:szCs w:val="24"/>
        </w:rPr>
        <w:t>za již proběhlého infarktu myokardu. U n</w:t>
      </w:r>
      <w:r w:rsidR="00485C4B">
        <w:rPr>
          <w:sz w:val="24"/>
          <w:szCs w:val="24"/>
        </w:rPr>
        <w:t>emocných s anamné</w:t>
      </w:r>
      <w:r w:rsidRPr="00F420AA">
        <w:rPr>
          <w:sz w:val="24"/>
          <w:szCs w:val="24"/>
        </w:rPr>
        <w:t>zou CMP je výskyt přidružených kardiovaskulárních onemocnění podobně jako u pacientů s renální insuficiencí vysoký.</w:t>
      </w:r>
    </w:p>
    <w:p w:rsidR="006C1917" w:rsidRPr="00F420AA" w:rsidRDefault="006C1917" w:rsidP="001324DB">
      <w:pPr>
        <w:spacing w:line="360" w:lineRule="auto"/>
        <w:jc w:val="both"/>
        <w:rPr>
          <w:sz w:val="24"/>
          <w:szCs w:val="24"/>
        </w:rPr>
      </w:pPr>
      <w:r w:rsidRPr="00F420AA">
        <w:rPr>
          <w:sz w:val="24"/>
          <w:szCs w:val="24"/>
        </w:rPr>
        <w:t>Patofyziologické hledisko osvětlení uvolnění troponinu z kardiomyocytu je přes četné práce zabývající se touto problematikou značně nejasné. Diskutuje se možnost přímého vlivu katecholaminů na myokard uvolněných vrámci stresové reakce při cévní m</w:t>
      </w:r>
      <w:r w:rsidR="00B87BC9">
        <w:rPr>
          <w:sz w:val="24"/>
          <w:szCs w:val="24"/>
        </w:rPr>
        <w:t>ozkové příhodě do cirkulace (1</w:t>
      </w:r>
      <w:r w:rsidR="00B474A1">
        <w:rPr>
          <w:sz w:val="24"/>
          <w:szCs w:val="24"/>
        </w:rPr>
        <w:t>12</w:t>
      </w:r>
      <w:r w:rsidRPr="00F420AA">
        <w:rPr>
          <w:sz w:val="24"/>
          <w:szCs w:val="24"/>
        </w:rPr>
        <w:t>). Tento vliv vede nejprve k vzestupu a následně k poklesu kontrakční funkce kardiomyocytu, poškození kardiomyocytu a uvolnění troponinu do séra je patrně zprostředkováno stressovými neuropeptidy a zánětliv</w:t>
      </w:r>
      <w:r w:rsidR="00B87BC9">
        <w:rPr>
          <w:sz w:val="24"/>
          <w:szCs w:val="24"/>
        </w:rPr>
        <w:t>ou reakcí polymorfonukleárů (11</w:t>
      </w:r>
      <w:r w:rsidR="00B474A1">
        <w:rPr>
          <w:sz w:val="24"/>
          <w:szCs w:val="24"/>
        </w:rPr>
        <w:t>7</w:t>
      </w:r>
      <w:r w:rsidRPr="00F420AA">
        <w:rPr>
          <w:sz w:val="24"/>
          <w:szCs w:val="24"/>
        </w:rPr>
        <w:t>). Dalším vysvětlujícím mechanismem může být prostý „farmakologický zátěžový test“, který navodí masivní uvolnění katecholaminů do cirkulace. Následující tachykardie, která je často v terénu chronických onemocnění, jak bylo konstatováno výše, včetně případné ICHS s přítomností chronických lézí vede ke zkrácení diastoly, zhoršení plnění koronárních tepen, které při přítomnosti stabilních aterosklerotických lézí nejsou schopny dostatečně perfundovat myokard a dochází ta</w:t>
      </w:r>
      <w:r w:rsidR="00B87BC9">
        <w:rPr>
          <w:sz w:val="24"/>
          <w:szCs w:val="24"/>
        </w:rPr>
        <w:t>k k drobné lokální ischemii (1</w:t>
      </w:r>
      <w:r w:rsidR="00B474A1">
        <w:rPr>
          <w:sz w:val="24"/>
          <w:szCs w:val="24"/>
        </w:rPr>
        <w:t>12</w:t>
      </w:r>
      <w:r w:rsidRPr="00F420AA">
        <w:rPr>
          <w:sz w:val="24"/>
          <w:szCs w:val="24"/>
        </w:rPr>
        <w:t>) s uvolněním troponinu. Podobně posttraumatický š</w:t>
      </w:r>
      <w:r w:rsidR="00B87BC9">
        <w:rPr>
          <w:sz w:val="24"/>
          <w:szCs w:val="24"/>
        </w:rPr>
        <w:t>ok vede k elevaci troponinu (11</w:t>
      </w:r>
      <w:r w:rsidR="00B474A1">
        <w:rPr>
          <w:sz w:val="24"/>
          <w:szCs w:val="24"/>
        </w:rPr>
        <w:t>8</w:t>
      </w:r>
      <w:r w:rsidRPr="00F420AA">
        <w:rPr>
          <w:sz w:val="24"/>
          <w:szCs w:val="24"/>
        </w:rPr>
        <w:t>). Čistě  stressové působení vlastních katecholaminů n</w:t>
      </w:r>
      <w:r w:rsidR="00B87BC9">
        <w:rPr>
          <w:sz w:val="24"/>
          <w:szCs w:val="24"/>
        </w:rPr>
        <w:t>a myokard bylo také popsáno (109</w:t>
      </w:r>
      <w:r w:rsidRPr="00F420AA">
        <w:rPr>
          <w:sz w:val="24"/>
          <w:szCs w:val="24"/>
        </w:rPr>
        <w:t>). Vzásadě jde o mechanismus podobný jako u nemocných s CMP (33) nebo u pacientů s Takotsubo kardiomyopatií (34).</w:t>
      </w:r>
      <w:r>
        <w:rPr>
          <w:sz w:val="24"/>
          <w:szCs w:val="24"/>
        </w:rPr>
        <w:t xml:space="preserve"> Možný</w:t>
      </w:r>
      <w:r w:rsidRPr="00F420AA">
        <w:rPr>
          <w:sz w:val="24"/>
          <w:szCs w:val="24"/>
        </w:rPr>
        <w:t xml:space="preserve"> vliv akutního stresu při implantaci kardiostimulátoru na elevaci troponinu u našeho studovaného souboru nepředpokládáme a ani k tomu neexistují žádné literární zdroje.</w:t>
      </w:r>
    </w:p>
    <w:p w:rsidR="006C1917" w:rsidRPr="00F420AA" w:rsidRDefault="006C1917" w:rsidP="001324DB">
      <w:pPr>
        <w:spacing w:line="360" w:lineRule="auto"/>
        <w:jc w:val="both"/>
        <w:rPr>
          <w:sz w:val="24"/>
          <w:szCs w:val="24"/>
        </w:rPr>
      </w:pPr>
      <w:r w:rsidRPr="00F420AA">
        <w:rPr>
          <w:sz w:val="24"/>
          <w:szCs w:val="24"/>
        </w:rPr>
        <w:t xml:space="preserve">Další klinickou situací působící drobné myokardiální poškození s elevaci troponinu je preeklampsie. Jde o akutní stav v porodnictví, který </w:t>
      </w:r>
      <w:r>
        <w:rPr>
          <w:sz w:val="24"/>
          <w:szCs w:val="24"/>
        </w:rPr>
        <w:t>ohrožuje matku i novorozence na</w:t>
      </w:r>
      <w:r w:rsidRPr="00F420AA">
        <w:rPr>
          <w:sz w:val="24"/>
          <w:szCs w:val="24"/>
        </w:rPr>
        <w:t xml:space="preserve"> životě.</w:t>
      </w:r>
      <w:r>
        <w:rPr>
          <w:sz w:val="24"/>
          <w:szCs w:val="24"/>
        </w:rPr>
        <w:t xml:space="preserve"> </w:t>
      </w:r>
      <w:r w:rsidRPr="00F420AA">
        <w:rPr>
          <w:sz w:val="24"/>
          <w:szCs w:val="24"/>
        </w:rPr>
        <w:t>Preeklapsie bývá spojena se zvýšení</w:t>
      </w:r>
      <w:r>
        <w:rPr>
          <w:sz w:val="24"/>
          <w:szCs w:val="24"/>
        </w:rPr>
        <w:t>m hodnot troponinu I</w:t>
      </w:r>
      <w:r w:rsidRPr="00F420AA">
        <w:rPr>
          <w:sz w:val="24"/>
          <w:szCs w:val="24"/>
        </w:rPr>
        <w:t xml:space="preserve">. Podle Fleminga (29) je elevace troponinu I doprovázena jak zvýšením krevního tlaku, tak přítomností proteinurie. Pouhé </w:t>
      </w:r>
      <w:r w:rsidRPr="00F420AA">
        <w:rPr>
          <w:sz w:val="24"/>
          <w:szCs w:val="24"/>
        </w:rPr>
        <w:lastRenderedPageBreak/>
        <w:t>zvýšení krevního tlaku u těhotných ke zvýšení troponinu I nevede.</w:t>
      </w:r>
      <w:r>
        <w:rPr>
          <w:sz w:val="24"/>
          <w:szCs w:val="24"/>
        </w:rPr>
        <w:t xml:space="preserve"> </w:t>
      </w:r>
      <w:r w:rsidRPr="00F420AA">
        <w:rPr>
          <w:sz w:val="24"/>
          <w:szCs w:val="24"/>
        </w:rPr>
        <w:t>Samotná preklapsie je však predisponujícím faktorem rozvoje akutního koronárního syndromu</w:t>
      </w:r>
      <w:r>
        <w:rPr>
          <w:sz w:val="24"/>
          <w:szCs w:val="24"/>
        </w:rPr>
        <w:t xml:space="preserve"> a troponin by měl být stanoven </w:t>
      </w:r>
      <w:r w:rsidR="00B87BC9">
        <w:rPr>
          <w:sz w:val="24"/>
          <w:szCs w:val="24"/>
        </w:rPr>
        <w:t>(12</w:t>
      </w:r>
      <w:r w:rsidR="00B474A1">
        <w:rPr>
          <w:sz w:val="24"/>
          <w:szCs w:val="24"/>
        </w:rPr>
        <w:t>4</w:t>
      </w:r>
      <w:r w:rsidRPr="00F420AA">
        <w:rPr>
          <w:sz w:val="24"/>
          <w:szCs w:val="24"/>
        </w:rPr>
        <w:t>)</w:t>
      </w:r>
      <w:r>
        <w:rPr>
          <w:sz w:val="24"/>
          <w:szCs w:val="24"/>
        </w:rPr>
        <w:t>.</w:t>
      </w:r>
      <w:r w:rsidRPr="00F420AA">
        <w:rPr>
          <w:sz w:val="24"/>
          <w:szCs w:val="24"/>
        </w:rPr>
        <w:t xml:space="preserve"> Troponin T může být rovněž zvýšen u těhotných žen podstoupivších akutní tokolýzu: Adamcová konstatuje nástup hladin v 1. dni, dále lehká elevace přetrvává do 3. dne od </w:t>
      </w:r>
      <w:r w:rsidR="00B87BC9">
        <w:rPr>
          <w:sz w:val="24"/>
          <w:szCs w:val="24"/>
        </w:rPr>
        <w:t>zahájení terapie tokolytiky (12</w:t>
      </w:r>
      <w:r w:rsidR="00B474A1">
        <w:rPr>
          <w:sz w:val="24"/>
          <w:szCs w:val="24"/>
        </w:rPr>
        <w:t>5</w:t>
      </w:r>
      <w:r w:rsidRPr="00F420AA">
        <w:rPr>
          <w:sz w:val="24"/>
          <w:szCs w:val="24"/>
        </w:rPr>
        <w:t>). Prognostický dopad elevace troponinu v této věkové skupině vesměs mladých žen znám není a patrně nemá význam.</w:t>
      </w:r>
    </w:p>
    <w:p w:rsidR="006C1917" w:rsidRPr="00F420AA" w:rsidRDefault="006C1917" w:rsidP="001324DB">
      <w:pPr>
        <w:spacing w:line="360" w:lineRule="auto"/>
        <w:jc w:val="both"/>
        <w:rPr>
          <w:sz w:val="24"/>
          <w:szCs w:val="24"/>
        </w:rPr>
      </w:pPr>
      <w:r w:rsidRPr="00F420AA">
        <w:rPr>
          <w:sz w:val="24"/>
          <w:szCs w:val="24"/>
        </w:rPr>
        <w:t>Troponin T je také popisován jako marker myokardiálního poškození u plodů s pl</w:t>
      </w:r>
      <w:r>
        <w:rPr>
          <w:sz w:val="24"/>
          <w:szCs w:val="24"/>
        </w:rPr>
        <w:t>acentární insuficiencí, tam jde</w:t>
      </w:r>
      <w:r w:rsidRPr="00F420AA">
        <w:rPr>
          <w:sz w:val="24"/>
          <w:szCs w:val="24"/>
        </w:rPr>
        <w:t xml:space="preserve"> patofyziologicky o hypoxemicky in</w:t>
      </w:r>
      <w:r w:rsidR="00B87BC9">
        <w:rPr>
          <w:sz w:val="24"/>
          <w:szCs w:val="24"/>
        </w:rPr>
        <w:t>dukované poškození myokardu (12</w:t>
      </w:r>
      <w:r w:rsidR="00B474A1">
        <w:rPr>
          <w:sz w:val="24"/>
          <w:szCs w:val="24"/>
        </w:rPr>
        <w:t>6</w:t>
      </w:r>
      <w:r w:rsidRPr="00F420AA">
        <w:rPr>
          <w:sz w:val="24"/>
          <w:szCs w:val="24"/>
        </w:rPr>
        <w:t>). V této práci byly hodnoceny vzorky pupečníkové krve, správně zde byly zohledněny normálně zvýšené hodnoty troponinu T u fyziologických novorozenců –</w:t>
      </w:r>
      <w:r>
        <w:rPr>
          <w:sz w:val="24"/>
          <w:szCs w:val="24"/>
        </w:rPr>
        <w:t xml:space="preserve"> </w:t>
      </w:r>
      <w:r w:rsidRPr="00F420AA">
        <w:rPr>
          <w:sz w:val="24"/>
          <w:szCs w:val="24"/>
        </w:rPr>
        <w:t xml:space="preserve">jak popisuje Adamcová (55). </w:t>
      </w:r>
    </w:p>
    <w:p w:rsidR="006C1917" w:rsidRPr="00F420AA" w:rsidRDefault="006C1917" w:rsidP="001324DB">
      <w:pPr>
        <w:spacing w:line="360" w:lineRule="auto"/>
        <w:jc w:val="both"/>
        <w:rPr>
          <w:sz w:val="24"/>
          <w:szCs w:val="24"/>
        </w:rPr>
      </w:pPr>
      <w:r w:rsidRPr="00F420AA">
        <w:rPr>
          <w:sz w:val="24"/>
          <w:szCs w:val="24"/>
        </w:rPr>
        <w:t>V celém našem souboru jsme zjistili rovněž poměrně významnou kardiovaskulární komorbiditu, která</w:t>
      </w:r>
      <w:r>
        <w:rPr>
          <w:sz w:val="24"/>
          <w:szCs w:val="24"/>
        </w:rPr>
        <w:t>,</w:t>
      </w:r>
      <w:r w:rsidRPr="00F420AA">
        <w:rPr>
          <w:sz w:val="24"/>
          <w:szCs w:val="24"/>
        </w:rPr>
        <w:t xml:space="preserve"> jak bylo výše uvedeno</w:t>
      </w:r>
      <w:r>
        <w:rPr>
          <w:sz w:val="24"/>
          <w:szCs w:val="24"/>
        </w:rPr>
        <w:t>,</w:t>
      </w:r>
      <w:r w:rsidRPr="00F420AA">
        <w:rPr>
          <w:sz w:val="24"/>
          <w:szCs w:val="24"/>
        </w:rPr>
        <w:t xml:space="preserve"> nevybočuje z věku obyvklé morbidity. Vyšší kardiovaskulární riziko našeho souboru starších nemocných se může promítnout do vstupní po</w:t>
      </w:r>
      <w:r w:rsidR="000F4673">
        <w:rPr>
          <w:sz w:val="24"/>
          <w:szCs w:val="24"/>
        </w:rPr>
        <w:t>zitivity troponinu I. Nárůst poz</w:t>
      </w:r>
      <w:r w:rsidRPr="00F420AA">
        <w:rPr>
          <w:sz w:val="24"/>
          <w:szCs w:val="24"/>
        </w:rPr>
        <w:t>itivity troponinu po implantaci stimulačního systému těžko taková polymorbidita může ovlivnit a ani o tom neexistují literární data. Jakkoli by průkaz pozitivity troponinů v populaci mladých</w:t>
      </w:r>
      <w:r w:rsidR="002451D7">
        <w:rPr>
          <w:sz w:val="24"/>
          <w:szCs w:val="24"/>
        </w:rPr>
        <w:t>,</w:t>
      </w:r>
      <w:r w:rsidRPr="00F420AA">
        <w:rPr>
          <w:sz w:val="24"/>
          <w:szCs w:val="24"/>
        </w:rPr>
        <w:t xml:space="preserve"> nerizikových pacientů s primoimplantovaným kardiostimulátorem byl prospěšný, neboť elevace troponinu zejména u mladých nemocných je zpravidla vždy alarmujícím nálezem.</w:t>
      </w:r>
    </w:p>
    <w:p w:rsidR="006C1917" w:rsidRPr="00F420AA" w:rsidRDefault="006C1917" w:rsidP="001324DB">
      <w:pPr>
        <w:spacing w:line="360" w:lineRule="auto"/>
        <w:jc w:val="both"/>
        <w:rPr>
          <w:sz w:val="24"/>
          <w:szCs w:val="24"/>
        </w:rPr>
      </w:pPr>
      <w:r w:rsidRPr="00F420AA">
        <w:rPr>
          <w:sz w:val="24"/>
          <w:szCs w:val="24"/>
        </w:rPr>
        <w:t>Nepředpokládáme, že by zvýšení jakýchkoliv kardiospecifických markerů, které ukazují pouze na lokální poškození pravé komory, vedlo ke zhoršení morbidity nebo dokonce prognózy pacientů. O tom sice neexistují žádné informace, ale z mecha</w:t>
      </w:r>
      <w:r>
        <w:rPr>
          <w:sz w:val="24"/>
          <w:szCs w:val="24"/>
        </w:rPr>
        <w:t xml:space="preserve">nismu myokardiálního poškození </w:t>
      </w:r>
      <w:r w:rsidRPr="00F420AA">
        <w:rPr>
          <w:sz w:val="24"/>
          <w:szCs w:val="24"/>
        </w:rPr>
        <w:t>nepředpokládáme, že by takto malé zranění myokardu kardiostimulační elektro</w:t>
      </w:r>
      <w:r w:rsidR="000F4673">
        <w:rPr>
          <w:sz w:val="24"/>
          <w:szCs w:val="24"/>
        </w:rPr>
        <w:t>do</w:t>
      </w:r>
      <w:r w:rsidRPr="00F420AA">
        <w:rPr>
          <w:sz w:val="24"/>
          <w:szCs w:val="24"/>
        </w:rPr>
        <w:t xml:space="preserve">u s fixačním systémem vedlo ke zhoršení pacientovy prognózy. Klinický význam tohoto jevu spočívá v ovlivnění výpovědní hodnoty těchto markerů krátce po implantaci elektrody a má tak zásadní diagnostický dopad. Pokud se v této době vysloví klinické podezření na vznik autního koronárního syndromu (bolest na hrudníku), nelze tak k diagnostice použít ani kardiospecifické markery, zpravidla ani EKG, kdy repolarizační fáze bývá ovlivněna </w:t>
      </w:r>
      <w:r w:rsidR="00B87BC9">
        <w:rPr>
          <w:sz w:val="24"/>
          <w:szCs w:val="24"/>
        </w:rPr>
        <w:t>mechanismem „cardiac memory“ (87</w:t>
      </w:r>
      <w:r w:rsidRPr="00F420AA">
        <w:rPr>
          <w:sz w:val="24"/>
          <w:szCs w:val="24"/>
        </w:rPr>
        <w:t xml:space="preserve">) což je mechanismus vedoucí ke změně repolarizační fáze zejména v hrudních EKG </w:t>
      </w:r>
      <w:proofErr w:type="gramStart"/>
      <w:r w:rsidRPr="00F420AA">
        <w:rPr>
          <w:sz w:val="24"/>
          <w:szCs w:val="24"/>
        </w:rPr>
        <w:t>svodech</w:t>
      </w:r>
      <w:proofErr w:type="gramEnd"/>
      <w:r w:rsidRPr="00F420AA">
        <w:rPr>
          <w:sz w:val="24"/>
          <w:szCs w:val="24"/>
        </w:rPr>
        <w:t xml:space="preserve"> u nemocných u kterých předcházela </w:t>
      </w:r>
      <w:r w:rsidRPr="00F420AA">
        <w:rPr>
          <w:sz w:val="24"/>
          <w:szCs w:val="24"/>
        </w:rPr>
        <w:lastRenderedPageBreak/>
        <w:t xml:space="preserve">několikahodinová kardiostimulace. Prvním vyšetřením u takového pacienta (kromě EKG, které ale zpravidla z výše vysvětlených důvodů diagnostickou hodnotu ztrácí) by měla tedy být echokardiografie k vyloučení přítomnosti tekutiny v perikardiálním prostoru (tamponády) při možné perforaci pravé komory, při trvajících rozpacích pak nezbývá, než provést selektivní koronarografii. </w:t>
      </w:r>
    </w:p>
    <w:p w:rsidR="006C1917" w:rsidRDefault="006C1917">
      <w:pPr>
        <w:spacing w:after="0" w:line="240" w:lineRule="auto"/>
        <w:rPr>
          <w:sz w:val="24"/>
          <w:szCs w:val="24"/>
        </w:rPr>
      </w:pPr>
      <w:r>
        <w:rPr>
          <w:sz w:val="24"/>
          <w:szCs w:val="24"/>
        </w:rPr>
        <w:br w:type="page"/>
      </w:r>
    </w:p>
    <w:p w:rsidR="006C1917" w:rsidRDefault="006C1917" w:rsidP="005E75F4">
      <w:pPr>
        <w:pStyle w:val="Nadpis1"/>
      </w:pPr>
      <w:bookmarkStart w:id="41" w:name="_Toc422993252"/>
      <w:r w:rsidRPr="005E75F4">
        <w:lastRenderedPageBreak/>
        <w:t>Závěr</w:t>
      </w:r>
      <w:bookmarkEnd w:id="41"/>
    </w:p>
    <w:p w:rsidR="006C1917" w:rsidRPr="005E75F4" w:rsidRDefault="006C1917" w:rsidP="005E75F4">
      <w:pPr>
        <w:pStyle w:val="Nadpis1"/>
        <w:numPr>
          <w:ilvl w:val="0"/>
          <w:numId w:val="0"/>
        </w:numPr>
        <w:ind w:left="432"/>
      </w:pPr>
    </w:p>
    <w:p w:rsidR="006C1917" w:rsidRDefault="006C1917" w:rsidP="002A5827">
      <w:pPr>
        <w:spacing w:line="360" w:lineRule="auto"/>
        <w:jc w:val="both"/>
        <w:rPr>
          <w:sz w:val="24"/>
          <w:szCs w:val="24"/>
        </w:rPr>
      </w:pPr>
      <w:r w:rsidRPr="00F420AA">
        <w:rPr>
          <w:sz w:val="24"/>
          <w:szCs w:val="24"/>
        </w:rPr>
        <w:t>Troponiny jsou markery myokardiální</w:t>
      </w:r>
      <w:r>
        <w:rPr>
          <w:sz w:val="24"/>
          <w:szCs w:val="24"/>
        </w:rPr>
        <w:t xml:space="preserve">ho poškození. Původní představa </w:t>
      </w:r>
      <w:r w:rsidRPr="00F420AA">
        <w:rPr>
          <w:sz w:val="24"/>
          <w:szCs w:val="24"/>
        </w:rPr>
        <w:t xml:space="preserve">mnohých autorů </w:t>
      </w:r>
      <w:r>
        <w:rPr>
          <w:sz w:val="24"/>
          <w:szCs w:val="24"/>
        </w:rPr>
        <w:br/>
      </w:r>
      <w:r w:rsidRPr="00F420AA">
        <w:rPr>
          <w:sz w:val="24"/>
          <w:szCs w:val="24"/>
        </w:rPr>
        <w:t>a klinických lék</w:t>
      </w:r>
      <w:r>
        <w:rPr>
          <w:sz w:val="24"/>
          <w:szCs w:val="24"/>
        </w:rPr>
        <w:t>ařů, kteří</w:t>
      </w:r>
      <w:r w:rsidRPr="00F420AA">
        <w:rPr>
          <w:sz w:val="24"/>
          <w:szCs w:val="24"/>
        </w:rPr>
        <w:t xml:space="preserve"> přisuzoval</w:t>
      </w:r>
      <w:r>
        <w:rPr>
          <w:sz w:val="24"/>
          <w:szCs w:val="24"/>
        </w:rPr>
        <w:t>i</w:t>
      </w:r>
      <w:r w:rsidRPr="00F420AA">
        <w:rPr>
          <w:sz w:val="24"/>
          <w:szCs w:val="24"/>
        </w:rPr>
        <w:t xml:space="preserve"> troponinům úlohu exkluzivního markeru ischemického poškození srdečního svalu</w:t>
      </w:r>
      <w:r>
        <w:rPr>
          <w:sz w:val="24"/>
          <w:szCs w:val="24"/>
        </w:rPr>
        <w:t>,</w:t>
      </w:r>
      <w:r w:rsidRPr="00F420AA">
        <w:rPr>
          <w:sz w:val="24"/>
          <w:szCs w:val="24"/>
        </w:rPr>
        <w:t xml:space="preserve"> bere postupně za své. Troponin nemůže být takto univerzálním diagnostickým prostředkem aterotrombotického onemocnění čistě z toho důvodu</w:t>
      </w:r>
      <w:r>
        <w:rPr>
          <w:sz w:val="24"/>
          <w:szCs w:val="24"/>
        </w:rPr>
        <w:t xml:space="preserve">, že jeho zvýšení není </w:t>
      </w:r>
      <w:r w:rsidRPr="00F420AA">
        <w:rPr>
          <w:sz w:val="24"/>
          <w:szCs w:val="24"/>
        </w:rPr>
        <w:t>pro tuto situaci specifické. Širší diskuze nad mnoha patofyziologickými stavy, které mohou zvýšení troponinu způsobit</w:t>
      </w:r>
      <w:r>
        <w:rPr>
          <w:sz w:val="24"/>
          <w:szCs w:val="24"/>
        </w:rPr>
        <w:t>,</w:t>
      </w:r>
      <w:r w:rsidRPr="00F420AA">
        <w:rPr>
          <w:sz w:val="24"/>
          <w:szCs w:val="24"/>
        </w:rPr>
        <w:t xml:space="preserve"> vyplývá ze stále se zvyšující senzitivity  troponinových diagnostických setů. Tlak na vyšší senzitivitu používaných diagnostických souprav pochází od lékařů-biochemiků, kteří tak chtějí minimalizovat výskyt falešně negativních měření. P</w:t>
      </w:r>
      <w:r w:rsidR="00485C4B">
        <w:rPr>
          <w:sz w:val="24"/>
          <w:szCs w:val="24"/>
        </w:rPr>
        <w:t xml:space="preserve">ři této tendenci ale do hry </w:t>
      </w:r>
      <w:r w:rsidRPr="00F420AA">
        <w:rPr>
          <w:sz w:val="24"/>
          <w:szCs w:val="24"/>
        </w:rPr>
        <w:t>vstupují další faktory, zejména případné ovlivnění pr</w:t>
      </w:r>
      <w:r>
        <w:rPr>
          <w:sz w:val="24"/>
          <w:szCs w:val="24"/>
        </w:rPr>
        <w:t xml:space="preserve">eanalytické fáze </w:t>
      </w:r>
      <w:r w:rsidRPr="00F420AA">
        <w:rPr>
          <w:sz w:val="24"/>
          <w:szCs w:val="24"/>
        </w:rPr>
        <w:t>a další tlak na vyšší senzitivitu diagnos</w:t>
      </w:r>
      <w:r>
        <w:rPr>
          <w:sz w:val="24"/>
          <w:szCs w:val="24"/>
        </w:rPr>
        <w:t xml:space="preserve">tických souprav do budoucnosti </w:t>
      </w:r>
      <w:r w:rsidRPr="00F420AA">
        <w:rPr>
          <w:sz w:val="24"/>
          <w:szCs w:val="24"/>
        </w:rPr>
        <w:t>tak může mít i škodlivé důsledky v podobě falešně pozitivních nálezů. Klinický lékař musí být dostatečně odborně připraven na správnou interpretaci takovýchto výsledků.  Specificita k myokardiální tkáni je však také absolutní, jakýko</w:t>
      </w:r>
      <w:r>
        <w:rPr>
          <w:sz w:val="24"/>
          <w:szCs w:val="24"/>
        </w:rPr>
        <w:t xml:space="preserve">liv troponin detekovaný v séru </w:t>
      </w:r>
      <w:r w:rsidRPr="00F420AA">
        <w:rPr>
          <w:sz w:val="24"/>
          <w:szCs w:val="24"/>
        </w:rPr>
        <w:t xml:space="preserve">je myokardiálního původu (s výjimkou vzácných patologických svalových procesů) a zpravidla často má i prognostickou informaci pro další vývoj pacientova onemocnění. Interpretace je vždy na klinickém lékaři a vždy je potřeba zohlednit všechny relevantní faktory.  Četnými autory často zmiňovaná „prognostická role“ u neischemického postižení myokardu </w:t>
      </w:r>
      <w:r>
        <w:rPr>
          <w:sz w:val="24"/>
          <w:szCs w:val="24"/>
        </w:rPr>
        <w:br/>
      </w:r>
      <w:r w:rsidRPr="00F420AA">
        <w:rPr>
          <w:sz w:val="24"/>
          <w:szCs w:val="24"/>
        </w:rPr>
        <w:t xml:space="preserve">a přímočará interpretace, která přisuzuje každé byť drobné elevaci sérového troponinu při současném abnormálním nálezu na EKG váhu a uzavírá klinický syndrom jako akutní koronární onemocnění, může vést v konečném důsledku k poškození pacienta jednak zbytečnou invazivní diagnostikou, dále </w:t>
      </w:r>
      <w:r>
        <w:rPr>
          <w:sz w:val="24"/>
          <w:szCs w:val="24"/>
        </w:rPr>
        <w:t xml:space="preserve">nevhodnou </w:t>
      </w:r>
      <w:r w:rsidRPr="00F420AA">
        <w:rPr>
          <w:sz w:val="24"/>
          <w:szCs w:val="24"/>
        </w:rPr>
        <w:t>a</w:t>
      </w:r>
      <w:r>
        <w:rPr>
          <w:sz w:val="24"/>
          <w:szCs w:val="24"/>
        </w:rPr>
        <w:t xml:space="preserve"> </w:t>
      </w:r>
      <w:r w:rsidRPr="00F420AA">
        <w:rPr>
          <w:sz w:val="24"/>
          <w:szCs w:val="24"/>
        </w:rPr>
        <w:t xml:space="preserve">riskantní kombinační léčbou (antikoagulační a antiagregační). </w:t>
      </w:r>
    </w:p>
    <w:p w:rsidR="006C1917" w:rsidRPr="00F420AA" w:rsidRDefault="006C1917" w:rsidP="002A5827">
      <w:pPr>
        <w:spacing w:line="360" w:lineRule="auto"/>
        <w:jc w:val="both"/>
        <w:rPr>
          <w:sz w:val="24"/>
          <w:szCs w:val="24"/>
        </w:rPr>
      </w:pPr>
      <w:r w:rsidRPr="00F420AA">
        <w:rPr>
          <w:sz w:val="24"/>
          <w:szCs w:val="24"/>
        </w:rPr>
        <w:t>Zásadní</w:t>
      </w:r>
      <w:r>
        <w:rPr>
          <w:sz w:val="24"/>
          <w:szCs w:val="24"/>
        </w:rPr>
        <w:t xml:space="preserve">m přínosem naší práce je průkaz drobné </w:t>
      </w:r>
      <w:r w:rsidRPr="00F420AA">
        <w:rPr>
          <w:sz w:val="24"/>
          <w:szCs w:val="24"/>
        </w:rPr>
        <w:t xml:space="preserve">elevace troponinu I u nemocných podstupujících primoimplantaci kardiostimulátoru za použití elektrod s aktivní fixací, která vrcholí několik hodin po provedeném výkonu. Takovýto nález u asymptomatického pacienta je zcela obvyklý a není potřeba mu věnovat zvýšenou pozornost. Pravděpodobně ani nemá žádný prognostický dopad pro nemocného. V kontextu patofyziologických změn je dobře interpretovatelný, čemuž napovídá nejen mechanismus prostého myokardiálního poranění, </w:t>
      </w:r>
      <w:r w:rsidRPr="00F420AA">
        <w:rPr>
          <w:sz w:val="24"/>
          <w:szCs w:val="24"/>
        </w:rPr>
        <w:lastRenderedPageBreak/>
        <w:t>ale i vyšší rychlost nástupu sérových hladin oproti klasickému ischemickému poškození myokardu.</w:t>
      </w:r>
    </w:p>
    <w:p w:rsidR="006C1917" w:rsidRPr="005E75F4" w:rsidRDefault="006C1917" w:rsidP="005E75F4">
      <w:pPr>
        <w:spacing w:line="360" w:lineRule="auto"/>
        <w:jc w:val="both"/>
        <w:rPr>
          <w:sz w:val="24"/>
          <w:szCs w:val="24"/>
        </w:rPr>
      </w:pPr>
      <w:r w:rsidRPr="00F420AA">
        <w:rPr>
          <w:sz w:val="24"/>
          <w:szCs w:val="24"/>
        </w:rPr>
        <w:t>Pokud pacient rozvine krátce po primoimplantaci kardiostimulačního systému symptomy typické pro akutní koronární syndrom je třeba mít napaměti ztrátu diagnostické funkce troponinu a takového pacienta podrobi</w:t>
      </w:r>
      <w:r>
        <w:rPr>
          <w:sz w:val="24"/>
          <w:szCs w:val="24"/>
        </w:rPr>
        <w:t>t jiným diagnostickým metodám.</w:t>
      </w:r>
      <w:r>
        <w:rPr>
          <w:b/>
          <w:sz w:val="28"/>
          <w:szCs w:val="28"/>
        </w:rPr>
        <w:br w:type="page"/>
      </w:r>
    </w:p>
    <w:p w:rsidR="006C1917" w:rsidRDefault="006C1917" w:rsidP="005E75F4">
      <w:pPr>
        <w:pStyle w:val="Nadpis1"/>
        <w:numPr>
          <w:ilvl w:val="0"/>
          <w:numId w:val="0"/>
        </w:numPr>
        <w:ind w:left="432" w:hanging="432"/>
      </w:pPr>
      <w:bookmarkStart w:id="42" w:name="_Toc422993253"/>
      <w:r w:rsidRPr="005E75F4">
        <w:lastRenderedPageBreak/>
        <w:t>Seznam zkratek</w:t>
      </w:r>
      <w:bookmarkEnd w:id="42"/>
    </w:p>
    <w:p w:rsidR="006C1917" w:rsidRPr="005E75F4" w:rsidRDefault="006C1917" w:rsidP="005E75F4">
      <w:pPr>
        <w:pStyle w:val="Nadpis1"/>
        <w:numPr>
          <w:ilvl w:val="0"/>
          <w:numId w:val="0"/>
        </w:numPr>
        <w:ind w:left="432" w:hanging="432"/>
      </w:pPr>
    </w:p>
    <w:p w:rsidR="006C1917" w:rsidRDefault="006C1917" w:rsidP="005E75F4">
      <w:pPr>
        <w:tabs>
          <w:tab w:val="left" w:pos="1418"/>
        </w:tabs>
        <w:spacing w:line="360" w:lineRule="auto"/>
        <w:jc w:val="both"/>
      </w:pPr>
      <w:r>
        <w:t xml:space="preserve">AAI       </w:t>
      </w:r>
      <w:r w:rsidR="002451D7">
        <w:t xml:space="preserve">              </w:t>
      </w:r>
      <w:r w:rsidR="002451D7">
        <w:tab/>
        <w:t xml:space="preserve">režim čistě </w:t>
      </w:r>
      <w:r>
        <w:t>síňové kardiostimulace</w:t>
      </w:r>
    </w:p>
    <w:p w:rsidR="006C1917" w:rsidRDefault="006C1917" w:rsidP="005E75F4">
      <w:pPr>
        <w:tabs>
          <w:tab w:val="left" w:pos="1418"/>
        </w:tabs>
        <w:spacing w:line="360" w:lineRule="auto"/>
        <w:jc w:val="both"/>
      </w:pPr>
      <w:r>
        <w:t xml:space="preserve">AV                       </w:t>
      </w:r>
      <w:r>
        <w:tab/>
        <w:t>atrioventrikulární</w:t>
      </w:r>
    </w:p>
    <w:p w:rsidR="006C1917" w:rsidRDefault="006C1917" w:rsidP="005E75F4">
      <w:pPr>
        <w:tabs>
          <w:tab w:val="left" w:pos="1418"/>
        </w:tabs>
        <w:spacing w:line="360" w:lineRule="auto"/>
        <w:jc w:val="both"/>
      </w:pPr>
      <w:r>
        <w:t xml:space="preserve">CMP                   </w:t>
      </w:r>
      <w:r>
        <w:tab/>
        <w:t>cévní mozková příhoda</w:t>
      </w:r>
    </w:p>
    <w:p w:rsidR="006C1917" w:rsidRDefault="006C1917" w:rsidP="005E75F4">
      <w:pPr>
        <w:tabs>
          <w:tab w:val="left" w:pos="1418"/>
        </w:tabs>
        <w:spacing w:line="360" w:lineRule="auto"/>
        <w:jc w:val="both"/>
      </w:pPr>
      <w:r w:rsidRPr="006002F0">
        <w:t xml:space="preserve">DDD(R)               </w:t>
      </w:r>
      <w:r>
        <w:tab/>
        <w:t xml:space="preserve">režim </w:t>
      </w:r>
      <w:r w:rsidRPr="006002F0">
        <w:t>dvoudutinov</w:t>
      </w:r>
      <w:r>
        <w:t>é kardiostimulace (s frekvenčním senzorem)</w:t>
      </w:r>
    </w:p>
    <w:p w:rsidR="006C1917" w:rsidRDefault="006C1917" w:rsidP="005E75F4">
      <w:pPr>
        <w:tabs>
          <w:tab w:val="left" w:pos="1418"/>
        </w:tabs>
        <w:spacing w:line="360" w:lineRule="auto"/>
        <w:ind w:left="1416" w:hanging="1416"/>
        <w:jc w:val="both"/>
      </w:pPr>
      <w:r>
        <w:t xml:space="preserve">DDI                     </w:t>
      </w:r>
      <w:r>
        <w:tab/>
        <w:t>režim dvoudutinové kardiostimulace (inhibiční odpověď na vlastní rytmus pacienta)</w:t>
      </w:r>
    </w:p>
    <w:p w:rsidR="006C1917" w:rsidRDefault="006C1917" w:rsidP="005E75F4">
      <w:pPr>
        <w:tabs>
          <w:tab w:val="left" w:pos="1418"/>
        </w:tabs>
        <w:spacing w:line="360" w:lineRule="auto"/>
        <w:jc w:val="both"/>
      </w:pPr>
      <w:r>
        <w:t xml:space="preserve">CHOPN               </w:t>
      </w:r>
      <w:r>
        <w:tab/>
        <w:t>chronická obstruktivní plicní nemoc</w:t>
      </w:r>
    </w:p>
    <w:p w:rsidR="006C1917" w:rsidRDefault="006C1917" w:rsidP="005E75F4">
      <w:pPr>
        <w:tabs>
          <w:tab w:val="left" w:pos="1418"/>
        </w:tabs>
        <w:spacing w:line="360" w:lineRule="auto"/>
        <w:jc w:val="both"/>
      </w:pPr>
      <w:r>
        <w:t xml:space="preserve">ICD                      </w:t>
      </w:r>
      <w:r>
        <w:tab/>
        <w:t>implantabilní kardioverter-defibrilátor</w:t>
      </w:r>
    </w:p>
    <w:p w:rsidR="006C1917" w:rsidRDefault="006C1917" w:rsidP="005E75F4">
      <w:pPr>
        <w:tabs>
          <w:tab w:val="left" w:pos="1418"/>
        </w:tabs>
        <w:spacing w:line="360" w:lineRule="auto"/>
        <w:jc w:val="both"/>
      </w:pPr>
      <w:r>
        <w:t xml:space="preserve">ICHS                   </w:t>
      </w:r>
      <w:r>
        <w:tab/>
        <w:t>ischemická choroba srdeční</w:t>
      </w:r>
    </w:p>
    <w:p w:rsidR="006C1917" w:rsidRDefault="006C1917" w:rsidP="005E75F4">
      <w:pPr>
        <w:tabs>
          <w:tab w:val="left" w:pos="1418"/>
        </w:tabs>
        <w:spacing w:line="360" w:lineRule="auto"/>
        <w:jc w:val="both"/>
      </w:pPr>
      <w:r>
        <w:t xml:space="preserve">IL(6)                    </w:t>
      </w:r>
      <w:r>
        <w:tab/>
        <w:t xml:space="preserve">interleukin 6              </w:t>
      </w:r>
    </w:p>
    <w:p w:rsidR="006C1917" w:rsidRDefault="006C1917" w:rsidP="005E75F4">
      <w:pPr>
        <w:tabs>
          <w:tab w:val="left" w:pos="1418"/>
        </w:tabs>
        <w:spacing w:line="360" w:lineRule="auto"/>
        <w:jc w:val="both"/>
      </w:pPr>
      <w:r>
        <w:t xml:space="preserve">SKG                     </w:t>
      </w:r>
      <w:r>
        <w:tab/>
        <w:t>selektivní koronarografie</w:t>
      </w:r>
    </w:p>
    <w:p w:rsidR="006C1917" w:rsidRDefault="006C1917" w:rsidP="005E75F4">
      <w:pPr>
        <w:tabs>
          <w:tab w:val="left" w:pos="1418"/>
        </w:tabs>
        <w:spacing w:line="360" w:lineRule="auto"/>
        <w:jc w:val="both"/>
      </w:pPr>
      <w:r>
        <w:t xml:space="preserve">Tn I                     </w:t>
      </w:r>
      <w:r>
        <w:tab/>
        <w:t>troponin I</w:t>
      </w:r>
    </w:p>
    <w:p w:rsidR="006C1917" w:rsidRDefault="006C1917" w:rsidP="005E75F4">
      <w:pPr>
        <w:tabs>
          <w:tab w:val="left" w:pos="1418"/>
        </w:tabs>
        <w:spacing w:line="360" w:lineRule="auto"/>
        <w:jc w:val="both"/>
      </w:pPr>
      <w:r>
        <w:t xml:space="preserve">TnT                     </w:t>
      </w:r>
      <w:r>
        <w:tab/>
        <w:t xml:space="preserve">troponin T </w:t>
      </w:r>
    </w:p>
    <w:p w:rsidR="006C1917" w:rsidRDefault="006C1917" w:rsidP="005E75F4">
      <w:pPr>
        <w:tabs>
          <w:tab w:val="left" w:pos="1418"/>
        </w:tabs>
        <w:spacing w:line="360" w:lineRule="auto"/>
        <w:jc w:val="both"/>
      </w:pPr>
      <w:r>
        <w:t xml:space="preserve">VAT                    </w:t>
      </w:r>
      <w:r>
        <w:tab/>
        <w:t>dvoudutinový režim síní spouštěné komorové stimulace</w:t>
      </w:r>
    </w:p>
    <w:p w:rsidR="006C1917" w:rsidRDefault="006C1917" w:rsidP="005E75F4">
      <w:pPr>
        <w:tabs>
          <w:tab w:val="left" w:pos="1418"/>
        </w:tabs>
        <w:spacing w:line="360" w:lineRule="auto"/>
        <w:jc w:val="both"/>
      </w:pPr>
      <w:r>
        <w:t xml:space="preserve">V00                    </w:t>
      </w:r>
      <w:r>
        <w:tab/>
        <w:t xml:space="preserve">fixní mod (komora trvale stimulována)  </w:t>
      </w:r>
    </w:p>
    <w:p w:rsidR="006C1917" w:rsidRDefault="006C1917" w:rsidP="005E75F4">
      <w:pPr>
        <w:tabs>
          <w:tab w:val="left" w:pos="1418"/>
        </w:tabs>
        <w:spacing w:line="360" w:lineRule="auto"/>
        <w:jc w:val="both"/>
      </w:pPr>
      <w:r>
        <w:t xml:space="preserve">VVI(R)     </w:t>
      </w:r>
      <w:r w:rsidR="002451D7">
        <w:t xml:space="preserve">            </w:t>
      </w:r>
      <w:r w:rsidR="002451D7">
        <w:tab/>
        <w:t>režim jednodutinové</w:t>
      </w:r>
      <w:r>
        <w:t xml:space="preserve"> kardiostimulace (s frekvenčním senzorem)  </w:t>
      </w:r>
    </w:p>
    <w:p w:rsidR="006C1917" w:rsidRPr="006002F0" w:rsidRDefault="006C1917" w:rsidP="002A5827">
      <w:pPr>
        <w:spacing w:line="360" w:lineRule="auto"/>
        <w:jc w:val="both"/>
      </w:pPr>
    </w:p>
    <w:p w:rsidR="006C1917" w:rsidRPr="00F420AA" w:rsidRDefault="006C1917" w:rsidP="002A5827">
      <w:pPr>
        <w:spacing w:line="360" w:lineRule="auto"/>
        <w:jc w:val="both"/>
        <w:rPr>
          <w:color w:val="FF0000"/>
          <w:sz w:val="24"/>
          <w:szCs w:val="24"/>
        </w:rPr>
      </w:pPr>
    </w:p>
    <w:p w:rsidR="006C1917" w:rsidRPr="00F420AA" w:rsidRDefault="006C1917" w:rsidP="002A5827">
      <w:pPr>
        <w:spacing w:line="360" w:lineRule="auto"/>
        <w:jc w:val="both"/>
        <w:rPr>
          <w:color w:val="FF0000"/>
          <w:sz w:val="24"/>
          <w:szCs w:val="24"/>
        </w:rPr>
      </w:pPr>
    </w:p>
    <w:p w:rsidR="006C1917" w:rsidRPr="00F420AA" w:rsidRDefault="006C1917" w:rsidP="002A5827">
      <w:pPr>
        <w:spacing w:line="360" w:lineRule="auto"/>
        <w:jc w:val="both"/>
        <w:rPr>
          <w:color w:val="FF0000"/>
          <w:sz w:val="24"/>
          <w:szCs w:val="24"/>
        </w:rPr>
      </w:pPr>
    </w:p>
    <w:p w:rsidR="006C1917" w:rsidRPr="00F420AA" w:rsidRDefault="006C1917" w:rsidP="002A5827">
      <w:pPr>
        <w:spacing w:line="360" w:lineRule="auto"/>
        <w:jc w:val="both"/>
        <w:rPr>
          <w:color w:val="FF0000"/>
          <w:sz w:val="24"/>
          <w:szCs w:val="24"/>
        </w:rPr>
      </w:pPr>
    </w:p>
    <w:p w:rsidR="006C1917" w:rsidRDefault="006C1917" w:rsidP="002A5827">
      <w:pPr>
        <w:spacing w:line="360" w:lineRule="auto"/>
        <w:rPr>
          <w:b/>
          <w:bCs/>
          <w:sz w:val="24"/>
          <w:szCs w:val="24"/>
        </w:rPr>
      </w:pPr>
    </w:p>
    <w:p w:rsidR="006C1917" w:rsidRDefault="006C1917" w:rsidP="00434163">
      <w:pPr>
        <w:pStyle w:val="Nadpis1"/>
        <w:numPr>
          <w:ilvl w:val="0"/>
          <w:numId w:val="0"/>
        </w:numPr>
      </w:pPr>
      <w:bookmarkStart w:id="43" w:name="_Toc422993254"/>
      <w:r w:rsidRPr="005E75F4">
        <w:lastRenderedPageBreak/>
        <w:t>Literatura</w:t>
      </w:r>
      <w:bookmarkEnd w:id="43"/>
    </w:p>
    <w:p w:rsidR="006C1917" w:rsidRPr="005E75F4" w:rsidRDefault="006C1917" w:rsidP="005E75F4">
      <w:pPr>
        <w:pStyle w:val="Nadpis1"/>
        <w:numPr>
          <w:ilvl w:val="0"/>
          <w:numId w:val="0"/>
        </w:numPr>
        <w:ind w:left="432" w:hanging="432"/>
      </w:pPr>
    </w:p>
    <w:p w:rsidR="006C1917" w:rsidRPr="00434163" w:rsidRDefault="006C1917" w:rsidP="00434163">
      <w:pPr>
        <w:spacing w:after="120" w:line="360" w:lineRule="auto"/>
        <w:rPr>
          <w:sz w:val="24"/>
          <w:szCs w:val="24"/>
        </w:rPr>
      </w:pPr>
      <w:r w:rsidRPr="00434163">
        <w:rPr>
          <w:sz w:val="24"/>
          <w:szCs w:val="24"/>
        </w:rPr>
        <w:t xml:space="preserve">1/ </w:t>
      </w:r>
      <w:r w:rsidRPr="00434163">
        <w:rPr>
          <w:rFonts w:cs="Arial"/>
          <w:sz w:val="24"/>
          <w:szCs w:val="24"/>
          <w:shd w:val="clear" w:color="auto" w:fill="FFFFFF"/>
        </w:rPr>
        <w:t>HARTSHORNE, D. J. Interactions of desensitized actomyosin with tropomyosin, troponin A, troponin B, and polyanions.</w:t>
      </w:r>
      <w:r w:rsidRPr="00434163">
        <w:rPr>
          <w:rFonts w:cs="Arial"/>
          <w:sz w:val="24"/>
          <w:szCs w:val="24"/>
        </w:rPr>
        <w:t> </w:t>
      </w:r>
      <w:r w:rsidRPr="00434163">
        <w:rPr>
          <w:rFonts w:cs="Arial"/>
          <w:i/>
          <w:iCs/>
          <w:sz w:val="24"/>
          <w:szCs w:val="24"/>
          <w:shd w:val="clear" w:color="auto" w:fill="FFFFFF"/>
        </w:rPr>
        <w:t>The Journal of general physiology</w:t>
      </w:r>
      <w:r w:rsidRPr="00434163">
        <w:rPr>
          <w:rFonts w:cs="Arial"/>
          <w:sz w:val="24"/>
          <w:szCs w:val="24"/>
          <w:shd w:val="clear" w:color="auto" w:fill="FFFFFF"/>
        </w:rPr>
        <w:t>, 1970, 55.5: 585-601.</w:t>
      </w:r>
      <w:r w:rsidRPr="00434163">
        <w:rPr>
          <w:rStyle w:val="Nadpis1Char"/>
          <w:rFonts w:cs="Arial"/>
          <w:b w:val="0"/>
          <w:bCs w:val="0"/>
          <w:i/>
          <w:iCs/>
          <w:sz w:val="24"/>
          <w:szCs w:val="24"/>
          <w:shd w:val="clear" w:color="auto" w:fill="FFFFFF"/>
        </w:rPr>
        <w:t xml:space="preserve"> </w:t>
      </w:r>
      <w:r w:rsidRPr="00434163">
        <w:rPr>
          <w:rStyle w:val="Zvraznn"/>
          <w:rFonts w:cs="Arial"/>
          <w:bCs/>
          <w:i w:val="0"/>
          <w:iCs w:val="0"/>
          <w:sz w:val="24"/>
          <w:szCs w:val="24"/>
          <w:shd w:val="clear" w:color="auto" w:fill="FFFFFF"/>
        </w:rPr>
        <w:t>ISSN</w:t>
      </w:r>
      <w:r w:rsidRPr="00434163">
        <w:rPr>
          <w:rFonts w:cs="Arial"/>
          <w:sz w:val="24"/>
          <w:szCs w:val="24"/>
          <w:shd w:val="clear" w:color="auto" w:fill="FFFFFF"/>
        </w:rPr>
        <w:t xml:space="preserve"> 0022-1295.</w:t>
      </w:r>
    </w:p>
    <w:p w:rsidR="006C1917" w:rsidRPr="00434163" w:rsidRDefault="006C1917" w:rsidP="00434163">
      <w:pPr>
        <w:spacing w:after="120" w:line="360" w:lineRule="auto"/>
        <w:rPr>
          <w:bCs/>
          <w:sz w:val="24"/>
          <w:szCs w:val="24"/>
        </w:rPr>
      </w:pPr>
      <w:r w:rsidRPr="00434163">
        <w:rPr>
          <w:bCs/>
          <w:sz w:val="24"/>
          <w:szCs w:val="24"/>
        </w:rPr>
        <w:t>2/</w:t>
      </w:r>
      <w:r w:rsidRPr="00434163">
        <w:rPr>
          <w:sz w:val="24"/>
          <w:szCs w:val="24"/>
          <w:shd w:val="clear" w:color="auto" w:fill="FFFFFF"/>
        </w:rPr>
        <w:t xml:space="preserve"> KITTNAR, Otomar.</w:t>
      </w:r>
      <w:r w:rsidRPr="00434163">
        <w:rPr>
          <w:sz w:val="24"/>
          <w:szCs w:val="24"/>
        </w:rPr>
        <w:t> </w:t>
      </w:r>
      <w:r w:rsidRPr="00434163">
        <w:rPr>
          <w:i/>
          <w:iCs/>
          <w:sz w:val="24"/>
          <w:szCs w:val="24"/>
          <w:shd w:val="clear" w:color="auto" w:fill="FFFFFF"/>
        </w:rPr>
        <w:t>Lékařská fyziologie</w:t>
      </w:r>
      <w:r w:rsidRPr="00434163">
        <w:rPr>
          <w:sz w:val="24"/>
          <w:szCs w:val="24"/>
          <w:shd w:val="clear" w:color="auto" w:fill="FFFFFF"/>
        </w:rPr>
        <w:t>. 1. vyd. Praha: Grada, 2011, 790 s. ISBN 978-80-247-3068-4.</w:t>
      </w:r>
      <w:r w:rsidRPr="00434163">
        <w:rPr>
          <w:bCs/>
          <w:sz w:val="24"/>
          <w:szCs w:val="24"/>
        </w:rPr>
        <w:t xml:space="preserve"> </w:t>
      </w:r>
    </w:p>
    <w:p w:rsidR="006C1917" w:rsidRPr="00434163" w:rsidRDefault="006C1917" w:rsidP="00434163">
      <w:pPr>
        <w:spacing w:after="120" w:line="360" w:lineRule="auto"/>
        <w:rPr>
          <w:bCs/>
          <w:sz w:val="24"/>
          <w:szCs w:val="24"/>
        </w:rPr>
      </w:pPr>
      <w:r w:rsidRPr="00434163">
        <w:rPr>
          <w:bCs/>
          <w:sz w:val="24"/>
          <w:szCs w:val="24"/>
        </w:rPr>
        <w:t xml:space="preserve">3/ </w:t>
      </w:r>
      <w:r w:rsidRPr="00434163">
        <w:rPr>
          <w:rFonts w:cs="Arial"/>
          <w:sz w:val="24"/>
          <w:szCs w:val="24"/>
          <w:shd w:val="clear" w:color="auto" w:fill="FFFFFF"/>
        </w:rPr>
        <w:t>ENGLIŠ, Miroslav; ŠOCHMAN, Jan.</w:t>
      </w:r>
      <w:r w:rsidRPr="00434163">
        <w:rPr>
          <w:rStyle w:val="apple-converted-space"/>
          <w:rFonts w:cs="Arial"/>
          <w:sz w:val="24"/>
          <w:szCs w:val="24"/>
          <w:shd w:val="clear" w:color="auto" w:fill="FFFFFF"/>
        </w:rPr>
        <w:t> </w:t>
      </w:r>
      <w:r w:rsidRPr="00434163">
        <w:rPr>
          <w:rFonts w:cs="Arial"/>
          <w:i/>
          <w:iCs/>
          <w:sz w:val="24"/>
          <w:szCs w:val="24"/>
          <w:shd w:val="clear" w:color="auto" w:fill="FFFFFF"/>
        </w:rPr>
        <w:t>Srdeční troponiny v klinické praxi</w:t>
      </w:r>
      <w:r w:rsidRPr="00434163">
        <w:rPr>
          <w:rFonts w:cs="Arial"/>
          <w:sz w:val="24"/>
          <w:szCs w:val="24"/>
          <w:shd w:val="clear" w:color="auto" w:fill="FFFFFF"/>
        </w:rPr>
        <w:t>. TAC-TAC agency, 2009.</w:t>
      </w:r>
      <w:r w:rsidRPr="00434163">
        <w:rPr>
          <w:bCs/>
          <w:sz w:val="24"/>
          <w:szCs w:val="24"/>
        </w:rPr>
        <w:t xml:space="preserve"> ISBN </w:t>
      </w:r>
      <w:r w:rsidRPr="00434163">
        <w:rPr>
          <w:rFonts w:cs="Arial"/>
          <w:sz w:val="24"/>
          <w:szCs w:val="24"/>
          <w:shd w:val="clear" w:color="auto" w:fill="FFFFFF"/>
        </w:rPr>
        <w:t>978-80-260-4045-3.</w:t>
      </w:r>
    </w:p>
    <w:p w:rsidR="006C1917" w:rsidRPr="00434163" w:rsidRDefault="006C1917" w:rsidP="00434163">
      <w:pPr>
        <w:spacing w:after="120" w:line="360" w:lineRule="auto"/>
        <w:textAlignment w:val="baseline"/>
        <w:rPr>
          <w:sz w:val="24"/>
          <w:szCs w:val="24"/>
          <w:lang w:eastAsia="cs-CZ"/>
        </w:rPr>
      </w:pPr>
      <w:r w:rsidRPr="00434163">
        <w:rPr>
          <w:bCs/>
          <w:sz w:val="24"/>
          <w:szCs w:val="24"/>
        </w:rPr>
        <w:t>4/</w:t>
      </w:r>
      <w:r w:rsidR="008252F3">
        <w:rPr>
          <w:bCs/>
          <w:sz w:val="24"/>
          <w:szCs w:val="24"/>
        </w:rPr>
        <w:t xml:space="preserve"> </w:t>
      </w:r>
      <w:r w:rsidRPr="00434163">
        <w:rPr>
          <w:rFonts w:cs="Arial"/>
          <w:sz w:val="24"/>
          <w:szCs w:val="24"/>
          <w:shd w:val="clear" w:color="auto" w:fill="FFFFFF"/>
        </w:rPr>
        <w:t>PARMACEK, Michael S.; SOLARO, R. John. Biology of the troponin complex in cardiac myocytes.</w:t>
      </w:r>
      <w:r w:rsidRPr="00434163">
        <w:rPr>
          <w:rFonts w:cs="Arial"/>
          <w:sz w:val="24"/>
          <w:szCs w:val="24"/>
        </w:rPr>
        <w:t> </w:t>
      </w:r>
      <w:r w:rsidRPr="00434163">
        <w:rPr>
          <w:rFonts w:cs="Arial"/>
          <w:i/>
          <w:iCs/>
          <w:sz w:val="24"/>
          <w:szCs w:val="24"/>
          <w:shd w:val="clear" w:color="auto" w:fill="FFFFFF"/>
        </w:rPr>
        <w:t>Progress in cardiovascular diseases</w:t>
      </w:r>
      <w:r w:rsidRPr="00434163">
        <w:rPr>
          <w:rFonts w:cs="Arial"/>
          <w:sz w:val="24"/>
          <w:szCs w:val="24"/>
          <w:shd w:val="clear" w:color="auto" w:fill="FFFFFF"/>
        </w:rPr>
        <w:t>, 2004, 47.3: 159-176.</w:t>
      </w:r>
      <w:r w:rsidRPr="00434163">
        <w:rPr>
          <w:bCs/>
          <w:sz w:val="24"/>
          <w:szCs w:val="24"/>
        </w:rPr>
        <w:t xml:space="preserve"> </w:t>
      </w:r>
      <w:r w:rsidRPr="00434163">
        <w:rPr>
          <w:bCs/>
          <w:sz w:val="24"/>
          <w:szCs w:val="24"/>
          <w:lang w:eastAsia="cs-CZ"/>
        </w:rPr>
        <w:t>ISSN</w:t>
      </w:r>
      <w:r w:rsidRPr="00434163">
        <w:rPr>
          <w:sz w:val="24"/>
          <w:szCs w:val="24"/>
          <w:lang w:eastAsia="cs-CZ"/>
        </w:rPr>
        <w:t xml:space="preserve">: 00330620. </w:t>
      </w:r>
    </w:p>
    <w:p w:rsidR="006C1917" w:rsidRPr="00434163" w:rsidRDefault="006C1917" w:rsidP="00434163">
      <w:pPr>
        <w:spacing w:after="120" w:line="360" w:lineRule="auto"/>
        <w:rPr>
          <w:bCs/>
          <w:sz w:val="24"/>
          <w:szCs w:val="24"/>
        </w:rPr>
      </w:pPr>
      <w:r w:rsidRPr="00434163">
        <w:rPr>
          <w:bCs/>
          <w:sz w:val="24"/>
          <w:szCs w:val="24"/>
        </w:rPr>
        <w:t>5/</w:t>
      </w:r>
      <w:r w:rsidRPr="00434163">
        <w:rPr>
          <w:sz w:val="24"/>
          <w:szCs w:val="24"/>
          <w:shd w:val="clear" w:color="auto" w:fill="FFFFFF"/>
        </w:rPr>
        <w:t xml:space="preserve"> GANONG, William F.</w:t>
      </w:r>
      <w:r w:rsidRPr="00434163">
        <w:rPr>
          <w:sz w:val="24"/>
          <w:szCs w:val="24"/>
        </w:rPr>
        <w:t> </w:t>
      </w:r>
      <w:r w:rsidRPr="00434163">
        <w:rPr>
          <w:i/>
          <w:iCs/>
          <w:sz w:val="24"/>
          <w:szCs w:val="24"/>
          <w:shd w:val="clear" w:color="auto" w:fill="FFFFFF"/>
        </w:rPr>
        <w:t>Přehled lékařské fyziologie</w:t>
      </w:r>
      <w:r w:rsidRPr="00434163">
        <w:rPr>
          <w:sz w:val="24"/>
          <w:szCs w:val="24"/>
          <w:shd w:val="clear" w:color="auto" w:fill="FFFFFF"/>
        </w:rPr>
        <w:t xml:space="preserve">. Vyd. v </w:t>
      </w:r>
      <w:r w:rsidR="008252F3">
        <w:rPr>
          <w:sz w:val="24"/>
          <w:szCs w:val="24"/>
          <w:shd w:val="clear" w:color="auto" w:fill="FFFFFF"/>
        </w:rPr>
        <w:t>ČR 1. Jinočany: H &amp; H, 1995, XII</w:t>
      </w:r>
      <w:r w:rsidRPr="00434163">
        <w:rPr>
          <w:sz w:val="24"/>
          <w:szCs w:val="24"/>
          <w:shd w:val="clear" w:color="auto" w:fill="FFFFFF"/>
        </w:rPr>
        <w:t>, 681 s. ISBN 80-85787-36-9.</w:t>
      </w:r>
      <w:r w:rsidRPr="00434163">
        <w:rPr>
          <w:bCs/>
          <w:sz w:val="24"/>
          <w:szCs w:val="24"/>
        </w:rPr>
        <w:t xml:space="preserve"> </w:t>
      </w:r>
    </w:p>
    <w:p w:rsidR="006C1917" w:rsidRPr="00434163" w:rsidRDefault="006C1917" w:rsidP="00434163">
      <w:pPr>
        <w:shd w:val="clear" w:color="auto" w:fill="FFFFFF"/>
        <w:spacing w:after="120" w:line="360" w:lineRule="auto"/>
        <w:rPr>
          <w:rFonts w:cs="Arial"/>
          <w:sz w:val="24"/>
          <w:szCs w:val="24"/>
        </w:rPr>
      </w:pPr>
      <w:r w:rsidRPr="00434163">
        <w:rPr>
          <w:rFonts w:cs="Arial"/>
          <w:sz w:val="24"/>
          <w:szCs w:val="24"/>
        </w:rPr>
        <w:t xml:space="preserve">6/ </w:t>
      </w:r>
      <w:r w:rsidRPr="00434163">
        <w:rPr>
          <w:rFonts w:cs="Arial"/>
          <w:sz w:val="24"/>
          <w:szCs w:val="24"/>
          <w:shd w:val="clear" w:color="auto" w:fill="FFFFFF"/>
        </w:rPr>
        <w:t>BODOR, Geza S., et al. Cardiac troponin T composition in normal and regenerating human skeletal muscle.</w:t>
      </w:r>
      <w:r w:rsidRPr="00434163">
        <w:rPr>
          <w:rFonts w:cs="Arial"/>
          <w:sz w:val="24"/>
          <w:szCs w:val="24"/>
        </w:rPr>
        <w:t> </w:t>
      </w:r>
      <w:r w:rsidRPr="00434163">
        <w:rPr>
          <w:rFonts w:cs="Arial"/>
          <w:i/>
          <w:iCs/>
          <w:sz w:val="24"/>
          <w:szCs w:val="24"/>
          <w:shd w:val="clear" w:color="auto" w:fill="FFFFFF"/>
        </w:rPr>
        <w:t>Clinical chemistry</w:t>
      </w:r>
      <w:r w:rsidRPr="00434163">
        <w:rPr>
          <w:rFonts w:cs="Arial"/>
          <w:sz w:val="24"/>
          <w:szCs w:val="24"/>
          <w:shd w:val="clear" w:color="auto" w:fill="FFFFFF"/>
        </w:rPr>
        <w:t>, 1997, 43.3: 476-484.</w:t>
      </w:r>
      <w:r w:rsidRPr="00434163">
        <w:rPr>
          <w:rStyle w:val="Nadpis1Char"/>
          <w:rFonts w:cs="Arial"/>
          <w:b w:val="0"/>
          <w:sz w:val="24"/>
          <w:szCs w:val="24"/>
          <w:shd w:val="clear" w:color="auto" w:fill="FFFFFF"/>
        </w:rPr>
        <w:t xml:space="preserve"> </w:t>
      </w:r>
      <w:r w:rsidRPr="00434163">
        <w:rPr>
          <w:rFonts w:cs="Arial"/>
          <w:bCs/>
          <w:sz w:val="24"/>
          <w:szCs w:val="24"/>
        </w:rPr>
        <w:t>ISSN</w:t>
      </w:r>
      <w:r w:rsidRPr="00434163">
        <w:rPr>
          <w:rFonts w:cs="Arial"/>
          <w:sz w:val="24"/>
          <w:szCs w:val="24"/>
        </w:rPr>
        <w:t> </w:t>
      </w:r>
      <w:r w:rsidRPr="00434163">
        <w:rPr>
          <w:rFonts w:cs="Arial"/>
          <w:sz w:val="24"/>
          <w:szCs w:val="24"/>
          <w:shd w:val="clear" w:color="auto" w:fill="FFFFFF"/>
        </w:rPr>
        <w:t>0009-9147.</w:t>
      </w:r>
    </w:p>
    <w:p w:rsidR="006C1917" w:rsidRPr="00434163" w:rsidRDefault="006C1917" w:rsidP="00434163">
      <w:pPr>
        <w:pStyle w:val="Nadpis1"/>
        <w:numPr>
          <w:ilvl w:val="0"/>
          <w:numId w:val="0"/>
        </w:numPr>
        <w:shd w:val="clear" w:color="auto" w:fill="FFFFFF"/>
        <w:spacing w:before="0" w:beforeAutospacing="0" w:after="120" w:afterAutospacing="0" w:line="360" w:lineRule="auto"/>
        <w:rPr>
          <w:rFonts w:cs="Arial"/>
          <w:b w:val="0"/>
          <w:bCs w:val="0"/>
          <w:kern w:val="0"/>
          <w:sz w:val="24"/>
          <w:szCs w:val="24"/>
          <w:shd w:val="clear" w:color="auto" w:fill="FFFFFF"/>
          <w:lang w:eastAsia="en-US"/>
        </w:rPr>
      </w:pPr>
      <w:bookmarkStart w:id="44" w:name="_Toc422993255"/>
      <w:r w:rsidRPr="00434163">
        <w:rPr>
          <w:b w:val="0"/>
          <w:sz w:val="24"/>
          <w:szCs w:val="24"/>
        </w:rPr>
        <w:t xml:space="preserve">7/ </w:t>
      </w:r>
      <w:r w:rsidRPr="00434163">
        <w:rPr>
          <w:rFonts w:cs="Arial"/>
          <w:b w:val="0"/>
          <w:bCs w:val="0"/>
          <w:kern w:val="0"/>
          <w:sz w:val="24"/>
          <w:szCs w:val="24"/>
          <w:shd w:val="clear" w:color="auto" w:fill="FFFFFF"/>
          <w:lang w:eastAsia="en-US"/>
        </w:rPr>
        <w:t>MURRY, Charles E.; JENNINGS, Robert B.; REIMER, Keith A. Preconditioning with ischemia: a delay of lethal cell injury in ischemic myocardium.</w:t>
      </w:r>
      <w:r w:rsidRPr="00434163">
        <w:rPr>
          <w:rFonts w:cs="Arial"/>
          <w:b w:val="0"/>
          <w:bCs w:val="0"/>
          <w:kern w:val="0"/>
          <w:sz w:val="24"/>
          <w:szCs w:val="24"/>
          <w:lang w:eastAsia="en-US"/>
        </w:rPr>
        <w:t> </w:t>
      </w:r>
      <w:r w:rsidRPr="00434163">
        <w:rPr>
          <w:rFonts w:cs="Arial"/>
          <w:b w:val="0"/>
          <w:bCs w:val="0"/>
          <w:i/>
          <w:iCs/>
          <w:kern w:val="0"/>
          <w:sz w:val="24"/>
          <w:szCs w:val="24"/>
          <w:shd w:val="clear" w:color="auto" w:fill="FFFFFF"/>
          <w:lang w:eastAsia="en-US"/>
        </w:rPr>
        <w:t>Circulation</w:t>
      </w:r>
      <w:r w:rsidRPr="00434163">
        <w:rPr>
          <w:rFonts w:cs="Arial"/>
          <w:b w:val="0"/>
          <w:bCs w:val="0"/>
          <w:kern w:val="0"/>
          <w:sz w:val="24"/>
          <w:szCs w:val="24"/>
          <w:shd w:val="clear" w:color="auto" w:fill="FFFFFF"/>
          <w:lang w:eastAsia="en-US"/>
        </w:rPr>
        <w:t>, 1986, 74.5: 1124-1136.</w:t>
      </w:r>
      <w:r w:rsidRPr="00434163">
        <w:rPr>
          <w:rFonts w:cs="Arial"/>
          <w:b w:val="0"/>
          <w:bCs w:val="0"/>
          <w:kern w:val="0"/>
          <w:sz w:val="24"/>
          <w:szCs w:val="24"/>
          <w:lang w:eastAsia="en-US"/>
        </w:rPr>
        <w:t xml:space="preserve"> </w:t>
      </w:r>
      <w:r w:rsidRPr="00434163">
        <w:rPr>
          <w:rFonts w:cs="Arial"/>
          <w:b w:val="0"/>
          <w:kern w:val="0"/>
          <w:sz w:val="24"/>
          <w:szCs w:val="24"/>
          <w:lang w:eastAsia="en-US"/>
        </w:rPr>
        <w:t>ISSN</w:t>
      </w:r>
      <w:r w:rsidRPr="00434163">
        <w:rPr>
          <w:rFonts w:cs="Arial"/>
          <w:b w:val="0"/>
          <w:bCs w:val="0"/>
          <w:kern w:val="0"/>
          <w:sz w:val="24"/>
          <w:szCs w:val="24"/>
          <w:shd w:val="clear" w:color="auto" w:fill="FFFFFF"/>
          <w:lang w:eastAsia="en-US"/>
        </w:rPr>
        <w:t xml:space="preserve"> 0009-7322.</w:t>
      </w:r>
      <w:bookmarkEnd w:id="44"/>
    </w:p>
    <w:p w:rsidR="006C1917" w:rsidRPr="00434163" w:rsidRDefault="006C1917" w:rsidP="00434163">
      <w:pPr>
        <w:spacing w:after="120" w:line="360" w:lineRule="auto"/>
        <w:textAlignment w:val="baseline"/>
        <w:rPr>
          <w:sz w:val="24"/>
          <w:szCs w:val="24"/>
          <w:lang w:eastAsia="cs-CZ"/>
        </w:rPr>
      </w:pPr>
      <w:r w:rsidRPr="00434163">
        <w:rPr>
          <w:bCs/>
          <w:sz w:val="24"/>
          <w:szCs w:val="24"/>
        </w:rPr>
        <w:t xml:space="preserve">8/ </w:t>
      </w:r>
      <w:r w:rsidRPr="00434163">
        <w:rPr>
          <w:rFonts w:cs="Arial"/>
          <w:sz w:val="24"/>
          <w:szCs w:val="24"/>
          <w:shd w:val="clear" w:color="auto" w:fill="FFFFFF"/>
        </w:rPr>
        <w:t xml:space="preserve">NA, Heung Sik, et al. Ventricular premature </w:t>
      </w:r>
      <w:proofErr w:type="gramStart"/>
      <w:r w:rsidRPr="00434163">
        <w:rPr>
          <w:rFonts w:cs="Arial"/>
          <w:sz w:val="24"/>
          <w:szCs w:val="24"/>
          <w:shd w:val="clear" w:color="auto" w:fill="FFFFFF"/>
        </w:rPr>
        <w:t>beat—driven</w:t>
      </w:r>
      <w:proofErr w:type="gramEnd"/>
      <w:r w:rsidRPr="00434163">
        <w:rPr>
          <w:rFonts w:cs="Arial"/>
          <w:sz w:val="24"/>
          <w:szCs w:val="24"/>
          <w:shd w:val="clear" w:color="auto" w:fill="FFFFFF"/>
        </w:rPr>
        <w:t xml:space="preserve"> intermittent restoration of coronary blood flow reduces the incidence of reperfusion-induced ventricular fibrillation in a cat model of regional ischemia.</w:t>
      </w:r>
      <w:r w:rsidRPr="00434163">
        <w:rPr>
          <w:rFonts w:cs="Arial"/>
          <w:sz w:val="24"/>
          <w:szCs w:val="24"/>
        </w:rPr>
        <w:t> </w:t>
      </w:r>
      <w:r w:rsidRPr="00434163">
        <w:rPr>
          <w:rFonts w:cs="Arial"/>
          <w:i/>
          <w:iCs/>
          <w:sz w:val="24"/>
          <w:szCs w:val="24"/>
          <w:shd w:val="clear" w:color="auto" w:fill="FFFFFF"/>
        </w:rPr>
        <w:t>American heart journal</w:t>
      </w:r>
      <w:r w:rsidRPr="00434163">
        <w:rPr>
          <w:rFonts w:cs="Arial"/>
          <w:sz w:val="24"/>
          <w:szCs w:val="24"/>
          <w:shd w:val="clear" w:color="auto" w:fill="FFFFFF"/>
        </w:rPr>
        <w:t>, 1996, 132.1: 78-83.</w:t>
      </w:r>
      <w:r w:rsidRPr="00434163">
        <w:rPr>
          <w:rFonts w:cs="Arial"/>
          <w:sz w:val="24"/>
          <w:szCs w:val="24"/>
        </w:rPr>
        <w:t xml:space="preserve"> </w:t>
      </w:r>
      <w:r w:rsidRPr="00434163">
        <w:rPr>
          <w:bCs/>
          <w:sz w:val="24"/>
          <w:szCs w:val="24"/>
          <w:lang w:eastAsia="cs-CZ"/>
        </w:rPr>
        <w:t>ISSN</w:t>
      </w:r>
      <w:r w:rsidRPr="00434163">
        <w:rPr>
          <w:sz w:val="24"/>
          <w:szCs w:val="24"/>
          <w:lang w:eastAsia="cs-CZ"/>
        </w:rPr>
        <w:t xml:space="preserve"> 0002-8703.</w:t>
      </w:r>
    </w:p>
    <w:p w:rsidR="006C1917" w:rsidRPr="00434163" w:rsidRDefault="006C1917" w:rsidP="00434163">
      <w:pPr>
        <w:spacing w:after="120" w:line="360" w:lineRule="auto"/>
        <w:rPr>
          <w:bCs/>
          <w:sz w:val="24"/>
          <w:szCs w:val="24"/>
        </w:rPr>
      </w:pPr>
      <w:r w:rsidRPr="00434163">
        <w:rPr>
          <w:bCs/>
          <w:sz w:val="24"/>
          <w:szCs w:val="24"/>
        </w:rPr>
        <w:t xml:space="preserve">9/ </w:t>
      </w:r>
      <w:r w:rsidR="008252F3">
        <w:rPr>
          <w:rFonts w:cs="Arial"/>
          <w:sz w:val="24"/>
          <w:szCs w:val="24"/>
          <w:shd w:val="clear" w:color="auto" w:fill="FFFFFF"/>
        </w:rPr>
        <w:t>OŠTÁ</w:t>
      </w:r>
      <w:r w:rsidRPr="00434163">
        <w:rPr>
          <w:rFonts w:cs="Arial"/>
          <w:sz w:val="24"/>
          <w:szCs w:val="24"/>
          <w:shd w:val="clear" w:color="auto" w:fill="FFFFFF"/>
        </w:rPr>
        <w:t>DAL, Bohuslav, et al. Developmental determinants of cardiac sensitivity to hypoxia 1.</w:t>
      </w:r>
      <w:r w:rsidRPr="00434163">
        <w:rPr>
          <w:rFonts w:cs="Arial"/>
          <w:sz w:val="24"/>
          <w:szCs w:val="24"/>
        </w:rPr>
        <w:t> </w:t>
      </w:r>
      <w:r w:rsidRPr="00434163">
        <w:rPr>
          <w:rFonts w:cs="Arial"/>
          <w:i/>
          <w:iCs/>
          <w:sz w:val="24"/>
          <w:szCs w:val="24"/>
          <w:shd w:val="clear" w:color="auto" w:fill="FFFFFF"/>
        </w:rPr>
        <w:t>Canadian journal of physiology and pharmacology</w:t>
      </w:r>
      <w:r w:rsidRPr="00434163">
        <w:rPr>
          <w:rFonts w:cs="Arial"/>
          <w:sz w:val="24"/>
          <w:szCs w:val="24"/>
          <w:shd w:val="clear" w:color="auto" w:fill="FFFFFF"/>
        </w:rPr>
        <w:t xml:space="preserve">, 2014, 92.7: 566-574. </w:t>
      </w:r>
      <w:r w:rsidRPr="00434163">
        <w:rPr>
          <w:rFonts w:cs="Arial"/>
          <w:bCs/>
          <w:sz w:val="24"/>
          <w:szCs w:val="24"/>
        </w:rPr>
        <w:t>ISSN</w:t>
      </w:r>
      <w:r w:rsidRPr="00434163">
        <w:rPr>
          <w:rFonts w:cs="Arial"/>
          <w:sz w:val="24"/>
          <w:szCs w:val="24"/>
        </w:rPr>
        <w:t> </w:t>
      </w:r>
      <w:r w:rsidRPr="00434163">
        <w:rPr>
          <w:rFonts w:cs="Arial"/>
          <w:sz w:val="24"/>
          <w:szCs w:val="24"/>
          <w:shd w:val="clear" w:color="auto" w:fill="FFFFFF"/>
        </w:rPr>
        <w:t>0008-4212.</w:t>
      </w:r>
      <w:r w:rsidRPr="00434163">
        <w:rPr>
          <w:bCs/>
          <w:sz w:val="24"/>
          <w:szCs w:val="24"/>
        </w:rPr>
        <w:t xml:space="preserve"> </w:t>
      </w:r>
    </w:p>
    <w:p w:rsidR="006C1917" w:rsidRDefault="006C1917" w:rsidP="00434163">
      <w:pPr>
        <w:spacing w:after="120" w:line="360" w:lineRule="auto"/>
        <w:rPr>
          <w:rFonts w:cs="Arial"/>
          <w:sz w:val="24"/>
          <w:szCs w:val="24"/>
          <w:shd w:val="clear" w:color="auto" w:fill="FFFFFF"/>
        </w:rPr>
      </w:pPr>
      <w:r w:rsidRPr="00434163">
        <w:rPr>
          <w:bCs/>
          <w:sz w:val="24"/>
          <w:szCs w:val="24"/>
        </w:rPr>
        <w:t xml:space="preserve">10/ </w:t>
      </w:r>
      <w:r w:rsidRPr="00434163">
        <w:rPr>
          <w:rFonts w:cs="Arial"/>
          <w:sz w:val="24"/>
          <w:szCs w:val="24"/>
          <w:shd w:val="clear" w:color="auto" w:fill="FFFFFF"/>
        </w:rPr>
        <w:t>FRIEDECKÝ, B., et al. Doporučení České společnosti klinické biochemie ke stanovení biochemických markerů poškození myokardu.</w:t>
      </w:r>
      <w:r w:rsidRPr="00434163">
        <w:rPr>
          <w:rFonts w:cs="Arial"/>
          <w:sz w:val="24"/>
          <w:szCs w:val="24"/>
        </w:rPr>
        <w:t> </w:t>
      </w:r>
      <w:r w:rsidRPr="00434163">
        <w:rPr>
          <w:rFonts w:cs="Arial"/>
          <w:i/>
          <w:iCs/>
          <w:sz w:val="24"/>
          <w:szCs w:val="24"/>
          <w:shd w:val="clear" w:color="auto" w:fill="FFFFFF"/>
        </w:rPr>
        <w:t>Klin. Biochem. Metab</w:t>
      </w:r>
      <w:r w:rsidRPr="00434163">
        <w:rPr>
          <w:rFonts w:cs="Arial"/>
          <w:sz w:val="24"/>
          <w:szCs w:val="24"/>
          <w:shd w:val="clear" w:color="auto" w:fill="FFFFFF"/>
        </w:rPr>
        <w:t>, 2008, 16.37: 1.</w:t>
      </w:r>
      <w:r w:rsidRPr="00434163">
        <w:rPr>
          <w:bCs/>
          <w:sz w:val="24"/>
          <w:szCs w:val="24"/>
        </w:rPr>
        <w:t xml:space="preserve"> </w:t>
      </w:r>
      <w:r w:rsidRPr="00434163">
        <w:rPr>
          <w:rFonts w:cs="Arial"/>
          <w:bCs/>
          <w:sz w:val="24"/>
          <w:szCs w:val="24"/>
        </w:rPr>
        <w:t>ISSN</w:t>
      </w:r>
      <w:r w:rsidRPr="00434163">
        <w:rPr>
          <w:rFonts w:cs="Arial"/>
          <w:sz w:val="24"/>
          <w:szCs w:val="24"/>
        </w:rPr>
        <w:t> </w:t>
      </w:r>
      <w:r w:rsidRPr="00434163">
        <w:rPr>
          <w:rFonts w:cs="Arial"/>
          <w:sz w:val="24"/>
          <w:szCs w:val="24"/>
          <w:shd w:val="clear" w:color="auto" w:fill="FFFFFF"/>
        </w:rPr>
        <w:t>1210-7921</w:t>
      </w:r>
      <w:r w:rsidR="008C12E5">
        <w:rPr>
          <w:rFonts w:cs="Arial"/>
          <w:sz w:val="24"/>
          <w:szCs w:val="24"/>
          <w:shd w:val="clear" w:color="auto" w:fill="FFFFFF"/>
        </w:rPr>
        <w:t>.</w:t>
      </w:r>
    </w:p>
    <w:p w:rsidR="008C12E5" w:rsidRDefault="008C12E5" w:rsidP="00434163">
      <w:pPr>
        <w:spacing w:after="120" w:line="360" w:lineRule="auto"/>
        <w:rPr>
          <w:sz w:val="24"/>
          <w:szCs w:val="24"/>
        </w:rPr>
      </w:pPr>
    </w:p>
    <w:p w:rsidR="008C12E5" w:rsidRPr="008C12E5" w:rsidRDefault="008C12E5" w:rsidP="00434163">
      <w:pPr>
        <w:spacing w:after="120" w:line="360" w:lineRule="auto"/>
        <w:rPr>
          <w:sz w:val="24"/>
          <w:szCs w:val="24"/>
        </w:rPr>
      </w:pPr>
      <w:r>
        <w:rPr>
          <w:sz w:val="24"/>
          <w:szCs w:val="24"/>
        </w:rPr>
        <w:lastRenderedPageBreak/>
        <w:t>11</w:t>
      </w:r>
      <w:r w:rsidRPr="00434163">
        <w:rPr>
          <w:sz w:val="24"/>
          <w:szCs w:val="24"/>
        </w:rPr>
        <w:t xml:space="preserve">/ </w:t>
      </w:r>
      <w:r w:rsidRPr="00434163">
        <w:rPr>
          <w:rFonts w:cs="Arial"/>
          <w:sz w:val="24"/>
          <w:szCs w:val="24"/>
          <w:shd w:val="clear" w:color="auto" w:fill="FFFFFF"/>
        </w:rPr>
        <w:t>WIDIMSKÝ, Petr; KALA, Petr; ROKYTA, Richard. Summary of the 2012 ESC Guidelines for the management of acute myocardial infarction in patients presenting with ST-segment elevations. Prepared by the Czech Society of Cardiology</w:t>
      </w:r>
      <w:r w:rsidRPr="00434163">
        <w:rPr>
          <w:rFonts w:ascii="MS Gothic" w:eastAsia="MS Gothic" w:hAnsi="MS Gothic" w:cs="MS Gothic" w:hint="eastAsia"/>
          <w:sz w:val="24"/>
          <w:szCs w:val="24"/>
          <w:shd w:val="clear" w:color="auto" w:fill="FFFFFF"/>
        </w:rPr>
        <w:t>☆</w:t>
      </w:r>
      <w:r w:rsidRPr="00434163">
        <w:rPr>
          <w:rFonts w:cs="Arial"/>
          <w:sz w:val="24"/>
          <w:szCs w:val="24"/>
          <w:shd w:val="clear" w:color="auto" w:fill="FFFFFF"/>
        </w:rPr>
        <w:t>.</w:t>
      </w:r>
      <w:r w:rsidRPr="00434163">
        <w:rPr>
          <w:rFonts w:cs="Arial"/>
          <w:sz w:val="24"/>
          <w:szCs w:val="24"/>
        </w:rPr>
        <w:t> </w:t>
      </w:r>
      <w:r w:rsidRPr="00434163">
        <w:rPr>
          <w:rFonts w:cs="Arial"/>
          <w:i/>
          <w:iCs/>
          <w:sz w:val="24"/>
          <w:szCs w:val="24"/>
          <w:shd w:val="clear" w:color="auto" w:fill="FFFFFF"/>
        </w:rPr>
        <w:t>cor et vasa</w:t>
      </w:r>
      <w:r w:rsidRPr="00434163">
        <w:rPr>
          <w:rFonts w:cs="Arial"/>
          <w:sz w:val="24"/>
          <w:szCs w:val="24"/>
          <w:shd w:val="clear" w:color="auto" w:fill="FFFFFF"/>
        </w:rPr>
        <w:t>, 2012, 54.5: e273-e289.</w:t>
      </w:r>
      <w:r w:rsidRPr="00434163">
        <w:rPr>
          <w:rStyle w:val="Nadpis1Char"/>
          <w:rFonts w:cs="Arial"/>
          <w:b w:val="0"/>
          <w:bCs w:val="0"/>
          <w:i/>
          <w:iCs/>
          <w:sz w:val="24"/>
          <w:szCs w:val="24"/>
          <w:shd w:val="clear" w:color="auto" w:fill="FFFFFF"/>
        </w:rPr>
        <w:t xml:space="preserve"> </w:t>
      </w:r>
      <w:r w:rsidRPr="00434163">
        <w:rPr>
          <w:rFonts w:cs="Arial"/>
          <w:sz w:val="24"/>
          <w:szCs w:val="24"/>
          <w:shd w:val="clear" w:color="auto" w:fill="FFFFFF"/>
        </w:rPr>
        <w:t>e-ISSN 1803-7712.</w:t>
      </w:r>
    </w:p>
    <w:p w:rsidR="006C1917" w:rsidRPr="00434163" w:rsidRDefault="00887039" w:rsidP="00434163">
      <w:pPr>
        <w:spacing w:after="120" w:line="360" w:lineRule="auto"/>
        <w:rPr>
          <w:bCs/>
          <w:sz w:val="24"/>
          <w:szCs w:val="24"/>
        </w:rPr>
      </w:pPr>
      <w:r>
        <w:rPr>
          <w:bCs/>
          <w:sz w:val="24"/>
          <w:szCs w:val="24"/>
        </w:rPr>
        <w:t>12</w:t>
      </w:r>
      <w:r w:rsidR="006C1917" w:rsidRPr="00434163">
        <w:rPr>
          <w:bCs/>
          <w:sz w:val="24"/>
          <w:szCs w:val="24"/>
        </w:rPr>
        <w:t xml:space="preserve">/ </w:t>
      </w:r>
      <w:r w:rsidR="006C1917" w:rsidRPr="00434163">
        <w:rPr>
          <w:rFonts w:cs="Arial"/>
          <w:sz w:val="24"/>
          <w:szCs w:val="24"/>
          <w:shd w:val="clear" w:color="auto" w:fill="FFFFFF"/>
        </w:rPr>
        <w:t xml:space="preserve">OLÁH, Attila, et al. Cardiac effects of acute exhaustive exercise in a rat model. </w:t>
      </w:r>
      <w:r w:rsidR="006C1917" w:rsidRPr="00434163">
        <w:rPr>
          <w:rFonts w:cs="Arial"/>
          <w:i/>
          <w:iCs/>
          <w:sz w:val="24"/>
          <w:szCs w:val="24"/>
          <w:shd w:val="clear" w:color="auto" w:fill="FFFFFF"/>
        </w:rPr>
        <w:t>International journal of cardiology</w:t>
      </w:r>
      <w:r w:rsidR="006C1917" w:rsidRPr="00434163">
        <w:rPr>
          <w:rFonts w:cs="Arial"/>
          <w:sz w:val="24"/>
          <w:szCs w:val="24"/>
          <w:shd w:val="clear" w:color="auto" w:fill="FFFFFF"/>
        </w:rPr>
        <w:t xml:space="preserve">, 2015, 182: 258-266. </w:t>
      </w:r>
      <w:r w:rsidR="006C1917" w:rsidRPr="00434163">
        <w:rPr>
          <w:rFonts w:cs="Helvetica"/>
          <w:sz w:val="24"/>
          <w:szCs w:val="24"/>
        </w:rPr>
        <w:t>ISSN  0167-5273.</w:t>
      </w:r>
      <w:r w:rsidR="006C1917" w:rsidRPr="00434163">
        <w:rPr>
          <w:bCs/>
          <w:sz w:val="24"/>
          <w:szCs w:val="24"/>
        </w:rPr>
        <w:t xml:space="preserve"> </w:t>
      </w:r>
    </w:p>
    <w:p w:rsidR="006C1917" w:rsidRPr="00434163" w:rsidRDefault="00887039" w:rsidP="00434163">
      <w:pPr>
        <w:shd w:val="clear" w:color="auto" w:fill="FFFFFF"/>
        <w:spacing w:after="120" w:line="360" w:lineRule="auto"/>
        <w:rPr>
          <w:rFonts w:cs="Arial"/>
          <w:bCs/>
          <w:kern w:val="36"/>
          <w:sz w:val="24"/>
          <w:szCs w:val="24"/>
          <w:lang w:eastAsia="cs-CZ"/>
        </w:rPr>
      </w:pPr>
      <w:r>
        <w:rPr>
          <w:rFonts w:cs="Arial"/>
          <w:bCs/>
          <w:kern w:val="36"/>
          <w:sz w:val="24"/>
          <w:szCs w:val="24"/>
          <w:lang w:eastAsia="cs-CZ"/>
        </w:rPr>
        <w:t>13</w:t>
      </w:r>
      <w:r w:rsidR="006C1917" w:rsidRPr="00434163">
        <w:rPr>
          <w:rFonts w:cs="Arial"/>
          <w:bCs/>
          <w:kern w:val="36"/>
          <w:sz w:val="24"/>
          <w:szCs w:val="24"/>
          <w:lang w:eastAsia="cs-CZ"/>
        </w:rPr>
        <w:t xml:space="preserve">/ </w:t>
      </w:r>
      <w:r w:rsidR="006C1917" w:rsidRPr="00434163">
        <w:rPr>
          <w:rFonts w:cs="Arial"/>
          <w:sz w:val="24"/>
          <w:szCs w:val="24"/>
          <w:shd w:val="clear" w:color="auto" w:fill="FFFFFF"/>
        </w:rPr>
        <w:t>SAGE, MARTIN D.; JENNINGS, R. B. Cytoskeletal injury and subsarcolemmal bleb formation in dog heart during in vitro total ischemia.</w:t>
      </w:r>
      <w:r w:rsidR="006C1917" w:rsidRPr="00434163">
        <w:rPr>
          <w:rFonts w:cs="Arial"/>
          <w:sz w:val="24"/>
          <w:szCs w:val="24"/>
        </w:rPr>
        <w:t> </w:t>
      </w:r>
      <w:r w:rsidR="006C1917" w:rsidRPr="00434163">
        <w:rPr>
          <w:rFonts w:cs="Arial"/>
          <w:i/>
          <w:iCs/>
          <w:sz w:val="24"/>
          <w:szCs w:val="24"/>
          <w:shd w:val="clear" w:color="auto" w:fill="FFFFFF"/>
        </w:rPr>
        <w:t>The American journal of pathology</w:t>
      </w:r>
      <w:r w:rsidR="006C1917" w:rsidRPr="00434163">
        <w:rPr>
          <w:rFonts w:cs="Arial"/>
          <w:sz w:val="24"/>
          <w:szCs w:val="24"/>
          <w:shd w:val="clear" w:color="auto" w:fill="FFFFFF"/>
        </w:rPr>
        <w:t>, 1988, 133.2: 327. ISSN 0002-9440.</w:t>
      </w:r>
    </w:p>
    <w:p w:rsidR="006C1917" w:rsidRPr="00434163" w:rsidRDefault="00887039" w:rsidP="00434163">
      <w:pPr>
        <w:shd w:val="clear" w:color="auto" w:fill="FFFFFF"/>
        <w:spacing w:after="120" w:line="360" w:lineRule="auto"/>
        <w:ind w:right="72"/>
        <w:rPr>
          <w:rFonts w:cs="Arial"/>
          <w:sz w:val="24"/>
          <w:szCs w:val="24"/>
        </w:rPr>
      </w:pPr>
      <w:r>
        <w:rPr>
          <w:sz w:val="24"/>
          <w:szCs w:val="24"/>
        </w:rPr>
        <w:t>14</w:t>
      </w:r>
      <w:r w:rsidR="006C1917" w:rsidRPr="00434163">
        <w:rPr>
          <w:sz w:val="24"/>
          <w:szCs w:val="24"/>
        </w:rPr>
        <w:t xml:space="preserve">/ </w:t>
      </w:r>
      <w:r w:rsidR="006C1917" w:rsidRPr="00434163">
        <w:rPr>
          <w:rFonts w:cs="Arial"/>
          <w:sz w:val="24"/>
          <w:szCs w:val="24"/>
          <w:shd w:val="clear" w:color="auto" w:fill="FFFFFF"/>
        </w:rPr>
        <w:t>ARMSTRONG, Stephen C.; SHIVELL, Christine L.; GANOTE, Charles E. Sarcolemmal blebs and osmotic fragility as correlates of irreversible ischemic injury in preconditioned isolated rabbit cardiomyocytes.</w:t>
      </w:r>
      <w:r w:rsidR="006C1917" w:rsidRPr="00434163">
        <w:rPr>
          <w:rFonts w:cs="Arial"/>
          <w:sz w:val="24"/>
          <w:szCs w:val="24"/>
        </w:rPr>
        <w:t> </w:t>
      </w:r>
      <w:r w:rsidR="006C1917" w:rsidRPr="00434163">
        <w:rPr>
          <w:rFonts w:cs="Arial"/>
          <w:i/>
          <w:iCs/>
          <w:sz w:val="24"/>
          <w:szCs w:val="24"/>
          <w:shd w:val="clear" w:color="auto" w:fill="FFFFFF"/>
        </w:rPr>
        <w:t>Journal of molecular and cellular cardiology</w:t>
      </w:r>
      <w:r w:rsidR="006C1917" w:rsidRPr="00434163">
        <w:rPr>
          <w:rFonts w:cs="Arial"/>
          <w:sz w:val="24"/>
          <w:szCs w:val="24"/>
          <w:shd w:val="clear" w:color="auto" w:fill="FFFFFF"/>
        </w:rPr>
        <w:t xml:space="preserve">, 2001, 33.1: 149-160. </w:t>
      </w:r>
      <w:r w:rsidR="006C1917" w:rsidRPr="00434163">
        <w:rPr>
          <w:rFonts w:cs="Arial"/>
          <w:bCs/>
          <w:sz w:val="24"/>
          <w:szCs w:val="24"/>
        </w:rPr>
        <w:t>ISSN</w:t>
      </w:r>
      <w:r w:rsidR="006C1917" w:rsidRPr="00434163">
        <w:rPr>
          <w:rFonts w:cs="Arial"/>
          <w:sz w:val="24"/>
          <w:szCs w:val="24"/>
        </w:rPr>
        <w:t xml:space="preserve"> 0022-2828.  </w:t>
      </w:r>
    </w:p>
    <w:p w:rsidR="006C1917" w:rsidRPr="00434163" w:rsidRDefault="00887039" w:rsidP="00434163">
      <w:pPr>
        <w:spacing w:after="120" w:line="360" w:lineRule="auto"/>
        <w:rPr>
          <w:bCs/>
          <w:sz w:val="24"/>
          <w:szCs w:val="24"/>
        </w:rPr>
      </w:pPr>
      <w:r>
        <w:rPr>
          <w:bCs/>
          <w:sz w:val="24"/>
          <w:szCs w:val="24"/>
        </w:rPr>
        <w:t>15</w:t>
      </w:r>
      <w:r w:rsidR="006C1917" w:rsidRPr="00434163">
        <w:rPr>
          <w:bCs/>
          <w:sz w:val="24"/>
          <w:szCs w:val="24"/>
        </w:rPr>
        <w:t xml:space="preserve">/ </w:t>
      </w:r>
      <w:r w:rsidR="006C1917" w:rsidRPr="00434163">
        <w:rPr>
          <w:rFonts w:cs="Arial"/>
          <w:sz w:val="24"/>
          <w:szCs w:val="24"/>
          <w:shd w:val="clear" w:color="auto" w:fill="FFFFFF"/>
        </w:rPr>
        <w:t>HICKMAN, Peter E., et al. Cardiac troponin may be released by ischemia alone, without necrosis.</w:t>
      </w:r>
      <w:r w:rsidR="006C1917" w:rsidRPr="00434163">
        <w:rPr>
          <w:rFonts w:cs="Arial"/>
          <w:sz w:val="24"/>
          <w:szCs w:val="24"/>
        </w:rPr>
        <w:t> </w:t>
      </w:r>
      <w:r w:rsidR="006C1917" w:rsidRPr="00434163">
        <w:rPr>
          <w:rFonts w:cs="Arial"/>
          <w:i/>
          <w:iCs/>
          <w:sz w:val="24"/>
          <w:szCs w:val="24"/>
          <w:shd w:val="clear" w:color="auto" w:fill="FFFFFF"/>
        </w:rPr>
        <w:t>Clinica Chimica Acta</w:t>
      </w:r>
      <w:r w:rsidR="006C1917" w:rsidRPr="00434163">
        <w:rPr>
          <w:rFonts w:cs="Arial"/>
          <w:sz w:val="24"/>
          <w:szCs w:val="24"/>
          <w:shd w:val="clear" w:color="auto" w:fill="FFFFFF"/>
        </w:rPr>
        <w:t xml:space="preserve">, 2010, 411.5: 318-323. </w:t>
      </w:r>
      <w:r w:rsidR="006C1917" w:rsidRPr="00434163">
        <w:rPr>
          <w:rFonts w:cs="Helvetica"/>
          <w:sz w:val="24"/>
          <w:szCs w:val="24"/>
        </w:rPr>
        <w:t>ISSN 0009-8981</w:t>
      </w:r>
      <w:r w:rsidR="00C54001">
        <w:rPr>
          <w:rFonts w:cs="Helvetica"/>
          <w:sz w:val="24"/>
          <w:szCs w:val="24"/>
        </w:rPr>
        <w:t>.</w:t>
      </w:r>
    </w:p>
    <w:p w:rsidR="006C1917" w:rsidRPr="00434163" w:rsidRDefault="00887039" w:rsidP="00434163">
      <w:pPr>
        <w:spacing w:after="120" w:line="360" w:lineRule="auto"/>
        <w:rPr>
          <w:bCs/>
          <w:sz w:val="24"/>
          <w:szCs w:val="24"/>
        </w:rPr>
      </w:pPr>
      <w:r>
        <w:rPr>
          <w:sz w:val="24"/>
          <w:szCs w:val="24"/>
        </w:rPr>
        <w:t>16</w:t>
      </w:r>
      <w:r w:rsidR="006C1917" w:rsidRPr="00434163">
        <w:rPr>
          <w:sz w:val="24"/>
          <w:szCs w:val="24"/>
        </w:rPr>
        <w:t xml:space="preserve">/ </w:t>
      </w:r>
      <w:r w:rsidR="006C1917" w:rsidRPr="00434163">
        <w:rPr>
          <w:rFonts w:cs="Arial"/>
          <w:sz w:val="24"/>
          <w:szCs w:val="24"/>
          <w:shd w:val="clear" w:color="auto" w:fill="FFFFFF"/>
        </w:rPr>
        <w:t>LA GERCHE, Andre, et al. Biochemical and functional abnormalities of left and right ventricular function after ultra-endurance exercise.</w:t>
      </w:r>
      <w:r w:rsidR="006C1917" w:rsidRPr="00434163">
        <w:rPr>
          <w:rFonts w:cs="Arial"/>
          <w:sz w:val="24"/>
          <w:szCs w:val="24"/>
        </w:rPr>
        <w:t> </w:t>
      </w:r>
      <w:r w:rsidR="006C1917" w:rsidRPr="00434163">
        <w:rPr>
          <w:rFonts w:cs="Arial"/>
          <w:i/>
          <w:iCs/>
          <w:sz w:val="24"/>
          <w:szCs w:val="24"/>
          <w:shd w:val="clear" w:color="auto" w:fill="FFFFFF"/>
        </w:rPr>
        <w:t>Heart</w:t>
      </w:r>
      <w:r w:rsidR="006C1917" w:rsidRPr="00434163">
        <w:rPr>
          <w:rFonts w:cs="Arial"/>
          <w:sz w:val="24"/>
          <w:szCs w:val="24"/>
          <w:shd w:val="clear" w:color="auto" w:fill="FFFFFF"/>
        </w:rPr>
        <w:t>, 2008, 94.7: 860-866.</w:t>
      </w:r>
      <w:r w:rsidR="006C1917" w:rsidRPr="00434163">
        <w:rPr>
          <w:rFonts w:cs="Arial"/>
          <w:sz w:val="24"/>
          <w:szCs w:val="24"/>
        </w:rPr>
        <w:t xml:space="preserve"> ISSN 1355-6037.</w:t>
      </w:r>
    </w:p>
    <w:p w:rsidR="006C1917" w:rsidRPr="00434163" w:rsidRDefault="00887039" w:rsidP="00434163">
      <w:pPr>
        <w:pStyle w:val="Nadpis1"/>
        <w:numPr>
          <w:ilvl w:val="0"/>
          <w:numId w:val="0"/>
        </w:numPr>
        <w:shd w:val="clear" w:color="auto" w:fill="FFFFFF"/>
        <w:spacing w:before="0" w:beforeAutospacing="0" w:after="120" w:afterAutospacing="0" w:line="360" w:lineRule="auto"/>
        <w:rPr>
          <w:rFonts w:cs="Arial"/>
          <w:b w:val="0"/>
          <w:bCs w:val="0"/>
          <w:kern w:val="0"/>
          <w:sz w:val="24"/>
          <w:szCs w:val="24"/>
          <w:shd w:val="clear" w:color="auto" w:fill="FFFFFF"/>
          <w:lang w:eastAsia="en-US"/>
        </w:rPr>
      </w:pPr>
      <w:bookmarkStart w:id="45" w:name="_Toc422993256"/>
      <w:r>
        <w:rPr>
          <w:b w:val="0"/>
          <w:sz w:val="24"/>
          <w:szCs w:val="24"/>
        </w:rPr>
        <w:t>17</w:t>
      </w:r>
      <w:r w:rsidR="006C1917" w:rsidRPr="00434163">
        <w:rPr>
          <w:b w:val="0"/>
          <w:sz w:val="24"/>
          <w:szCs w:val="24"/>
        </w:rPr>
        <w:t xml:space="preserve">/ </w:t>
      </w:r>
      <w:r w:rsidR="006C1917" w:rsidRPr="00434163">
        <w:rPr>
          <w:rFonts w:cs="Arial"/>
          <w:b w:val="0"/>
          <w:bCs w:val="0"/>
          <w:kern w:val="0"/>
          <w:sz w:val="24"/>
          <w:szCs w:val="24"/>
          <w:shd w:val="clear" w:color="auto" w:fill="FFFFFF"/>
          <w:lang w:eastAsia="en-US"/>
        </w:rPr>
        <w:t>CHEN, Yingjie, et al. Cardiac troponin T alterations in myocardium and serum of rats after stressful, prolonged intense exercise.</w:t>
      </w:r>
      <w:r w:rsidR="006C1917" w:rsidRPr="00434163">
        <w:rPr>
          <w:rFonts w:cs="Arial"/>
          <w:b w:val="0"/>
          <w:bCs w:val="0"/>
          <w:kern w:val="0"/>
          <w:sz w:val="24"/>
          <w:szCs w:val="24"/>
          <w:lang w:eastAsia="en-US"/>
        </w:rPr>
        <w:t> </w:t>
      </w:r>
      <w:r w:rsidR="006C1917" w:rsidRPr="00434163">
        <w:rPr>
          <w:rFonts w:cs="Arial"/>
          <w:b w:val="0"/>
          <w:bCs w:val="0"/>
          <w:i/>
          <w:iCs/>
          <w:kern w:val="0"/>
          <w:sz w:val="24"/>
          <w:szCs w:val="24"/>
          <w:shd w:val="clear" w:color="auto" w:fill="FFFFFF"/>
          <w:lang w:eastAsia="en-US"/>
        </w:rPr>
        <w:t>Journal of Applied Physiology</w:t>
      </w:r>
      <w:r w:rsidR="006C1917" w:rsidRPr="00434163">
        <w:rPr>
          <w:rFonts w:cs="Arial"/>
          <w:b w:val="0"/>
          <w:bCs w:val="0"/>
          <w:kern w:val="0"/>
          <w:sz w:val="24"/>
          <w:szCs w:val="24"/>
          <w:shd w:val="clear" w:color="auto" w:fill="FFFFFF"/>
          <w:lang w:eastAsia="en-US"/>
        </w:rPr>
        <w:t>, 2000, 88.5: 1749-1755. ISSN 8750-7587.</w:t>
      </w:r>
      <w:bookmarkEnd w:id="45"/>
      <w:r w:rsidR="006C1917" w:rsidRPr="00434163">
        <w:rPr>
          <w:b w:val="0"/>
          <w:sz w:val="24"/>
          <w:szCs w:val="24"/>
        </w:rPr>
        <w:t xml:space="preserve"> </w:t>
      </w:r>
    </w:p>
    <w:p w:rsidR="006C1917" w:rsidRPr="00434163" w:rsidRDefault="006C1917" w:rsidP="00434163">
      <w:pPr>
        <w:spacing w:after="120" w:line="360" w:lineRule="auto"/>
        <w:ind w:right="240"/>
        <w:textAlignment w:val="baseline"/>
        <w:rPr>
          <w:bCs/>
          <w:sz w:val="24"/>
          <w:szCs w:val="24"/>
        </w:rPr>
      </w:pPr>
      <w:r w:rsidRPr="00434163">
        <w:rPr>
          <w:bCs/>
          <w:sz w:val="24"/>
          <w:szCs w:val="24"/>
        </w:rPr>
        <w:t xml:space="preserve">18/ </w:t>
      </w:r>
      <w:r w:rsidRPr="00434163">
        <w:rPr>
          <w:rFonts w:cs="Arial"/>
          <w:sz w:val="24"/>
          <w:szCs w:val="24"/>
          <w:shd w:val="clear" w:color="auto" w:fill="FFFFFF"/>
        </w:rPr>
        <w:t>THYGESEN, Kristian, et al. Third universal definition of myocardial infarction.</w:t>
      </w:r>
      <w:r w:rsidR="00C54001">
        <w:rPr>
          <w:rFonts w:cs="Arial"/>
          <w:sz w:val="24"/>
          <w:szCs w:val="24"/>
          <w:shd w:val="clear" w:color="auto" w:fill="FFFFFF"/>
        </w:rPr>
        <w:t xml:space="preserve"> </w:t>
      </w:r>
      <w:r w:rsidRPr="00434163">
        <w:rPr>
          <w:rFonts w:cs="Arial"/>
          <w:i/>
          <w:iCs/>
          <w:sz w:val="24"/>
          <w:szCs w:val="24"/>
          <w:shd w:val="clear" w:color="auto" w:fill="FFFFFF"/>
        </w:rPr>
        <w:t>Journal of the American College of Cardiology</w:t>
      </w:r>
      <w:r w:rsidRPr="00434163">
        <w:rPr>
          <w:rFonts w:cs="Arial"/>
          <w:sz w:val="24"/>
          <w:szCs w:val="24"/>
          <w:shd w:val="clear" w:color="auto" w:fill="FFFFFF"/>
        </w:rPr>
        <w:t xml:space="preserve">, 2012, 60.16: 1581-1598. </w:t>
      </w:r>
      <w:r w:rsidRPr="00434163">
        <w:rPr>
          <w:rFonts w:cs="Arial"/>
          <w:sz w:val="24"/>
          <w:szCs w:val="24"/>
        </w:rPr>
        <w:t> </w:t>
      </w:r>
      <w:r w:rsidRPr="00434163">
        <w:rPr>
          <w:rFonts w:cs="Arial"/>
          <w:bCs/>
          <w:sz w:val="24"/>
          <w:szCs w:val="24"/>
        </w:rPr>
        <w:t>ISSN</w:t>
      </w:r>
      <w:r w:rsidRPr="00434163">
        <w:rPr>
          <w:rFonts w:cs="Arial"/>
          <w:sz w:val="24"/>
          <w:szCs w:val="24"/>
          <w:shd w:val="clear" w:color="auto" w:fill="FFFFFF"/>
        </w:rPr>
        <w:t xml:space="preserve"> 07351097.</w:t>
      </w:r>
    </w:p>
    <w:p w:rsidR="006C1917" w:rsidRDefault="006C1917" w:rsidP="00434163">
      <w:pPr>
        <w:shd w:val="clear" w:color="auto" w:fill="FFFFFF"/>
        <w:spacing w:after="120" w:line="360" w:lineRule="auto"/>
        <w:rPr>
          <w:rFonts w:cs="Arial"/>
          <w:sz w:val="24"/>
          <w:szCs w:val="24"/>
          <w:shd w:val="clear" w:color="auto" w:fill="FFFFFF"/>
        </w:rPr>
      </w:pPr>
      <w:r w:rsidRPr="00434163">
        <w:rPr>
          <w:sz w:val="24"/>
          <w:szCs w:val="24"/>
        </w:rPr>
        <w:t xml:space="preserve">19/ </w:t>
      </w:r>
      <w:r w:rsidRPr="00434163">
        <w:rPr>
          <w:rFonts w:cs="Arial"/>
          <w:sz w:val="24"/>
          <w:szCs w:val="24"/>
          <w:shd w:val="clear" w:color="auto" w:fill="FFFFFF"/>
        </w:rPr>
        <w:t>HORWICH, Tamara B., et al. Cardiac troponin I is associated with impaired hemodynamics, progressive left ventricular dysfunction, and increased mortality rates in advanced heart failure.</w:t>
      </w:r>
      <w:r w:rsidRPr="00434163">
        <w:rPr>
          <w:rFonts w:cs="Arial"/>
          <w:sz w:val="24"/>
          <w:szCs w:val="24"/>
        </w:rPr>
        <w:t> </w:t>
      </w:r>
      <w:r w:rsidRPr="00434163">
        <w:rPr>
          <w:rFonts w:cs="Arial"/>
          <w:i/>
          <w:iCs/>
          <w:sz w:val="24"/>
          <w:szCs w:val="24"/>
          <w:shd w:val="clear" w:color="auto" w:fill="FFFFFF"/>
        </w:rPr>
        <w:t>Circulation</w:t>
      </w:r>
      <w:r w:rsidRPr="00434163">
        <w:rPr>
          <w:rFonts w:cs="Arial"/>
          <w:sz w:val="24"/>
          <w:szCs w:val="24"/>
          <w:shd w:val="clear" w:color="auto" w:fill="FFFFFF"/>
        </w:rPr>
        <w:t xml:space="preserve">, 2003, 108.7: 833-838. </w:t>
      </w:r>
      <w:r w:rsidRPr="00434163">
        <w:rPr>
          <w:rStyle w:val="Zvraznn"/>
          <w:rFonts w:cs="Arial"/>
          <w:bCs/>
          <w:i w:val="0"/>
          <w:iCs w:val="0"/>
          <w:sz w:val="24"/>
          <w:szCs w:val="24"/>
          <w:shd w:val="clear" w:color="auto" w:fill="FFFFFF"/>
        </w:rPr>
        <w:t>ISSN</w:t>
      </w:r>
      <w:r w:rsidRPr="00434163">
        <w:rPr>
          <w:rFonts w:cs="Arial"/>
          <w:sz w:val="24"/>
          <w:szCs w:val="24"/>
          <w:shd w:val="clear" w:color="auto" w:fill="FFFFFF"/>
        </w:rPr>
        <w:t xml:space="preserve"> 0009-7322.</w:t>
      </w:r>
    </w:p>
    <w:p w:rsidR="006C1917" w:rsidRPr="00434163" w:rsidRDefault="006C1917" w:rsidP="00434163">
      <w:pPr>
        <w:shd w:val="clear" w:color="auto" w:fill="FFFFFF"/>
        <w:spacing w:after="120" w:line="360" w:lineRule="auto"/>
        <w:rPr>
          <w:rFonts w:cs="Arial"/>
          <w:sz w:val="24"/>
          <w:szCs w:val="24"/>
          <w:shd w:val="clear" w:color="auto" w:fill="FFFFFF"/>
        </w:rPr>
      </w:pPr>
      <w:r w:rsidRPr="00434163">
        <w:rPr>
          <w:rFonts w:cs="Arial"/>
          <w:sz w:val="24"/>
          <w:szCs w:val="24"/>
          <w:shd w:val="clear" w:color="auto" w:fill="FFFFFF"/>
        </w:rPr>
        <w:t>20/ LUALDI, John C.; GOLDHABER, Samuel Z. Right ventricular dysfunction after acute pulmonary embolism: pathophysiologic factors, detection, and therapeutic implications.</w:t>
      </w:r>
      <w:r w:rsidRPr="00434163">
        <w:rPr>
          <w:rStyle w:val="apple-converted-space"/>
          <w:rFonts w:cs="Arial"/>
          <w:sz w:val="24"/>
          <w:szCs w:val="24"/>
          <w:shd w:val="clear" w:color="auto" w:fill="FFFFFF"/>
        </w:rPr>
        <w:t> </w:t>
      </w:r>
      <w:r w:rsidRPr="00434163">
        <w:rPr>
          <w:rFonts w:cs="Arial"/>
          <w:i/>
          <w:iCs/>
          <w:sz w:val="24"/>
          <w:szCs w:val="24"/>
          <w:shd w:val="clear" w:color="auto" w:fill="FFFFFF"/>
        </w:rPr>
        <w:t>American heart journal</w:t>
      </w:r>
      <w:r w:rsidRPr="00434163">
        <w:rPr>
          <w:rFonts w:cs="Arial"/>
          <w:sz w:val="24"/>
          <w:szCs w:val="24"/>
          <w:shd w:val="clear" w:color="auto" w:fill="FFFFFF"/>
        </w:rPr>
        <w:t>, 1995, 130.6: 1276-1282. ISSN 0002-8703</w:t>
      </w:r>
      <w:r w:rsidR="00C54001">
        <w:rPr>
          <w:rFonts w:cs="Arial"/>
          <w:sz w:val="24"/>
          <w:szCs w:val="24"/>
          <w:shd w:val="clear" w:color="auto" w:fill="FFFFFF"/>
        </w:rPr>
        <w:t>.</w:t>
      </w:r>
      <w:r w:rsidRPr="00434163">
        <w:rPr>
          <w:bCs/>
          <w:sz w:val="24"/>
          <w:szCs w:val="24"/>
        </w:rPr>
        <w:t xml:space="preserve"> </w:t>
      </w:r>
    </w:p>
    <w:p w:rsidR="006C1917" w:rsidRPr="00434163" w:rsidRDefault="006C1917" w:rsidP="00434163">
      <w:pPr>
        <w:shd w:val="clear" w:color="auto" w:fill="FFFFFF"/>
        <w:spacing w:after="120" w:line="360" w:lineRule="auto"/>
        <w:rPr>
          <w:sz w:val="24"/>
          <w:szCs w:val="24"/>
          <w:lang w:eastAsia="cs-CZ"/>
        </w:rPr>
      </w:pPr>
      <w:r w:rsidRPr="00434163">
        <w:rPr>
          <w:bCs/>
          <w:sz w:val="24"/>
          <w:szCs w:val="24"/>
        </w:rPr>
        <w:lastRenderedPageBreak/>
        <w:t xml:space="preserve"> </w:t>
      </w:r>
      <w:r w:rsidRPr="00434163">
        <w:rPr>
          <w:sz w:val="24"/>
          <w:szCs w:val="24"/>
          <w:lang w:eastAsia="cs-CZ"/>
        </w:rPr>
        <w:t xml:space="preserve">21/ </w:t>
      </w:r>
      <w:r w:rsidRPr="00434163">
        <w:rPr>
          <w:rFonts w:cs="Arial"/>
          <w:sz w:val="24"/>
          <w:szCs w:val="24"/>
          <w:shd w:val="clear" w:color="auto" w:fill="FFFFFF"/>
        </w:rPr>
        <w:t>GIANNITSIS, Evangelos, et al. Independent prognostic value of cardiac troponin T in patients with confirmed pulmonary embolism.</w:t>
      </w:r>
      <w:r w:rsidRPr="00434163">
        <w:rPr>
          <w:rFonts w:cs="Arial"/>
          <w:sz w:val="24"/>
          <w:szCs w:val="24"/>
        </w:rPr>
        <w:t> </w:t>
      </w:r>
      <w:r w:rsidRPr="00434163">
        <w:rPr>
          <w:rFonts w:cs="Arial"/>
          <w:i/>
          <w:iCs/>
          <w:sz w:val="24"/>
          <w:szCs w:val="24"/>
          <w:shd w:val="clear" w:color="auto" w:fill="FFFFFF"/>
        </w:rPr>
        <w:t>Circulation</w:t>
      </w:r>
      <w:r w:rsidRPr="00434163">
        <w:rPr>
          <w:rFonts w:cs="Arial"/>
          <w:sz w:val="24"/>
          <w:szCs w:val="24"/>
          <w:shd w:val="clear" w:color="auto" w:fill="FFFFFF"/>
        </w:rPr>
        <w:t xml:space="preserve">, 2000, 102.2: 211-217. </w:t>
      </w:r>
      <w:r w:rsidRPr="00434163">
        <w:rPr>
          <w:rStyle w:val="Zvraznn"/>
          <w:rFonts w:cs="Arial"/>
          <w:bCs/>
          <w:i w:val="0"/>
          <w:iCs w:val="0"/>
          <w:sz w:val="24"/>
          <w:szCs w:val="24"/>
          <w:shd w:val="clear" w:color="auto" w:fill="FFFFFF"/>
        </w:rPr>
        <w:t>ISSN</w:t>
      </w:r>
      <w:r w:rsidRPr="00434163">
        <w:rPr>
          <w:rFonts w:cs="Arial"/>
          <w:sz w:val="24"/>
          <w:szCs w:val="24"/>
          <w:shd w:val="clear" w:color="auto" w:fill="FFFFFF"/>
        </w:rPr>
        <w:t xml:space="preserve"> 0009-7322.</w:t>
      </w:r>
    </w:p>
    <w:p w:rsidR="006C1917" w:rsidRPr="00434163" w:rsidRDefault="006C1917" w:rsidP="00434163">
      <w:pPr>
        <w:shd w:val="clear" w:color="auto" w:fill="FFFFFF"/>
        <w:spacing w:after="120" w:line="360" w:lineRule="auto"/>
        <w:rPr>
          <w:rFonts w:cs="Arial"/>
          <w:sz w:val="24"/>
          <w:szCs w:val="24"/>
          <w:shd w:val="clear" w:color="auto" w:fill="FFFFFF"/>
        </w:rPr>
      </w:pPr>
      <w:r w:rsidRPr="00434163">
        <w:rPr>
          <w:sz w:val="24"/>
          <w:szCs w:val="24"/>
        </w:rPr>
        <w:t xml:space="preserve">22/ </w:t>
      </w:r>
      <w:r w:rsidRPr="00434163">
        <w:rPr>
          <w:rFonts w:cs="Arial"/>
          <w:sz w:val="24"/>
          <w:szCs w:val="24"/>
          <w:shd w:val="clear" w:color="auto" w:fill="FFFFFF"/>
        </w:rPr>
        <w:t>MEYER, Thomas, et al. Cardiac troponin I elevation in acute pulmonary embolism is associated with right ventricular dysfunction.</w:t>
      </w:r>
      <w:r w:rsidRPr="00434163">
        <w:rPr>
          <w:rFonts w:cs="Arial"/>
          <w:sz w:val="24"/>
          <w:szCs w:val="24"/>
        </w:rPr>
        <w:t> </w:t>
      </w:r>
      <w:r w:rsidRPr="00434163">
        <w:rPr>
          <w:rFonts w:cs="Arial"/>
          <w:i/>
          <w:iCs/>
          <w:sz w:val="24"/>
          <w:szCs w:val="24"/>
          <w:shd w:val="clear" w:color="auto" w:fill="FFFFFF"/>
        </w:rPr>
        <w:t>Journal of the American College of Cardiology</w:t>
      </w:r>
      <w:r w:rsidRPr="00434163">
        <w:rPr>
          <w:rFonts w:cs="Arial"/>
          <w:sz w:val="24"/>
          <w:szCs w:val="24"/>
          <w:shd w:val="clear" w:color="auto" w:fill="FFFFFF"/>
        </w:rPr>
        <w:t>, 2000, 36.5: 1632-1636. ISSN 0735-1097.</w:t>
      </w:r>
    </w:p>
    <w:p w:rsidR="006C1917" w:rsidRPr="00434163" w:rsidRDefault="006C1917" w:rsidP="00434163">
      <w:pPr>
        <w:spacing w:after="120" w:line="360" w:lineRule="auto"/>
        <w:rPr>
          <w:sz w:val="24"/>
          <w:szCs w:val="24"/>
        </w:rPr>
      </w:pPr>
      <w:r w:rsidRPr="00434163">
        <w:rPr>
          <w:sz w:val="24"/>
          <w:szCs w:val="24"/>
        </w:rPr>
        <w:t xml:space="preserve">23/ </w:t>
      </w:r>
      <w:r w:rsidR="00C54001">
        <w:rPr>
          <w:rFonts w:cs="Arial"/>
          <w:sz w:val="24"/>
          <w:szCs w:val="24"/>
          <w:shd w:val="clear" w:color="auto" w:fill="FFFFFF"/>
        </w:rPr>
        <w:t xml:space="preserve">EBELT, </w:t>
      </w:r>
      <w:r w:rsidRPr="00434163">
        <w:rPr>
          <w:rFonts w:cs="Arial"/>
          <w:sz w:val="24"/>
          <w:szCs w:val="24"/>
          <w:shd w:val="clear" w:color="auto" w:fill="FFFFFF"/>
        </w:rPr>
        <w:t>H.; WERDAN, K. Septischer Kreislaufschock und septische Kardiomyopathie.</w:t>
      </w:r>
      <w:r w:rsidRPr="00434163">
        <w:rPr>
          <w:rStyle w:val="apple-converted-space"/>
          <w:rFonts w:cs="Arial"/>
          <w:sz w:val="24"/>
          <w:szCs w:val="24"/>
          <w:shd w:val="clear" w:color="auto" w:fill="FFFFFF"/>
        </w:rPr>
        <w:t> </w:t>
      </w:r>
      <w:r w:rsidRPr="00434163">
        <w:rPr>
          <w:rFonts w:cs="Arial"/>
          <w:i/>
          <w:iCs/>
          <w:sz w:val="24"/>
          <w:szCs w:val="24"/>
          <w:shd w:val="clear" w:color="auto" w:fill="FFFFFF"/>
        </w:rPr>
        <w:t>Medizinische Klinik-Intensivmedizin und Notfallmedizin</w:t>
      </w:r>
      <w:r w:rsidRPr="00434163">
        <w:rPr>
          <w:rFonts w:cs="Arial"/>
          <w:sz w:val="24"/>
          <w:szCs w:val="24"/>
          <w:shd w:val="clear" w:color="auto" w:fill="FFFFFF"/>
        </w:rPr>
        <w:t>, 2012, 107.1: 24-28.</w:t>
      </w:r>
      <w:r w:rsidRPr="00434163">
        <w:rPr>
          <w:sz w:val="24"/>
          <w:szCs w:val="24"/>
        </w:rPr>
        <w:t xml:space="preserve"> ISSN 2193-6218.</w:t>
      </w:r>
    </w:p>
    <w:p w:rsidR="006C1917" w:rsidRPr="00434163" w:rsidRDefault="006C1917" w:rsidP="00434163">
      <w:pPr>
        <w:spacing w:after="120" w:line="360" w:lineRule="auto"/>
        <w:rPr>
          <w:sz w:val="24"/>
          <w:szCs w:val="24"/>
          <w:shd w:val="clear" w:color="auto" w:fill="FFFFFF"/>
        </w:rPr>
      </w:pPr>
      <w:r w:rsidRPr="00434163">
        <w:rPr>
          <w:sz w:val="24"/>
          <w:szCs w:val="24"/>
        </w:rPr>
        <w:t xml:space="preserve">24/ </w:t>
      </w:r>
      <w:r w:rsidRPr="00434163">
        <w:rPr>
          <w:rFonts w:cs="Arial"/>
          <w:sz w:val="24"/>
          <w:szCs w:val="24"/>
          <w:shd w:val="clear" w:color="auto" w:fill="FFFFFF"/>
        </w:rPr>
        <w:t>TURNER, Andrew; TSAMITROS, Mary; BELLOMO, Rinaldo. Myocardial cell injury in septic shock.</w:t>
      </w:r>
      <w:r w:rsidRPr="00434163">
        <w:rPr>
          <w:rFonts w:cs="Arial"/>
          <w:sz w:val="24"/>
          <w:szCs w:val="24"/>
        </w:rPr>
        <w:t> </w:t>
      </w:r>
      <w:r w:rsidRPr="00434163">
        <w:rPr>
          <w:rFonts w:cs="Arial"/>
          <w:i/>
          <w:iCs/>
          <w:sz w:val="24"/>
          <w:szCs w:val="24"/>
          <w:shd w:val="clear" w:color="auto" w:fill="FFFFFF"/>
        </w:rPr>
        <w:t>Critical care medicine</w:t>
      </w:r>
      <w:r w:rsidRPr="00434163">
        <w:rPr>
          <w:rFonts w:cs="Arial"/>
          <w:sz w:val="24"/>
          <w:szCs w:val="24"/>
          <w:shd w:val="clear" w:color="auto" w:fill="FFFFFF"/>
        </w:rPr>
        <w:t>, 1999, 27.9: 1775-1780.</w:t>
      </w:r>
      <w:r w:rsidRPr="00434163">
        <w:rPr>
          <w:sz w:val="24"/>
          <w:szCs w:val="24"/>
        </w:rPr>
        <w:t xml:space="preserve"> ISSN </w:t>
      </w:r>
      <w:r w:rsidRPr="00434163">
        <w:rPr>
          <w:sz w:val="24"/>
          <w:szCs w:val="24"/>
          <w:shd w:val="clear" w:color="auto" w:fill="FFFFFF"/>
        </w:rPr>
        <w:t>0090-3493.</w:t>
      </w:r>
    </w:p>
    <w:p w:rsidR="006C1917" w:rsidRPr="00434163" w:rsidRDefault="006C1917" w:rsidP="00434163">
      <w:pPr>
        <w:shd w:val="clear" w:color="auto" w:fill="FFFFFF"/>
        <w:spacing w:after="120" w:line="360" w:lineRule="auto"/>
        <w:rPr>
          <w:rStyle w:val="CittHTML"/>
          <w:rFonts w:cs="Lucida Sans Unicode"/>
          <w:i w:val="0"/>
          <w:iCs w:val="0"/>
          <w:sz w:val="24"/>
          <w:szCs w:val="24"/>
          <w:bdr w:val="none" w:sz="0" w:space="0" w:color="auto" w:frame="1"/>
        </w:rPr>
      </w:pPr>
      <w:r w:rsidRPr="00434163">
        <w:rPr>
          <w:rStyle w:val="CittHTML"/>
          <w:rFonts w:cs="Lucida Sans Unicode"/>
          <w:i w:val="0"/>
          <w:iCs w:val="0"/>
          <w:sz w:val="24"/>
          <w:szCs w:val="24"/>
          <w:bdr w:val="none" w:sz="0" w:space="0" w:color="auto" w:frame="1"/>
        </w:rPr>
        <w:t xml:space="preserve">25/ </w:t>
      </w:r>
      <w:r w:rsidRPr="00434163">
        <w:rPr>
          <w:rFonts w:cs="Arial"/>
          <w:sz w:val="24"/>
          <w:szCs w:val="24"/>
          <w:shd w:val="clear" w:color="auto" w:fill="FFFFFF"/>
        </w:rPr>
        <w:t>ARLATI, S., et al. Myocardial necrosis in ICU patients with acute non-cardiac disease: a prospective study.</w:t>
      </w:r>
      <w:r w:rsidRPr="00434163">
        <w:rPr>
          <w:rFonts w:cs="Arial"/>
          <w:sz w:val="24"/>
          <w:szCs w:val="24"/>
        </w:rPr>
        <w:t> </w:t>
      </w:r>
      <w:r w:rsidRPr="00434163">
        <w:rPr>
          <w:rFonts w:cs="Arial"/>
          <w:i/>
          <w:iCs/>
          <w:sz w:val="24"/>
          <w:szCs w:val="24"/>
          <w:shd w:val="clear" w:color="auto" w:fill="FFFFFF"/>
        </w:rPr>
        <w:t>Intensive care medicine</w:t>
      </w:r>
      <w:r w:rsidRPr="00434163">
        <w:rPr>
          <w:rFonts w:cs="Arial"/>
          <w:sz w:val="24"/>
          <w:szCs w:val="24"/>
          <w:shd w:val="clear" w:color="auto" w:fill="FFFFFF"/>
        </w:rPr>
        <w:t>, 2000, 26.1: 31-37. ISSN:</w:t>
      </w:r>
      <w:r w:rsidRPr="00434163">
        <w:rPr>
          <w:rFonts w:cs="Arial"/>
          <w:sz w:val="24"/>
          <w:szCs w:val="24"/>
        </w:rPr>
        <w:t> 0342-4642. </w:t>
      </w:r>
    </w:p>
    <w:p w:rsidR="006C1917" w:rsidRPr="00434163" w:rsidRDefault="006C1917" w:rsidP="00434163">
      <w:pPr>
        <w:pStyle w:val="Nadpis1"/>
        <w:numPr>
          <w:ilvl w:val="0"/>
          <w:numId w:val="0"/>
        </w:numPr>
        <w:shd w:val="clear" w:color="auto" w:fill="FFFFFF"/>
        <w:spacing w:before="0" w:beforeAutospacing="0" w:after="120" w:afterAutospacing="0" w:line="360" w:lineRule="auto"/>
        <w:rPr>
          <w:b w:val="0"/>
          <w:sz w:val="24"/>
          <w:szCs w:val="24"/>
        </w:rPr>
      </w:pPr>
      <w:bookmarkStart w:id="46" w:name="_Toc422993257"/>
      <w:r w:rsidRPr="00434163">
        <w:rPr>
          <w:b w:val="0"/>
          <w:sz w:val="24"/>
          <w:szCs w:val="24"/>
        </w:rPr>
        <w:t xml:space="preserve">26/ </w:t>
      </w:r>
      <w:r w:rsidRPr="00434163">
        <w:rPr>
          <w:rFonts w:cs="Arial"/>
          <w:b w:val="0"/>
          <w:bCs w:val="0"/>
          <w:kern w:val="0"/>
          <w:sz w:val="24"/>
          <w:szCs w:val="24"/>
          <w:shd w:val="clear" w:color="auto" w:fill="FFFFFF"/>
          <w:lang w:eastAsia="en-US"/>
        </w:rPr>
        <w:t>CHENG, Hui, et al. N-terminal pro-brain natriuretic peptide and cardiac troponin I for the prognostic utility in elderly patients with severe sepsis or septic shock in intensive care unit: A retrospective study.</w:t>
      </w:r>
      <w:r w:rsidRPr="00434163">
        <w:rPr>
          <w:rFonts w:cs="Arial"/>
          <w:b w:val="0"/>
          <w:bCs w:val="0"/>
          <w:kern w:val="0"/>
          <w:sz w:val="24"/>
          <w:szCs w:val="24"/>
          <w:lang w:eastAsia="en-US"/>
        </w:rPr>
        <w:t> </w:t>
      </w:r>
      <w:r w:rsidRPr="00434163">
        <w:rPr>
          <w:rFonts w:cs="Arial"/>
          <w:b w:val="0"/>
          <w:bCs w:val="0"/>
          <w:i/>
          <w:iCs/>
          <w:kern w:val="0"/>
          <w:sz w:val="24"/>
          <w:szCs w:val="24"/>
          <w:shd w:val="clear" w:color="auto" w:fill="FFFFFF"/>
          <w:lang w:eastAsia="en-US"/>
        </w:rPr>
        <w:t>Journal of critical care</w:t>
      </w:r>
      <w:r w:rsidRPr="00434163">
        <w:rPr>
          <w:rFonts w:cs="Arial"/>
          <w:b w:val="0"/>
          <w:bCs w:val="0"/>
          <w:kern w:val="0"/>
          <w:sz w:val="24"/>
          <w:szCs w:val="24"/>
          <w:shd w:val="clear" w:color="auto" w:fill="FFFFFF"/>
          <w:lang w:eastAsia="en-US"/>
        </w:rPr>
        <w:t>, 2014.</w:t>
      </w:r>
      <w:r w:rsidRPr="00434163">
        <w:rPr>
          <w:b w:val="0"/>
          <w:sz w:val="24"/>
          <w:szCs w:val="24"/>
        </w:rPr>
        <w:t xml:space="preserve"> Dec.18. </w:t>
      </w:r>
      <w:r w:rsidRPr="00434163">
        <w:rPr>
          <w:rFonts w:cs="Helvetica"/>
          <w:b w:val="0"/>
          <w:sz w:val="24"/>
          <w:szCs w:val="24"/>
        </w:rPr>
        <w:t>ISSN  0883-9441</w:t>
      </w:r>
      <w:bookmarkEnd w:id="46"/>
      <w:r w:rsidR="00C54001">
        <w:rPr>
          <w:rFonts w:cs="Helvetica"/>
          <w:b w:val="0"/>
          <w:sz w:val="24"/>
          <w:szCs w:val="24"/>
        </w:rPr>
        <w:t>.</w:t>
      </w:r>
    </w:p>
    <w:p w:rsidR="006C1917" w:rsidRPr="00434163" w:rsidRDefault="006C1917" w:rsidP="00434163">
      <w:pPr>
        <w:spacing w:after="120" w:line="360" w:lineRule="auto"/>
        <w:rPr>
          <w:sz w:val="24"/>
          <w:szCs w:val="24"/>
          <w:shd w:val="clear" w:color="auto" w:fill="FFFFFF"/>
        </w:rPr>
      </w:pPr>
      <w:r w:rsidRPr="00434163">
        <w:rPr>
          <w:sz w:val="24"/>
          <w:szCs w:val="24"/>
        </w:rPr>
        <w:t xml:space="preserve">27/ </w:t>
      </w:r>
      <w:r w:rsidRPr="00434163">
        <w:rPr>
          <w:rFonts w:cs="Arial"/>
          <w:sz w:val="24"/>
          <w:szCs w:val="24"/>
          <w:shd w:val="clear" w:color="auto" w:fill="FFFFFF"/>
        </w:rPr>
        <w:t xml:space="preserve">LANDESBERG, Giora, et al. Troponin Elevation in </w:t>
      </w:r>
      <w:proofErr w:type="gramStart"/>
      <w:r w:rsidRPr="00434163">
        <w:rPr>
          <w:rFonts w:cs="Arial"/>
          <w:sz w:val="24"/>
          <w:szCs w:val="24"/>
          <w:shd w:val="clear" w:color="auto" w:fill="FFFFFF"/>
        </w:rPr>
        <w:t>Severe</w:t>
      </w:r>
      <w:proofErr w:type="gramEnd"/>
      <w:r w:rsidRPr="00434163">
        <w:rPr>
          <w:rFonts w:cs="Arial"/>
          <w:sz w:val="24"/>
          <w:szCs w:val="24"/>
          <w:shd w:val="clear" w:color="auto" w:fill="FFFFFF"/>
        </w:rPr>
        <w:t xml:space="preserve"> Sepsis and Septic Shock: The Role of Left Ventricular Diastolic Dysfunction and Right Ventricular Dilatation.</w:t>
      </w:r>
      <w:r w:rsidRPr="00434163">
        <w:rPr>
          <w:rFonts w:cs="Arial"/>
          <w:sz w:val="24"/>
          <w:szCs w:val="24"/>
        </w:rPr>
        <w:t> </w:t>
      </w:r>
      <w:r w:rsidRPr="00434163">
        <w:rPr>
          <w:rFonts w:cs="Arial"/>
          <w:i/>
          <w:iCs/>
          <w:sz w:val="24"/>
          <w:szCs w:val="24"/>
          <w:shd w:val="clear" w:color="auto" w:fill="FFFFFF"/>
        </w:rPr>
        <w:t>Critical care medicine</w:t>
      </w:r>
      <w:r w:rsidRPr="00434163">
        <w:rPr>
          <w:rFonts w:cs="Arial"/>
          <w:sz w:val="24"/>
          <w:szCs w:val="24"/>
          <w:shd w:val="clear" w:color="auto" w:fill="FFFFFF"/>
        </w:rPr>
        <w:t>, 2014, 42.4: 790-800.</w:t>
      </w:r>
      <w:r w:rsidRPr="00434163">
        <w:rPr>
          <w:sz w:val="24"/>
          <w:szCs w:val="24"/>
        </w:rPr>
        <w:t xml:space="preserve"> ISSN </w:t>
      </w:r>
      <w:r w:rsidRPr="00434163">
        <w:rPr>
          <w:sz w:val="24"/>
          <w:szCs w:val="24"/>
          <w:shd w:val="clear" w:color="auto" w:fill="FFFFFF"/>
        </w:rPr>
        <w:t>0090-3493.</w:t>
      </w:r>
    </w:p>
    <w:p w:rsidR="006C1917" w:rsidRPr="00434163" w:rsidRDefault="006C1917" w:rsidP="00434163">
      <w:pPr>
        <w:pStyle w:val="Nadpis1"/>
        <w:numPr>
          <w:ilvl w:val="0"/>
          <w:numId w:val="0"/>
        </w:numPr>
        <w:shd w:val="clear" w:color="auto" w:fill="FFFFFF"/>
        <w:spacing w:before="0" w:beforeAutospacing="0" w:after="120" w:afterAutospacing="0" w:line="360" w:lineRule="auto"/>
        <w:rPr>
          <w:rFonts w:cs="Arial"/>
          <w:b w:val="0"/>
          <w:sz w:val="24"/>
          <w:szCs w:val="24"/>
        </w:rPr>
      </w:pPr>
      <w:bookmarkStart w:id="47" w:name="_Toc422993258"/>
      <w:r w:rsidRPr="00434163">
        <w:rPr>
          <w:rFonts w:cs="Arial"/>
          <w:b w:val="0"/>
          <w:sz w:val="24"/>
          <w:szCs w:val="24"/>
        </w:rPr>
        <w:t xml:space="preserve">28/ </w:t>
      </w:r>
      <w:r w:rsidRPr="00434163">
        <w:rPr>
          <w:rFonts w:cs="Arial"/>
          <w:b w:val="0"/>
          <w:bCs w:val="0"/>
          <w:kern w:val="0"/>
          <w:sz w:val="24"/>
          <w:szCs w:val="24"/>
          <w:shd w:val="clear" w:color="auto" w:fill="FFFFFF"/>
          <w:lang w:eastAsia="en-US"/>
        </w:rPr>
        <w:t>RAJ, Shashi, et al. Myocardial dysfunction in pediatric septic shock.</w:t>
      </w:r>
      <w:r w:rsidRPr="00434163">
        <w:rPr>
          <w:rFonts w:cs="Arial"/>
          <w:b w:val="0"/>
          <w:bCs w:val="0"/>
          <w:kern w:val="0"/>
          <w:sz w:val="24"/>
          <w:szCs w:val="24"/>
          <w:lang w:eastAsia="en-US"/>
        </w:rPr>
        <w:t> </w:t>
      </w:r>
      <w:r w:rsidRPr="00434163">
        <w:rPr>
          <w:rFonts w:cs="Arial"/>
          <w:b w:val="0"/>
          <w:bCs w:val="0"/>
          <w:i/>
          <w:iCs/>
          <w:kern w:val="0"/>
          <w:sz w:val="24"/>
          <w:szCs w:val="24"/>
          <w:shd w:val="clear" w:color="auto" w:fill="FFFFFF"/>
          <w:lang w:eastAsia="en-US"/>
        </w:rPr>
        <w:t>The Journal of pediatrics</w:t>
      </w:r>
      <w:r w:rsidRPr="00434163">
        <w:rPr>
          <w:rFonts w:cs="Arial"/>
          <w:b w:val="0"/>
          <w:bCs w:val="0"/>
          <w:kern w:val="0"/>
          <w:sz w:val="24"/>
          <w:szCs w:val="24"/>
          <w:shd w:val="clear" w:color="auto" w:fill="FFFFFF"/>
          <w:lang w:eastAsia="en-US"/>
        </w:rPr>
        <w:t xml:space="preserve">, 2014, 164.1: 72-77. e2. </w:t>
      </w:r>
      <w:r w:rsidRPr="00434163">
        <w:rPr>
          <w:rStyle w:val="Zvraznn"/>
          <w:rFonts w:cs="Arial"/>
          <w:b w:val="0"/>
          <w:bCs w:val="0"/>
          <w:i w:val="0"/>
          <w:iCs w:val="0"/>
          <w:sz w:val="24"/>
          <w:szCs w:val="24"/>
          <w:shd w:val="clear" w:color="auto" w:fill="FFFFFF"/>
        </w:rPr>
        <w:t>ISSN</w:t>
      </w:r>
      <w:r w:rsidRPr="00434163">
        <w:rPr>
          <w:rFonts w:cs="Arial"/>
          <w:b w:val="0"/>
          <w:sz w:val="24"/>
          <w:szCs w:val="24"/>
          <w:shd w:val="clear" w:color="auto" w:fill="FFFFFF"/>
        </w:rPr>
        <w:t xml:space="preserve"> 0022-3476</w:t>
      </w:r>
      <w:bookmarkEnd w:id="47"/>
      <w:r w:rsidR="00C54001">
        <w:rPr>
          <w:rFonts w:cs="Arial"/>
          <w:b w:val="0"/>
          <w:sz w:val="24"/>
          <w:szCs w:val="24"/>
          <w:shd w:val="clear" w:color="auto" w:fill="FFFFFF"/>
        </w:rPr>
        <w:t>.</w:t>
      </w:r>
    </w:p>
    <w:p w:rsidR="006C1917" w:rsidRPr="00434163" w:rsidRDefault="006C1917" w:rsidP="00434163">
      <w:pPr>
        <w:spacing w:after="120" w:line="360" w:lineRule="auto"/>
        <w:rPr>
          <w:rFonts w:cs="Arial"/>
          <w:sz w:val="24"/>
          <w:szCs w:val="24"/>
          <w:shd w:val="clear" w:color="auto" w:fill="FFFFFF"/>
        </w:rPr>
      </w:pPr>
      <w:r w:rsidRPr="00434163">
        <w:rPr>
          <w:sz w:val="24"/>
          <w:szCs w:val="24"/>
        </w:rPr>
        <w:t>29/</w:t>
      </w:r>
      <w:r w:rsidRPr="00434163">
        <w:rPr>
          <w:sz w:val="24"/>
          <w:szCs w:val="24"/>
          <w:shd w:val="clear" w:color="auto" w:fill="FFFFFF"/>
        </w:rPr>
        <w:t xml:space="preserve"> </w:t>
      </w:r>
      <w:r w:rsidRPr="00434163">
        <w:rPr>
          <w:rFonts w:cs="Arial"/>
          <w:sz w:val="24"/>
          <w:szCs w:val="24"/>
          <w:shd w:val="clear" w:color="auto" w:fill="FFFFFF"/>
        </w:rPr>
        <w:t>FLEMING, Sean M., et al. Cardiac troponin I in pre</w:t>
      </w:r>
      <w:r w:rsidRPr="00434163">
        <w:rPr>
          <w:rFonts w:cs="Cambria Math"/>
          <w:sz w:val="24"/>
          <w:szCs w:val="24"/>
          <w:shd w:val="clear" w:color="auto" w:fill="FFFFFF"/>
        </w:rPr>
        <w:t>‐</w:t>
      </w:r>
      <w:r w:rsidRPr="00434163">
        <w:rPr>
          <w:rFonts w:cs="Arial"/>
          <w:sz w:val="24"/>
          <w:szCs w:val="24"/>
          <w:shd w:val="clear" w:color="auto" w:fill="FFFFFF"/>
        </w:rPr>
        <w:t>eclampsia and gestational hypertension.</w:t>
      </w:r>
      <w:r w:rsidRPr="00434163">
        <w:rPr>
          <w:rFonts w:cs="Arial"/>
          <w:sz w:val="24"/>
          <w:szCs w:val="24"/>
        </w:rPr>
        <w:t> </w:t>
      </w:r>
      <w:r w:rsidRPr="00434163">
        <w:rPr>
          <w:rFonts w:cs="Arial"/>
          <w:i/>
          <w:iCs/>
          <w:sz w:val="24"/>
          <w:szCs w:val="24"/>
          <w:shd w:val="clear" w:color="auto" w:fill="FFFFFF"/>
        </w:rPr>
        <w:t>BJOG: An International Journal of Obstetrics &amp; Gynaecology</w:t>
      </w:r>
      <w:r w:rsidRPr="00434163">
        <w:rPr>
          <w:rFonts w:cs="Arial"/>
          <w:sz w:val="24"/>
          <w:szCs w:val="24"/>
          <w:shd w:val="clear" w:color="auto" w:fill="FFFFFF"/>
        </w:rPr>
        <w:t>, 2000, 107.11: 1417-1420. ISSN:</w:t>
      </w:r>
      <w:r w:rsidRPr="00434163">
        <w:rPr>
          <w:rFonts w:cs="Arial"/>
          <w:sz w:val="24"/>
          <w:szCs w:val="24"/>
        </w:rPr>
        <w:t> </w:t>
      </w:r>
      <w:r w:rsidRPr="00434163">
        <w:rPr>
          <w:rFonts w:cs="Arial"/>
          <w:sz w:val="24"/>
          <w:szCs w:val="24"/>
          <w:bdr w:val="none" w:sz="0" w:space="0" w:color="auto" w:frame="1"/>
          <w:shd w:val="clear" w:color="auto" w:fill="FFFFFF"/>
        </w:rPr>
        <w:t>1471-0528</w:t>
      </w:r>
      <w:r w:rsidRPr="00434163">
        <w:rPr>
          <w:rFonts w:cs="Arial"/>
          <w:sz w:val="24"/>
          <w:szCs w:val="24"/>
          <w:shd w:val="clear" w:color="auto" w:fill="FFFFFF"/>
        </w:rPr>
        <w:t>.</w:t>
      </w:r>
    </w:p>
    <w:p w:rsidR="006C1917" w:rsidRPr="00434163" w:rsidRDefault="006C1917" w:rsidP="00434163">
      <w:pPr>
        <w:pStyle w:val="Nadpis1"/>
        <w:numPr>
          <w:ilvl w:val="0"/>
          <w:numId w:val="0"/>
        </w:numPr>
        <w:shd w:val="clear" w:color="auto" w:fill="FFFFFF"/>
        <w:spacing w:before="0" w:beforeAutospacing="0" w:after="120" w:afterAutospacing="0" w:line="360" w:lineRule="auto"/>
        <w:rPr>
          <w:b w:val="0"/>
          <w:sz w:val="24"/>
          <w:szCs w:val="24"/>
        </w:rPr>
      </w:pPr>
      <w:bookmarkStart w:id="48" w:name="_Toc422993259"/>
      <w:r w:rsidRPr="00434163">
        <w:rPr>
          <w:b w:val="0"/>
          <w:sz w:val="24"/>
          <w:szCs w:val="24"/>
        </w:rPr>
        <w:t xml:space="preserve">30/ </w:t>
      </w:r>
      <w:r w:rsidRPr="00434163">
        <w:rPr>
          <w:rFonts w:cs="Arial"/>
          <w:b w:val="0"/>
          <w:bCs w:val="0"/>
          <w:kern w:val="0"/>
          <w:sz w:val="24"/>
          <w:szCs w:val="24"/>
          <w:shd w:val="clear" w:color="auto" w:fill="FFFFFF"/>
          <w:lang w:eastAsia="en-US"/>
        </w:rPr>
        <w:t>VASILE, Vlad C., et al. Elevated cardiac troponin T levels in critically ill patients with sepsis.</w:t>
      </w:r>
      <w:r w:rsidRPr="00434163">
        <w:rPr>
          <w:rFonts w:cs="Arial"/>
          <w:b w:val="0"/>
          <w:bCs w:val="0"/>
          <w:kern w:val="0"/>
          <w:sz w:val="24"/>
          <w:szCs w:val="24"/>
          <w:lang w:eastAsia="en-US"/>
        </w:rPr>
        <w:t> </w:t>
      </w:r>
      <w:r w:rsidRPr="00434163">
        <w:rPr>
          <w:rFonts w:cs="Arial"/>
          <w:b w:val="0"/>
          <w:bCs w:val="0"/>
          <w:i/>
          <w:iCs/>
          <w:kern w:val="0"/>
          <w:sz w:val="24"/>
          <w:szCs w:val="24"/>
          <w:shd w:val="clear" w:color="auto" w:fill="FFFFFF"/>
          <w:lang w:eastAsia="en-US"/>
        </w:rPr>
        <w:t>The American journal of medicine</w:t>
      </w:r>
      <w:r w:rsidRPr="00434163">
        <w:rPr>
          <w:rFonts w:cs="Arial"/>
          <w:b w:val="0"/>
          <w:bCs w:val="0"/>
          <w:kern w:val="0"/>
          <w:sz w:val="24"/>
          <w:szCs w:val="24"/>
          <w:shd w:val="clear" w:color="auto" w:fill="FFFFFF"/>
          <w:lang w:eastAsia="en-US"/>
        </w:rPr>
        <w:t xml:space="preserve">, 2013, 126.12: 1114-1121. </w:t>
      </w:r>
      <w:r w:rsidRPr="00434163">
        <w:rPr>
          <w:rFonts w:cs="Helvetica"/>
          <w:b w:val="0"/>
          <w:sz w:val="24"/>
          <w:szCs w:val="24"/>
        </w:rPr>
        <w:t>ISSN 0002-9343</w:t>
      </w:r>
      <w:bookmarkEnd w:id="48"/>
      <w:r w:rsidR="00C54001">
        <w:rPr>
          <w:rFonts w:cs="Helvetica"/>
          <w:b w:val="0"/>
          <w:sz w:val="24"/>
          <w:szCs w:val="24"/>
        </w:rPr>
        <w:t>.</w:t>
      </w:r>
    </w:p>
    <w:p w:rsidR="006C1917" w:rsidRPr="00434163" w:rsidRDefault="006C1917" w:rsidP="00434163">
      <w:pPr>
        <w:shd w:val="clear" w:color="auto" w:fill="FFFFFF"/>
        <w:spacing w:after="120" w:line="360" w:lineRule="auto"/>
        <w:rPr>
          <w:rFonts w:cs="Arial"/>
          <w:sz w:val="24"/>
          <w:szCs w:val="24"/>
          <w:shd w:val="clear" w:color="auto" w:fill="FFFFFF"/>
        </w:rPr>
      </w:pPr>
      <w:r w:rsidRPr="00434163">
        <w:rPr>
          <w:sz w:val="24"/>
          <w:szCs w:val="24"/>
        </w:rPr>
        <w:t xml:space="preserve">31/ </w:t>
      </w:r>
      <w:r w:rsidRPr="00434163">
        <w:rPr>
          <w:rFonts w:cs="Arial"/>
          <w:sz w:val="24"/>
          <w:szCs w:val="24"/>
          <w:shd w:val="clear" w:color="auto" w:fill="FFFFFF"/>
        </w:rPr>
        <w:t>FROMM JR, Robert E. Cardiac troponins in the intensive care unit: common causes of increased levels and interpretation.</w:t>
      </w:r>
      <w:r w:rsidRPr="00434163">
        <w:rPr>
          <w:rStyle w:val="apple-converted-space"/>
          <w:rFonts w:cs="Arial"/>
          <w:sz w:val="24"/>
          <w:szCs w:val="24"/>
          <w:shd w:val="clear" w:color="auto" w:fill="FFFFFF"/>
        </w:rPr>
        <w:t> </w:t>
      </w:r>
      <w:r w:rsidRPr="00434163">
        <w:rPr>
          <w:rFonts w:cs="Arial"/>
          <w:i/>
          <w:iCs/>
          <w:sz w:val="24"/>
          <w:szCs w:val="24"/>
          <w:shd w:val="clear" w:color="auto" w:fill="FFFFFF"/>
        </w:rPr>
        <w:t>Critical care medicine</w:t>
      </w:r>
      <w:r w:rsidRPr="00434163">
        <w:rPr>
          <w:rFonts w:cs="Arial"/>
          <w:sz w:val="24"/>
          <w:szCs w:val="24"/>
          <w:shd w:val="clear" w:color="auto" w:fill="FFFFFF"/>
        </w:rPr>
        <w:t>, 2007, 35.2: 584-588.</w:t>
      </w:r>
      <w:r w:rsidRPr="00434163">
        <w:rPr>
          <w:sz w:val="24"/>
          <w:szCs w:val="24"/>
        </w:rPr>
        <w:t xml:space="preserve"> </w:t>
      </w:r>
      <w:r w:rsidRPr="00434163">
        <w:rPr>
          <w:rStyle w:val="Zvraznn"/>
          <w:rFonts w:cs="Arial"/>
          <w:bCs/>
          <w:i w:val="0"/>
          <w:iCs w:val="0"/>
          <w:sz w:val="24"/>
          <w:szCs w:val="24"/>
          <w:shd w:val="clear" w:color="auto" w:fill="FFFFFF"/>
        </w:rPr>
        <w:t>ISSN</w:t>
      </w:r>
      <w:r w:rsidRPr="00434163">
        <w:rPr>
          <w:rFonts w:cs="Arial"/>
          <w:sz w:val="24"/>
          <w:szCs w:val="24"/>
          <w:shd w:val="clear" w:color="auto" w:fill="FFFFFF"/>
        </w:rPr>
        <w:t xml:space="preserve"> 0090-3493.</w:t>
      </w:r>
    </w:p>
    <w:p w:rsidR="006C1917" w:rsidRPr="00434163" w:rsidRDefault="006C1917" w:rsidP="00434163">
      <w:pPr>
        <w:pStyle w:val="Nadpis1"/>
        <w:numPr>
          <w:ilvl w:val="0"/>
          <w:numId w:val="0"/>
        </w:numPr>
        <w:shd w:val="clear" w:color="auto" w:fill="FFFFFF"/>
        <w:spacing w:before="0" w:beforeAutospacing="0" w:after="120" w:afterAutospacing="0" w:line="360" w:lineRule="auto"/>
        <w:rPr>
          <w:rFonts w:cs="Arial"/>
          <w:b w:val="0"/>
          <w:sz w:val="24"/>
          <w:szCs w:val="24"/>
        </w:rPr>
      </w:pPr>
      <w:bookmarkStart w:id="49" w:name="_Toc422993260"/>
      <w:r w:rsidRPr="00434163">
        <w:rPr>
          <w:b w:val="0"/>
          <w:sz w:val="24"/>
          <w:szCs w:val="24"/>
        </w:rPr>
        <w:lastRenderedPageBreak/>
        <w:t>32/</w:t>
      </w:r>
      <w:r w:rsidRPr="00434163">
        <w:rPr>
          <w:rFonts w:cs="Arial"/>
          <w:b w:val="0"/>
          <w:sz w:val="24"/>
          <w:szCs w:val="24"/>
          <w:shd w:val="clear" w:color="auto" w:fill="FFFFFF"/>
        </w:rPr>
        <w:t xml:space="preserve"> KERR, Gillian, et al. Elevated troponin after stroke: a systematic review.</w:t>
      </w:r>
      <w:r w:rsidR="008252F3">
        <w:rPr>
          <w:rFonts w:cs="Arial"/>
          <w:b w:val="0"/>
          <w:sz w:val="24"/>
          <w:szCs w:val="24"/>
          <w:shd w:val="clear" w:color="auto" w:fill="FFFFFF"/>
        </w:rPr>
        <w:t xml:space="preserve"> </w:t>
      </w:r>
      <w:r w:rsidRPr="00434163">
        <w:rPr>
          <w:rFonts w:cs="Arial"/>
          <w:b w:val="0"/>
          <w:i/>
          <w:iCs/>
          <w:sz w:val="24"/>
          <w:szCs w:val="24"/>
          <w:shd w:val="clear" w:color="auto" w:fill="FFFFFF"/>
        </w:rPr>
        <w:t>Cerebrovascular diseases (Basel, Switzerland)</w:t>
      </w:r>
      <w:r w:rsidRPr="00434163">
        <w:rPr>
          <w:rFonts w:cs="Arial"/>
          <w:b w:val="0"/>
          <w:sz w:val="24"/>
          <w:szCs w:val="24"/>
          <w:shd w:val="clear" w:color="auto" w:fill="FFFFFF"/>
        </w:rPr>
        <w:t>, 2008, 28.3: 220-226.</w:t>
      </w:r>
      <w:r w:rsidRPr="00434163">
        <w:rPr>
          <w:b w:val="0"/>
          <w:sz w:val="24"/>
          <w:szCs w:val="24"/>
        </w:rPr>
        <w:t xml:space="preserve"> ISSN </w:t>
      </w:r>
      <w:r w:rsidRPr="00434163">
        <w:rPr>
          <w:rFonts w:cs="Arial"/>
          <w:b w:val="0"/>
          <w:sz w:val="24"/>
          <w:szCs w:val="24"/>
          <w:shd w:val="clear" w:color="auto" w:fill="FFFFFF"/>
        </w:rPr>
        <w:t>1421-9786.</w:t>
      </w:r>
      <w:bookmarkEnd w:id="49"/>
    </w:p>
    <w:p w:rsidR="006C1917" w:rsidRPr="00434163" w:rsidRDefault="006C1917" w:rsidP="00434163">
      <w:pPr>
        <w:shd w:val="clear" w:color="auto" w:fill="FFFFFF"/>
        <w:spacing w:after="120" w:line="360" w:lineRule="auto"/>
        <w:rPr>
          <w:sz w:val="24"/>
          <w:szCs w:val="24"/>
        </w:rPr>
      </w:pPr>
      <w:r w:rsidRPr="00434163">
        <w:rPr>
          <w:sz w:val="24"/>
          <w:szCs w:val="24"/>
        </w:rPr>
        <w:t xml:space="preserve">33/ </w:t>
      </w:r>
      <w:r w:rsidRPr="00434163">
        <w:rPr>
          <w:rFonts w:cs="Arial"/>
          <w:sz w:val="24"/>
          <w:szCs w:val="24"/>
          <w:shd w:val="clear" w:color="auto" w:fill="FFFFFF"/>
        </w:rPr>
        <w:t xml:space="preserve">ANDERS, B., et al. What does elevated high-sensitive troponin I in stroke patients mean: concomitant acute myocardial infarction or a marker for high-risk patients? </w:t>
      </w:r>
      <w:r w:rsidRPr="00434163">
        <w:rPr>
          <w:rFonts w:cs="Arial"/>
          <w:i/>
          <w:iCs/>
          <w:sz w:val="24"/>
          <w:szCs w:val="24"/>
          <w:shd w:val="clear" w:color="auto" w:fill="FFFFFF"/>
        </w:rPr>
        <w:t>Cerebrovascular diseases (Basel, Switzerland)</w:t>
      </w:r>
      <w:r w:rsidRPr="00434163">
        <w:rPr>
          <w:rFonts w:cs="Arial"/>
          <w:sz w:val="24"/>
          <w:szCs w:val="24"/>
          <w:shd w:val="clear" w:color="auto" w:fill="FFFFFF"/>
        </w:rPr>
        <w:t>, 2012, 36.3: 211-217.</w:t>
      </w:r>
      <w:r w:rsidRPr="00434163">
        <w:rPr>
          <w:sz w:val="24"/>
          <w:szCs w:val="24"/>
        </w:rPr>
        <w:t xml:space="preserve"> ISSN </w:t>
      </w:r>
      <w:r w:rsidRPr="00434163">
        <w:rPr>
          <w:rFonts w:cs="Arial"/>
          <w:sz w:val="24"/>
          <w:szCs w:val="24"/>
          <w:shd w:val="clear" w:color="auto" w:fill="FFFFFF"/>
        </w:rPr>
        <w:t>1421-9786.</w:t>
      </w:r>
    </w:p>
    <w:p w:rsidR="006C1917" w:rsidRPr="00434163" w:rsidRDefault="006C1917" w:rsidP="00434163">
      <w:pPr>
        <w:pStyle w:val="Nadpis1"/>
        <w:numPr>
          <w:ilvl w:val="0"/>
          <w:numId w:val="0"/>
        </w:numPr>
        <w:spacing w:before="0" w:beforeAutospacing="0" w:after="120" w:afterAutospacing="0" w:line="360" w:lineRule="auto"/>
        <w:rPr>
          <w:rFonts w:cs="Arial"/>
          <w:b w:val="0"/>
          <w:sz w:val="24"/>
          <w:szCs w:val="24"/>
          <w:shd w:val="clear" w:color="auto" w:fill="FFFFFF"/>
        </w:rPr>
      </w:pPr>
      <w:bookmarkStart w:id="50" w:name="_Toc422993261"/>
      <w:r w:rsidRPr="00434163">
        <w:rPr>
          <w:b w:val="0"/>
          <w:sz w:val="24"/>
          <w:szCs w:val="24"/>
        </w:rPr>
        <w:t xml:space="preserve">34/  </w:t>
      </w:r>
      <w:r w:rsidRPr="00434163">
        <w:rPr>
          <w:rFonts w:cs="Arial"/>
          <w:b w:val="0"/>
          <w:bCs w:val="0"/>
          <w:kern w:val="0"/>
          <w:sz w:val="24"/>
          <w:szCs w:val="24"/>
          <w:shd w:val="clear" w:color="auto" w:fill="FFFFFF"/>
          <w:lang w:eastAsia="en-US"/>
        </w:rPr>
        <w:t>RAMARAJ, Radhakrishnan; SORRELL, Vincent L.; MOVAHED, Mohammad Reza. Levels of troponin release can aid in the early exclusion of stress-induced (takotsubo) cardiomyopathy.</w:t>
      </w:r>
      <w:r w:rsidRPr="00434163">
        <w:rPr>
          <w:rFonts w:cs="Arial"/>
          <w:b w:val="0"/>
          <w:bCs w:val="0"/>
          <w:kern w:val="0"/>
          <w:sz w:val="24"/>
          <w:szCs w:val="24"/>
          <w:lang w:eastAsia="en-US"/>
        </w:rPr>
        <w:t> </w:t>
      </w:r>
      <w:r w:rsidRPr="00434163">
        <w:rPr>
          <w:rFonts w:cs="Arial"/>
          <w:b w:val="0"/>
          <w:bCs w:val="0"/>
          <w:i/>
          <w:iCs/>
          <w:kern w:val="0"/>
          <w:sz w:val="24"/>
          <w:szCs w:val="24"/>
          <w:shd w:val="clear" w:color="auto" w:fill="FFFFFF"/>
          <w:lang w:eastAsia="en-US"/>
        </w:rPr>
        <w:t>Experimental &amp; Clinical Cardiology</w:t>
      </w:r>
      <w:r w:rsidRPr="00434163">
        <w:rPr>
          <w:rFonts w:cs="Arial"/>
          <w:b w:val="0"/>
          <w:bCs w:val="0"/>
          <w:kern w:val="0"/>
          <w:sz w:val="24"/>
          <w:szCs w:val="24"/>
          <w:shd w:val="clear" w:color="auto" w:fill="FFFFFF"/>
          <w:lang w:eastAsia="en-US"/>
        </w:rPr>
        <w:t xml:space="preserve">, 2009, 14.1: 6. ISSN </w:t>
      </w:r>
      <w:r w:rsidRPr="00434163">
        <w:rPr>
          <w:rFonts w:cs="Arial"/>
          <w:b w:val="0"/>
          <w:sz w:val="24"/>
          <w:szCs w:val="24"/>
          <w:shd w:val="clear" w:color="auto" w:fill="FFFFFF"/>
        </w:rPr>
        <w:t>1205-6626.</w:t>
      </w:r>
      <w:bookmarkEnd w:id="50"/>
    </w:p>
    <w:p w:rsidR="006C1917" w:rsidRPr="00434163" w:rsidRDefault="006C1917" w:rsidP="00434163">
      <w:pPr>
        <w:shd w:val="clear" w:color="auto" w:fill="FFFFFF"/>
        <w:spacing w:after="120" w:line="360" w:lineRule="auto"/>
        <w:rPr>
          <w:sz w:val="24"/>
          <w:szCs w:val="24"/>
          <w:lang w:eastAsia="cs-CZ"/>
        </w:rPr>
      </w:pPr>
      <w:r w:rsidRPr="00434163">
        <w:rPr>
          <w:sz w:val="24"/>
          <w:szCs w:val="24"/>
        </w:rPr>
        <w:t xml:space="preserve">35/ </w:t>
      </w:r>
      <w:r w:rsidRPr="00434163">
        <w:rPr>
          <w:rFonts w:cs="Arial"/>
          <w:sz w:val="24"/>
          <w:szCs w:val="24"/>
          <w:shd w:val="clear" w:color="auto" w:fill="FFFFFF"/>
        </w:rPr>
        <w:t>DIRIS, Jart HC, et al. Impaired renal clearance explains elevated troponin T fragments in hemodialysis patients.</w:t>
      </w:r>
      <w:r w:rsidRPr="00434163">
        <w:rPr>
          <w:rStyle w:val="apple-converted-space"/>
          <w:rFonts w:cs="Arial"/>
          <w:sz w:val="24"/>
          <w:szCs w:val="24"/>
          <w:shd w:val="clear" w:color="auto" w:fill="FFFFFF"/>
        </w:rPr>
        <w:t> </w:t>
      </w:r>
      <w:r w:rsidRPr="00434163">
        <w:rPr>
          <w:rFonts w:cs="Arial"/>
          <w:i/>
          <w:iCs/>
          <w:sz w:val="24"/>
          <w:szCs w:val="24"/>
          <w:shd w:val="clear" w:color="auto" w:fill="FFFFFF"/>
        </w:rPr>
        <w:t>Circulation</w:t>
      </w:r>
      <w:r w:rsidRPr="00434163">
        <w:rPr>
          <w:rFonts w:cs="Arial"/>
          <w:sz w:val="24"/>
          <w:szCs w:val="24"/>
          <w:shd w:val="clear" w:color="auto" w:fill="FFFFFF"/>
        </w:rPr>
        <w:t>, 2004, 109.1: 23-25.</w:t>
      </w:r>
      <w:r w:rsidRPr="00434163">
        <w:rPr>
          <w:rStyle w:val="Zvraznn"/>
          <w:rFonts w:cs="Arial"/>
          <w:bCs/>
          <w:i w:val="0"/>
          <w:iCs w:val="0"/>
          <w:sz w:val="24"/>
          <w:szCs w:val="24"/>
          <w:shd w:val="clear" w:color="auto" w:fill="FFFFFF"/>
        </w:rPr>
        <w:t xml:space="preserve"> ISSN</w:t>
      </w:r>
      <w:r w:rsidRPr="00434163">
        <w:rPr>
          <w:rFonts w:cs="Arial"/>
          <w:sz w:val="24"/>
          <w:szCs w:val="24"/>
          <w:shd w:val="clear" w:color="auto" w:fill="FFFFFF"/>
        </w:rPr>
        <w:t xml:space="preserve"> 0009-7322.</w:t>
      </w:r>
    </w:p>
    <w:p w:rsidR="006C1917" w:rsidRPr="00434163" w:rsidRDefault="006C1917" w:rsidP="00434163">
      <w:pPr>
        <w:pStyle w:val="Nadpis1"/>
        <w:numPr>
          <w:ilvl w:val="0"/>
          <w:numId w:val="0"/>
        </w:numPr>
        <w:shd w:val="clear" w:color="auto" w:fill="FFFFFF"/>
        <w:spacing w:before="0" w:beforeAutospacing="0" w:after="120" w:afterAutospacing="0" w:line="360" w:lineRule="auto"/>
        <w:rPr>
          <w:b w:val="0"/>
          <w:sz w:val="24"/>
          <w:szCs w:val="24"/>
        </w:rPr>
      </w:pPr>
      <w:bookmarkStart w:id="51" w:name="_Toc422993262"/>
      <w:r w:rsidRPr="00434163">
        <w:rPr>
          <w:b w:val="0"/>
          <w:sz w:val="24"/>
          <w:szCs w:val="24"/>
        </w:rPr>
        <w:t>36/</w:t>
      </w:r>
      <w:r w:rsidRPr="00434163">
        <w:rPr>
          <w:rFonts w:cs="Arial"/>
          <w:b w:val="0"/>
          <w:sz w:val="24"/>
          <w:szCs w:val="24"/>
        </w:rPr>
        <w:t xml:space="preserve"> </w:t>
      </w:r>
      <w:r w:rsidRPr="00434163">
        <w:rPr>
          <w:rFonts w:cs="Arial"/>
          <w:b w:val="0"/>
          <w:bCs w:val="0"/>
          <w:kern w:val="0"/>
          <w:sz w:val="24"/>
          <w:szCs w:val="24"/>
          <w:shd w:val="clear" w:color="auto" w:fill="FFFFFF"/>
          <w:lang w:eastAsia="en-US"/>
        </w:rPr>
        <w:t>SWINKELS, B. M., et al. Prevalence and clinical significance of an elevated cardiac troponin I in patients presenting to the emergency department without chest pain.</w:t>
      </w:r>
      <w:r w:rsidRPr="00434163">
        <w:rPr>
          <w:rFonts w:cs="Arial"/>
          <w:b w:val="0"/>
          <w:bCs w:val="0"/>
          <w:kern w:val="0"/>
          <w:sz w:val="24"/>
          <w:szCs w:val="24"/>
          <w:lang w:eastAsia="en-US"/>
        </w:rPr>
        <w:t> </w:t>
      </w:r>
      <w:r w:rsidRPr="00434163">
        <w:rPr>
          <w:rFonts w:cs="Arial"/>
          <w:b w:val="0"/>
          <w:bCs w:val="0"/>
          <w:i/>
          <w:iCs/>
          <w:kern w:val="0"/>
          <w:sz w:val="24"/>
          <w:szCs w:val="24"/>
          <w:shd w:val="clear" w:color="auto" w:fill="FFFFFF"/>
          <w:lang w:eastAsia="en-US"/>
        </w:rPr>
        <w:t>European journal of internal medicine</w:t>
      </w:r>
      <w:r w:rsidRPr="00434163">
        <w:rPr>
          <w:rFonts w:cs="Arial"/>
          <w:b w:val="0"/>
          <w:bCs w:val="0"/>
          <w:kern w:val="0"/>
          <w:sz w:val="24"/>
          <w:szCs w:val="24"/>
          <w:shd w:val="clear" w:color="auto" w:fill="FFFFFF"/>
          <w:lang w:eastAsia="en-US"/>
        </w:rPr>
        <w:t xml:space="preserve">, 2006, 17.2: 92-95. </w:t>
      </w:r>
      <w:r w:rsidRPr="00434163">
        <w:rPr>
          <w:rFonts w:cs="Helvetica"/>
          <w:b w:val="0"/>
          <w:sz w:val="24"/>
          <w:szCs w:val="24"/>
        </w:rPr>
        <w:t>ISSN 0953-6205.</w:t>
      </w:r>
      <w:bookmarkEnd w:id="51"/>
    </w:p>
    <w:p w:rsidR="006C1917" w:rsidRPr="00434163" w:rsidRDefault="006C1917" w:rsidP="00434163">
      <w:pPr>
        <w:shd w:val="clear" w:color="auto" w:fill="FFFFFF"/>
        <w:spacing w:after="120" w:line="360" w:lineRule="auto"/>
        <w:textAlignment w:val="baseline"/>
        <w:rPr>
          <w:sz w:val="24"/>
          <w:szCs w:val="24"/>
        </w:rPr>
      </w:pPr>
      <w:r w:rsidRPr="00434163">
        <w:rPr>
          <w:sz w:val="24"/>
          <w:szCs w:val="24"/>
        </w:rPr>
        <w:t>37/</w:t>
      </w:r>
      <w:r w:rsidRPr="00434163">
        <w:rPr>
          <w:rFonts w:cs="Arial"/>
          <w:sz w:val="24"/>
          <w:szCs w:val="24"/>
          <w:shd w:val="clear" w:color="auto" w:fill="FFFFFF"/>
        </w:rPr>
        <w:t xml:space="preserve"> AVILES, Ronnier J., et al. Troponin T levels in patients with acute coronary syndromes, with or without renal dysfunction.</w:t>
      </w:r>
      <w:r w:rsidRPr="00434163">
        <w:rPr>
          <w:rFonts w:cs="Arial"/>
          <w:sz w:val="24"/>
          <w:szCs w:val="24"/>
        </w:rPr>
        <w:t> </w:t>
      </w:r>
      <w:r w:rsidRPr="00434163">
        <w:rPr>
          <w:rFonts w:cs="Arial"/>
          <w:i/>
          <w:iCs/>
          <w:sz w:val="24"/>
          <w:szCs w:val="24"/>
          <w:shd w:val="clear" w:color="auto" w:fill="FFFFFF"/>
        </w:rPr>
        <w:t>New England journal of medicine</w:t>
      </w:r>
      <w:r w:rsidRPr="00434163">
        <w:rPr>
          <w:rFonts w:cs="Arial"/>
          <w:sz w:val="24"/>
          <w:szCs w:val="24"/>
          <w:shd w:val="clear" w:color="auto" w:fill="FFFFFF"/>
        </w:rPr>
        <w:t xml:space="preserve">, 2002, 346.26: 2047-2052. </w:t>
      </w:r>
      <w:r w:rsidRPr="00434163">
        <w:rPr>
          <w:rFonts w:cs="Arial"/>
          <w:bCs/>
          <w:sz w:val="24"/>
          <w:szCs w:val="24"/>
        </w:rPr>
        <w:t>ISSN</w:t>
      </w:r>
      <w:r w:rsidRPr="00434163">
        <w:rPr>
          <w:rFonts w:cs="Arial"/>
          <w:sz w:val="24"/>
          <w:szCs w:val="24"/>
        </w:rPr>
        <w:t> </w:t>
      </w:r>
      <w:r w:rsidRPr="00434163">
        <w:rPr>
          <w:rFonts w:cs="Arial"/>
          <w:sz w:val="24"/>
          <w:szCs w:val="24"/>
          <w:shd w:val="clear" w:color="auto" w:fill="FFFFFF"/>
        </w:rPr>
        <w:t>1533-4406.</w:t>
      </w:r>
    </w:p>
    <w:p w:rsidR="006C1917" w:rsidRPr="00434163" w:rsidRDefault="006C1917" w:rsidP="00434163">
      <w:pPr>
        <w:shd w:val="clear" w:color="auto" w:fill="FFFFFF"/>
        <w:spacing w:after="120" w:line="360" w:lineRule="auto"/>
        <w:textAlignment w:val="baseline"/>
        <w:rPr>
          <w:rFonts w:cs="Arial"/>
          <w:sz w:val="24"/>
          <w:szCs w:val="24"/>
          <w:shd w:val="clear" w:color="auto" w:fill="FFFFFF"/>
        </w:rPr>
      </w:pPr>
      <w:r w:rsidRPr="00434163">
        <w:rPr>
          <w:sz w:val="24"/>
          <w:szCs w:val="24"/>
        </w:rPr>
        <w:t xml:space="preserve">38/ </w:t>
      </w:r>
      <w:r w:rsidRPr="00434163">
        <w:rPr>
          <w:rFonts w:cs="Arial"/>
          <w:sz w:val="24"/>
          <w:szCs w:val="24"/>
          <w:shd w:val="clear" w:color="auto" w:fill="FFFFFF"/>
        </w:rPr>
        <w:t>HERZOG, Charles A.; MA, Jennie Z.; COLLINS, Allan J. Poor long-term survival after acute myocardial infarction among patients on long-term dialysis.</w:t>
      </w:r>
      <w:r w:rsidRPr="00434163">
        <w:rPr>
          <w:rFonts w:cs="Arial"/>
          <w:sz w:val="24"/>
          <w:szCs w:val="24"/>
        </w:rPr>
        <w:t> </w:t>
      </w:r>
      <w:r w:rsidRPr="00434163">
        <w:rPr>
          <w:rFonts w:cs="Arial"/>
          <w:i/>
          <w:iCs/>
          <w:sz w:val="24"/>
          <w:szCs w:val="24"/>
          <w:shd w:val="clear" w:color="auto" w:fill="FFFFFF"/>
        </w:rPr>
        <w:t>New England Journal of Medicine</w:t>
      </w:r>
      <w:r w:rsidRPr="00434163">
        <w:rPr>
          <w:rFonts w:cs="Arial"/>
          <w:sz w:val="24"/>
          <w:szCs w:val="24"/>
          <w:shd w:val="clear" w:color="auto" w:fill="FFFFFF"/>
        </w:rPr>
        <w:t>, 1998, 339.12: 799-805.</w:t>
      </w:r>
      <w:r w:rsidRPr="00434163">
        <w:rPr>
          <w:rFonts w:cs="Arial"/>
          <w:bCs/>
          <w:sz w:val="24"/>
          <w:szCs w:val="24"/>
        </w:rPr>
        <w:t xml:space="preserve"> ISSN</w:t>
      </w:r>
      <w:r w:rsidRPr="00434163">
        <w:rPr>
          <w:rFonts w:cs="Arial"/>
          <w:sz w:val="24"/>
          <w:szCs w:val="24"/>
        </w:rPr>
        <w:t> </w:t>
      </w:r>
      <w:r w:rsidRPr="00434163">
        <w:rPr>
          <w:rFonts w:cs="Arial"/>
          <w:sz w:val="24"/>
          <w:szCs w:val="24"/>
          <w:shd w:val="clear" w:color="auto" w:fill="FFFFFF"/>
        </w:rPr>
        <w:t>1533-4406.</w:t>
      </w:r>
    </w:p>
    <w:p w:rsidR="006C1917" w:rsidRDefault="006C1917" w:rsidP="00434163">
      <w:pPr>
        <w:shd w:val="clear" w:color="auto" w:fill="FFFFFF"/>
        <w:spacing w:after="120" w:line="360" w:lineRule="auto"/>
        <w:textAlignment w:val="top"/>
        <w:rPr>
          <w:rFonts w:cs="Arial"/>
          <w:sz w:val="24"/>
          <w:szCs w:val="24"/>
          <w:shd w:val="clear" w:color="auto" w:fill="FFFFFF"/>
        </w:rPr>
      </w:pPr>
      <w:r w:rsidRPr="00434163">
        <w:rPr>
          <w:rFonts w:cs="Arial"/>
          <w:sz w:val="24"/>
          <w:szCs w:val="24"/>
          <w:lang w:eastAsia="cs-CZ"/>
        </w:rPr>
        <w:t>39</w:t>
      </w:r>
      <w:r w:rsidRPr="00434163">
        <w:rPr>
          <w:rFonts w:cs="Arial"/>
          <w:sz w:val="24"/>
          <w:szCs w:val="24"/>
          <w:shd w:val="clear" w:color="auto" w:fill="FFFFFF"/>
        </w:rPr>
        <w:t>/ FAVORY, Raphael; NEVIERE, Remi. Bench-to-bedside review: significance and interpretation of elevated troponin in septic patients.</w:t>
      </w:r>
      <w:r w:rsidRPr="00434163">
        <w:rPr>
          <w:rFonts w:cs="Arial"/>
          <w:sz w:val="24"/>
          <w:szCs w:val="24"/>
        </w:rPr>
        <w:t> </w:t>
      </w:r>
      <w:r w:rsidRPr="00434163">
        <w:rPr>
          <w:rFonts w:cs="Arial"/>
          <w:i/>
          <w:iCs/>
          <w:sz w:val="24"/>
          <w:szCs w:val="24"/>
          <w:shd w:val="clear" w:color="auto" w:fill="FFFFFF"/>
        </w:rPr>
        <w:t>Crit</w:t>
      </w:r>
      <w:r w:rsidR="008252F3">
        <w:rPr>
          <w:rFonts w:cs="Arial"/>
          <w:i/>
          <w:iCs/>
          <w:sz w:val="24"/>
          <w:szCs w:val="24"/>
          <w:shd w:val="clear" w:color="auto" w:fill="FFFFFF"/>
        </w:rPr>
        <w:t>.</w:t>
      </w:r>
      <w:r w:rsidRPr="00434163">
        <w:rPr>
          <w:rFonts w:cs="Arial"/>
          <w:i/>
          <w:iCs/>
          <w:sz w:val="24"/>
          <w:szCs w:val="24"/>
          <w:shd w:val="clear" w:color="auto" w:fill="FFFFFF"/>
        </w:rPr>
        <w:t xml:space="preserve"> Care</w:t>
      </w:r>
      <w:r w:rsidRPr="00434163">
        <w:rPr>
          <w:rFonts w:cs="Arial"/>
          <w:sz w:val="24"/>
          <w:szCs w:val="24"/>
          <w:shd w:val="clear" w:color="auto" w:fill="FFFFFF"/>
        </w:rPr>
        <w:t xml:space="preserve">, 2006, 10.224: 3-5. </w:t>
      </w:r>
      <w:r w:rsidRPr="00434163">
        <w:rPr>
          <w:rFonts w:cs="Arial"/>
          <w:sz w:val="24"/>
          <w:szCs w:val="24"/>
        </w:rPr>
        <w:t> </w:t>
      </w:r>
      <w:r w:rsidRPr="00434163">
        <w:rPr>
          <w:rFonts w:cs="Arial"/>
          <w:bCs/>
          <w:sz w:val="24"/>
          <w:szCs w:val="24"/>
        </w:rPr>
        <w:t>ISSN</w:t>
      </w:r>
      <w:r>
        <w:rPr>
          <w:rFonts w:cs="Arial"/>
          <w:sz w:val="24"/>
          <w:szCs w:val="24"/>
          <w:shd w:val="clear" w:color="auto" w:fill="FFFFFF"/>
        </w:rPr>
        <w:t xml:space="preserve"> 1364-8535.</w:t>
      </w:r>
    </w:p>
    <w:p w:rsidR="0085656F" w:rsidRPr="0085656F" w:rsidRDefault="00CE6CB2" w:rsidP="0085656F">
      <w:pPr>
        <w:spacing w:after="120" w:line="360" w:lineRule="auto"/>
        <w:rPr>
          <w:rFonts w:asciiTheme="minorHAnsi" w:hAnsiTheme="minorHAnsi" w:cs="Arial"/>
          <w:sz w:val="24"/>
          <w:szCs w:val="24"/>
          <w:shd w:val="clear" w:color="auto" w:fill="FFFFFF"/>
        </w:rPr>
      </w:pPr>
      <w:r>
        <w:rPr>
          <w:rFonts w:asciiTheme="minorHAnsi" w:hAnsiTheme="minorHAnsi" w:cs="Arial"/>
          <w:sz w:val="24"/>
          <w:szCs w:val="24"/>
          <w:shd w:val="clear" w:color="auto" w:fill="FFFFFF"/>
        </w:rPr>
        <w:t>40/ HORÁČ</w:t>
      </w:r>
      <w:r w:rsidR="0085656F" w:rsidRPr="0085656F">
        <w:rPr>
          <w:rFonts w:asciiTheme="minorHAnsi" w:hAnsiTheme="minorHAnsi" w:cs="Arial"/>
          <w:sz w:val="24"/>
          <w:szCs w:val="24"/>
          <w:shd w:val="clear" w:color="auto" w:fill="FFFFFF"/>
        </w:rPr>
        <w:t>EK, J. M., et al. The use of biochemical markers in cardiotoxicity monitoring in patients treated for leukemia.</w:t>
      </w:r>
      <w:r w:rsidR="0085656F" w:rsidRPr="0085656F">
        <w:rPr>
          <w:rFonts w:asciiTheme="minorHAnsi" w:hAnsiTheme="minorHAnsi" w:cs="Arial"/>
          <w:sz w:val="24"/>
          <w:szCs w:val="24"/>
        </w:rPr>
        <w:t> </w:t>
      </w:r>
      <w:r w:rsidR="0085656F" w:rsidRPr="0085656F">
        <w:rPr>
          <w:rFonts w:asciiTheme="minorHAnsi" w:hAnsiTheme="minorHAnsi" w:cs="Arial"/>
          <w:i/>
          <w:iCs/>
          <w:sz w:val="24"/>
          <w:szCs w:val="24"/>
          <w:shd w:val="clear" w:color="auto" w:fill="FFFFFF"/>
        </w:rPr>
        <w:t>Neoplasma</w:t>
      </w:r>
      <w:r w:rsidR="0085656F" w:rsidRPr="0085656F">
        <w:rPr>
          <w:rFonts w:asciiTheme="minorHAnsi" w:hAnsiTheme="minorHAnsi" w:cs="Arial"/>
          <w:sz w:val="24"/>
          <w:szCs w:val="24"/>
          <w:shd w:val="clear" w:color="auto" w:fill="FFFFFF"/>
        </w:rPr>
        <w:t>, 2004, 52.5: 430-434.</w:t>
      </w:r>
      <w:r w:rsidR="009B4CB8">
        <w:rPr>
          <w:rFonts w:asciiTheme="minorHAnsi" w:hAnsiTheme="minorHAnsi" w:cs="Arial"/>
          <w:sz w:val="24"/>
          <w:szCs w:val="24"/>
          <w:shd w:val="clear" w:color="auto" w:fill="FFFFFF"/>
        </w:rPr>
        <w:t xml:space="preserve"> ISSN 0028-2685.</w:t>
      </w:r>
    </w:p>
    <w:p w:rsidR="0085656F" w:rsidRPr="0085656F" w:rsidRDefault="00CE6CB2" w:rsidP="0085656F">
      <w:pPr>
        <w:spacing w:after="120" w:line="360" w:lineRule="auto"/>
        <w:rPr>
          <w:rFonts w:asciiTheme="minorHAnsi" w:hAnsiTheme="minorHAnsi"/>
          <w:sz w:val="24"/>
          <w:szCs w:val="24"/>
        </w:rPr>
      </w:pPr>
      <w:r>
        <w:rPr>
          <w:rFonts w:asciiTheme="minorHAnsi" w:hAnsiTheme="minorHAnsi" w:cs="Arial"/>
          <w:sz w:val="24"/>
          <w:szCs w:val="24"/>
          <w:shd w:val="clear" w:color="auto" w:fill="FFFFFF"/>
        </w:rPr>
        <w:t>41/ ŠROMOVÁ</w:t>
      </w:r>
      <w:r w:rsidR="0085656F" w:rsidRPr="0085656F">
        <w:rPr>
          <w:rFonts w:asciiTheme="minorHAnsi" w:hAnsiTheme="minorHAnsi" w:cs="Arial"/>
          <w:sz w:val="24"/>
          <w:szCs w:val="24"/>
          <w:shd w:val="clear" w:color="auto" w:fill="FFFFFF"/>
        </w:rPr>
        <w:t>, T</w:t>
      </w:r>
      <w:r>
        <w:rPr>
          <w:rFonts w:asciiTheme="minorHAnsi" w:hAnsiTheme="minorHAnsi" w:cs="Arial"/>
          <w:sz w:val="24"/>
          <w:szCs w:val="24"/>
          <w:shd w:val="clear" w:color="auto" w:fill="FFFFFF"/>
        </w:rPr>
        <w:t>.; STRNADOVÁ, V.; HRSTKOVÁ</w:t>
      </w:r>
      <w:r w:rsidR="00C54001">
        <w:rPr>
          <w:rFonts w:asciiTheme="minorHAnsi" w:hAnsiTheme="minorHAnsi" w:cs="Arial"/>
          <w:sz w:val="24"/>
          <w:szCs w:val="24"/>
          <w:shd w:val="clear" w:color="auto" w:fill="FFFFFF"/>
        </w:rPr>
        <w:t xml:space="preserve">, </w:t>
      </w:r>
      <w:proofErr w:type="gramStart"/>
      <w:r w:rsidR="00C54001">
        <w:rPr>
          <w:rFonts w:asciiTheme="minorHAnsi" w:hAnsiTheme="minorHAnsi" w:cs="Arial"/>
          <w:sz w:val="24"/>
          <w:szCs w:val="24"/>
          <w:shd w:val="clear" w:color="auto" w:fill="FFFFFF"/>
        </w:rPr>
        <w:t xml:space="preserve">H.  </w:t>
      </w:r>
      <w:r w:rsidR="0085656F" w:rsidRPr="0085656F">
        <w:rPr>
          <w:rFonts w:asciiTheme="minorHAnsi" w:hAnsiTheme="minorHAnsi" w:cs="Arial"/>
          <w:sz w:val="24"/>
          <w:szCs w:val="24"/>
          <w:shd w:val="clear" w:color="auto" w:fill="FFFFFF"/>
        </w:rPr>
        <w:t>Monitoring</w:t>
      </w:r>
      <w:proofErr w:type="gramEnd"/>
      <w:r w:rsidR="0085656F" w:rsidRPr="0085656F">
        <w:rPr>
          <w:rFonts w:asciiTheme="minorHAnsi" w:hAnsiTheme="minorHAnsi" w:cs="Arial"/>
          <w:sz w:val="24"/>
          <w:szCs w:val="24"/>
          <w:shd w:val="clear" w:color="auto" w:fill="FFFFFF"/>
        </w:rPr>
        <w:t xml:space="preserve"> cardiotoxicity of anthracyclines in children and possibilitie</w:t>
      </w:r>
      <w:r w:rsidR="00C54001">
        <w:rPr>
          <w:rFonts w:asciiTheme="minorHAnsi" w:hAnsiTheme="minorHAnsi" w:cs="Arial"/>
          <w:sz w:val="24"/>
          <w:szCs w:val="24"/>
          <w:shd w:val="clear" w:color="auto" w:fill="FFFFFF"/>
        </w:rPr>
        <w:t>s of its prevention</w:t>
      </w:r>
      <w:r w:rsidR="0085656F" w:rsidRPr="0085656F">
        <w:rPr>
          <w:rFonts w:asciiTheme="minorHAnsi" w:hAnsiTheme="minorHAnsi" w:cs="Arial"/>
          <w:sz w:val="24"/>
          <w:szCs w:val="24"/>
          <w:shd w:val="clear" w:color="auto" w:fill="FFFFFF"/>
        </w:rPr>
        <w:t>.</w:t>
      </w:r>
      <w:r w:rsidR="0085656F" w:rsidRPr="0085656F">
        <w:rPr>
          <w:rFonts w:asciiTheme="minorHAnsi" w:hAnsiTheme="minorHAnsi" w:cs="Arial"/>
          <w:sz w:val="24"/>
          <w:szCs w:val="24"/>
        </w:rPr>
        <w:t> </w:t>
      </w:r>
      <w:r w:rsidR="0085656F" w:rsidRPr="0085656F">
        <w:rPr>
          <w:rFonts w:asciiTheme="minorHAnsi" w:hAnsiTheme="minorHAnsi" w:cs="Arial"/>
          <w:i/>
          <w:iCs/>
          <w:sz w:val="24"/>
          <w:szCs w:val="24"/>
          <w:shd w:val="clear" w:color="auto" w:fill="FFFFFF"/>
        </w:rPr>
        <w:t>Vnitrni lekarstvi</w:t>
      </w:r>
      <w:r w:rsidR="0085656F" w:rsidRPr="0085656F">
        <w:rPr>
          <w:rFonts w:asciiTheme="minorHAnsi" w:hAnsiTheme="minorHAnsi" w:cs="Arial"/>
          <w:sz w:val="24"/>
          <w:szCs w:val="24"/>
          <w:shd w:val="clear" w:color="auto" w:fill="FFFFFF"/>
        </w:rPr>
        <w:t>, 2002, 48.7: 649-656.</w:t>
      </w:r>
      <w:r w:rsidR="00954DD0">
        <w:rPr>
          <w:rFonts w:asciiTheme="minorHAnsi" w:hAnsiTheme="minorHAnsi" w:cs="Arial"/>
          <w:sz w:val="24"/>
          <w:szCs w:val="24"/>
          <w:shd w:val="clear" w:color="auto" w:fill="FFFFFF"/>
        </w:rPr>
        <w:t xml:space="preserve"> ISSN 1801-7592.</w:t>
      </w:r>
    </w:p>
    <w:p w:rsidR="0085656F" w:rsidRPr="00434163" w:rsidRDefault="0085656F" w:rsidP="00434163">
      <w:pPr>
        <w:shd w:val="clear" w:color="auto" w:fill="FFFFFF"/>
        <w:spacing w:after="120" w:line="360" w:lineRule="auto"/>
        <w:textAlignment w:val="top"/>
        <w:rPr>
          <w:rFonts w:cs="Arial"/>
          <w:sz w:val="24"/>
          <w:szCs w:val="24"/>
          <w:shd w:val="clear" w:color="auto" w:fill="FFFFFF"/>
        </w:rPr>
      </w:pPr>
    </w:p>
    <w:p w:rsidR="006C1917" w:rsidRPr="00434163" w:rsidRDefault="00797C57" w:rsidP="00434163">
      <w:pPr>
        <w:spacing w:after="120" w:line="360" w:lineRule="auto"/>
        <w:rPr>
          <w:rFonts w:cs="Arial"/>
          <w:sz w:val="24"/>
          <w:szCs w:val="24"/>
          <w:shd w:val="clear" w:color="auto" w:fill="FFFFFF"/>
        </w:rPr>
      </w:pPr>
      <w:r>
        <w:rPr>
          <w:bCs/>
          <w:sz w:val="24"/>
          <w:szCs w:val="24"/>
        </w:rPr>
        <w:lastRenderedPageBreak/>
        <w:t>42</w:t>
      </w:r>
      <w:r w:rsidR="006C1917" w:rsidRPr="00434163">
        <w:rPr>
          <w:bCs/>
          <w:sz w:val="24"/>
          <w:szCs w:val="24"/>
        </w:rPr>
        <w:t xml:space="preserve">/ </w:t>
      </w:r>
      <w:r w:rsidR="006C1917" w:rsidRPr="00434163">
        <w:rPr>
          <w:rFonts w:cs="Arial"/>
          <w:sz w:val="24"/>
          <w:szCs w:val="24"/>
          <w:shd w:val="clear" w:color="auto" w:fill="FFFFFF"/>
        </w:rPr>
        <w:t>GIANNITSIS, Evangelos, et al. Analytical validation of a high-sensitivity cardiac troponin T assay.</w:t>
      </w:r>
      <w:r w:rsidR="006C1917" w:rsidRPr="00434163">
        <w:rPr>
          <w:rFonts w:cs="Arial"/>
          <w:sz w:val="24"/>
          <w:szCs w:val="24"/>
        </w:rPr>
        <w:t> </w:t>
      </w:r>
      <w:r w:rsidR="006C1917" w:rsidRPr="00434163">
        <w:rPr>
          <w:rFonts w:cs="Arial"/>
          <w:i/>
          <w:iCs/>
          <w:sz w:val="24"/>
          <w:szCs w:val="24"/>
          <w:shd w:val="clear" w:color="auto" w:fill="FFFFFF"/>
        </w:rPr>
        <w:t>Clinical chemistry</w:t>
      </w:r>
      <w:r w:rsidR="006C1917" w:rsidRPr="00434163">
        <w:rPr>
          <w:rFonts w:cs="Arial"/>
          <w:sz w:val="24"/>
          <w:szCs w:val="24"/>
          <w:shd w:val="clear" w:color="auto" w:fill="FFFFFF"/>
        </w:rPr>
        <w:t xml:space="preserve">, 2010, 56.2: 254-261. </w:t>
      </w:r>
      <w:r w:rsidR="006C1917" w:rsidRPr="00434163">
        <w:rPr>
          <w:rFonts w:cs="Arial"/>
          <w:bCs/>
          <w:sz w:val="24"/>
          <w:szCs w:val="24"/>
        </w:rPr>
        <w:t>ISSN</w:t>
      </w:r>
      <w:r w:rsidR="006C1917" w:rsidRPr="00434163">
        <w:rPr>
          <w:rFonts w:cs="Arial"/>
          <w:sz w:val="24"/>
          <w:szCs w:val="24"/>
        </w:rPr>
        <w:t> </w:t>
      </w:r>
      <w:r w:rsidR="006C1917" w:rsidRPr="00434163">
        <w:rPr>
          <w:rFonts w:cs="Arial"/>
          <w:sz w:val="24"/>
          <w:szCs w:val="24"/>
          <w:shd w:val="clear" w:color="auto" w:fill="FFFFFF"/>
        </w:rPr>
        <w:t>0009-9147.</w:t>
      </w:r>
    </w:p>
    <w:p w:rsidR="006C1917" w:rsidRPr="00434163" w:rsidRDefault="00797C57" w:rsidP="00434163">
      <w:pPr>
        <w:spacing w:after="120" w:line="360" w:lineRule="auto"/>
        <w:rPr>
          <w:bCs/>
          <w:sz w:val="24"/>
          <w:szCs w:val="24"/>
        </w:rPr>
      </w:pPr>
      <w:r>
        <w:rPr>
          <w:bCs/>
          <w:sz w:val="24"/>
          <w:szCs w:val="24"/>
        </w:rPr>
        <w:t>43</w:t>
      </w:r>
      <w:r w:rsidR="006C1917" w:rsidRPr="00434163">
        <w:rPr>
          <w:bCs/>
          <w:sz w:val="24"/>
          <w:szCs w:val="24"/>
        </w:rPr>
        <w:t xml:space="preserve">/ </w:t>
      </w:r>
      <w:r w:rsidR="006C1917" w:rsidRPr="00434163">
        <w:rPr>
          <w:rFonts w:cs="Arial"/>
          <w:sz w:val="24"/>
          <w:szCs w:val="24"/>
          <w:shd w:val="clear" w:color="auto" w:fill="FFFFFF"/>
        </w:rPr>
        <w:t>SOUČEK, Eduard.</w:t>
      </w:r>
      <w:r w:rsidR="006C1917" w:rsidRPr="00434163">
        <w:rPr>
          <w:rFonts w:cs="Arial"/>
          <w:sz w:val="24"/>
          <w:szCs w:val="24"/>
        </w:rPr>
        <w:t> </w:t>
      </w:r>
      <w:r w:rsidR="006C1917" w:rsidRPr="00434163">
        <w:rPr>
          <w:rFonts w:cs="Arial"/>
          <w:i/>
          <w:iCs/>
          <w:sz w:val="24"/>
          <w:szCs w:val="24"/>
          <w:shd w:val="clear" w:color="auto" w:fill="FFFFFF"/>
        </w:rPr>
        <w:t xml:space="preserve">Statistika pro ekonomy. </w:t>
      </w:r>
      <w:r w:rsidR="006C1917" w:rsidRPr="00434163">
        <w:rPr>
          <w:sz w:val="24"/>
          <w:szCs w:val="24"/>
        </w:rPr>
        <w:t>VYSOKÁ ŠKOLA EKONOMIE A MANAGEMENTU, Praha, 2006. 30 s.</w:t>
      </w:r>
      <w:r w:rsidR="006C1917" w:rsidRPr="00434163">
        <w:rPr>
          <w:rFonts w:cs="Arial"/>
          <w:sz w:val="24"/>
          <w:szCs w:val="24"/>
          <w:shd w:val="clear" w:color="auto" w:fill="FFFFFF"/>
        </w:rPr>
        <w:t xml:space="preserve"> ISBN 978-80-86730-06-6.</w:t>
      </w:r>
    </w:p>
    <w:p w:rsidR="006C1917" w:rsidRPr="00434163" w:rsidRDefault="00797C57" w:rsidP="00434163">
      <w:pPr>
        <w:spacing w:after="120" w:line="360" w:lineRule="auto"/>
        <w:rPr>
          <w:bCs/>
          <w:sz w:val="24"/>
          <w:szCs w:val="24"/>
        </w:rPr>
      </w:pPr>
      <w:r>
        <w:rPr>
          <w:bCs/>
          <w:sz w:val="24"/>
          <w:szCs w:val="24"/>
        </w:rPr>
        <w:t>44</w:t>
      </w:r>
      <w:r w:rsidR="006C1917" w:rsidRPr="00434163">
        <w:rPr>
          <w:bCs/>
          <w:sz w:val="24"/>
          <w:szCs w:val="24"/>
        </w:rPr>
        <w:t>/ Jabor A. et al., Encyklopedie laboratorní medicíny pr klinickou praxi- verze 12,[Internet], SEKK s.r.o., Praha, prosinec 2014, ISBN 80-238-9775-6.</w:t>
      </w:r>
    </w:p>
    <w:p w:rsidR="006C1917" w:rsidRPr="00434163" w:rsidRDefault="00797C57" w:rsidP="00434163">
      <w:pPr>
        <w:pStyle w:val="Nadpis1"/>
        <w:numPr>
          <w:ilvl w:val="0"/>
          <w:numId w:val="0"/>
        </w:numPr>
        <w:shd w:val="clear" w:color="auto" w:fill="FFFFFF"/>
        <w:spacing w:before="0" w:beforeAutospacing="0" w:after="120" w:afterAutospacing="0" w:line="360" w:lineRule="auto"/>
        <w:rPr>
          <w:rFonts w:cs="Arial"/>
          <w:b w:val="0"/>
          <w:sz w:val="24"/>
          <w:szCs w:val="24"/>
        </w:rPr>
      </w:pPr>
      <w:bookmarkStart w:id="52" w:name="_Toc422993263"/>
      <w:r>
        <w:rPr>
          <w:rFonts w:cs="Arial"/>
          <w:b w:val="0"/>
          <w:sz w:val="24"/>
          <w:szCs w:val="24"/>
        </w:rPr>
        <w:t>45</w:t>
      </w:r>
      <w:r w:rsidR="006C1917" w:rsidRPr="00434163">
        <w:rPr>
          <w:rFonts w:cs="Arial"/>
          <w:b w:val="0"/>
          <w:sz w:val="24"/>
          <w:szCs w:val="24"/>
        </w:rPr>
        <w:t xml:space="preserve">/ </w:t>
      </w:r>
      <w:r w:rsidR="006C1917" w:rsidRPr="00434163">
        <w:rPr>
          <w:rFonts w:cs="Arial"/>
          <w:b w:val="0"/>
          <w:bCs w:val="0"/>
          <w:kern w:val="0"/>
          <w:sz w:val="24"/>
          <w:szCs w:val="24"/>
          <w:shd w:val="clear" w:color="auto" w:fill="FFFFFF"/>
          <w:lang w:eastAsia="en-US"/>
        </w:rPr>
        <w:t>THYGESEN, Kristian, et al. Recommendations for the use of cardiac troponin measurement in acute cardiac care.</w:t>
      </w:r>
      <w:r w:rsidR="006C1917" w:rsidRPr="00434163">
        <w:rPr>
          <w:rFonts w:cs="Arial"/>
          <w:b w:val="0"/>
          <w:bCs w:val="0"/>
          <w:kern w:val="0"/>
          <w:sz w:val="24"/>
          <w:szCs w:val="24"/>
          <w:lang w:eastAsia="en-US"/>
        </w:rPr>
        <w:t> </w:t>
      </w:r>
      <w:r w:rsidR="006C1917" w:rsidRPr="00434163">
        <w:rPr>
          <w:rFonts w:cs="Arial"/>
          <w:b w:val="0"/>
          <w:bCs w:val="0"/>
          <w:i/>
          <w:iCs/>
          <w:kern w:val="0"/>
          <w:sz w:val="24"/>
          <w:szCs w:val="24"/>
          <w:shd w:val="clear" w:color="auto" w:fill="FFFFFF"/>
          <w:lang w:eastAsia="en-US"/>
        </w:rPr>
        <w:t>European heart journal</w:t>
      </w:r>
      <w:r w:rsidR="006C1917" w:rsidRPr="00434163">
        <w:rPr>
          <w:rFonts w:cs="Arial"/>
          <w:b w:val="0"/>
          <w:bCs w:val="0"/>
          <w:kern w:val="0"/>
          <w:sz w:val="24"/>
          <w:szCs w:val="24"/>
          <w:shd w:val="clear" w:color="auto" w:fill="FFFFFF"/>
          <w:lang w:eastAsia="en-US"/>
        </w:rPr>
        <w:t>, 2010, 31.18: 2197-2204.</w:t>
      </w:r>
      <w:r w:rsidR="006C1917" w:rsidRPr="00434163">
        <w:rPr>
          <w:rFonts w:cs="Arial"/>
          <w:b w:val="0"/>
          <w:sz w:val="24"/>
          <w:szCs w:val="24"/>
          <w:shd w:val="clear" w:color="auto" w:fill="FFFFFF"/>
        </w:rPr>
        <w:t xml:space="preserve"> ISSN 1522-9445.</w:t>
      </w:r>
      <w:bookmarkEnd w:id="52"/>
    </w:p>
    <w:p w:rsidR="006C1917" w:rsidRPr="00434163" w:rsidRDefault="00797C57" w:rsidP="00434163">
      <w:pPr>
        <w:spacing w:after="120" w:line="360" w:lineRule="auto"/>
        <w:rPr>
          <w:sz w:val="24"/>
          <w:szCs w:val="24"/>
        </w:rPr>
      </w:pPr>
      <w:r>
        <w:rPr>
          <w:sz w:val="24"/>
          <w:szCs w:val="24"/>
        </w:rPr>
        <w:t>46</w:t>
      </w:r>
      <w:r w:rsidR="006C1917" w:rsidRPr="00434163">
        <w:rPr>
          <w:sz w:val="24"/>
          <w:szCs w:val="24"/>
        </w:rPr>
        <w:t>/</w:t>
      </w:r>
      <w:r w:rsidR="006C1917" w:rsidRPr="00434163">
        <w:rPr>
          <w:rFonts w:cs="Arial"/>
          <w:sz w:val="24"/>
          <w:szCs w:val="24"/>
          <w:shd w:val="clear" w:color="auto" w:fill="FFFFFF"/>
        </w:rPr>
        <w:t xml:space="preserve"> HAMM, Christian W., et al. ESC Guidelines for the management of acute coronary syndromes in patients presenting without persistent ST-segment elevation The Task Force for the management of acute coronary syndromes (ACS) in patients presenting without persistent ST-segment elevation of the European Society of Cardiology (ESC).</w:t>
      </w:r>
      <w:r w:rsidR="006C1917" w:rsidRPr="00434163">
        <w:rPr>
          <w:rFonts w:cs="Arial"/>
          <w:sz w:val="24"/>
          <w:szCs w:val="24"/>
        </w:rPr>
        <w:t> </w:t>
      </w:r>
      <w:r w:rsidR="006C1917" w:rsidRPr="00434163">
        <w:rPr>
          <w:rFonts w:cs="Arial"/>
          <w:i/>
          <w:iCs/>
          <w:sz w:val="24"/>
          <w:szCs w:val="24"/>
          <w:shd w:val="clear" w:color="auto" w:fill="FFFFFF"/>
        </w:rPr>
        <w:t>European heart journal</w:t>
      </w:r>
      <w:r w:rsidR="006C1917" w:rsidRPr="00434163">
        <w:rPr>
          <w:rFonts w:cs="Arial"/>
          <w:sz w:val="24"/>
          <w:szCs w:val="24"/>
          <w:shd w:val="clear" w:color="auto" w:fill="FFFFFF"/>
        </w:rPr>
        <w:t>, 2011, 32.23: 2999-3054.</w:t>
      </w:r>
      <w:r w:rsidR="00C54001">
        <w:rPr>
          <w:rFonts w:cs="Arial"/>
          <w:sz w:val="24"/>
          <w:szCs w:val="24"/>
          <w:shd w:val="clear" w:color="auto" w:fill="FFFFFF"/>
        </w:rPr>
        <w:t xml:space="preserve"> </w:t>
      </w:r>
      <w:r w:rsidR="006C1917" w:rsidRPr="00434163">
        <w:rPr>
          <w:rFonts w:cs="Arial"/>
          <w:sz w:val="24"/>
          <w:szCs w:val="24"/>
          <w:shd w:val="clear" w:color="auto" w:fill="FFFFFF"/>
        </w:rPr>
        <w:t>ISSN 1522-9445.</w:t>
      </w:r>
    </w:p>
    <w:p w:rsidR="006C1917" w:rsidRPr="00434163" w:rsidRDefault="00797C57" w:rsidP="00434163">
      <w:pPr>
        <w:spacing w:after="120" w:line="360" w:lineRule="auto"/>
        <w:rPr>
          <w:rFonts w:cs="Arial"/>
          <w:sz w:val="24"/>
          <w:szCs w:val="24"/>
          <w:shd w:val="clear" w:color="auto" w:fill="FFFFFF"/>
        </w:rPr>
      </w:pPr>
      <w:r>
        <w:rPr>
          <w:rFonts w:cs="Lucida Sans Unicode"/>
          <w:sz w:val="24"/>
          <w:szCs w:val="24"/>
          <w:shd w:val="clear" w:color="auto" w:fill="FFFFFF"/>
        </w:rPr>
        <w:t>47</w:t>
      </w:r>
      <w:r w:rsidR="006C1917" w:rsidRPr="00434163">
        <w:rPr>
          <w:rFonts w:cs="Lucida Sans Unicode"/>
          <w:sz w:val="24"/>
          <w:szCs w:val="24"/>
          <w:shd w:val="clear" w:color="auto" w:fill="FFFFFF"/>
        </w:rPr>
        <w:t xml:space="preserve">/ </w:t>
      </w:r>
      <w:r w:rsidR="006C1917" w:rsidRPr="00434163">
        <w:rPr>
          <w:rFonts w:cs="Arial"/>
          <w:sz w:val="24"/>
          <w:szCs w:val="24"/>
          <w:shd w:val="clear" w:color="auto" w:fill="FFFFFF"/>
        </w:rPr>
        <w:t>REICHLIN, Tobias, et al. Utility of absolute and relative changes in cardiac troponin concentrations in the early diagnosis of acute myocardial infarction.</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xml:space="preserve">, 2011, 124.2: 136-145.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p>
    <w:p w:rsidR="006C1917" w:rsidRPr="00434163" w:rsidRDefault="00797C57" w:rsidP="00434163">
      <w:pPr>
        <w:pStyle w:val="Nadpis1"/>
        <w:numPr>
          <w:ilvl w:val="0"/>
          <w:numId w:val="0"/>
        </w:numPr>
        <w:shd w:val="clear" w:color="auto" w:fill="FFFFFF"/>
        <w:spacing w:before="0" w:beforeAutospacing="0" w:after="120" w:afterAutospacing="0" w:line="360" w:lineRule="auto"/>
        <w:textAlignment w:val="baseline"/>
        <w:rPr>
          <w:rFonts w:cs="Arial"/>
          <w:b w:val="0"/>
          <w:bCs w:val="0"/>
          <w:kern w:val="0"/>
          <w:sz w:val="24"/>
          <w:szCs w:val="24"/>
          <w:shd w:val="clear" w:color="auto" w:fill="FFFFFF"/>
          <w:lang w:eastAsia="en-US"/>
        </w:rPr>
      </w:pPr>
      <w:bookmarkStart w:id="53" w:name="_Toc422993264"/>
      <w:r>
        <w:rPr>
          <w:rFonts w:cs="Arial"/>
          <w:b w:val="0"/>
          <w:sz w:val="24"/>
          <w:szCs w:val="24"/>
          <w:shd w:val="clear" w:color="auto" w:fill="FFFFFF"/>
        </w:rPr>
        <w:t>48</w:t>
      </w:r>
      <w:r w:rsidR="006C1917" w:rsidRPr="00434163">
        <w:rPr>
          <w:rFonts w:cs="Arial"/>
          <w:b w:val="0"/>
          <w:sz w:val="24"/>
          <w:szCs w:val="24"/>
          <w:shd w:val="clear" w:color="auto" w:fill="FFFFFF"/>
        </w:rPr>
        <w:t>/ JANOTA, Tomáš. Biochemical markers in the diagnosis of myocardial infarction.</w:t>
      </w:r>
      <w:r w:rsidR="006C1917" w:rsidRPr="00434163">
        <w:rPr>
          <w:rFonts w:cs="Arial"/>
          <w:b w:val="0"/>
          <w:sz w:val="24"/>
          <w:szCs w:val="24"/>
        </w:rPr>
        <w:t> </w:t>
      </w:r>
      <w:r w:rsidR="006C1917" w:rsidRPr="00434163">
        <w:rPr>
          <w:rFonts w:cs="Arial"/>
          <w:b w:val="0"/>
          <w:i/>
          <w:iCs/>
          <w:sz w:val="24"/>
          <w:szCs w:val="24"/>
          <w:shd w:val="clear" w:color="auto" w:fill="FFFFFF"/>
        </w:rPr>
        <w:t>Cor et Vasa</w:t>
      </w:r>
      <w:r w:rsidR="006C1917" w:rsidRPr="00434163">
        <w:rPr>
          <w:rFonts w:cs="Arial"/>
          <w:b w:val="0"/>
          <w:sz w:val="24"/>
          <w:szCs w:val="24"/>
          <w:shd w:val="clear" w:color="auto" w:fill="FFFFFF"/>
        </w:rPr>
        <w:t xml:space="preserve">, 2014, 56.4: e304-e310. </w:t>
      </w:r>
      <w:r w:rsidR="006C1917" w:rsidRPr="00434163">
        <w:rPr>
          <w:rFonts w:cs="Arial"/>
          <w:b w:val="0"/>
          <w:kern w:val="0"/>
          <w:sz w:val="24"/>
          <w:szCs w:val="24"/>
          <w:lang w:eastAsia="en-US"/>
        </w:rPr>
        <w:t>ISSN</w:t>
      </w:r>
      <w:r w:rsidR="006C1917" w:rsidRPr="00434163">
        <w:rPr>
          <w:rFonts w:cs="Arial"/>
          <w:b w:val="0"/>
          <w:bCs w:val="0"/>
          <w:kern w:val="0"/>
          <w:sz w:val="24"/>
          <w:szCs w:val="24"/>
          <w:lang w:eastAsia="en-US"/>
        </w:rPr>
        <w:t> </w:t>
      </w:r>
      <w:r w:rsidR="006C1917" w:rsidRPr="00434163">
        <w:rPr>
          <w:rFonts w:cs="Arial"/>
          <w:b w:val="0"/>
          <w:bCs w:val="0"/>
          <w:kern w:val="0"/>
          <w:sz w:val="24"/>
          <w:szCs w:val="24"/>
          <w:shd w:val="clear" w:color="auto" w:fill="FFFFFF"/>
          <w:lang w:eastAsia="en-US"/>
        </w:rPr>
        <w:t>0010-8650.</w:t>
      </w:r>
      <w:bookmarkEnd w:id="53"/>
    </w:p>
    <w:p w:rsidR="006C1917" w:rsidRPr="00434163" w:rsidRDefault="00797C57" w:rsidP="00434163">
      <w:pPr>
        <w:shd w:val="clear" w:color="auto" w:fill="FFFFFF"/>
        <w:spacing w:after="120" w:line="360" w:lineRule="auto"/>
        <w:rPr>
          <w:rFonts w:cs="Lucida Sans Unicode"/>
          <w:sz w:val="24"/>
          <w:szCs w:val="24"/>
          <w:shd w:val="clear" w:color="auto" w:fill="FFFFFF"/>
        </w:rPr>
      </w:pPr>
      <w:r>
        <w:rPr>
          <w:sz w:val="24"/>
          <w:szCs w:val="24"/>
        </w:rPr>
        <w:t>49</w:t>
      </w:r>
      <w:r w:rsidR="006C1917" w:rsidRPr="00434163">
        <w:rPr>
          <w:sz w:val="24"/>
          <w:szCs w:val="24"/>
        </w:rPr>
        <w:t>/</w:t>
      </w:r>
      <w:r w:rsidR="006C1917" w:rsidRPr="00434163">
        <w:rPr>
          <w:bCs/>
          <w:sz w:val="24"/>
          <w:szCs w:val="24"/>
        </w:rPr>
        <w:t xml:space="preserve"> </w:t>
      </w:r>
      <w:r w:rsidR="006C1917" w:rsidRPr="00434163">
        <w:rPr>
          <w:rFonts w:cs="Arial"/>
          <w:sz w:val="24"/>
          <w:szCs w:val="24"/>
          <w:shd w:val="clear" w:color="auto" w:fill="FFFFFF"/>
        </w:rPr>
        <w:t>JANOTA, Tomáš. Biochemické markery nekrózy myokardu v současné klinické praxi.</w:t>
      </w:r>
      <w:r w:rsidR="006C1917" w:rsidRPr="00434163">
        <w:rPr>
          <w:bCs/>
          <w:sz w:val="24"/>
          <w:szCs w:val="24"/>
        </w:rPr>
        <w:t xml:space="preserve"> </w:t>
      </w:r>
      <w:r w:rsidR="006C1917" w:rsidRPr="00434163">
        <w:rPr>
          <w:i/>
          <w:sz w:val="24"/>
          <w:szCs w:val="24"/>
        </w:rPr>
        <w:t>Interv Akut Kardiol</w:t>
      </w:r>
      <w:r w:rsidR="006C1917" w:rsidRPr="00434163">
        <w:rPr>
          <w:sz w:val="24"/>
          <w:szCs w:val="24"/>
        </w:rPr>
        <w:t xml:space="preserve"> 2013; 12(1): 28–33. ISSN </w:t>
      </w:r>
      <w:r w:rsidR="006C1917" w:rsidRPr="00434163">
        <w:rPr>
          <w:rFonts w:cs="Lucida Sans Unicode"/>
          <w:sz w:val="24"/>
          <w:szCs w:val="24"/>
          <w:shd w:val="clear" w:color="auto" w:fill="FFFFFF"/>
        </w:rPr>
        <w:t>1803-5302.</w:t>
      </w:r>
    </w:p>
    <w:p w:rsidR="006C1917" w:rsidRPr="00434163" w:rsidRDefault="00797C57" w:rsidP="00434163">
      <w:pPr>
        <w:spacing w:after="120" w:line="360" w:lineRule="auto"/>
        <w:rPr>
          <w:sz w:val="24"/>
          <w:szCs w:val="24"/>
          <w:lang w:eastAsia="cs-CZ"/>
        </w:rPr>
      </w:pPr>
      <w:r>
        <w:rPr>
          <w:sz w:val="24"/>
          <w:szCs w:val="24"/>
        </w:rPr>
        <w:t>50</w:t>
      </w:r>
      <w:r w:rsidR="006C1917" w:rsidRPr="00434163">
        <w:rPr>
          <w:sz w:val="24"/>
          <w:szCs w:val="24"/>
        </w:rPr>
        <w:t xml:space="preserve">/ </w:t>
      </w:r>
      <w:r w:rsidR="006C1917" w:rsidRPr="00434163">
        <w:rPr>
          <w:rFonts w:cs="Arial"/>
          <w:sz w:val="24"/>
          <w:szCs w:val="24"/>
          <w:shd w:val="clear" w:color="auto" w:fill="FFFFFF"/>
        </w:rPr>
        <w:t>MUELLER, Matthias, et al. Absolute and relative kinetic changes of high-sensitivity cardiac troponin T in acute coronary syndrome and in patients with increased troponin in the absence of acute coronary syndrome.</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Clinical chemistry</w:t>
      </w:r>
      <w:r w:rsidR="006C1917" w:rsidRPr="00434163">
        <w:rPr>
          <w:rFonts w:cs="Arial"/>
          <w:sz w:val="24"/>
          <w:szCs w:val="24"/>
          <w:shd w:val="clear" w:color="auto" w:fill="FFFFFF"/>
        </w:rPr>
        <w:t>, 2012, 58.1: 209-218.</w:t>
      </w:r>
      <w:r w:rsidR="006C1917" w:rsidRPr="00434163">
        <w:rPr>
          <w:rFonts w:cs="Arial"/>
          <w:bCs/>
          <w:sz w:val="24"/>
          <w:szCs w:val="24"/>
        </w:rPr>
        <w:t xml:space="preserve"> ISSN</w:t>
      </w:r>
      <w:r w:rsidR="006C1917" w:rsidRPr="00434163">
        <w:rPr>
          <w:rFonts w:cs="Arial"/>
          <w:sz w:val="24"/>
          <w:szCs w:val="24"/>
        </w:rPr>
        <w:t> </w:t>
      </w:r>
      <w:r w:rsidR="006C1917" w:rsidRPr="00434163">
        <w:rPr>
          <w:rFonts w:cs="Arial"/>
          <w:sz w:val="24"/>
          <w:szCs w:val="24"/>
          <w:shd w:val="clear" w:color="auto" w:fill="FFFFFF"/>
        </w:rPr>
        <w:t>0009-9147.</w:t>
      </w:r>
    </w:p>
    <w:p w:rsidR="006C1917" w:rsidRPr="00434163" w:rsidRDefault="00797C57" w:rsidP="00434163">
      <w:pPr>
        <w:spacing w:after="120" w:line="360" w:lineRule="auto"/>
        <w:textAlignment w:val="baseline"/>
        <w:rPr>
          <w:sz w:val="24"/>
          <w:szCs w:val="24"/>
          <w:lang w:eastAsia="cs-CZ"/>
        </w:rPr>
      </w:pPr>
      <w:r>
        <w:rPr>
          <w:bCs/>
          <w:sz w:val="24"/>
          <w:szCs w:val="24"/>
        </w:rPr>
        <w:t>51</w:t>
      </w:r>
      <w:r w:rsidR="006C1917" w:rsidRPr="00434163">
        <w:rPr>
          <w:bCs/>
          <w:sz w:val="24"/>
          <w:szCs w:val="24"/>
        </w:rPr>
        <w:t xml:space="preserve">/ </w:t>
      </w:r>
      <w:r w:rsidR="006C1917" w:rsidRPr="00434163">
        <w:rPr>
          <w:rFonts w:cs="Arial"/>
          <w:sz w:val="24"/>
          <w:szCs w:val="24"/>
          <w:shd w:val="clear" w:color="auto" w:fill="FFFFFF"/>
        </w:rPr>
        <w:t>VENGE, Per, et al. Clinical performance of three cardiac troponin assays in patients with unstable coronary artery disease (a FRISC II substudy).</w:t>
      </w:r>
      <w:r w:rsidR="006C1917" w:rsidRPr="00434163">
        <w:rPr>
          <w:rFonts w:cs="Arial"/>
          <w:sz w:val="24"/>
          <w:szCs w:val="24"/>
        </w:rPr>
        <w:t> </w:t>
      </w:r>
      <w:r w:rsidR="006C1917" w:rsidRPr="00434163">
        <w:rPr>
          <w:rFonts w:cs="Arial"/>
          <w:i/>
          <w:iCs/>
          <w:sz w:val="24"/>
          <w:szCs w:val="24"/>
          <w:shd w:val="clear" w:color="auto" w:fill="FFFFFF"/>
        </w:rPr>
        <w:t>The American journal of cardiology</w:t>
      </w:r>
      <w:r w:rsidR="006C1917" w:rsidRPr="00434163">
        <w:rPr>
          <w:rFonts w:cs="Arial"/>
          <w:sz w:val="24"/>
          <w:szCs w:val="24"/>
          <w:shd w:val="clear" w:color="auto" w:fill="FFFFFF"/>
        </w:rPr>
        <w:t>, 2002, 89.9: 1035-1041.</w:t>
      </w:r>
      <w:r w:rsidR="006C1917" w:rsidRPr="00434163">
        <w:rPr>
          <w:rFonts w:cs="Arial"/>
          <w:bCs/>
          <w:sz w:val="24"/>
          <w:szCs w:val="24"/>
          <w:shd w:val="clear" w:color="auto" w:fill="FFFFFF"/>
        </w:rPr>
        <w:t xml:space="preserve"> </w:t>
      </w:r>
      <w:r w:rsidR="006C1917" w:rsidRPr="00434163">
        <w:rPr>
          <w:bCs/>
          <w:sz w:val="24"/>
          <w:szCs w:val="24"/>
          <w:lang w:eastAsia="cs-CZ"/>
        </w:rPr>
        <w:t>ISSN</w:t>
      </w:r>
      <w:r w:rsidR="006C1917" w:rsidRPr="00434163">
        <w:rPr>
          <w:sz w:val="24"/>
          <w:szCs w:val="24"/>
          <w:lang w:eastAsia="cs-CZ"/>
        </w:rPr>
        <w:t xml:space="preserve"> 0002</w:t>
      </w:r>
      <w:r w:rsidR="00BC6FDF">
        <w:rPr>
          <w:sz w:val="24"/>
          <w:szCs w:val="24"/>
          <w:lang w:eastAsia="cs-CZ"/>
        </w:rPr>
        <w:t>-</w:t>
      </w:r>
      <w:r w:rsidR="006C1917" w:rsidRPr="00434163">
        <w:rPr>
          <w:sz w:val="24"/>
          <w:szCs w:val="24"/>
          <w:lang w:eastAsia="cs-CZ"/>
        </w:rPr>
        <w:t>9149.</w:t>
      </w:r>
    </w:p>
    <w:p w:rsidR="006C1917" w:rsidRPr="00434163" w:rsidRDefault="00797C57" w:rsidP="00434163">
      <w:pPr>
        <w:pStyle w:val="Nadpis1"/>
        <w:numPr>
          <w:ilvl w:val="0"/>
          <w:numId w:val="0"/>
        </w:numPr>
        <w:shd w:val="clear" w:color="auto" w:fill="FFFFFF"/>
        <w:spacing w:before="0" w:beforeAutospacing="0" w:after="120" w:afterAutospacing="0" w:line="360" w:lineRule="auto"/>
        <w:rPr>
          <w:b w:val="0"/>
          <w:sz w:val="24"/>
          <w:szCs w:val="24"/>
        </w:rPr>
      </w:pPr>
      <w:bookmarkStart w:id="54" w:name="_Toc422993265"/>
      <w:r>
        <w:rPr>
          <w:b w:val="0"/>
          <w:sz w:val="24"/>
          <w:szCs w:val="24"/>
        </w:rPr>
        <w:lastRenderedPageBreak/>
        <w:t>52</w:t>
      </w:r>
      <w:r w:rsidR="006C1917" w:rsidRPr="00434163">
        <w:rPr>
          <w:b w:val="0"/>
          <w:sz w:val="24"/>
          <w:szCs w:val="24"/>
        </w:rPr>
        <w:t xml:space="preserve">/ </w:t>
      </w:r>
      <w:r w:rsidR="006C1917" w:rsidRPr="00434163">
        <w:rPr>
          <w:rFonts w:cs="Arial"/>
          <w:b w:val="0"/>
          <w:bCs w:val="0"/>
          <w:kern w:val="0"/>
          <w:sz w:val="24"/>
          <w:szCs w:val="24"/>
          <w:shd w:val="clear" w:color="auto" w:fill="FFFFFF"/>
          <w:lang w:eastAsia="en-US"/>
        </w:rPr>
        <w:t>DALLMEIER, Dhayana, et al. Sex-Specific Associations of Established and Emerging Cardiac Biomarkers with All-Cause Mortality in Older Adults: The ActiFE Study.</w:t>
      </w:r>
      <w:r w:rsidR="006C1917" w:rsidRPr="00434163">
        <w:rPr>
          <w:rFonts w:cs="Arial"/>
          <w:b w:val="0"/>
          <w:bCs w:val="0"/>
          <w:kern w:val="0"/>
          <w:sz w:val="24"/>
          <w:szCs w:val="24"/>
          <w:lang w:eastAsia="en-US"/>
        </w:rPr>
        <w:t> </w:t>
      </w:r>
      <w:r w:rsidR="006C1917" w:rsidRPr="00434163">
        <w:rPr>
          <w:rFonts w:cs="Arial"/>
          <w:b w:val="0"/>
          <w:bCs w:val="0"/>
          <w:i/>
          <w:iCs/>
          <w:kern w:val="0"/>
          <w:sz w:val="24"/>
          <w:szCs w:val="24"/>
          <w:shd w:val="clear" w:color="auto" w:fill="FFFFFF"/>
          <w:lang w:eastAsia="en-US"/>
        </w:rPr>
        <w:t>Clinical chemistry</w:t>
      </w:r>
      <w:r w:rsidR="006C1917" w:rsidRPr="00434163">
        <w:rPr>
          <w:rFonts w:cs="Arial"/>
          <w:b w:val="0"/>
          <w:bCs w:val="0"/>
          <w:kern w:val="0"/>
          <w:sz w:val="24"/>
          <w:szCs w:val="24"/>
          <w:shd w:val="clear" w:color="auto" w:fill="FFFFFF"/>
          <w:lang w:eastAsia="en-US"/>
        </w:rPr>
        <w:t>, 2014, clinchem. 2014.230839.</w:t>
      </w:r>
      <w:r w:rsidR="006C1917" w:rsidRPr="00434163">
        <w:rPr>
          <w:b w:val="0"/>
          <w:sz w:val="24"/>
          <w:szCs w:val="24"/>
        </w:rPr>
        <w:t xml:space="preserve"> </w:t>
      </w:r>
      <w:r w:rsidR="006C1917" w:rsidRPr="00434163">
        <w:rPr>
          <w:rFonts w:cs="Arial"/>
          <w:b w:val="0"/>
          <w:kern w:val="0"/>
          <w:sz w:val="24"/>
          <w:szCs w:val="24"/>
          <w:lang w:eastAsia="en-US"/>
        </w:rPr>
        <w:t>ISSN</w:t>
      </w:r>
      <w:r w:rsidR="006C1917" w:rsidRPr="00434163">
        <w:rPr>
          <w:rFonts w:cs="Arial"/>
          <w:b w:val="0"/>
          <w:bCs w:val="0"/>
          <w:kern w:val="0"/>
          <w:sz w:val="24"/>
          <w:szCs w:val="24"/>
          <w:lang w:eastAsia="en-US"/>
        </w:rPr>
        <w:t> </w:t>
      </w:r>
      <w:r w:rsidR="006C1917" w:rsidRPr="00434163">
        <w:rPr>
          <w:rFonts w:cs="Arial"/>
          <w:b w:val="0"/>
          <w:bCs w:val="0"/>
          <w:kern w:val="0"/>
          <w:sz w:val="24"/>
          <w:szCs w:val="24"/>
          <w:shd w:val="clear" w:color="auto" w:fill="FFFFFF"/>
          <w:lang w:eastAsia="en-US"/>
        </w:rPr>
        <w:t>0009-9147.</w:t>
      </w:r>
      <w:bookmarkEnd w:id="54"/>
    </w:p>
    <w:p w:rsidR="006C1917" w:rsidRPr="00BC6FDF" w:rsidRDefault="00797C57" w:rsidP="00434163">
      <w:pPr>
        <w:pStyle w:val="Nadpis1"/>
        <w:numPr>
          <w:ilvl w:val="0"/>
          <w:numId w:val="0"/>
        </w:numPr>
        <w:shd w:val="clear" w:color="auto" w:fill="FFFFFF"/>
        <w:spacing w:before="0" w:beforeAutospacing="0" w:after="120" w:afterAutospacing="0" w:line="360" w:lineRule="auto"/>
        <w:rPr>
          <w:rFonts w:cs="Arial"/>
          <w:b w:val="0"/>
          <w:sz w:val="24"/>
          <w:szCs w:val="24"/>
          <w:shd w:val="clear" w:color="auto" w:fill="FFFFFF"/>
        </w:rPr>
      </w:pPr>
      <w:bookmarkStart w:id="55" w:name="_Toc422993266"/>
      <w:r w:rsidRPr="00BC6FDF">
        <w:rPr>
          <w:b w:val="0"/>
          <w:sz w:val="24"/>
          <w:szCs w:val="24"/>
        </w:rPr>
        <w:t>53</w:t>
      </w:r>
      <w:r w:rsidR="006C1917" w:rsidRPr="00BC6FDF">
        <w:rPr>
          <w:b w:val="0"/>
          <w:sz w:val="24"/>
          <w:szCs w:val="24"/>
        </w:rPr>
        <w:t xml:space="preserve">/ </w:t>
      </w:r>
      <w:r w:rsidR="006C1917" w:rsidRPr="00BC6FDF">
        <w:rPr>
          <w:rFonts w:cs="Arial"/>
          <w:b w:val="0"/>
          <w:bCs w:val="0"/>
          <w:kern w:val="0"/>
          <w:sz w:val="24"/>
          <w:szCs w:val="24"/>
          <w:shd w:val="clear" w:color="auto" w:fill="FFFFFF"/>
          <w:lang w:eastAsia="en-US"/>
        </w:rPr>
        <w:t>LATINI, Roberto; MASSON, Serge. Significance of measurable cardiac troponin by high-sensitivity assays in patients with chronic stable heart failure.</w:t>
      </w:r>
      <w:r w:rsidR="006C1917" w:rsidRPr="00BC6FDF">
        <w:rPr>
          <w:rFonts w:cs="Arial"/>
          <w:b w:val="0"/>
          <w:bCs w:val="0"/>
          <w:kern w:val="0"/>
          <w:sz w:val="24"/>
          <w:szCs w:val="24"/>
          <w:lang w:eastAsia="en-US"/>
        </w:rPr>
        <w:t> </w:t>
      </w:r>
      <w:r w:rsidR="006C1917" w:rsidRPr="00BC6FDF">
        <w:rPr>
          <w:rFonts w:cs="Arial"/>
          <w:b w:val="0"/>
          <w:bCs w:val="0"/>
          <w:i/>
          <w:iCs/>
          <w:kern w:val="0"/>
          <w:sz w:val="24"/>
          <w:szCs w:val="24"/>
          <w:shd w:val="clear" w:color="auto" w:fill="FFFFFF"/>
          <w:lang w:eastAsia="en-US"/>
        </w:rPr>
        <w:t>Coronary artery disease</w:t>
      </w:r>
      <w:r w:rsidR="006C1917" w:rsidRPr="00BC6FDF">
        <w:rPr>
          <w:rFonts w:cs="Arial"/>
          <w:b w:val="0"/>
          <w:bCs w:val="0"/>
          <w:kern w:val="0"/>
          <w:sz w:val="24"/>
          <w:szCs w:val="24"/>
          <w:shd w:val="clear" w:color="auto" w:fill="FFFFFF"/>
          <w:lang w:eastAsia="en-US"/>
        </w:rPr>
        <w:t>, 2013, 24.8: 716-719.</w:t>
      </w:r>
      <w:r w:rsidR="006C1917" w:rsidRPr="00BC6FDF">
        <w:rPr>
          <w:b w:val="0"/>
          <w:sz w:val="24"/>
          <w:szCs w:val="24"/>
        </w:rPr>
        <w:t xml:space="preserve"> </w:t>
      </w:r>
      <w:r w:rsidR="006C1917" w:rsidRPr="00BC6FDF">
        <w:rPr>
          <w:rStyle w:val="Zvraznn"/>
          <w:rFonts w:cs="Arial"/>
          <w:b w:val="0"/>
          <w:bCs w:val="0"/>
          <w:i w:val="0"/>
          <w:iCs w:val="0"/>
          <w:sz w:val="24"/>
          <w:szCs w:val="24"/>
          <w:shd w:val="clear" w:color="auto" w:fill="FFFFFF"/>
        </w:rPr>
        <w:t>ISSN</w:t>
      </w:r>
      <w:r w:rsidR="006C1917" w:rsidRPr="00BC6FDF">
        <w:rPr>
          <w:rFonts w:cs="Arial"/>
          <w:b w:val="0"/>
          <w:sz w:val="24"/>
          <w:szCs w:val="24"/>
          <w:shd w:val="clear" w:color="auto" w:fill="FFFFFF"/>
        </w:rPr>
        <w:t xml:space="preserve"> 0954-6928.</w:t>
      </w:r>
      <w:bookmarkEnd w:id="55"/>
    </w:p>
    <w:p w:rsidR="006C1917" w:rsidRPr="00BC6FDF" w:rsidRDefault="00797C57" w:rsidP="00434163">
      <w:pPr>
        <w:pStyle w:val="Nadpis1"/>
        <w:numPr>
          <w:ilvl w:val="0"/>
          <w:numId w:val="0"/>
        </w:numPr>
        <w:shd w:val="clear" w:color="auto" w:fill="FFFFFF"/>
        <w:spacing w:before="0" w:beforeAutospacing="0" w:after="120" w:afterAutospacing="0" w:line="360" w:lineRule="auto"/>
        <w:rPr>
          <w:rFonts w:cs="Arial"/>
          <w:b w:val="0"/>
          <w:sz w:val="24"/>
          <w:szCs w:val="24"/>
          <w:shd w:val="clear" w:color="auto" w:fill="FFFFFF"/>
        </w:rPr>
      </w:pPr>
      <w:bookmarkStart w:id="56" w:name="_Toc422993267"/>
      <w:r w:rsidRPr="00BC6FDF">
        <w:rPr>
          <w:rFonts w:cs="Arial"/>
          <w:b w:val="0"/>
          <w:sz w:val="24"/>
          <w:szCs w:val="24"/>
        </w:rPr>
        <w:t>54</w:t>
      </w:r>
      <w:r w:rsidR="006C1917" w:rsidRPr="00BC6FDF">
        <w:rPr>
          <w:rFonts w:cs="Arial"/>
          <w:b w:val="0"/>
          <w:sz w:val="24"/>
          <w:szCs w:val="24"/>
        </w:rPr>
        <w:t>/</w:t>
      </w:r>
      <w:r w:rsidR="00BC6FDF" w:rsidRPr="00BC6FDF">
        <w:rPr>
          <w:rFonts w:cs="Arial"/>
          <w:b w:val="0"/>
          <w:sz w:val="24"/>
          <w:szCs w:val="24"/>
        </w:rPr>
        <w:t xml:space="preserve"> </w:t>
      </w:r>
      <w:r w:rsidR="006C1917" w:rsidRPr="00BC6FDF">
        <w:rPr>
          <w:rFonts w:cs="Arial"/>
          <w:b w:val="0"/>
          <w:sz w:val="24"/>
          <w:szCs w:val="24"/>
          <w:shd w:val="clear" w:color="auto" w:fill="FFFFFF"/>
        </w:rPr>
        <w:t>TREVISANUTO, D., et al. Cardiac troponin I, cardiac troponin T and creatine kinase MB concentrations in umbilical cord blood of healthy term neonates.</w:t>
      </w:r>
      <w:r w:rsidR="006C1917" w:rsidRPr="00BC6FDF">
        <w:rPr>
          <w:rFonts w:cs="Arial"/>
          <w:b w:val="0"/>
          <w:i/>
          <w:iCs/>
          <w:sz w:val="24"/>
          <w:szCs w:val="24"/>
          <w:shd w:val="clear" w:color="auto" w:fill="FFFFFF"/>
        </w:rPr>
        <w:t>Acta Paediatrica</w:t>
      </w:r>
      <w:r w:rsidR="006C1917" w:rsidRPr="00BC6FDF">
        <w:rPr>
          <w:rFonts w:cs="Arial"/>
          <w:b w:val="0"/>
          <w:sz w:val="24"/>
          <w:szCs w:val="24"/>
          <w:shd w:val="clear" w:color="auto" w:fill="FFFFFF"/>
        </w:rPr>
        <w:t>, 2003, 92.12: 1463-1467.</w:t>
      </w:r>
      <w:bookmarkEnd w:id="56"/>
      <w:r w:rsidR="00BC6FDF" w:rsidRPr="00BC6FDF">
        <w:rPr>
          <w:rFonts w:cs="Arial"/>
          <w:b w:val="0"/>
          <w:sz w:val="24"/>
          <w:szCs w:val="24"/>
          <w:shd w:val="clear" w:color="auto" w:fill="FFFFFF"/>
        </w:rPr>
        <w:t xml:space="preserve"> ISSN 1657-2227.</w:t>
      </w:r>
    </w:p>
    <w:p w:rsidR="006C1917" w:rsidRPr="00BC6FDF" w:rsidRDefault="00797C57" w:rsidP="00434163">
      <w:pPr>
        <w:pStyle w:val="Nadpis1"/>
        <w:numPr>
          <w:ilvl w:val="0"/>
          <w:numId w:val="0"/>
        </w:numPr>
        <w:shd w:val="clear" w:color="auto" w:fill="FFFFFF"/>
        <w:spacing w:before="0" w:beforeAutospacing="0" w:after="120" w:afterAutospacing="0" w:line="360" w:lineRule="auto"/>
        <w:rPr>
          <w:rFonts w:cs="Arial"/>
          <w:b w:val="0"/>
          <w:sz w:val="24"/>
          <w:szCs w:val="24"/>
        </w:rPr>
      </w:pPr>
      <w:bookmarkStart w:id="57" w:name="_Toc422993268"/>
      <w:r w:rsidRPr="00BC6FDF">
        <w:rPr>
          <w:b w:val="0"/>
          <w:sz w:val="24"/>
          <w:szCs w:val="24"/>
        </w:rPr>
        <w:t>55</w:t>
      </w:r>
      <w:r w:rsidR="006C1917" w:rsidRPr="00BC6FDF">
        <w:rPr>
          <w:rFonts w:cs="Arial"/>
          <w:b w:val="0"/>
          <w:sz w:val="24"/>
          <w:szCs w:val="24"/>
        </w:rPr>
        <w:t xml:space="preserve">/ </w:t>
      </w:r>
      <w:r w:rsidR="006C1917" w:rsidRPr="00BC6FDF">
        <w:rPr>
          <w:rFonts w:cs="Arial"/>
          <w:b w:val="0"/>
          <w:sz w:val="24"/>
          <w:szCs w:val="24"/>
          <w:shd w:val="clear" w:color="auto" w:fill="FFFFFF"/>
        </w:rPr>
        <w:t>MAYER, Otto, et al. The predictive potential of asymptomatic mild elevation of cardiac troponin I on mortality risk of stable patients with vascular disease.</w:t>
      </w:r>
      <w:r w:rsidR="006C1917" w:rsidRPr="00BC6FDF">
        <w:rPr>
          <w:rFonts w:cs="Arial"/>
          <w:b w:val="0"/>
          <w:i/>
          <w:iCs/>
          <w:sz w:val="24"/>
          <w:szCs w:val="24"/>
          <w:shd w:val="clear" w:color="auto" w:fill="FFFFFF"/>
        </w:rPr>
        <w:t>Clinical biochemistry</w:t>
      </w:r>
      <w:r w:rsidR="006C1917" w:rsidRPr="00BC6FDF">
        <w:rPr>
          <w:rFonts w:cs="Arial"/>
          <w:b w:val="0"/>
          <w:sz w:val="24"/>
          <w:szCs w:val="24"/>
          <w:shd w:val="clear" w:color="auto" w:fill="FFFFFF"/>
        </w:rPr>
        <w:t xml:space="preserve">, 2014, </w:t>
      </w:r>
      <w:r w:rsidR="006C1917" w:rsidRPr="00BC6FDF">
        <w:rPr>
          <w:rFonts w:cs="Arial"/>
          <w:b w:val="0"/>
          <w:sz w:val="24"/>
          <w:szCs w:val="24"/>
        </w:rPr>
        <w:t xml:space="preserve">Aug 1. </w:t>
      </w:r>
      <w:r w:rsidR="006C1917" w:rsidRPr="00BC6FDF">
        <w:rPr>
          <w:rFonts w:cs="Helvetica"/>
          <w:b w:val="0"/>
          <w:sz w:val="24"/>
          <w:szCs w:val="24"/>
        </w:rPr>
        <w:t>ISSN: 0009-9120.</w:t>
      </w:r>
      <w:bookmarkEnd w:id="57"/>
    </w:p>
    <w:p w:rsidR="006C1917" w:rsidRPr="00434163" w:rsidRDefault="00797C57" w:rsidP="00434163">
      <w:pPr>
        <w:pStyle w:val="Nadpis1"/>
        <w:numPr>
          <w:ilvl w:val="0"/>
          <w:numId w:val="0"/>
        </w:numPr>
        <w:shd w:val="clear" w:color="auto" w:fill="FFFFFF"/>
        <w:spacing w:before="0" w:beforeAutospacing="0" w:after="120" w:afterAutospacing="0" w:line="360" w:lineRule="auto"/>
        <w:rPr>
          <w:b w:val="0"/>
          <w:sz w:val="24"/>
          <w:szCs w:val="24"/>
        </w:rPr>
      </w:pPr>
      <w:bookmarkStart w:id="58" w:name="_Toc422993269"/>
      <w:r>
        <w:rPr>
          <w:b w:val="0"/>
          <w:sz w:val="24"/>
          <w:szCs w:val="24"/>
        </w:rPr>
        <w:t>56</w:t>
      </w:r>
      <w:r w:rsidR="006C1917" w:rsidRPr="00434163">
        <w:rPr>
          <w:b w:val="0"/>
          <w:sz w:val="24"/>
          <w:szCs w:val="24"/>
        </w:rPr>
        <w:t xml:space="preserve">/ </w:t>
      </w:r>
      <w:r w:rsidR="006C1917" w:rsidRPr="00434163">
        <w:rPr>
          <w:rFonts w:cs="Arial"/>
          <w:b w:val="0"/>
          <w:bCs w:val="0"/>
          <w:kern w:val="0"/>
          <w:sz w:val="24"/>
          <w:szCs w:val="24"/>
          <w:shd w:val="clear" w:color="auto" w:fill="FFFFFF"/>
          <w:lang w:eastAsia="en-US"/>
        </w:rPr>
        <w:t>SHIONIMYA, Haruki, et al. Left ventricular end-diastolic pressure and ejection fraction correlate independently with high-sensitivity cardiac troponin-T concentrations in stable heart failure.</w:t>
      </w:r>
      <w:r w:rsidR="006C1917" w:rsidRPr="00434163">
        <w:rPr>
          <w:rFonts w:cs="Arial"/>
          <w:b w:val="0"/>
          <w:bCs w:val="0"/>
          <w:kern w:val="0"/>
          <w:sz w:val="24"/>
          <w:szCs w:val="24"/>
          <w:lang w:eastAsia="en-US"/>
        </w:rPr>
        <w:t> </w:t>
      </w:r>
      <w:r w:rsidR="006C1917" w:rsidRPr="00434163">
        <w:rPr>
          <w:rFonts w:cs="Arial"/>
          <w:b w:val="0"/>
          <w:bCs w:val="0"/>
          <w:i/>
          <w:iCs/>
          <w:kern w:val="0"/>
          <w:sz w:val="24"/>
          <w:szCs w:val="24"/>
          <w:shd w:val="clear" w:color="auto" w:fill="FFFFFF"/>
          <w:lang w:eastAsia="en-US"/>
        </w:rPr>
        <w:t>Journal of cardiology</w:t>
      </w:r>
      <w:r w:rsidR="006C1917" w:rsidRPr="00434163">
        <w:rPr>
          <w:rFonts w:cs="Arial"/>
          <w:b w:val="0"/>
          <w:bCs w:val="0"/>
          <w:kern w:val="0"/>
          <w:sz w:val="24"/>
          <w:szCs w:val="24"/>
          <w:shd w:val="clear" w:color="auto" w:fill="FFFFFF"/>
          <w:lang w:eastAsia="en-US"/>
        </w:rPr>
        <w:t>, 2014.</w:t>
      </w:r>
      <w:r w:rsidR="006C1917" w:rsidRPr="00434163">
        <w:rPr>
          <w:b w:val="0"/>
          <w:sz w:val="24"/>
          <w:szCs w:val="24"/>
        </w:rPr>
        <w:t xml:space="preserve"> </w:t>
      </w:r>
      <w:r w:rsidR="006C1917" w:rsidRPr="00434163">
        <w:rPr>
          <w:rFonts w:cs="Helvetica"/>
          <w:b w:val="0"/>
          <w:sz w:val="24"/>
          <w:szCs w:val="24"/>
        </w:rPr>
        <w:t>ISSN 0914-5087</w:t>
      </w:r>
      <w:bookmarkEnd w:id="58"/>
      <w:r w:rsidR="00BC6FDF">
        <w:rPr>
          <w:rFonts w:cs="Helvetica"/>
          <w:b w:val="0"/>
          <w:sz w:val="24"/>
          <w:szCs w:val="24"/>
        </w:rPr>
        <w:t>.</w:t>
      </w:r>
    </w:p>
    <w:p w:rsidR="006C1917" w:rsidRPr="00434163" w:rsidRDefault="00797C57" w:rsidP="00434163">
      <w:pPr>
        <w:pStyle w:val="Nadpis1"/>
        <w:numPr>
          <w:ilvl w:val="0"/>
          <w:numId w:val="0"/>
        </w:numPr>
        <w:shd w:val="clear" w:color="auto" w:fill="FFFFFF"/>
        <w:spacing w:before="0" w:beforeAutospacing="0" w:after="120" w:afterAutospacing="0" w:line="360" w:lineRule="auto"/>
        <w:rPr>
          <w:b w:val="0"/>
          <w:sz w:val="24"/>
          <w:szCs w:val="24"/>
        </w:rPr>
      </w:pPr>
      <w:bookmarkStart w:id="59" w:name="_Toc422993270"/>
      <w:r>
        <w:rPr>
          <w:b w:val="0"/>
          <w:sz w:val="24"/>
          <w:szCs w:val="24"/>
        </w:rPr>
        <w:t>57</w:t>
      </w:r>
      <w:r w:rsidR="006C1917" w:rsidRPr="00434163">
        <w:rPr>
          <w:b w:val="0"/>
          <w:sz w:val="24"/>
          <w:szCs w:val="24"/>
        </w:rPr>
        <w:t>/</w:t>
      </w:r>
      <w:r w:rsidR="00BC6FDF">
        <w:rPr>
          <w:b w:val="0"/>
          <w:sz w:val="24"/>
          <w:szCs w:val="24"/>
        </w:rPr>
        <w:t xml:space="preserve"> </w:t>
      </w:r>
      <w:r w:rsidR="006C1917" w:rsidRPr="00434163">
        <w:rPr>
          <w:rFonts w:cs="Arial"/>
          <w:b w:val="0"/>
          <w:sz w:val="24"/>
          <w:szCs w:val="24"/>
          <w:shd w:val="clear" w:color="auto" w:fill="FFFFFF"/>
        </w:rPr>
        <w:t>ADAMCOVA, M., et al. Troponin T levels in the cord blood of healthy term neonates.</w:t>
      </w:r>
      <w:r w:rsidR="006C1917" w:rsidRPr="00434163">
        <w:rPr>
          <w:rStyle w:val="apple-converted-space"/>
          <w:rFonts w:cs="Arial"/>
          <w:b w:val="0"/>
          <w:sz w:val="24"/>
          <w:szCs w:val="24"/>
          <w:shd w:val="clear" w:color="auto" w:fill="FFFFFF"/>
        </w:rPr>
        <w:t> </w:t>
      </w:r>
      <w:r w:rsidR="006C1917" w:rsidRPr="00434163">
        <w:rPr>
          <w:rFonts w:cs="Arial"/>
          <w:b w:val="0"/>
          <w:i/>
          <w:iCs/>
          <w:sz w:val="24"/>
          <w:szCs w:val="24"/>
          <w:shd w:val="clear" w:color="auto" w:fill="FFFFFF"/>
        </w:rPr>
        <w:t>Physiological research/Academia Scientiarum Bohemoslovaca</w:t>
      </w:r>
      <w:r w:rsidR="006C1917" w:rsidRPr="00434163">
        <w:rPr>
          <w:rFonts w:cs="Arial"/>
          <w:b w:val="0"/>
          <w:sz w:val="24"/>
          <w:szCs w:val="24"/>
          <w:shd w:val="clear" w:color="auto" w:fill="FFFFFF"/>
        </w:rPr>
        <w:t>, 1994, 44.2: 99-104.</w:t>
      </w:r>
      <w:r w:rsidR="006C1917" w:rsidRPr="00434163">
        <w:rPr>
          <w:b w:val="0"/>
          <w:sz w:val="24"/>
          <w:szCs w:val="24"/>
        </w:rPr>
        <w:t xml:space="preserve"> </w:t>
      </w:r>
      <w:r w:rsidR="006C1917" w:rsidRPr="00434163">
        <w:rPr>
          <w:rFonts w:cs="Arial"/>
          <w:b w:val="0"/>
          <w:kern w:val="0"/>
          <w:sz w:val="24"/>
          <w:szCs w:val="24"/>
          <w:lang w:eastAsia="en-US"/>
        </w:rPr>
        <w:t>ISSN</w:t>
      </w:r>
      <w:r w:rsidR="006C1917" w:rsidRPr="00434163">
        <w:rPr>
          <w:rFonts w:cs="Arial"/>
          <w:b w:val="0"/>
          <w:bCs w:val="0"/>
          <w:kern w:val="0"/>
          <w:sz w:val="24"/>
          <w:szCs w:val="24"/>
          <w:lang w:eastAsia="en-US"/>
        </w:rPr>
        <w:t> </w:t>
      </w:r>
      <w:r w:rsidR="006C1917" w:rsidRPr="00434163">
        <w:rPr>
          <w:rFonts w:cs="Arial"/>
          <w:b w:val="0"/>
          <w:bCs w:val="0"/>
          <w:kern w:val="0"/>
          <w:sz w:val="24"/>
          <w:szCs w:val="24"/>
          <w:shd w:val="clear" w:color="auto" w:fill="FFFFFF"/>
          <w:lang w:eastAsia="en-US"/>
        </w:rPr>
        <w:t>0862-8408</w:t>
      </w:r>
      <w:bookmarkEnd w:id="59"/>
      <w:r w:rsidR="006148B5">
        <w:rPr>
          <w:rFonts w:cs="Arial"/>
          <w:b w:val="0"/>
          <w:bCs w:val="0"/>
          <w:kern w:val="0"/>
          <w:sz w:val="24"/>
          <w:szCs w:val="24"/>
          <w:shd w:val="clear" w:color="auto" w:fill="FFFFFF"/>
          <w:lang w:eastAsia="en-US"/>
        </w:rPr>
        <w:t>.</w:t>
      </w:r>
    </w:p>
    <w:p w:rsidR="006C1917" w:rsidRPr="00434163" w:rsidRDefault="00797C57" w:rsidP="00434163">
      <w:pPr>
        <w:pStyle w:val="Nadpis1"/>
        <w:numPr>
          <w:ilvl w:val="0"/>
          <w:numId w:val="0"/>
        </w:numPr>
        <w:shd w:val="clear" w:color="auto" w:fill="FFFFFF"/>
        <w:spacing w:before="0" w:beforeAutospacing="0" w:after="120" w:afterAutospacing="0" w:line="360" w:lineRule="auto"/>
        <w:rPr>
          <w:rFonts w:cs="Arial"/>
          <w:b w:val="0"/>
          <w:sz w:val="24"/>
          <w:szCs w:val="24"/>
        </w:rPr>
      </w:pPr>
      <w:bookmarkStart w:id="60" w:name="_Toc422993271"/>
      <w:r>
        <w:rPr>
          <w:rFonts w:cs="Lucida Sans Unicode"/>
          <w:b w:val="0"/>
          <w:bCs w:val="0"/>
          <w:sz w:val="24"/>
          <w:szCs w:val="24"/>
        </w:rPr>
        <w:t>58</w:t>
      </w:r>
      <w:r w:rsidR="006C1917" w:rsidRPr="00434163">
        <w:rPr>
          <w:rFonts w:cs="Lucida Sans Unicode"/>
          <w:b w:val="0"/>
          <w:bCs w:val="0"/>
          <w:sz w:val="24"/>
          <w:szCs w:val="24"/>
        </w:rPr>
        <w:t xml:space="preserve">/ </w:t>
      </w:r>
      <w:r w:rsidR="006C1917" w:rsidRPr="00434163">
        <w:rPr>
          <w:rFonts w:cs="Arial"/>
          <w:b w:val="0"/>
          <w:bCs w:val="0"/>
          <w:kern w:val="0"/>
          <w:sz w:val="24"/>
          <w:szCs w:val="24"/>
          <w:shd w:val="clear" w:color="auto" w:fill="FFFFFF"/>
          <w:lang w:eastAsia="en-US"/>
        </w:rPr>
        <w:t>CLARK, S. J., et al. Cardiac troponin T in cord blood.</w:t>
      </w:r>
      <w:r w:rsidR="006C1917" w:rsidRPr="00434163">
        <w:rPr>
          <w:rFonts w:cs="Arial"/>
          <w:b w:val="0"/>
          <w:bCs w:val="0"/>
          <w:kern w:val="0"/>
          <w:sz w:val="24"/>
          <w:szCs w:val="24"/>
          <w:lang w:eastAsia="en-US"/>
        </w:rPr>
        <w:t> </w:t>
      </w:r>
      <w:r w:rsidR="006C1917" w:rsidRPr="00434163">
        <w:rPr>
          <w:rFonts w:cs="Arial"/>
          <w:b w:val="0"/>
          <w:bCs w:val="0"/>
          <w:i/>
          <w:iCs/>
          <w:kern w:val="0"/>
          <w:sz w:val="24"/>
          <w:szCs w:val="24"/>
          <w:shd w:val="clear" w:color="auto" w:fill="FFFFFF"/>
          <w:lang w:eastAsia="en-US"/>
        </w:rPr>
        <w:t>Archives of Disease in Childhood-Fetal and Neonatal Edition</w:t>
      </w:r>
      <w:r w:rsidR="006C1917" w:rsidRPr="00434163">
        <w:rPr>
          <w:rFonts w:cs="Arial"/>
          <w:b w:val="0"/>
          <w:bCs w:val="0"/>
          <w:kern w:val="0"/>
          <w:sz w:val="24"/>
          <w:szCs w:val="24"/>
          <w:shd w:val="clear" w:color="auto" w:fill="FFFFFF"/>
          <w:lang w:eastAsia="en-US"/>
        </w:rPr>
        <w:t>, 2001, 84.1: F34-F37.</w:t>
      </w:r>
      <w:r w:rsidR="006C1917" w:rsidRPr="00434163">
        <w:rPr>
          <w:rFonts w:cs="Lucida Sans Unicode"/>
          <w:b w:val="0"/>
          <w:bCs w:val="0"/>
          <w:sz w:val="24"/>
          <w:szCs w:val="24"/>
        </w:rPr>
        <w:t xml:space="preserve">  ISSN </w:t>
      </w:r>
      <w:r w:rsidR="006C1917" w:rsidRPr="00434163">
        <w:rPr>
          <w:rFonts w:cs="Arial"/>
          <w:b w:val="0"/>
          <w:sz w:val="24"/>
          <w:szCs w:val="24"/>
        </w:rPr>
        <w:t>0003-9888.</w:t>
      </w:r>
      <w:bookmarkEnd w:id="60"/>
    </w:p>
    <w:p w:rsidR="006C1917" w:rsidRPr="00434163" w:rsidRDefault="00797C57" w:rsidP="00434163">
      <w:pPr>
        <w:shd w:val="clear" w:color="auto" w:fill="FFFFFF"/>
        <w:spacing w:after="120" w:line="360" w:lineRule="auto"/>
        <w:rPr>
          <w:rFonts w:cs="Arial"/>
          <w:sz w:val="24"/>
          <w:szCs w:val="24"/>
          <w:shd w:val="clear" w:color="auto" w:fill="FFFFFF"/>
        </w:rPr>
      </w:pPr>
      <w:r>
        <w:rPr>
          <w:sz w:val="24"/>
          <w:szCs w:val="24"/>
        </w:rPr>
        <w:t>59</w:t>
      </w:r>
      <w:r w:rsidR="006C1917" w:rsidRPr="00434163">
        <w:rPr>
          <w:sz w:val="24"/>
          <w:szCs w:val="24"/>
        </w:rPr>
        <w:t xml:space="preserve">/ </w:t>
      </w:r>
      <w:r w:rsidR="006C1917" w:rsidRPr="00434163">
        <w:rPr>
          <w:rFonts w:cs="Arial"/>
          <w:sz w:val="24"/>
          <w:szCs w:val="24"/>
          <w:shd w:val="clear" w:color="auto" w:fill="FFFFFF"/>
        </w:rPr>
        <w:t>TREVISANUTO, Daniele, et al. Cardiac troponin I in asphyxiated neonates.</w:t>
      </w:r>
      <w:r w:rsidR="006C1917" w:rsidRPr="00434163">
        <w:rPr>
          <w:rFonts w:cs="Arial"/>
          <w:i/>
          <w:iCs/>
          <w:sz w:val="24"/>
          <w:szCs w:val="24"/>
          <w:shd w:val="clear" w:color="auto" w:fill="FFFFFF"/>
        </w:rPr>
        <w:t>Biology of the Neonate</w:t>
      </w:r>
      <w:r w:rsidR="006C1917" w:rsidRPr="00434163">
        <w:rPr>
          <w:rFonts w:cs="Arial"/>
          <w:sz w:val="24"/>
          <w:szCs w:val="24"/>
          <w:shd w:val="clear" w:color="auto" w:fill="FFFFFF"/>
        </w:rPr>
        <w:t xml:space="preserve">, 2005, 89.3: 190-193.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0006-3126.</w:t>
      </w:r>
      <w:r w:rsidR="006C1917" w:rsidRPr="00434163">
        <w:rPr>
          <w:sz w:val="24"/>
          <w:szCs w:val="24"/>
        </w:rPr>
        <w:t xml:space="preserve"> </w:t>
      </w:r>
    </w:p>
    <w:p w:rsidR="006C1917" w:rsidRPr="00434163" w:rsidRDefault="00797C57" w:rsidP="00434163">
      <w:pPr>
        <w:shd w:val="clear" w:color="auto" w:fill="FFFFFF"/>
        <w:spacing w:after="120" w:line="360" w:lineRule="auto"/>
        <w:rPr>
          <w:rFonts w:cs="Arial"/>
          <w:sz w:val="24"/>
          <w:szCs w:val="24"/>
          <w:shd w:val="clear" w:color="auto" w:fill="FFFFFF"/>
        </w:rPr>
      </w:pPr>
      <w:r>
        <w:rPr>
          <w:sz w:val="24"/>
          <w:szCs w:val="24"/>
        </w:rPr>
        <w:t>60</w:t>
      </w:r>
      <w:r w:rsidR="006C1917" w:rsidRPr="00434163">
        <w:rPr>
          <w:sz w:val="24"/>
          <w:szCs w:val="24"/>
        </w:rPr>
        <w:t xml:space="preserve">/ </w:t>
      </w:r>
      <w:r w:rsidR="006C1917" w:rsidRPr="00434163">
        <w:rPr>
          <w:rFonts w:cs="Arial"/>
          <w:sz w:val="24"/>
          <w:szCs w:val="24"/>
          <w:shd w:val="clear" w:color="auto" w:fill="FFFFFF"/>
        </w:rPr>
        <w:t>ARAÚJO, Katiací, et al. Plasma concentrations of cardiac troponin I in newborn infants.</w:t>
      </w:r>
      <w:r w:rsidR="006C1917" w:rsidRPr="00434163">
        <w:rPr>
          <w:rFonts w:cs="Arial"/>
          <w:sz w:val="24"/>
          <w:szCs w:val="24"/>
        </w:rPr>
        <w:t> </w:t>
      </w:r>
      <w:r w:rsidR="006C1917" w:rsidRPr="00434163">
        <w:rPr>
          <w:rFonts w:cs="Arial"/>
          <w:i/>
          <w:iCs/>
          <w:sz w:val="24"/>
          <w:szCs w:val="24"/>
          <w:shd w:val="clear" w:color="auto" w:fill="FFFFFF"/>
        </w:rPr>
        <w:t>Clinical chemistry</w:t>
      </w:r>
      <w:r w:rsidR="006C1917" w:rsidRPr="00434163">
        <w:rPr>
          <w:rFonts w:cs="Arial"/>
          <w:sz w:val="24"/>
          <w:szCs w:val="24"/>
          <w:shd w:val="clear" w:color="auto" w:fill="FFFFFF"/>
        </w:rPr>
        <w:t xml:space="preserve">, 2004, 50.9: 1717-1718. </w:t>
      </w:r>
      <w:r w:rsidR="006C1917" w:rsidRPr="00434163">
        <w:rPr>
          <w:rFonts w:cs="Arial"/>
          <w:bCs/>
          <w:sz w:val="24"/>
          <w:szCs w:val="24"/>
        </w:rPr>
        <w:t>ISSN</w:t>
      </w:r>
      <w:r w:rsidR="006C1917" w:rsidRPr="00434163">
        <w:rPr>
          <w:rFonts w:cs="Arial"/>
          <w:sz w:val="24"/>
          <w:szCs w:val="24"/>
        </w:rPr>
        <w:t> </w:t>
      </w:r>
      <w:r w:rsidR="006C1917" w:rsidRPr="00434163">
        <w:rPr>
          <w:rFonts w:cs="Arial"/>
          <w:sz w:val="24"/>
          <w:szCs w:val="24"/>
          <w:shd w:val="clear" w:color="auto" w:fill="FFFFFF"/>
        </w:rPr>
        <w:t>0009-9147.</w:t>
      </w:r>
    </w:p>
    <w:p w:rsidR="006C1917" w:rsidRPr="00434163" w:rsidRDefault="00797C57" w:rsidP="00434163">
      <w:pPr>
        <w:spacing w:after="120" w:line="360" w:lineRule="auto"/>
        <w:rPr>
          <w:bCs/>
          <w:sz w:val="24"/>
          <w:szCs w:val="24"/>
        </w:rPr>
      </w:pPr>
      <w:r>
        <w:rPr>
          <w:bCs/>
          <w:sz w:val="24"/>
          <w:szCs w:val="24"/>
        </w:rPr>
        <w:t>61</w:t>
      </w:r>
      <w:r w:rsidR="006C1917" w:rsidRPr="00434163">
        <w:rPr>
          <w:bCs/>
          <w:sz w:val="24"/>
          <w:szCs w:val="24"/>
        </w:rPr>
        <w:t xml:space="preserve">/ </w:t>
      </w:r>
      <w:r w:rsidR="006C1917" w:rsidRPr="00434163">
        <w:rPr>
          <w:rFonts w:cs="Arial"/>
          <w:sz w:val="24"/>
          <w:szCs w:val="24"/>
          <w:shd w:val="clear" w:color="auto" w:fill="FFFFFF"/>
        </w:rPr>
        <w:t>GAZE, D. C.; COLLINSON, P. O. Interpretation of cardiac troponin measurements in neonates – the devil is in the details.</w:t>
      </w:r>
      <w:r w:rsidR="006C1917" w:rsidRPr="00434163">
        <w:rPr>
          <w:rFonts w:cs="Arial"/>
          <w:sz w:val="24"/>
          <w:szCs w:val="24"/>
        </w:rPr>
        <w:t> </w:t>
      </w:r>
      <w:r w:rsidR="006C1917" w:rsidRPr="00434163">
        <w:rPr>
          <w:rFonts w:cs="Arial"/>
          <w:i/>
          <w:iCs/>
          <w:sz w:val="24"/>
          <w:szCs w:val="24"/>
          <w:shd w:val="clear" w:color="auto" w:fill="FFFFFF"/>
        </w:rPr>
        <w:t>Neonatology</w:t>
      </w:r>
      <w:r w:rsidR="006C1917" w:rsidRPr="00434163">
        <w:rPr>
          <w:rFonts w:cs="Arial"/>
          <w:sz w:val="24"/>
          <w:szCs w:val="24"/>
          <w:shd w:val="clear" w:color="auto" w:fill="FFFFFF"/>
        </w:rPr>
        <w:t>, 2006, 89.3: 194-196.</w:t>
      </w:r>
      <w:r w:rsidR="006C1917" w:rsidRPr="00434163">
        <w:rPr>
          <w:sz w:val="24"/>
          <w:szCs w:val="24"/>
          <w:shd w:val="clear" w:color="auto" w:fill="FDFDFD"/>
        </w:rPr>
        <w:t xml:space="preserve"> ISSN 1661-7800.</w:t>
      </w:r>
      <w:r w:rsidR="006C1917" w:rsidRPr="00434163">
        <w:rPr>
          <w:bCs/>
          <w:sz w:val="24"/>
          <w:szCs w:val="24"/>
        </w:rPr>
        <w:t xml:space="preserve"> </w:t>
      </w:r>
    </w:p>
    <w:p w:rsidR="006C1917" w:rsidRPr="00434163" w:rsidRDefault="00797C57" w:rsidP="00434163">
      <w:pPr>
        <w:shd w:val="clear" w:color="auto" w:fill="FFFFFE"/>
        <w:spacing w:after="120" w:line="360" w:lineRule="auto"/>
        <w:textAlignment w:val="baseline"/>
        <w:rPr>
          <w:sz w:val="24"/>
          <w:szCs w:val="24"/>
        </w:rPr>
      </w:pPr>
      <w:r>
        <w:rPr>
          <w:sz w:val="24"/>
          <w:szCs w:val="24"/>
        </w:rPr>
        <w:t>62</w:t>
      </w:r>
      <w:r w:rsidR="006C1917" w:rsidRPr="00434163">
        <w:rPr>
          <w:sz w:val="24"/>
          <w:szCs w:val="24"/>
        </w:rPr>
        <w:t xml:space="preserve">/ </w:t>
      </w:r>
      <w:r w:rsidR="006C1917" w:rsidRPr="00434163">
        <w:rPr>
          <w:rFonts w:cs="Arial"/>
          <w:sz w:val="24"/>
          <w:szCs w:val="24"/>
          <w:shd w:val="clear" w:color="auto" w:fill="FFFFFF"/>
        </w:rPr>
        <w:t>FILATOV, Vladimir L., et al. Epitope mapping of anti</w:t>
      </w:r>
      <w:r w:rsidR="006C1917" w:rsidRPr="00434163">
        <w:rPr>
          <w:rFonts w:cs="Cambria Math"/>
          <w:sz w:val="24"/>
          <w:szCs w:val="24"/>
          <w:shd w:val="clear" w:color="auto" w:fill="FFFFFF"/>
        </w:rPr>
        <w:t>‐</w:t>
      </w:r>
      <w:r w:rsidR="006C1917" w:rsidRPr="00434163">
        <w:rPr>
          <w:rFonts w:cs="Arial"/>
          <w:sz w:val="24"/>
          <w:szCs w:val="24"/>
          <w:shd w:val="clear" w:color="auto" w:fill="FFFFFF"/>
        </w:rPr>
        <w:t>troponin I monoclonal antibodies.</w:t>
      </w:r>
      <w:r w:rsidR="006C1917" w:rsidRPr="00434163">
        <w:rPr>
          <w:rFonts w:cs="Arial"/>
          <w:sz w:val="24"/>
          <w:szCs w:val="24"/>
        </w:rPr>
        <w:t> </w:t>
      </w:r>
      <w:r w:rsidR="006C1917" w:rsidRPr="00434163">
        <w:rPr>
          <w:rFonts w:cs="Arial"/>
          <w:i/>
          <w:iCs/>
          <w:sz w:val="24"/>
          <w:szCs w:val="24"/>
          <w:shd w:val="clear" w:color="auto" w:fill="FFFFFF"/>
        </w:rPr>
        <w:t>IUBMB Life</w:t>
      </w:r>
      <w:r w:rsidR="006C1917" w:rsidRPr="00434163">
        <w:rPr>
          <w:rFonts w:cs="Arial"/>
          <w:sz w:val="24"/>
          <w:szCs w:val="24"/>
          <w:shd w:val="clear" w:color="auto" w:fill="FFFFFF"/>
        </w:rPr>
        <w:t xml:space="preserve">, 1998, 45.6: 1179-1187. </w:t>
      </w:r>
      <w:r w:rsidR="006C1917" w:rsidRPr="00434163">
        <w:rPr>
          <w:rFonts w:cs="Arial"/>
          <w:sz w:val="24"/>
          <w:szCs w:val="24"/>
        </w:rPr>
        <w:t> </w:t>
      </w:r>
      <w:r w:rsidR="006C1917" w:rsidRPr="00434163">
        <w:rPr>
          <w:rFonts w:cs="Arial"/>
          <w:bCs/>
          <w:sz w:val="24"/>
          <w:szCs w:val="24"/>
        </w:rPr>
        <w:t>ISSN</w:t>
      </w:r>
      <w:r w:rsidR="006C1917" w:rsidRPr="00434163">
        <w:rPr>
          <w:rFonts w:cs="Arial"/>
          <w:sz w:val="24"/>
          <w:szCs w:val="24"/>
          <w:shd w:val="clear" w:color="auto" w:fill="FFFFFF"/>
        </w:rPr>
        <w:t xml:space="preserve"> 1521-6551</w:t>
      </w:r>
      <w:r w:rsidR="00BC6FDF">
        <w:rPr>
          <w:rFonts w:cs="Arial"/>
          <w:sz w:val="24"/>
          <w:szCs w:val="24"/>
          <w:shd w:val="clear" w:color="auto" w:fill="FFFFFF"/>
        </w:rPr>
        <w:t>.</w:t>
      </w:r>
    </w:p>
    <w:p w:rsidR="006C1917" w:rsidRPr="00434163" w:rsidRDefault="006C1917" w:rsidP="00434163">
      <w:pPr>
        <w:spacing w:after="120" w:line="360" w:lineRule="auto"/>
        <w:rPr>
          <w:sz w:val="24"/>
          <w:szCs w:val="24"/>
          <w:lang w:eastAsia="cs-CZ"/>
        </w:rPr>
      </w:pPr>
      <w:r w:rsidRPr="00434163">
        <w:rPr>
          <w:sz w:val="24"/>
          <w:szCs w:val="24"/>
        </w:rPr>
        <w:lastRenderedPageBreak/>
        <w:t xml:space="preserve"> </w:t>
      </w:r>
      <w:r w:rsidR="00797C57">
        <w:rPr>
          <w:rFonts w:cs="Arial"/>
          <w:sz w:val="24"/>
          <w:szCs w:val="24"/>
          <w:shd w:val="clear" w:color="auto" w:fill="FFFFFF"/>
        </w:rPr>
        <w:t>63</w:t>
      </w:r>
      <w:r w:rsidRPr="00434163">
        <w:rPr>
          <w:rFonts w:cs="Arial"/>
          <w:sz w:val="24"/>
          <w:szCs w:val="24"/>
          <w:shd w:val="clear" w:color="auto" w:fill="FFFFFF"/>
        </w:rPr>
        <w:t>/</w:t>
      </w:r>
      <w:r w:rsidRPr="00434163">
        <w:rPr>
          <w:rFonts w:cs="Lucida Sans Unicode"/>
          <w:sz w:val="24"/>
          <w:szCs w:val="24"/>
          <w:shd w:val="clear" w:color="auto" w:fill="FFFFFF"/>
        </w:rPr>
        <w:t xml:space="preserve"> </w:t>
      </w:r>
      <w:r w:rsidRPr="00434163">
        <w:rPr>
          <w:rFonts w:cs="Arial"/>
          <w:sz w:val="24"/>
          <w:szCs w:val="24"/>
          <w:shd w:val="clear" w:color="auto" w:fill="FFFFFF"/>
        </w:rPr>
        <w:t>KATRUKHA, Aleksei G., et al. Degradation of cardiac troponin I: implication for reliable immunodetection.</w:t>
      </w:r>
      <w:r w:rsidRPr="00434163">
        <w:rPr>
          <w:rFonts w:cs="Arial"/>
          <w:sz w:val="24"/>
          <w:szCs w:val="24"/>
        </w:rPr>
        <w:t> </w:t>
      </w:r>
      <w:r w:rsidRPr="00434163">
        <w:rPr>
          <w:rFonts w:cs="Arial"/>
          <w:i/>
          <w:iCs/>
          <w:sz w:val="24"/>
          <w:szCs w:val="24"/>
          <w:shd w:val="clear" w:color="auto" w:fill="FFFFFF"/>
        </w:rPr>
        <w:t>Clinical chemistry</w:t>
      </w:r>
      <w:r w:rsidRPr="00434163">
        <w:rPr>
          <w:rFonts w:cs="Arial"/>
          <w:sz w:val="24"/>
          <w:szCs w:val="24"/>
          <w:shd w:val="clear" w:color="auto" w:fill="FFFFFF"/>
        </w:rPr>
        <w:t xml:space="preserve">, 1998, 44.12: 2433-2440. </w:t>
      </w:r>
      <w:r w:rsidRPr="00434163">
        <w:rPr>
          <w:rFonts w:cs="Arial"/>
          <w:bCs/>
          <w:sz w:val="24"/>
          <w:szCs w:val="24"/>
        </w:rPr>
        <w:t>ISSN</w:t>
      </w:r>
      <w:r w:rsidRPr="00434163">
        <w:rPr>
          <w:rFonts w:cs="Arial"/>
          <w:sz w:val="24"/>
          <w:szCs w:val="24"/>
        </w:rPr>
        <w:t> </w:t>
      </w:r>
      <w:r w:rsidRPr="00434163">
        <w:rPr>
          <w:rFonts w:cs="Arial"/>
          <w:sz w:val="24"/>
          <w:szCs w:val="24"/>
          <w:shd w:val="clear" w:color="auto" w:fill="FFFFFF"/>
        </w:rPr>
        <w:t>0009-9147.</w:t>
      </w:r>
    </w:p>
    <w:p w:rsidR="006C1917" w:rsidRDefault="00797C57" w:rsidP="00434163">
      <w:pPr>
        <w:spacing w:after="120" w:line="360" w:lineRule="auto"/>
        <w:rPr>
          <w:sz w:val="24"/>
          <w:szCs w:val="24"/>
        </w:rPr>
      </w:pPr>
      <w:r>
        <w:rPr>
          <w:rStyle w:val="abscitationtitle"/>
          <w:rFonts w:cs="Helvetica"/>
          <w:sz w:val="24"/>
          <w:szCs w:val="24"/>
        </w:rPr>
        <w:t>64</w:t>
      </w:r>
      <w:r w:rsidR="006C1917" w:rsidRPr="00434163">
        <w:rPr>
          <w:rStyle w:val="abscitationtitle"/>
          <w:rFonts w:cs="Helvetica"/>
          <w:sz w:val="24"/>
          <w:szCs w:val="24"/>
        </w:rPr>
        <w:t xml:space="preserve">/ </w:t>
      </w:r>
      <w:r w:rsidR="006C1917" w:rsidRPr="00434163">
        <w:rPr>
          <w:rFonts w:cs="Arial"/>
          <w:sz w:val="24"/>
          <w:szCs w:val="24"/>
          <w:shd w:val="clear" w:color="auto" w:fill="FFFFFF"/>
        </w:rPr>
        <w:t>WU, A. H.; FENG, Y. J. Biochemical differences between cTnT and cTnI and their significance for diagnosis of acute coronary syndromes.</w:t>
      </w:r>
      <w:r w:rsidR="006C1917" w:rsidRPr="00434163">
        <w:rPr>
          <w:rFonts w:cs="Arial"/>
          <w:sz w:val="24"/>
          <w:szCs w:val="24"/>
        </w:rPr>
        <w:t> </w:t>
      </w:r>
      <w:r w:rsidR="006C1917" w:rsidRPr="00434163">
        <w:rPr>
          <w:rFonts w:cs="Arial"/>
          <w:i/>
          <w:iCs/>
          <w:sz w:val="24"/>
          <w:szCs w:val="24"/>
          <w:shd w:val="clear" w:color="auto" w:fill="FFFFFF"/>
        </w:rPr>
        <w:t>European heart journal</w:t>
      </w:r>
      <w:r w:rsidR="006C1917" w:rsidRPr="00434163">
        <w:rPr>
          <w:rFonts w:cs="Arial"/>
          <w:sz w:val="24"/>
          <w:szCs w:val="24"/>
          <w:shd w:val="clear" w:color="auto" w:fill="FFFFFF"/>
        </w:rPr>
        <w:t>, 1998, 19: N25-9. ISSN 1522-9445.</w:t>
      </w:r>
    </w:p>
    <w:p w:rsidR="006C1917" w:rsidRPr="00434163" w:rsidRDefault="00797C57" w:rsidP="00434163">
      <w:pPr>
        <w:spacing w:after="120" w:line="360" w:lineRule="auto"/>
        <w:rPr>
          <w:sz w:val="24"/>
          <w:szCs w:val="24"/>
        </w:rPr>
      </w:pPr>
      <w:r>
        <w:rPr>
          <w:sz w:val="24"/>
          <w:szCs w:val="24"/>
        </w:rPr>
        <w:t>65</w:t>
      </w:r>
      <w:r w:rsidR="006C1917" w:rsidRPr="00434163">
        <w:rPr>
          <w:sz w:val="24"/>
          <w:szCs w:val="24"/>
        </w:rPr>
        <w:t xml:space="preserve">/ </w:t>
      </w:r>
      <w:r w:rsidR="006C1917" w:rsidRPr="00434163">
        <w:rPr>
          <w:rFonts w:cs="Arial"/>
          <w:sz w:val="24"/>
          <w:szCs w:val="24"/>
          <w:shd w:val="clear" w:color="auto" w:fill="FFFFFF"/>
        </w:rPr>
        <w:t>STOCKINS, Benjamin A., et al. Prognosis in patients with diphtheric myocarditis and bradyarrhythmias: assessment of results of ventricular pacing.</w:t>
      </w:r>
      <w:r w:rsidR="006C1917" w:rsidRPr="00434163">
        <w:rPr>
          <w:rFonts w:cs="Arial"/>
          <w:i/>
          <w:iCs/>
          <w:sz w:val="24"/>
          <w:szCs w:val="24"/>
          <w:shd w:val="clear" w:color="auto" w:fill="FFFFFF"/>
        </w:rPr>
        <w:t>British heart journal</w:t>
      </w:r>
      <w:r w:rsidR="006C1917" w:rsidRPr="00434163">
        <w:rPr>
          <w:rFonts w:cs="Arial"/>
          <w:sz w:val="24"/>
          <w:szCs w:val="24"/>
          <w:shd w:val="clear" w:color="auto" w:fill="FFFFFF"/>
        </w:rPr>
        <w:t>, 1994, 72.2: 190-191.</w:t>
      </w:r>
      <w:r w:rsidR="006C1917" w:rsidRPr="00434163">
        <w:rPr>
          <w:sz w:val="24"/>
          <w:szCs w:val="24"/>
        </w:rPr>
        <w:t xml:space="preserve"> </w:t>
      </w:r>
      <w:r w:rsidR="006C1917" w:rsidRPr="00434163">
        <w:rPr>
          <w:rFonts w:cs="Helvetica"/>
          <w:bCs/>
          <w:sz w:val="24"/>
          <w:szCs w:val="24"/>
        </w:rPr>
        <w:t>ISSN</w:t>
      </w:r>
      <w:r w:rsidR="006C1917" w:rsidRPr="00434163">
        <w:rPr>
          <w:rFonts w:cs="Helvetica"/>
          <w:sz w:val="24"/>
          <w:szCs w:val="24"/>
          <w:shd w:val="clear" w:color="auto" w:fill="FFFFFF"/>
        </w:rPr>
        <w:t xml:space="preserve"> 0007-0769</w:t>
      </w:r>
      <w:r w:rsidR="00C54001">
        <w:rPr>
          <w:rFonts w:cs="Helvetica"/>
          <w:sz w:val="24"/>
          <w:szCs w:val="24"/>
          <w:shd w:val="clear" w:color="auto" w:fill="FFFFFF"/>
        </w:rPr>
        <w:t>.</w:t>
      </w:r>
    </w:p>
    <w:p w:rsidR="006C1917" w:rsidRPr="00434163" w:rsidRDefault="00797C57" w:rsidP="00434163">
      <w:pPr>
        <w:spacing w:after="120" w:line="360" w:lineRule="auto"/>
        <w:rPr>
          <w:sz w:val="24"/>
          <w:szCs w:val="24"/>
        </w:rPr>
      </w:pPr>
      <w:r>
        <w:rPr>
          <w:sz w:val="24"/>
          <w:szCs w:val="24"/>
        </w:rPr>
        <w:t>66</w:t>
      </w:r>
      <w:r w:rsidR="006C1917" w:rsidRPr="00434163">
        <w:rPr>
          <w:sz w:val="24"/>
          <w:szCs w:val="24"/>
        </w:rPr>
        <w:t xml:space="preserve">/  </w:t>
      </w:r>
      <w:r w:rsidR="006C1917" w:rsidRPr="00434163">
        <w:rPr>
          <w:rFonts w:cs="Arial"/>
          <w:sz w:val="24"/>
          <w:szCs w:val="24"/>
          <w:shd w:val="clear" w:color="auto" w:fill="FFFFFF"/>
        </w:rPr>
        <w:t>TÁBORSKÝ, Miloš; KAUTZNER, Josef. Summary of the 2013 ESC Guidelines on cardiac pacing and cardiac resynchronization therapy: Prepared by the Czech Society of Cardiology.</w:t>
      </w:r>
      <w:r w:rsidR="006C1917" w:rsidRPr="00434163">
        <w:rPr>
          <w:rFonts w:cs="Arial"/>
          <w:sz w:val="24"/>
          <w:szCs w:val="24"/>
        </w:rPr>
        <w:t> </w:t>
      </w:r>
      <w:r w:rsidR="006C1917" w:rsidRPr="00434163">
        <w:rPr>
          <w:rFonts w:cs="Arial"/>
          <w:i/>
          <w:iCs/>
          <w:sz w:val="24"/>
          <w:szCs w:val="24"/>
          <w:shd w:val="clear" w:color="auto" w:fill="FFFFFF"/>
        </w:rPr>
        <w:t>Cor et Vasa</w:t>
      </w:r>
      <w:r w:rsidR="006C1917" w:rsidRPr="00434163">
        <w:rPr>
          <w:rFonts w:cs="Arial"/>
          <w:sz w:val="24"/>
          <w:szCs w:val="24"/>
          <w:shd w:val="clear" w:color="auto" w:fill="FFFFFF"/>
        </w:rPr>
        <w:t>, 2014, 56.1: e57-e74. ISSN 1803-7712.</w:t>
      </w:r>
    </w:p>
    <w:p w:rsidR="006C1917" w:rsidRPr="00434163" w:rsidRDefault="00797C57" w:rsidP="00434163">
      <w:pPr>
        <w:spacing w:after="120" w:line="360" w:lineRule="auto"/>
        <w:rPr>
          <w:bCs/>
          <w:sz w:val="24"/>
          <w:szCs w:val="24"/>
        </w:rPr>
      </w:pPr>
      <w:r>
        <w:rPr>
          <w:bCs/>
          <w:sz w:val="24"/>
          <w:szCs w:val="24"/>
        </w:rPr>
        <w:t>67</w:t>
      </w:r>
      <w:r w:rsidR="006C1917" w:rsidRPr="00434163">
        <w:rPr>
          <w:bCs/>
          <w:sz w:val="24"/>
          <w:szCs w:val="24"/>
        </w:rPr>
        <w:t>/</w:t>
      </w:r>
      <w:r w:rsidR="006C1917" w:rsidRPr="00434163">
        <w:rPr>
          <w:rFonts w:cs="Arial"/>
          <w:caps/>
          <w:sz w:val="24"/>
          <w:szCs w:val="24"/>
          <w:shd w:val="clear" w:color="auto" w:fill="FFFFFF"/>
        </w:rPr>
        <w:t xml:space="preserve"> VOJÁČEK,</w:t>
      </w:r>
      <w:r w:rsidR="006C1917" w:rsidRPr="00434163">
        <w:rPr>
          <w:rFonts w:cs="Arial"/>
          <w:sz w:val="24"/>
          <w:szCs w:val="24"/>
          <w:shd w:val="clear" w:color="auto" w:fill="FFFFFF"/>
        </w:rPr>
        <w:t xml:space="preserve"> Jan,</w:t>
      </w:r>
      <w:r w:rsidR="006C1917" w:rsidRPr="00434163">
        <w:rPr>
          <w:rFonts w:cs="Arial"/>
          <w:sz w:val="24"/>
          <w:szCs w:val="24"/>
        </w:rPr>
        <w:t> </w:t>
      </w:r>
      <w:r w:rsidR="006C1917" w:rsidRPr="00434163">
        <w:rPr>
          <w:rFonts w:cs="Arial"/>
          <w:caps/>
          <w:sz w:val="24"/>
          <w:szCs w:val="24"/>
          <w:shd w:val="clear" w:color="auto" w:fill="FFFFFF"/>
        </w:rPr>
        <w:t>KETTNER</w:t>
      </w:r>
      <w:r w:rsidR="006C1917" w:rsidRPr="00434163">
        <w:rPr>
          <w:rFonts w:cs="Arial"/>
          <w:sz w:val="24"/>
          <w:szCs w:val="24"/>
          <w:shd w:val="clear" w:color="auto" w:fill="FFFFFF"/>
        </w:rPr>
        <w:t>, Jiří a</w:t>
      </w:r>
      <w:r w:rsidR="006C1917" w:rsidRPr="00434163">
        <w:rPr>
          <w:rFonts w:cs="Arial"/>
          <w:sz w:val="24"/>
          <w:szCs w:val="24"/>
        </w:rPr>
        <w:t> </w:t>
      </w:r>
      <w:r w:rsidR="006C1917" w:rsidRPr="00434163">
        <w:rPr>
          <w:rFonts w:cs="Arial"/>
          <w:caps/>
          <w:sz w:val="24"/>
          <w:szCs w:val="24"/>
          <w:shd w:val="clear" w:color="auto" w:fill="FFFFFF"/>
        </w:rPr>
        <w:t>BULVAS</w:t>
      </w:r>
      <w:r w:rsidR="006C1917" w:rsidRPr="00434163">
        <w:rPr>
          <w:rFonts w:cs="Arial"/>
          <w:sz w:val="24"/>
          <w:szCs w:val="24"/>
          <w:shd w:val="clear" w:color="auto" w:fill="FFFFFF"/>
        </w:rPr>
        <w:t>, Miroslav.</w:t>
      </w:r>
      <w:r w:rsidR="006C1917" w:rsidRPr="00434163">
        <w:rPr>
          <w:rFonts w:cs="Arial"/>
          <w:sz w:val="24"/>
          <w:szCs w:val="24"/>
        </w:rPr>
        <w:t> </w:t>
      </w:r>
      <w:r w:rsidR="006C1917" w:rsidRPr="00434163">
        <w:rPr>
          <w:rFonts w:cs="Arial"/>
          <w:i/>
          <w:iCs/>
          <w:sz w:val="24"/>
          <w:szCs w:val="24"/>
          <w:shd w:val="clear" w:color="auto" w:fill="FFFFFF"/>
        </w:rPr>
        <w:t>Klinická kardiologie</w:t>
      </w:r>
      <w:r w:rsidR="006C1917" w:rsidRPr="00434163">
        <w:rPr>
          <w:rFonts w:cs="Arial"/>
          <w:sz w:val="24"/>
          <w:szCs w:val="24"/>
          <w:shd w:val="clear" w:color="auto" w:fill="FFFFFF"/>
        </w:rPr>
        <w:t>. 2. vyd. Praha: Nucleus HK, 2012. 1133 s.</w:t>
      </w:r>
      <w:r w:rsidR="006C1917" w:rsidRPr="00434163">
        <w:rPr>
          <w:rFonts w:cs="Arial"/>
          <w:sz w:val="24"/>
          <w:szCs w:val="24"/>
        </w:rPr>
        <w:t> </w:t>
      </w:r>
      <w:r w:rsidR="006C1917" w:rsidRPr="00434163">
        <w:rPr>
          <w:sz w:val="24"/>
          <w:szCs w:val="24"/>
        </w:rPr>
        <w:t>ISBN 978-80-87009-89-5</w:t>
      </w:r>
      <w:r w:rsidR="006C1917" w:rsidRPr="00434163">
        <w:rPr>
          <w:rFonts w:cs="Arial"/>
          <w:sz w:val="24"/>
          <w:szCs w:val="24"/>
          <w:shd w:val="clear" w:color="auto" w:fill="FFFFFF"/>
        </w:rPr>
        <w:t>.</w:t>
      </w:r>
    </w:p>
    <w:p w:rsidR="006C1917" w:rsidRPr="00434163" w:rsidRDefault="00797C57" w:rsidP="00434163">
      <w:pPr>
        <w:spacing w:after="120" w:line="360" w:lineRule="auto"/>
        <w:rPr>
          <w:rFonts w:cs="Arial"/>
          <w:sz w:val="24"/>
          <w:szCs w:val="24"/>
          <w:bdr w:val="none" w:sz="0" w:space="0" w:color="auto" w:frame="1"/>
          <w:shd w:val="clear" w:color="auto" w:fill="FFFFFF"/>
        </w:rPr>
      </w:pPr>
      <w:r>
        <w:rPr>
          <w:sz w:val="24"/>
          <w:szCs w:val="24"/>
        </w:rPr>
        <w:t>68</w:t>
      </w:r>
      <w:r w:rsidR="006C1917" w:rsidRPr="00434163">
        <w:rPr>
          <w:sz w:val="24"/>
          <w:szCs w:val="24"/>
        </w:rPr>
        <w:t xml:space="preserve">/ </w:t>
      </w:r>
      <w:r w:rsidR="006C1917" w:rsidRPr="00434163">
        <w:rPr>
          <w:rFonts w:cs="Arial"/>
          <w:sz w:val="24"/>
          <w:szCs w:val="24"/>
          <w:shd w:val="clear" w:color="auto" w:fill="FFFFFF"/>
        </w:rPr>
        <w:t>GUARDIGLI, Gabriele, et al. AV delay optimization and management of DDD paced patients with dilated cardiomyopathy.</w:t>
      </w:r>
      <w:r w:rsidR="006C1917" w:rsidRPr="00434163">
        <w:rPr>
          <w:rFonts w:cs="Arial"/>
          <w:sz w:val="24"/>
          <w:szCs w:val="24"/>
        </w:rPr>
        <w:t> </w:t>
      </w:r>
      <w:r w:rsidR="006C1917" w:rsidRPr="00434163">
        <w:rPr>
          <w:rFonts w:cs="Arial"/>
          <w:i/>
          <w:iCs/>
          <w:sz w:val="24"/>
          <w:szCs w:val="24"/>
          <w:shd w:val="clear" w:color="auto" w:fill="FFFFFF"/>
        </w:rPr>
        <w:t>Pacing and Clinical Electrophysiology</w:t>
      </w:r>
      <w:r w:rsidR="006C1917" w:rsidRPr="00434163">
        <w:rPr>
          <w:rFonts w:cs="Arial"/>
          <w:sz w:val="24"/>
          <w:szCs w:val="24"/>
          <w:shd w:val="clear" w:color="auto" w:fill="FFFFFF"/>
        </w:rPr>
        <w:t xml:space="preserve">, 1994, 17.11: 1984-1988. ISSN </w:t>
      </w:r>
      <w:r w:rsidR="006C1917" w:rsidRPr="00434163">
        <w:rPr>
          <w:rFonts w:cs="Arial"/>
          <w:sz w:val="24"/>
          <w:szCs w:val="24"/>
        </w:rPr>
        <w:t> </w:t>
      </w:r>
      <w:r w:rsidR="006C1917" w:rsidRPr="00434163">
        <w:rPr>
          <w:rFonts w:cs="Arial"/>
          <w:sz w:val="24"/>
          <w:szCs w:val="24"/>
          <w:bdr w:val="none" w:sz="0" w:space="0" w:color="auto" w:frame="1"/>
          <w:shd w:val="clear" w:color="auto" w:fill="FFFFFF"/>
        </w:rPr>
        <w:t>1540-8159.</w:t>
      </w:r>
    </w:p>
    <w:p w:rsidR="006C1917" w:rsidRPr="00BC6FDF" w:rsidRDefault="00797C57" w:rsidP="00434163">
      <w:pPr>
        <w:spacing w:after="120" w:line="360" w:lineRule="auto"/>
        <w:rPr>
          <w:sz w:val="24"/>
          <w:szCs w:val="24"/>
        </w:rPr>
      </w:pPr>
      <w:r w:rsidRPr="00BC6FDF">
        <w:rPr>
          <w:sz w:val="24"/>
          <w:szCs w:val="24"/>
        </w:rPr>
        <w:t>69</w:t>
      </w:r>
      <w:r w:rsidR="006C1917" w:rsidRPr="00BC6FDF">
        <w:rPr>
          <w:sz w:val="24"/>
          <w:szCs w:val="24"/>
        </w:rPr>
        <w:t xml:space="preserve">/ </w:t>
      </w:r>
      <w:r w:rsidR="006C1917" w:rsidRPr="00BC6FDF">
        <w:rPr>
          <w:sz w:val="24"/>
          <w:szCs w:val="24"/>
          <w:shd w:val="clear" w:color="auto" w:fill="FFFFFF"/>
        </w:rPr>
        <w:t>JANOUŠEK, Jan.</w:t>
      </w:r>
      <w:r w:rsidR="006C1917" w:rsidRPr="00BC6FDF">
        <w:rPr>
          <w:sz w:val="24"/>
          <w:szCs w:val="24"/>
        </w:rPr>
        <w:t> </w:t>
      </w:r>
      <w:r w:rsidR="006C1917" w:rsidRPr="00BC6FDF">
        <w:rPr>
          <w:i/>
          <w:iCs/>
          <w:sz w:val="24"/>
          <w:szCs w:val="24"/>
          <w:shd w:val="clear" w:color="auto" w:fill="FFFFFF"/>
        </w:rPr>
        <w:t>EKG a dysrytmie v dětském věku: Praktický návod k diagnostice a léčbě</w:t>
      </w:r>
      <w:r w:rsidR="006C1917" w:rsidRPr="00BC6FDF">
        <w:rPr>
          <w:sz w:val="24"/>
          <w:szCs w:val="24"/>
          <w:shd w:val="clear" w:color="auto" w:fill="FFFFFF"/>
        </w:rPr>
        <w:t>. 1. vyd. Jinočany: H &amp; H, 1994, 127 s., tab. ISBN 80-85467-24-0.</w:t>
      </w:r>
    </w:p>
    <w:p w:rsidR="006C1917" w:rsidRPr="00BC6FDF" w:rsidRDefault="00797C57" w:rsidP="00BC6FDF">
      <w:pPr>
        <w:rPr>
          <w:rFonts w:asciiTheme="minorHAnsi" w:eastAsia="Times New Roman" w:hAnsiTheme="minorHAnsi" w:cs="Arial"/>
          <w:sz w:val="24"/>
          <w:szCs w:val="24"/>
          <w:lang w:eastAsia="cs-CZ"/>
        </w:rPr>
      </w:pPr>
      <w:r w:rsidRPr="00BC6FDF">
        <w:rPr>
          <w:rFonts w:asciiTheme="minorHAnsi" w:hAnsiTheme="minorHAnsi"/>
          <w:sz w:val="24"/>
          <w:szCs w:val="24"/>
        </w:rPr>
        <w:t>70</w:t>
      </w:r>
      <w:r w:rsidR="006C1917" w:rsidRPr="00BC6FDF">
        <w:rPr>
          <w:rFonts w:asciiTheme="minorHAnsi" w:hAnsiTheme="minorHAnsi"/>
          <w:sz w:val="24"/>
          <w:szCs w:val="24"/>
        </w:rPr>
        <w:t>/</w:t>
      </w:r>
      <w:r w:rsidR="00BC6FDF" w:rsidRPr="00BC6FDF">
        <w:rPr>
          <w:rFonts w:asciiTheme="minorHAnsi" w:hAnsiTheme="minorHAnsi" w:cs="Arial"/>
          <w:sz w:val="24"/>
          <w:szCs w:val="24"/>
        </w:rPr>
        <w:t xml:space="preserve"> </w:t>
      </w:r>
      <w:r w:rsidR="00BC6FDF" w:rsidRPr="00BC6FDF">
        <w:rPr>
          <w:rFonts w:asciiTheme="minorHAnsi" w:eastAsia="Times New Roman" w:hAnsiTheme="minorHAnsi" w:cs="Arial"/>
          <w:sz w:val="24"/>
          <w:szCs w:val="24"/>
          <w:lang w:eastAsia="cs-CZ"/>
        </w:rPr>
        <w:t xml:space="preserve">LIPOLDOVÁ, J.; NOVÁK, M. Historie trvalé kardiostimulace. </w:t>
      </w:r>
      <w:r w:rsidR="00BC6FDF" w:rsidRPr="00BC6FDF">
        <w:rPr>
          <w:rFonts w:asciiTheme="minorHAnsi" w:eastAsia="Times New Roman" w:hAnsiTheme="minorHAnsi" w:cs="Arial"/>
          <w:i/>
          <w:iCs/>
          <w:sz w:val="24"/>
          <w:szCs w:val="24"/>
          <w:lang w:eastAsia="cs-CZ"/>
        </w:rPr>
        <w:t>Kardiologická revue</w:t>
      </w:r>
      <w:r w:rsidR="00BC6FDF" w:rsidRPr="00BC6FDF">
        <w:rPr>
          <w:rFonts w:asciiTheme="minorHAnsi" w:eastAsia="Times New Roman" w:hAnsiTheme="minorHAnsi" w:cs="Arial"/>
          <w:sz w:val="24"/>
          <w:szCs w:val="24"/>
          <w:lang w:eastAsia="cs-CZ"/>
        </w:rPr>
        <w:t>, 2006, 8: 166-173.</w:t>
      </w:r>
      <w:r w:rsidR="006C1917" w:rsidRPr="00BC6FDF">
        <w:rPr>
          <w:rFonts w:asciiTheme="minorHAnsi" w:hAnsiTheme="minorHAnsi"/>
          <w:sz w:val="24"/>
          <w:szCs w:val="24"/>
        </w:rPr>
        <w:t xml:space="preserve"> ISSN </w:t>
      </w:r>
      <w:r w:rsidR="006C1917" w:rsidRPr="00BC6FDF">
        <w:rPr>
          <w:rFonts w:asciiTheme="minorHAnsi" w:hAnsiTheme="minorHAnsi"/>
          <w:sz w:val="24"/>
          <w:szCs w:val="24"/>
          <w:shd w:val="clear" w:color="auto" w:fill="FFFFFF"/>
        </w:rPr>
        <w:t>2336-2898</w:t>
      </w:r>
      <w:r w:rsidR="006C1917" w:rsidRPr="00BC6FDF">
        <w:rPr>
          <w:rFonts w:asciiTheme="minorHAnsi" w:hAnsiTheme="minorHAnsi"/>
          <w:sz w:val="24"/>
          <w:szCs w:val="24"/>
        </w:rPr>
        <w:t>.</w:t>
      </w:r>
    </w:p>
    <w:p w:rsidR="006C1917" w:rsidRPr="00BC6FDF" w:rsidRDefault="00797C57" w:rsidP="00434163">
      <w:pPr>
        <w:shd w:val="clear" w:color="auto" w:fill="FFFFFF"/>
        <w:spacing w:after="120" w:line="360" w:lineRule="auto"/>
        <w:rPr>
          <w:sz w:val="24"/>
          <w:szCs w:val="24"/>
        </w:rPr>
      </w:pPr>
      <w:r w:rsidRPr="00BC6FDF">
        <w:rPr>
          <w:sz w:val="24"/>
          <w:szCs w:val="24"/>
        </w:rPr>
        <w:t>71</w:t>
      </w:r>
      <w:r w:rsidR="006C1917" w:rsidRPr="00BC6FDF">
        <w:rPr>
          <w:sz w:val="24"/>
          <w:szCs w:val="24"/>
        </w:rPr>
        <w:t xml:space="preserve">/ Klener et al., </w:t>
      </w:r>
      <w:r w:rsidR="006C1917" w:rsidRPr="00CE6CB2">
        <w:rPr>
          <w:i/>
          <w:sz w:val="24"/>
          <w:szCs w:val="24"/>
        </w:rPr>
        <w:t>Vnitřní lékařství, Díl I., Kardiovaskulární onemocnění</w:t>
      </w:r>
      <w:r w:rsidR="006C1917" w:rsidRPr="00BC6FDF">
        <w:rPr>
          <w:sz w:val="24"/>
          <w:szCs w:val="24"/>
        </w:rPr>
        <w:t>, Karolinum, Praha, 1997, 2</w:t>
      </w:r>
      <w:r w:rsidR="00AE55F4">
        <w:rPr>
          <w:sz w:val="24"/>
          <w:szCs w:val="24"/>
        </w:rPr>
        <w:t>05s., ISBN 382-210-97</w:t>
      </w:r>
      <w:r w:rsidR="006C1917" w:rsidRPr="00BC6FDF">
        <w:rPr>
          <w:sz w:val="24"/>
          <w:szCs w:val="24"/>
        </w:rPr>
        <w:t>.</w:t>
      </w:r>
    </w:p>
    <w:p w:rsidR="006C1917" w:rsidRPr="00434163" w:rsidRDefault="00797C57" w:rsidP="00434163">
      <w:pPr>
        <w:spacing w:after="120" w:line="360" w:lineRule="auto"/>
        <w:rPr>
          <w:sz w:val="24"/>
          <w:szCs w:val="24"/>
        </w:rPr>
      </w:pPr>
      <w:r>
        <w:rPr>
          <w:sz w:val="24"/>
          <w:szCs w:val="24"/>
        </w:rPr>
        <w:t>72</w:t>
      </w:r>
      <w:r w:rsidR="006C1917" w:rsidRPr="00434163">
        <w:rPr>
          <w:sz w:val="24"/>
          <w:szCs w:val="24"/>
        </w:rPr>
        <w:t xml:space="preserve">/ </w:t>
      </w:r>
      <w:r w:rsidR="006C1917" w:rsidRPr="00434163">
        <w:rPr>
          <w:rFonts w:cs="Arial"/>
          <w:sz w:val="24"/>
          <w:szCs w:val="24"/>
          <w:shd w:val="clear" w:color="auto" w:fill="FFFFFF"/>
        </w:rPr>
        <w:t>BOOS, Christopher J., et al. Effects of transvenous pacing on cardiac troponin release.</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Pacing and clinical electrophysiology</w:t>
      </w:r>
      <w:r w:rsidR="006C1917" w:rsidRPr="00434163">
        <w:rPr>
          <w:rFonts w:cs="Arial"/>
          <w:sz w:val="24"/>
          <w:szCs w:val="24"/>
          <w:shd w:val="clear" w:color="auto" w:fill="FFFFFF"/>
        </w:rPr>
        <w:t xml:space="preserve">, 2004, 27.9: 1264-1268. ISSN </w:t>
      </w:r>
      <w:r w:rsidR="006C1917" w:rsidRPr="00434163">
        <w:rPr>
          <w:rFonts w:cs="Arial"/>
          <w:sz w:val="24"/>
          <w:szCs w:val="24"/>
          <w:bdr w:val="none" w:sz="0" w:space="0" w:color="auto" w:frame="1"/>
          <w:shd w:val="clear" w:color="auto" w:fill="FFFFFF"/>
        </w:rPr>
        <w:t>1540-8159.</w:t>
      </w:r>
      <w:r w:rsidR="006C1917" w:rsidRPr="00434163">
        <w:rPr>
          <w:sz w:val="24"/>
          <w:szCs w:val="24"/>
        </w:rPr>
        <w:t xml:space="preserve">  </w:t>
      </w:r>
      <w:r w:rsidR="006C1917" w:rsidRPr="00434163">
        <w:rPr>
          <w:rFonts w:cs="Arial"/>
          <w:sz w:val="24"/>
          <w:szCs w:val="24"/>
        </w:rPr>
        <w:t> </w:t>
      </w:r>
      <w:r w:rsidR="006C1917" w:rsidRPr="00434163">
        <w:rPr>
          <w:sz w:val="24"/>
          <w:szCs w:val="24"/>
        </w:rPr>
        <w:t xml:space="preserve"> </w:t>
      </w:r>
    </w:p>
    <w:p w:rsidR="006C1917" w:rsidRPr="00434163" w:rsidRDefault="00797C57" w:rsidP="00434163">
      <w:pPr>
        <w:spacing w:after="120" w:line="360" w:lineRule="auto"/>
        <w:rPr>
          <w:sz w:val="24"/>
          <w:szCs w:val="24"/>
        </w:rPr>
      </w:pPr>
      <w:r>
        <w:rPr>
          <w:sz w:val="24"/>
          <w:szCs w:val="24"/>
        </w:rPr>
        <w:t>73</w:t>
      </w:r>
      <w:r w:rsidR="006C1917" w:rsidRPr="00434163">
        <w:rPr>
          <w:sz w:val="24"/>
          <w:szCs w:val="24"/>
        </w:rPr>
        <w:t xml:space="preserve">/ Táborský M. et al, </w:t>
      </w:r>
      <w:r w:rsidR="006C1917" w:rsidRPr="00434163">
        <w:rPr>
          <w:i/>
          <w:sz w:val="24"/>
          <w:szCs w:val="24"/>
        </w:rPr>
        <w:t>REPACE Registr pacemakerů 2010</w:t>
      </w:r>
      <w:r w:rsidR="006C1917" w:rsidRPr="00434163">
        <w:rPr>
          <w:sz w:val="24"/>
          <w:szCs w:val="24"/>
        </w:rPr>
        <w:t>, [online], Brno, Institut biostatistiky a analýz, ©2010.  </w:t>
      </w:r>
      <w:r w:rsidR="006C1917" w:rsidRPr="00434163">
        <w:rPr>
          <w:sz w:val="24"/>
          <w:szCs w:val="24"/>
          <w:shd w:val="clear" w:color="auto" w:fill="FFFFFF"/>
        </w:rPr>
        <w:t>[Cit. 1. 3. 2015]. Dostupné z: http://app3.registry.cz/index.php.</w:t>
      </w:r>
      <w:r w:rsidR="006C1917" w:rsidRPr="00434163">
        <w:rPr>
          <w:sz w:val="24"/>
          <w:szCs w:val="24"/>
        </w:rPr>
        <w:t xml:space="preserve"> </w:t>
      </w:r>
    </w:p>
    <w:p w:rsidR="006C1917" w:rsidRPr="00434163" w:rsidRDefault="00797C57" w:rsidP="00434163">
      <w:pPr>
        <w:spacing w:after="120" w:line="360" w:lineRule="auto"/>
        <w:rPr>
          <w:sz w:val="24"/>
          <w:szCs w:val="24"/>
        </w:rPr>
      </w:pPr>
      <w:r>
        <w:rPr>
          <w:sz w:val="24"/>
          <w:szCs w:val="24"/>
        </w:rPr>
        <w:t>74</w:t>
      </w:r>
      <w:r w:rsidR="006C1917" w:rsidRPr="00434163">
        <w:rPr>
          <w:sz w:val="24"/>
          <w:szCs w:val="24"/>
        </w:rPr>
        <w:t xml:space="preserve">/ </w:t>
      </w:r>
      <w:r w:rsidR="006C1917" w:rsidRPr="00434163">
        <w:rPr>
          <w:rFonts w:cs="Arial"/>
          <w:sz w:val="24"/>
          <w:szCs w:val="24"/>
          <w:shd w:val="clear" w:color="auto" w:fill="FFFFFF"/>
        </w:rPr>
        <w:t>VAVERKOVÁ, H., et al. Doporučení pro diagnostiku a léčbu dyslipidemií.</w:t>
      </w:r>
      <w:r w:rsidR="006C1917" w:rsidRPr="00434163">
        <w:rPr>
          <w:rFonts w:cs="Arial"/>
          <w:sz w:val="24"/>
          <w:szCs w:val="24"/>
        </w:rPr>
        <w:t> </w:t>
      </w:r>
      <w:r w:rsidR="006C1917" w:rsidRPr="00434163">
        <w:rPr>
          <w:rFonts w:cs="Arial"/>
          <w:i/>
          <w:iCs/>
          <w:sz w:val="24"/>
          <w:szCs w:val="24"/>
          <w:shd w:val="clear" w:color="auto" w:fill="FFFFFF"/>
        </w:rPr>
        <w:t>Cor Vasa</w:t>
      </w:r>
      <w:r w:rsidR="006C1917" w:rsidRPr="00434163">
        <w:rPr>
          <w:rFonts w:cs="Arial"/>
          <w:sz w:val="24"/>
          <w:szCs w:val="24"/>
          <w:shd w:val="clear" w:color="auto" w:fill="FFFFFF"/>
        </w:rPr>
        <w:t>, 2007, 49.3: K73-K86. ISSN 1803-7712.</w:t>
      </w:r>
    </w:p>
    <w:p w:rsidR="006C1917" w:rsidRPr="00434163" w:rsidRDefault="00797C57" w:rsidP="00434163">
      <w:pPr>
        <w:spacing w:after="120" w:line="360" w:lineRule="auto"/>
        <w:rPr>
          <w:rFonts w:cs="Arial"/>
          <w:sz w:val="24"/>
          <w:szCs w:val="24"/>
          <w:shd w:val="clear" w:color="auto" w:fill="FFFFFF"/>
        </w:rPr>
      </w:pPr>
      <w:r>
        <w:rPr>
          <w:rFonts w:cs="Arial"/>
          <w:sz w:val="24"/>
          <w:szCs w:val="24"/>
          <w:shd w:val="clear" w:color="auto" w:fill="FFFFFF"/>
        </w:rPr>
        <w:lastRenderedPageBreak/>
        <w:t>75</w:t>
      </w:r>
      <w:r w:rsidR="006C1917" w:rsidRPr="00434163">
        <w:rPr>
          <w:rFonts w:cs="Arial"/>
          <w:sz w:val="24"/>
          <w:szCs w:val="24"/>
          <w:shd w:val="clear" w:color="auto" w:fill="FFFFFF"/>
        </w:rPr>
        <w:t>/ WIDIMSKÝ J., Cífková R., et al. Widimský sr J. za Českou společnost pro hypertenzi. Doporučení diagnostických a léčebných postupů u arteriální hypertenze – verze 2007. Doporučení České společnosti pro hypertenzi.</w:t>
      </w:r>
      <w:r w:rsidR="006C1917" w:rsidRPr="00434163">
        <w:rPr>
          <w:rFonts w:cs="Arial"/>
          <w:sz w:val="24"/>
          <w:szCs w:val="24"/>
        </w:rPr>
        <w:t> </w:t>
      </w:r>
      <w:r w:rsidR="006C1917" w:rsidRPr="00434163">
        <w:rPr>
          <w:rFonts w:cs="Arial"/>
          <w:i/>
          <w:iCs/>
          <w:sz w:val="24"/>
          <w:szCs w:val="24"/>
          <w:shd w:val="clear" w:color="auto" w:fill="FFFFFF"/>
        </w:rPr>
        <w:t>Cor Vasa</w:t>
      </w:r>
      <w:r w:rsidR="006C1917" w:rsidRPr="00434163">
        <w:rPr>
          <w:rFonts w:cs="Arial"/>
          <w:sz w:val="24"/>
          <w:szCs w:val="24"/>
          <w:shd w:val="clear" w:color="auto" w:fill="FFFFFF"/>
        </w:rPr>
        <w:t>, 2008, 50.1: 3-16. ISSN 1803-7712.</w:t>
      </w:r>
    </w:p>
    <w:p w:rsidR="006C1917" w:rsidRPr="00434163" w:rsidRDefault="00797C57" w:rsidP="00434163">
      <w:pPr>
        <w:shd w:val="clear" w:color="auto" w:fill="FFFFFF"/>
        <w:spacing w:after="120" w:line="360" w:lineRule="auto"/>
        <w:rPr>
          <w:sz w:val="24"/>
          <w:szCs w:val="24"/>
        </w:rPr>
      </w:pPr>
      <w:r>
        <w:rPr>
          <w:sz w:val="24"/>
          <w:szCs w:val="24"/>
        </w:rPr>
        <w:t>76</w:t>
      </w:r>
      <w:r w:rsidR="006C1917" w:rsidRPr="00434163">
        <w:rPr>
          <w:sz w:val="24"/>
          <w:szCs w:val="24"/>
        </w:rPr>
        <w:t xml:space="preserve">/ </w:t>
      </w:r>
      <w:r w:rsidR="006C1917" w:rsidRPr="00434163">
        <w:rPr>
          <w:rFonts w:cs="Arial"/>
          <w:sz w:val="24"/>
          <w:szCs w:val="24"/>
          <w:shd w:val="clear" w:color="auto" w:fill="FFFFFF"/>
        </w:rPr>
        <w:t>MARTIGNANI, Cristian, et al. Troponin I rise after pacemaker implantation at the time of “universal definition of myocardial infarction”.</w:t>
      </w:r>
      <w:r w:rsidR="006C1917" w:rsidRPr="00434163">
        <w:rPr>
          <w:rFonts w:cs="Arial"/>
          <w:sz w:val="24"/>
          <w:szCs w:val="24"/>
        </w:rPr>
        <w:t> </w:t>
      </w:r>
      <w:r w:rsidR="006C1917" w:rsidRPr="00434163">
        <w:rPr>
          <w:rFonts w:cs="Arial"/>
          <w:i/>
          <w:iCs/>
          <w:sz w:val="24"/>
          <w:szCs w:val="24"/>
          <w:shd w:val="clear" w:color="auto" w:fill="FFFFFF"/>
        </w:rPr>
        <w:t>The American journal of cardiology</w:t>
      </w:r>
      <w:r w:rsidR="006C1917" w:rsidRPr="00434163">
        <w:rPr>
          <w:rFonts w:cs="Arial"/>
          <w:sz w:val="24"/>
          <w:szCs w:val="24"/>
          <w:shd w:val="clear" w:color="auto" w:fill="FFFFFF"/>
        </w:rPr>
        <w:t xml:space="preserve">, 2009, 103.8: 1061-1065. </w:t>
      </w:r>
      <w:r w:rsidR="006C1917" w:rsidRPr="00434163">
        <w:rPr>
          <w:rFonts w:cs="Helvetica"/>
          <w:sz w:val="24"/>
          <w:szCs w:val="24"/>
        </w:rPr>
        <w:t>ISSN 0002-9149</w:t>
      </w:r>
      <w:r w:rsidR="008252F3">
        <w:rPr>
          <w:rFonts w:cs="Helvetica"/>
          <w:sz w:val="24"/>
          <w:szCs w:val="24"/>
        </w:rPr>
        <w:t>.</w:t>
      </w:r>
    </w:p>
    <w:p w:rsidR="006C1917" w:rsidRPr="00434163" w:rsidRDefault="00797C57" w:rsidP="00434163">
      <w:pPr>
        <w:spacing w:after="120" w:line="360" w:lineRule="auto"/>
        <w:rPr>
          <w:sz w:val="24"/>
          <w:szCs w:val="24"/>
          <w:lang w:eastAsia="cs-CZ"/>
        </w:rPr>
      </w:pPr>
      <w:r>
        <w:rPr>
          <w:sz w:val="24"/>
          <w:szCs w:val="24"/>
        </w:rPr>
        <w:t>77</w:t>
      </w:r>
      <w:r w:rsidR="006C1917" w:rsidRPr="00434163">
        <w:rPr>
          <w:sz w:val="24"/>
          <w:szCs w:val="24"/>
        </w:rPr>
        <w:t xml:space="preserve">/ </w:t>
      </w:r>
      <w:r w:rsidR="006C1917" w:rsidRPr="00434163">
        <w:rPr>
          <w:rFonts w:cs="Arial"/>
          <w:sz w:val="24"/>
          <w:szCs w:val="24"/>
          <w:shd w:val="clear" w:color="auto" w:fill="FFFFFF"/>
        </w:rPr>
        <w:t>ALTIN, Timucin, et al. Effect of transvenous cardiac resynchronization therapy device implantation on cardiac troponin I release.</w:t>
      </w:r>
      <w:r w:rsidR="006C1917" w:rsidRPr="00434163">
        <w:rPr>
          <w:rFonts w:cs="Arial"/>
          <w:sz w:val="24"/>
          <w:szCs w:val="24"/>
        </w:rPr>
        <w:t> </w:t>
      </w:r>
      <w:r w:rsidR="006C1917" w:rsidRPr="00434163">
        <w:rPr>
          <w:rFonts w:cs="Arial"/>
          <w:i/>
          <w:iCs/>
          <w:sz w:val="24"/>
          <w:szCs w:val="24"/>
          <w:shd w:val="clear" w:color="auto" w:fill="FFFFFF"/>
        </w:rPr>
        <w:t>Pacing and Clinical Electrophysiology</w:t>
      </w:r>
      <w:r w:rsidR="006C1917" w:rsidRPr="00434163">
        <w:rPr>
          <w:rFonts w:cs="Arial"/>
          <w:sz w:val="24"/>
          <w:szCs w:val="24"/>
          <w:shd w:val="clear" w:color="auto" w:fill="FFFFFF"/>
        </w:rPr>
        <w:t xml:space="preserve">, 2007, 30.11: 1356-1362. ISSN </w:t>
      </w:r>
      <w:r w:rsidR="006C1917" w:rsidRPr="00434163">
        <w:rPr>
          <w:rFonts w:cs="Arial"/>
          <w:sz w:val="24"/>
          <w:szCs w:val="24"/>
          <w:bdr w:val="none" w:sz="0" w:space="0" w:color="auto" w:frame="1"/>
          <w:shd w:val="clear" w:color="auto" w:fill="FFFFFF"/>
        </w:rPr>
        <w:t>1540-8159.</w:t>
      </w:r>
      <w:r w:rsidR="006C1917" w:rsidRPr="00434163">
        <w:rPr>
          <w:sz w:val="24"/>
          <w:szCs w:val="24"/>
        </w:rPr>
        <w:t xml:space="preserve">  </w:t>
      </w:r>
      <w:r w:rsidR="006C1917" w:rsidRPr="00434163">
        <w:rPr>
          <w:rFonts w:cs="Arial"/>
          <w:sz w:val="24"/>
          <w:szCs w:val="24"/>
        </w:rPr>
        <w:t> </w:t>
      </w:r>
      <w:r w:rsidR="006C1917" w:rsidRPr="00434163">
        <w:rPr>
          <w:sz w:val="24"/>
          <w:szCs w:val="24"/>
        </w:rPr>
        <w:t xml:space="preserve"> </w:t>
      </w:r>
    </w:p>
    <w:p w:rsidR="006C1917" w:rsidRPr="00434163" w:rsidRDefault="00797C57" w:rsidP="00434163">
      <w:pPr>
        <w:spacing w:after="120" w:line="360" w:lineRule="auto"/>
        <w:rPr>
          <w:sz w:val="24"/>
          <w:szCs w:val="24"/>
          <w:lang w:eastAsia="cs-CZ"/>
        </w:rPr>
      </w:pPr>
      <w:r>
        <w:rPr>
          <w:sz w:val="24"/>
          <w:szCs w:val="24"/>
        </w:rPr>
        <w:t>78</w:t>
      </w:r>
      <w:r w:rsidR="006C1917" w:rsidRPr="00434163">
        <w:rPr>
          <w:sz w:val="24"/>
          <w:szCs w:val="24"/>
        </w:rPr>
        <w:t xml:space="preserve">/ </w:t>
      </w:r>
      <w:r w:rsidR="006C1917" w:rsidRPr="00434163">
        <w:rPr>
          <w:rFonts w:cs="Arial"/>
          <w:sz w:val="24"/>
          <w:szCs w:val="24"/>
          <w:shd w:val="clear" w:color="auto" w:fill="FFFFFF"/>
        </w:rPr>
        <w:t>SBAROUNI, Eftihia, et al. The Ischemia</w:t>
      </w:r>
      <w:r w:rsidR="006C1917" w:rsidRPr="00434163">
        <w:rPr>
          <w:rFonts w:cs="Cambria Math"/>
          <w:sz w:val="24"/>
          <w:szCs w:val="24"/>
          <w:shd w:val="clear" w:color="auto" w:fill="FFFFFF"/>
        </w:rPr>
        <w:t>‐</w:t>
      </w:r>
      <w:r w:rsidR="006C1917" w:rsidRPr="00434163">
        <w:rPr>
          <w:rFonts w:cs="Arial"/>
          <w:sz w:val="24"/>
          <w:szCs w:val="24"/>
          <w:shd w:val="clear" w:color="auto" w:fill="FFFFFF"/>
        </w:rPr>
        <w:t>Modified Albumin in Relation to Pacemaker and Defibrillator Implantation.</w:t>
      </w:r>
      <w:r w:rsidR="006C1917" w:rsidRPr="00434163">
        <w:rPr>
          <w:rFonts w:cs="Arial"/>
          <w:sz w:val="24"/>
          <w:szCs w:val="24"/>
        </w:rPr>
        <w:t> </w:t>
      </w:r>
      <w:r w:rsidR="006C1917" w:rsidRPr="00434163">
        <w:rPr>
          <w:rFonts w:cs="Arial"/>
          <w:i/>
          <w:iCs/>
          <w:sz w:val="24"/>
          <w:szCs w:val="24"/>
          <w:shd w:val="clear" w:color="auto" w:fill="FFFFFF"/>
        </w:rPr>
        <w:t>Pacing and Clinical Electrophysiology</w:t>
      </w:r>
      <w:r w:rsidR="006C1917" w:rsidRPr="00434163">
        <w:rPr>
          <w:rFonts w:cs="Arial"/>
          <w:sz w:val="24"/>
          <w:szCs w:val="24"/>
          <w:shd w:val="clear" w:color="auto" w:fill="FFFFFF"/>
        </w:rPr>
        <w:t>, 2008, 31.1: 83-87.</w:t>
      </w:r>
      <w:r w:rsidR="006C1917" w:rsidRPr="00434163">
        <w:rPr>
          <w:sz w:val="24"/>
          <w:szCs w:val="24"/>
        </w:rPr>
        <w:t xml:space="preserve"> </w:t>
      </w:r>
      <w:r w:rsidR="006C1917" w:rsidRPr="00434163">
        <w:rPr>
          <w:rFonts w:cs="Arial"/>
          <w:sz w:val="24"/>
          <w:szCs w:val="24"/>
          <w:shd w:val="clear" w:color="auto" w:fill="FFFFFF"/>
        </w:rPr>
        <w:t xml:space="preserve">ISSN </w:t>
      </w:r>
      <w:r w:rsidR="006C1917" w:rsidRPr="00434163">
        <w:rPr>
          <w:rFonts w:cs="Arial"/>
          <w:sz w:val="24"/>
          <w:szCs w:val="24"/>
          <w:bdr w:val="none" w:sz="0" w:space="0" w:color="auto" w:frame="1"/>
          <w:shd w:val="clear" w:color="auto" w:fill="FFFFFF"/>
        </w:rPr>
        <w:t>1540-8159.</w:t>
      </w:r>
      <w:r w:rsidR="006C1917" w:rsidRPr="00434163">
        <w:rPr>
          <w:sz w:val="24"/>
          <w:szCs w:val="24"/>
        </w:rPr>
        <w:t xml:space="preserve">  </w:t>
      </w:r>
      <w:r w:rsidR="006C1917" w:rsidRPr="00434163">
        <w:rPr>
          <w:rFonts w:cs="Arial"/>
          <w:sz w:val="24"/>
          <w:szCs w:val="24"/>
        </w:rPr>
        <w:t> </w:t>
      </w:r>
      <w:r w:rsidR="006C1917" w:rsidRPr="00434163">
        <w:rPr>
          <w:sz w:val="24"/>
          <w:szCs w:val="24"/>
        </w:rPr>
        <w:t xml:space="preserve"> </w:t>
      </w:r>
    </w:p>
    <w:p w:rsidR="006C1917" w:rsidRPr="00434163" w:rsidRDefault="00797C57" w:rsidP="00434163">
      <w:pPr>
        <w:spacing w:after="120" w:line="360" w:lineRule="auto"/>
        <w:rPr>
          <w:rStyle w:val="ft"/>
          <w:rFonts w:cs="Arial"/>
          <w:sz w:val="24"/>
          <w:szCs w:val="24"/>
          <w:shd w:val="clear" w:color="auto" w:fill="FFFFFF"/>
        </w:rPr>
      </w:pPr>
      <w:bookmarkStart w:id="61" w:name="citation"/>
      <w:r>
        <w:rPr>
          <w:rFonts w:cs="Helvetica"/>
          <w:sz w:val="24"/>
          <w:szCs w:val="24"/>
        </w:rPr>
        <w:t>79</w:t>
      </w:r>
      <w:r w:rsidR="006C1917" w:rsidRPr="00434163">
        <w:rPr>
          <w:rFonts w:cs="Helvetica"/>
          <w:sz w:val="24"/>
          <w:szCs w:val="24"/>
        </w:rPr>
        <w:t xml:space="preserve">/ </w:t>
      </w:r>
      <w:r w:rsidR="006C1917" w:rsidRPr="00434163">
        <w:rPr>
          <w:rFonts w:cs="Arial"/>
          <w:sz w:val="24"/>
          <w:szCs w:val="24"/>
          <w:shd w:val="clear" w:color="auto" w:fill="FFFFFF"/>
        </w:rPr>
        <w:t>DAVOODI, Gholamreza, et al. Detection of myocardial injury due to defibrillation threshold checking after insertion of implantable cardioverter/defibrillators.</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Acta cardiologica</w:t>
      </w:r>
      <w:r w:rsidR="006C1917" w:rsidRPr="00434163">
        <w:rPr>
          <w:rFonts w:cs="Arial"/>
          <w:sz w:val="24"/>
          <w:szCs w:val="24"/>
          <w:shd w:val="clear" w:color="auto" w:fill="FFFFFF"/>
        </w:rPr>
        <w:t>, 2013, 68.2: 167-172.</w:t>
      </w:r>
      <w:r w:rsidR="006C1917" w:rsidRPr="00434163">
        <w:rPr>
          <w:rFonts w:cs="Helvetica"/>
          <w:sz w:val="24"/>
          <w:szCs w:val="24"/>
        </w:rPr>
        <w:t xml:space="preserve"> </w:t>
      </w:r>
      <w:r w:rsidR="006C1917" w:rsidRPr="00434163">
        <w:rPr>
          <w:rStyle w:val="Zvraznn"/>
          <w:rFonts w:cs="Arial"/>
          <w:bCs/>
          <w:i w:val="0"/>
          <w:iCs w:val="0"/>
          <w:sz w:val="24"/>
          <w:szCs w:val="24"/>
          <w:shd w:val="clear" w:color="auto" w:fill="FFFFFF"/>
        </w:rPr>
        <w:t>ISSN</w:t>
      </w:r>
      <w:r w:rsidR="006C1917" w:rsidRPr="00434163">
        <w:rPr>
          <w:rStyle w:val="ft"/>
          <w:rFonts w:cs="Arial"/>
          <w:sz w:val="24"/>
          <w:szCs w:val="24"/>
          <w:shd w:val="clear" w:color="auto" w:fill="FFFFFF"/>
        </w:rPr>
        <w:t xml:space="preserve"> 0001-5385.</w:t>
      </w:r>
    </w:p>
    <w:p w:rsidR="006C1917" w:rsidRPr="00434163" w:rsidRDefault="00797C57" w:rsidP="00434163">
      <w:pPr>
        <w:shd w:val="clear" w:color="auto" w:fill="FFFFFE"/>
        <w:spacing w:after="120" w:line="360" w:lineRule="auto"/>
        <w:textAlignment w:val="baseline"/>
        <w:rPr>
          <w:rFonts w:cs="Helvetica"/>
          <w:sz w:val="24"/>
          <w:szCs w:val="24"/>
        </w:rPr>
      </w:pPr>
      <w:r>
        <w:rPr>
          <w:rFonts w:cs="Helvetica"/>
          <w:sz w:val="24"/>
          <w:szCs w:val="24"/>
          <w:shd w:val="clear" w:color="auto" w:fill="FFFFFF"/>
        </w:rPr>
        <w:t>80</w:t>
      </w:r>
      <w:r w:rsidR="006C1917" w:rsidRPr="00434163">
        <w:rPr>
          <w:rFonts w:cs="Helvetica"/>
          <w:sz w:val="24"/>
          <w:szCs w:val="24"/>
          <w:shd w:val="clear" w:color="auto" w:fill="FFFFFF"/>
        </w:rPr>
        <w:t xml:space="preserve">/ </w:t>
      </w:r>
      <w:r w:rsidR="006C1917" w:rsidRPr="00434163">
        <w:rPr>
          <w:rFonts w:cs="Arial"/>
          <w:sz w:val="24"/>
          <w:szCs w:val="24"/>
          <w:shd w:val="clear" w:color="auto" w:fill="FFFFFF"/>
        </w:rPr>
        <w:t>HURST, Tanja M., et al. Detection of myocardial injury during transvenous implantation of automatic cardioverter-defibrillators.</w:t>
      </w:r>
      <w:r w:rsidR="006C1917" w:rsidRPr="00434163">
        <w:rPr>
          <w:rFonts w:cs="Arial"/>
          <w:sz w:val="24"/>
          <w:szCs w:val="24"/>
        </w:rPr>
        <w:t> </w:t>
      </w:r>
      <w:r w:rsidR="006C1917" w:rsidRPr="00434163">
        <w:rPr>
          <w:rFonts w:cs="Arial"/>
          <w:i/>
          <w:iCs/>
          <w:sz w:val="24"/>
          <w:szCs w:val="24"/>
          <w:shd w:val="clear" w:color="auto" w:fill="FFFFFF"/>
        </w:rPr>
        <w:t>Journal of the American College of Cardiology</w:t>
      </w:r>
      <w:r w:rsidR="006C1917" w:rsidRPr="00434163">
        <w:rPr>
          <w:rFonts w:cs="Arial"/>
          <w:sz w:val="24"/>
          <w:szCs w:val="24"/>
          <w:shd w:val="clear" w:color="auto" w:fill="FFFFFF"/>
        </w:rPr>
        <w:t xml:space="preserve">, 1999, 34.2: 402-408. </w:t>
      </w:r>
      <w:r w:rsidR="006C1917" w:rsidRPr="00434163">
        <w:rPr>
          <w:rFonts w:cs="Helvetica"/>
          <w:sz w:val="24"/>
          <w:szCs w:val="24"/>
        </w:rPr>
        <w:t>ISSN: 0735-1097.</w:t>
      </w:r>
    </w:p>
    <w:p w:rsidR="006C1917" w:rsidRPr="00434163" w:rsidRDefault="00797C57" w:rsidP="00434163">
      <w:pPr>
        <w:shd w:val="clear" w:color="auto" w:fill="FFFFFF"/>
        <w:spacing w:after="120" w:line="360" w:lineRule="auto"/>
        <w:rPr>
          <w:sz w:val="24"/>
          <w:szCs w:val="24"/>
        </w:rPr>
      </w:pPr>
      <w:r>
        <w:rPr>
          <w:sz w:val="24"/>
          <w:szCs w:val="24"/>
        </w:rPr>
        <w:t>81</w:t>
      </w:r>
      <w:r w:rsidR="006C1917" w:rsidRPr="00434163">
        <w:rPr>
          <w:sz w:val="24"/>
          <w:szCs w:val="24"/>
        </w:rPr>
        <w:t xml:space="preserve">/ </w:t>
      </w:r>
      <w:r w:rsidR="006C1917" w:rsidRPr="00434163">
        <w:rPr>
          <w:rFonts w:cs="Arial"/>
          <w:sz w:val="24"/>
          <w:szCs w:val="24"/>
          <w:shd w:val="clear" w:color="auto" w:fill="FFFFFF"/>
        </w:rPr>
        <w:t>DWORSCHAK, Martin, et al. Mechanical trauma as the major cause of troponin T release after transvenous implantation of cardioverter/defibrillators.</w:t>
      </w:r>
      <w:r w:rsidR="006C1917" w:rsidRPr="00434163">
        <w:rPr>
          <w:rFonts w:cs="Arial"/>
          <w:sz w:val="24"/>
          <w:szCs w:val="24"/>
        </w:rPr>
        <w:t> </w:t>
      </w:r>
      <w:r w:rsidR="006C1917" w:rsidRPr="00434163">
        <w:rPr>
          <w:rFonts w:cs="Arial"/>
          <w:i/>
          <w:iCs/>
          <w:sz w:val="24"/>
          <w:szCs w:val="24"/>
          <w:shd w:val="clear" w:color="auto" w:fill="FFFFFF"/>
        </w:rPr>
        <w:t>Cardiology</w:t>
      </w:r>
      <w:r w:rsidR="006C1917" w:rsidRPr="00434163">
        <w:rPr>
          <w:rFonts w:cs="Arial"/>
          <w:sz w:val="24"/>
          <w:szCs w:val="24"/>
          <w:shd w:val="clear" w:color="auto" w:fill="FFFFFF"/>
        </w:rPr>
        <w:t>, 2001, 95.4: 212-214. ISSN 0008-6312.</w:t>
      </w:r>
    </w:p>
    <w:p w:rsidR="006C1917" w:rsidRPr="00434163" w:rsidRDefault="00797C57" w:rsidP="00434163">
      <w:pPr>
        <w:spacing w:after="120" w:line="360" w:lineRule="auto"/>
        <w:rPr>
          <w:sz w:val="24"/>
          <w:szCs w:val="24"/>
          <w:lang w:eastAsia="cs-CZ"/>
        </w:rPr>
      </w:pPr>
      <w:r>
        <w:rPr>
          <w:rFonts w:cs="Arial"/>
          <w:sz w:val="24"/>
          <w:szCs w:val="24"/>
        </w:rPr>
        <w:t>82</w:t>
      </w:r>
      <w:r w:rsidR="006C1917" w:rsidRPr="00434163">
        <w:rPr>
          <w:rFonts w:cs="Arial"/>
          <w:sz w:val="24"/>
          <w:szCs w:val="24"/>
        </w:rPr>
        <w:t xml:space="preserve">/ </w:t>
      </w:r>
      <w:r w:rsidR="006C1917" w:rsidRPr="00434163">
        <w:rPr>
          <w:rFonts w:cs="Arial"/>
          <w:sz w:val="24"/>
          <w:szCs w:val="24"/>
          <w:shd w:val="clear" w:color="auto" w:fill="FFFFFF"/>
        </w:rPr>
        <w:t>SCHLÜTER, Thomas, et al. Effects of implantable cardioverter defibrillator implantation and shock application on biochemical markers of myocardial damage.</w:t>
      </w:r>
      <w:r w:rsidR="006C1917" w:rsidRPr="00434163">
        <w:rPr>
          <w:rFonts w:cs="Arial"/>
          <w:sz w:val="24"/>
          <w:szCs w:val="24"/>
        </w:rPr>
        <w:t> </w:t>
      </w:r>
      <w:r w:rsidR="006C1917" w:rsidRPr="00434163">
        <w:rPr>
          <w:rFonts w:cs="Arial"/>
          <w:i/>
          <w:iCs/>
          <w:sz w:val="24"/>
          <w:szCs w:val="24"/>
          <w:shd w:val="clear" w:color="auto" w:fill="FFFFFF"/>
        </w:rPr>
        <w:t>Clinical chemistry</w:t>
      </w:r>
      <w:r w:rsidR="006C1917" w:rsidRPr="00434163">
        <w:rPr>
          <w:rFonts w:cs="Arial"/>
          <w:sz w:val="24"/>
          <w:szCs w:val="24"/>
          <w:shd w:val="clear" w:color="auto" w:fill="FFFFFF"/>
        </w:rPr>
        <w:t>, 2001, 47.3: 459-463.</w:t>
      </w:r>
      <w:r w:rsidR="006C1917" w:rsidRPr="00434163">
        <w:rPr>
          <w:rStyle w:val="Nadpis1Char"/>
          <w:rFonts w:cs="Arial"/>
          <w:b w:val="0"/>
          <w:bCs w:val="0"/>
          <w:i/>
          <w:iCs/>
          <w:sz w:val="24"/>
          <w:szCs w:val="24"/>
          <w:shd w:val="clear" w:color="auto" w:fill="FFFFFF"/>
        </w:rPr>
        <w:t xml:space="preserve"> </w:t>
      </w:r>
      <w:r w:rsidR="006C1917" w:rsidRPr="00434163">
        <w:rPr>
          <w:rFonts w:cs="Arial"/>
          <w:bCs/>
          <w:sz w:val="24"/>
          <w:szCs w:val="24"/>
        </w:rPr>
        <w:t>ISSN</w:t>
      </w:r>
      <w:r w:rsidR="006C1917" w:rsidRPr="00434163">
        <w:rPr>
          <w:rFonts w:cs="Arial"/>
          <w:sz w:val="24"/>
          <w:szCs w:val="24"/>
        </w:rPr>
        <w:t> </w:t>
      </w:r>
      <w:r w:rsidR="006C1917" w:rsidRPr="00434163">
        <w:rPr>
          <w:rFonts w:cs="Arial"/>
          <w:sz w:val="24"/>
          <w:szCs w:val="24"/>
          <w:shd w:val="clear" w:color="auto" w:fill="FFFFFF"/>
        </w:rPr>
        <w:t>0009-9147.</w:t>
      </w:r>
      <w:bookmarkEnd w:id="61"/>
    </w:p>
    <w:p w:rsidR="006C1917" w:rsidRPr="00434163" w:rsidRDefault="00797C57" w:rsidP="00434163">
      <w:pPr>
        <w:spacing w:after="120" w:line="360" w:lineRule="auto"/>
        <w:rPr>
          <w:sz w:val="24"/>
          <w:szCs w:val="24"/>
        </w:rPr>
      </w:pPr>
      <w:r>
        <w:rPr>
          <w:sz w:val="24"/>
          <w:szCs w:val="24"/>
        </w:rPr>
        <w:t>83</w:t>
      </w:r>
      <w:r w:rsidR="006C1917" w:rsidRPr="00434163">
        <w:rPr>
          <w:sz w:val="24"/>
          <w:szCs w:val="24"/>
        </w:rPr>
        <w:t xml:space="preserve">/ </w:t>
      </w:r>
      <w:r w:rsidR="006C1917" w:rsidRPr="00434163">
        <w:rPr>
          <w:rFonts w:cs="Arial"/>
          <w:sz w:val="24"/>
          <w:szCs w:val="24"/>
          <w:shd w:val="clear" w:color="auto" w:fill="FFFFFF"/>
        </w:rPr>
        <w:t>FURNISS, Guy, et al. Cardiac troponin levels following implantable cardioverter defibrillation implantation and testing.</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Europace</w:t>
      </w:r>
      <w:r w:rsidR="006C1917" w:rsidRPr="00434163">
        <w:rPr>
          <w:rFonts w:cs="Arial"/>
          <w:sz w:val="24"/>
          <w:szCs w:val="24"/>
          <w:shd w:val="clear" w:color="auto" w:fill="FFFFFF"/>
        </w:rPr>
        <w:t xml:space="preserve">, </w:t>
      </w:r>
      <w:r w:rsidR="006C1917" w:rsidRPr="00434163">
        <w:rPr>
          <w:rFonts w:cs="Helvetica"/>
          <w:sz w:val="24"/>
          <w:szCs w:val="24"/>
          <w:lang w:eastAsia="cs-CZ"/>
        </w:rPr>
        <w:t xml:space="preserve">Feb 2015, 17 (2) 262-266. ISSN </w:t>
      </w:r>
      <w:r w:rsidR="006C1917" w:rsidRPr="00434163">
        <w:rPr>
          <w:rFonts w:cs="Arial"/>
          <w:sz w:val="24"/>
          <w:szCs w:val="24"/>
          <w:shd w:val="clear" w:color="auto" w:fill="FFFFFF"/>
        </w:rPr>
        <w:t>1099-5129</w:t>
      </w:r>
      <w:r w:rsidR="006148B5">
        <w:rPr>
          <w:rFonts w:cs="Arial"/>
          <w:sz w:val="24"/>
          <w:szCs w:val="24"/>
          <w:shd w:val="clear" w:color="auto" w:fill="FFFFFF"/>
        </w:rPr>
        <w:t>.</w:t>
      </w:r>
    </w:p>
    <w:p w:rsidR="006C1917" w:rsidRPr="00434163" w:rsidRDefault="00797C57" w:rsidP="00434163">
      <w:pPr>
        <w:spacing w:after="120" w:line="360" w:lineRule="auto"/>
        <w:rPr>
          <w:rFonts w:cs="Arial"/>
          <w:sz w:val="24"/>
          <w:szCs w:val="24"/>
          <w:shd w:val="clear" w:color="auto" w:fill="FFFFFF"/>
        </w:rPr>
      </w:pPr>
      <w:r>
        <w:rPr>
          <w:bCs/>
          <w:sz w:val="24"/>
          <w:szCs w:val="24"/>
        </w:rPr>
        <w:t>84</w:t>
      </w:r>
      <w:r w:rsidR="006C1917" w:rsidRPr="00434163">
        <w:rPr>
          <w:bCs/>
          <w:sz w:val="24"/>
          <w:szCs w:val="24"/>
        </w:rPr>
        <w:t xml:space="preserve">/ </w:t>
      </w:r>
      <w:r w:rsidR="006C1917" w:rsidRPr="00434163">
        <w:rPr>
          <w:rFonts w:cs="Arial"/>
          <w:sz w:val="24"/>
          <w:szCs w:val="24"/>
          <w:shd w:val="clear" w:color="auto" w:fill="FFFFFF"/>
        </w:rPr>
        <w:t>NIKOLAOU, Nikolaos I., et al. Marked troponin elevation after implantation of a permanent antibradycardia pacemaker.</w:t>
      </w:r>
      <w:r w:rsidR="006C1917" w:rsidRPr="00434163">
        <w:rPr>
          <w:rFonts w:cs="Arial"/>
          <w:sz w:val="24"/>
          <w:szCs w:val="24"/>
        </w:rPr>
        <w:t> </w:t>
      </w:r>
      <w:r w:rsidR="006C1917" w:rsidRPr="00434163">
        <w:rPr>
          <w:rFonts w:cs="Arial"/>
          <w:i/>
          <w:iCs/>
          <w:sz w:val="24"/>
          <w:szCs w:val="24"/>
          <w:shd w:val="clear" w:color="auto" w:fill="FFFFFF"/>
        </w:rPr>
        <w:t>Hellenic J Cardiol</w:t>
      </w:r>
      <w:r w:rsidR="006C1917" w:rsidRPr="00434163">
        <w:rPr>
          <w:rFonts w:cs="Arial"/>
          <w:sz w:val="24"/>
          <w:szCs w:val="24"/>
          <w:shd w:val="clear" w:color="auto" w:fill="FFFFFF"/>
        </w:rPr>
        <w:t>, 2011, 52.6: 489-492. ISSN 1109-9666</w:t>
      </w:r>
      <w:r w:rsidR="006148B5">
        <w:rPr>
          <w:rFonts w:cs="Arial"/>
          <w:sz w:val="24"/>
          <w:szCs w:val="24"/>
          <w:shd w:val="clear" w:color="auto" w:fill="FFFFFF"/>
        </w:rPr>
        <w:t>.</w:t>
      </w:r>
    </w:p>
    <w:p w:rsidR="006C1917" w:rsidRPr="00434163" w:rsidRDefault="00797C57" w:rsidP="00434163">
      <w:pPr>
        <w:spacing w:after="120" w:line="360" w:lineRule="auto"/>
        <w:rPr>
          <w:sz w:val="24"/>
          <w:szCs w:val="24"/>
        </w:rPr>
      </w:pPr>
      <w:r>
        <w:rPr>
          <w:sz w:val="24"/>
          <w:szCs w:val="24"/>
        </w:rPr>
        <w:lastRenderedPageBreak/>
        <w:t>85</w:t>
      </w:r>
      <w:r w:rsidR="006C1917" w:rsidRPr="00434163">
        <w:rPr>
          <w:sz w:val="24"/>
          <w:szCs w:val="24"/>
        </w:rPr>
        <w:t xml:space="preserve">/ </w:t>
      </w:r>
      <w:r w:rsidR="006C1917" w:rsidRPr="00434163">
        <w:rPr>
          <w:rFonts w:cs="Arial"/>
          <w:sz w:val="24"/>
          <w:szCs w:val="24"/>
          <w:shd w:val="clear" w:color="auto" w:fill="FFFFFF"/>
        </w:rPr>
        <w:t>HIJAZI, Ziad, et al. High-Sensitivity Troponin I for Risk Assessment in Patients With Atrial Fibrillation Insights From the Apixaban for Reduction in Stroke and Other Thromboembolic Events in Atrial Fibrillation (ARISTOTLE) Trial.</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2014, 129.6: 625-634.</w:t>
      </w:r>
      <w:r w:rsidR="006C1917" w:rsidRPr="00434163">
        <w:rPr>
          <w:rStyle w:val="Zvraznn"/>
          <w:rFonts w:cs="Arial"/>
          <w:bCs/>
          <w:i w:val="0"/>
          <w:iCs w:val="0"/>
          <w:sz w:val="24"/>
          <w:szCs w:val="24"/>
          <w:shd w:val="clear" w:color="auto" w:fill="FFFFFF"/>
        </w:rPr>
        <w:t xml:space="preserve"> ISSN</w:t>
      </w:r>
      <w:r w:rsidR="006C1917" w:rsidRPr="00434163">
        <w:rPr>
          <w:rFonts w:cs="Arial"/>
          <w:sz w:val="24"/>
          <w:szCs w:val="24"/>
          <w:shd w:val="clear" w:color="auto" w:fill="FFFFFF"/>
        </w:rPr>
        <w:t xml:space="preserve"> 0009-7322.</w:t>
      </w:r>
    </w:p>
    <w:p w:rsidR="006C1917" w:rsidRPr="00434163" w:rsidRDefault="00797C57" w:rsidP="00434163">
      <w:pPr>
        <w:shd w:val="clear" w:color="auto" w:fill="FFFFFF"/>
        <w:spacing w:after="120" w:line="360" w:lineRule="auto"/>
        <w:rPr>
          <w:sz w:val="24"/>
          <w:szCs w:val="24"/>
          <w:lang w:eastAsia="cs-CZ"/>
        </w:rPr>
      </w:pPr>
      <w:r>
        <w:rPr>
          <w:sz w:val="24"/>
          <w:szCs w:val="24"/>
        </w:rPr>
        <w:t>86</w:t>
      </w:r>
      <w:r w:rsidR="006C1917" w:rsidRPr="00434163">
        <w:rPr>
          <w:sz w:val="24"/>
          <w:szCs w:val="24"/>
        </w:rPr>
        <w:t xml:space="preserve">/ </w:t>
      </w:r>
      <w:r w:rsidR="006C1917" w:rsidRPr="00434163">
        <w:rPr>
          <w:rFonts w:cs="Arial"/>
          <w:sz w:val="24"/>
          <w:szCs w:val="24"/>
          <w:shd w:val="clear" w:color="auto" w:fill="FFFFFF"/>
        </w:rPr>
        <w:t>KUCHER, Nils; GOLDHABER, Samuel Z. Cardiac biomarkers for risk stratification of patients with acute pulmonary embolism.</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2003, 108.18: 2191-2194.</w:t>
      </w:r>
      <w:r w:rsidR="006C1917" w:rsidRPr="00434163">
        <w:rPr>
          <w:sz w:val="24"/>
          <w:szCs w:val="24"/>
        </w:rPr>
        <w:t xml:space="preserve">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p>
    <w:p w:rsidR="006C1917" w:rsidRPr="00434163" w:rsidRDefault="00797C57" w:rsidP="00434163">
      <w:pPr>
        <w:spacing w:after="120" w:line="360" w:lineRule="auto"/>
        <w:rPr>
          <w:sz w:val="24"/>
          <w:szCs w:val="24"/>
        </w:rPr>
      </w:pPr>
      <w:r>
        <w:rPr>
          <w:sz w:val="24"/>
          <w:szCs w:val="24"/>
        </w:rPr>
        <w:t>87</w:t>
      </w:r>
      <w:r w:rsidR="006C1917" w:rsidRPr="00434163">
        <w:rPr>
          <w:sz w:val="24"/>
          <w:szCs w:val="24"/>
        </w:rPr>
        <w:t xml:space="preserve">/ </w:t>
      </w:r>
      <w:r w:rsidR="006C1917" w:rsidRPr="00434163">
        <w:rPr>
          <w:rFonts w:cs="Arial"/>
          <w:sz w:val="24"/>
          <w:szCs w:val="24"/>
          <w:shd w:val="clear" w:color="auto" w:fill="FFFFFF"/>
        </w:rPr>
        <w:t>GELLER, J. Christoph; ROSEN, Michael R. Persistent T-wave changes after alteration of the ventricular activation sequence. New insights into cellular mechanisms of'cardiac memory'.</w:t>
      </w:r>
      <w:r w:rsidR="006C1917" w:rsidRPr="00434163">
        <w:rPr>
          <w:rFonts w:cs="Arial"/>
          <w:sz w:val="24"/>
          <w:szCs w:val="24"/>
        </w:rPr>
        <w:t> </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1993, 88.4: 1811-1819.</w:t>
      </w:r>
      <w:r w:rsidR="006C1917" w:rsidRPr="00434163">
        <w:rPr>
          <w:rStyle w:val="Zvraznn"/>
          <w:rFonts w:cs="Arial"/>
          <w:bCs/>
          <w:i w:val="0"/>
          <w:iCs w:val="0"/>
          <w:sz w:val="24"/>
          <w:szCs w:val="24"/>
          <w:shd w:val="clear" w:color="auto" w:fill="FFFFFF"/>
        </w:rPr>
        <w:t xml:space="preserve"> ISSN</w:t>
      </w:r>
      <w:r w:rsidR="006C1917" w:rsidRPr="00434163">
        <w:rPr>
          <w:rFonts w:cs="Arial"/>
          <w:sz w:val="24"/>
          <w:szCs w:val="24"/>
          <w:shd w:val="clear" w:color="auto" w:fill="FFFFFF"/>
        </w:rPr>
        <w:t xml:space="preserve"> 0009-7322.</w:t>
      </w:r>
    </w:p>
    <w:p w:rsidR="006C1917" w:rsidRPr="00434163" w:rsidRDefault="00797C57" w:rsidP="00434163">
      <w:pPr>
        <w:spacing w:after="120" w:line="360" w:lineRule="auto"/>
        <w:rPr>
          <w:sz w:val="24"/>
          <w:szCs w:val="24"/>
        </w:rPr>
      </w:pPr>
      <w:r>
        <w:rPr>
          <w:sz w:val="24"/>
          <w:szCs w:val="24"/>
        </w:rPr>
        <w:t>88</w:t>
      </w:r>
      <w:r w:rsidR="00CE6CB2">
        <w:rPr>
          <w:sz w:val="24"/>
          <w:szCs w:val="24"/>
        </w:rPr>
        <w:t xml:space="preserve">/ DANĚK, Josef, et al., </w:t>
      </w:r>
      <w:r w:rsidR="006C1917" w:rsidRPr="00434163">
        <w:rPr>
          <w:sz w:val="24"/>
          <w:szCs w:val="24"/>
        </w:rPr>
        <w:t xml:space="preserve">Hodnoty troponinů u nemocných se stabilní ICHS. Abstrakt in </w:t>
      </w:r>
      <w:r w:rsidR="006C1917" w:rsidRPr="00434163">
        <w:rPr>
          <w:i/>
          <w:sz w:val="24"/>
          <w:szCs w:val="24"/>
          <w:u w:val="single"/>
        </w:rPr>
        <w:t>Interv Akut Kardiol</w:t>
      </w:r>
      <w:r w:rsidR="006C1917" w:rsidRPr="00434163">
        <w:rPr>
          <w:sz w:val="24"/>
          <w:szCs w:val="24"/>
        </w:rPr>
        <w:t xml:space="preserve"> 2014; 13(4):  ISSN </w:t>
      </w:r>
      <w:r w:rsidR="006C1917" w:rsidRPr="00434163">
        <w:rPr>
          <w:rFonts w:cs="Lucida Sans Unicode"/>
          <w:sz w:val="24"/>
          <w:szCs w:val="24"/>
          <w:shd w:val="clear" w:color="auto" w:fill="FFFFFF"/>
        </w:rPr>
        <w:t xml:space="preserve">1803-5302. </w:t>
      </w:r>
      <w:r w:rsidR="006C1917" w:rsidRPr="00434163">
        <w:rPr>
          <w:sz w:val="24"/>
          <w:szCs w:val="24"/>
        </w:rPr>
        <w:t xml:space="preserve">12. konference akutní kardiologie, Karlovy Vary 7. - 9. 12. 2014. </w:t>
      </w:r>
    </w:p>
    <w:p w:rsidR="006C1917" w:rsidRPr="00434163" w:rsidRDefault="00797C57" w:rsidP="00434163">
      <w:pPr>
        <w:pStyle w:val="Nadpis1"/>
        <w:numPr>
          <w:ilvl w:val="0"/>
          <w:numId w:val="0"/>
        </w:numPr>
        <w:shd w:val="clear" w:color="auto" w:fill="FFFFFF"/>
        <w:spacing w:before="0" w:beforeAutospacing="0" w:after="120" w:afterAutospacing="0" w:line="360" w:lineRule="auto"/>
        <w:rPr>
          <w:rFonts w:cs="Arial"/>
          <w:b w:val="0"/>
          <w:bCs w:val="0"/>
          <w:kern w:val="0"/>
          <w:sz w:val="24"/>
          <w:szCs w:val="24"/>
          <w:shd w:val="clear" w:color="auto" w:fill="FFFFFF"/>
          <w:lang w:eastAsia="en-US"/>
        </w:rPr>
      </w:pPr>
      <w:bookmarkStart w:id="62" w:name="_Toc422993272"/>
      <w:r>
        <w:rPr>
          <w:b w:val="0"/>
          <w:bCs w:val="0"/>
          <w:sz w:val="24"/>
          <w:szCs w:val="24"/>
        </w:rPr>
        <w:t>89</w:t>
      </w:r>
      <w:r w:rsidR="006C1917" w:rsidRPr="00434163">
        <w:rPr>
          <w:b w:val="0"/>
          <w:bCs w:val="0"/>
          <w:sz w:val="24"/>
          <w:szCs w:val="24"/>
        </w:rPr>
        <w:t xml:space="preserve">/ </w:t>
      </w:r>
      <w:r w:rsidR="006C1917" w:rsidRPr="00434163">
        <w:rPr>
          <w:rFonts w:cs="Arial"/>
          <w:b w:val="0"/>
          <w:bCs w:val="0"/>
          <w:kern w:val="0"/>
          <w:sz w:val="24"/>
          <w:szCs w:val="24"/>
          <w:shd w:val="clear" w:color="auto" w:fill="FFFFFF"/>
          <w:lang w:eastAsia="en-US"/>
        </w:rPr>
        <w:t>ZELLER, Tanja, et al. High-sensitivity cardiac troponin I in the general population – defining reference populations for the determination of the 99th percentile in the Gutenberg Health Study.</w:t>
      </w:r>
      <w:r w:rsidR="006C1917" w:rsidRPr="00434163">
        <w:rPr>
          <w:rFonts w:cs="Arial"/>
          <w:b w:val="0"/>
          <w:bCs w:val="0"/>
          <w:kern w:val="0"/>
          <w:sz w:val="24"/>
          <w:szCs w:val="24"/>
          <w:lang w:eastAsia="en-US"/>
        </w:rPr>
        <w:t> </w:t>
      </w:r>
      <w:r w:rsidR="006C1917" w:rsidRPr="00434163">
        <w:rPr>
          <w:rFonts w:cs="Arial"/>
          <w:b w:val="0"/>
          <w:bCs w:val="0"/>
          <w:i/>
          <w:iCs/>
          <w:kern w:val="0"/>
          <w:sz w:val="24"/>
          <w:szCs w:val="24"/>
          <w:shd w:val="clear" w:color="auto" w:fill="FFFFFF"/>
          <w:lang w:eastAsia="en-US"/>
        </w:rPr>
        <w:t>Clinical Chemistry and Laboratory Medicine (CCLM)</w:t>
      </w:r>
      <w:r w:rsidR="006C1917" w:rsidRPr="00434163">
        <w:rPr>
          <w:rFonts w:cs="Arial"/>
          <w:b w:val="0"/>
          <w:bCs w:val="0"/>
          <w:kern w:val="0"/>
          <w:sz w:val="24"/>
          <w:szCs w:val="24"/>
          <w:shd w:val="clear" w:color="auto" w:fill="FFFFFF"/>
          <w:lang w:eastAsia="en-US"/>
        </w:rPr>
        <w:t xml:space="preserve">, 2014. ISSN </w:t>
      </w:r>
      <w:r w:rsidR="006C1917" w:rsidRPr="00434163">
        <w:rPr>
          <w:rFonts w:cs="Arial"/>
          <w:b w:val="0"/>
          <w:sz w:val="24"/>
          <w:szCs w:val="24"/>
          <w:shd w:val="clear" w:color="auto" w:fill="FFFFFF"/>
        </w:rPr>
        <w:t>1437-4331</w:t>
      </w:r>
      <w:bookmarkEnd w:id="62"/>
      <w:r w:rsidR="006148B5">
        <w:rPr>
          <w:rFonts w:cs="Arial"/>
          <w:b w:val="0"/>
          <w:sz w:val="24"/>
          <w:szCs w:val="24"/>
          <w:shd w:val="clear" w:color="auto" w:fill="FFFFFF"/>
        </w:rPr>
        <w:t>.</w:t>
      </w:r>
    </w:p>
    <w:p w:rsidR="006C1917" w:rsidRPr="00434163" w:rsidRDefault="00797C57" w:rsidP="00434163">
      <w:pPr>
        <w:spacing w:after="120" w:line="360" w:lineRule="auto"/>
        <w:rPr>
          <w:sz w:val="24"/>
          <w:szCs w:val="24"/>
        </w:rPr>
      </w:pPr>
      <w:r>
        <w:rPr>
          <w:bCs/>
          <w:sz w:val="24"/>
          <w:szCs w:val="24"/>
        </w:rPr>
        <w:t>90</w:t>
      </w:r>
      <w:r w:rsidR="006C1917" w:rsidRPr="00434163">
        <w:rPr>
          <w:bCs/>
          <w:sz w:val="24"/>
          <w:szCs w:val="24"/>
        </w:rPr>
        <w:t xml:space="preserve">/ </w:t>
      </w:r>
      <w:r w:rsidR="006C1917" w:rsidRPr="00434163">
        <w:rPr>
          <w:rFonts w:cs="Arial"/>
          <w:sz w:val="24"/>
          <w:szCs w:val="24"/>
          <w:shd w:val="clear" w:color="auto" w:fill="FFFFFF"/>
        </w:rPr>
        <w:t>WALLACE, Thomas W., et al. Prevalence and determinants of troponin T elevation in the general population.</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xml:space="preserve">, 2006, 113.16: 1958-1965.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r w:rsidR="006148B5">
        <w:rPr>
          <w:rFonts w:cs="Arial"/>
          <w:sz w:val="24"/>
          <w:szCs w:val="24"/>
          <w:shd w:val="clear" w:color="auto" w:fill="FFFFFF"/>
        </w:rPr>
        <w:t>.</w:t>
      </w:r>
      <w:r w:rsidR="006C1917" w:rsidRPr="00434163">
        <w:rPr>
          <w:sz w:val="24"/>
          <w:szCs w:val="24"/>
        </w:rPr>
        <w:t xml:space="preserve"> </w:t>
      </w:r>
    </w:p>
    <w:p w:rsidR="006C1917" w:rsidRPr="00434163" w:rsidRDefault="00797C57" w:rsidP="00434163">
      <w:pPr>
        <w:shd w:val="clear" w:color="auto" w:fill="FFFFFF"/>
        <w:spacing w:after="120" w:line="360" w:lineRule="auto"/>
        <w:rPr>
          <w:sz w:val="24"/>
          <w:szCs w:val="24"/>
        </w:rPr>
      </w:pPr>
      <w:r>
        <w:rPr>
          <w:sz w:val="24"/>
          <w:szCs w:val="24"/>
        </w:rPr>
        <w:t>91</w:t>
      </w:r>
      <w:r w:rsidR="006C1917" w:rsidRPr="00434163">
        <w:rPr>
          <w:sz w:val="24"/>
          <w:szCs w:val="24"/>
        </w:rPr>
        <w:t xml:space="preserve">/ </w:t>
      </w:r>
      <w:r w:rsidR="006C1917" w:rsidRPr="00434163">
        <w:rPr>
          <w:rFonts w:cs="Arial"/>
          <w:sz w:val="24"/>
          <w:szCs w:val="24"/>
          <w:shd w:val="clear" w:color="auto" w:fill="FFFFFF"/>
        </w:rPr>
        <w:t>BRANDT, Roland R.; FILZMAIER, Karsten; HANRATH, Peter. Circulating cardiac troponin I in acute pericarditis.</w:t>
      </w:r>
      <w:r w:rsidR="006C1917" w:rsidRPr="00434163">
        <w:rPr>
          <w:rFonts w:cs="Arial"/>
          <w:sz w:val="24"/>
          <w:szCs w:val="24"/>
        </w:rPr>
        <w:t> </w:t>
      </w:r>
      <w:r w:rsidR="006C1917" w:rsidRPr="00434163">
        <w:rPr>
          <w:rFonts w:cs="Arial"/>
          <w:i/>
          <w:iCs/>
          <w:sz w:val="24"/>
          <w:szCs w:val="24"/>
          <w:shd w:val="clear" w:color="auto" w:fill="FFFFFF"/>
        </w:rPr>
        <w:t>The American journal of cardiology</w:t>
      </w:r>
      <w:r w:rsidR="006C1917" w:rsidRPr="00434163">
        <w:rPr>
          <w:rFonts w:cs="Arial"/>
          <w:sz w:val="24"/>
          <w:szCs w:val="24"/>
          <w:shd w:val="clear" w:color="auto" w:fill="FFFFFF"/>
        </w:rPr>
        <w:t xml:space="preserve">, 2001, 87.11: 1326-1328. </w:t>
      </w:r>
      <w:r w:rsidR="006C1917" w:rsidRPr="00434163">
        <w:rPr>
          <w:rFonts w:cs="Helvetica"/>
          <w:sz w:val="24"/>
          <w:szCs w:val="24"/>
        </w:rPr>
        <w:t>ISSN 0002-9149</w:t>
      </w:r>
      <w:r w:rsidR="006148B5">
        <w:rPr>
          <w:rFonts w:cs="Helvetica"/>
          <w:sz w:val="24"/>
          <w:szCs w:val="24"/>
        </w:rPr>
        <w:t>.</w:t>
      </w:r>
    </w:p>
    <w:p w:rsidR="006C1917" w:rsidRPr="00434163" w:rsidRDefault="00797C57" w:rsidP="00434163">
      <w:pPr>
        <w:spacing w:after="120" w:line="360" w:lineRule="auto"/>
        <w:rPr>
          <w:rFonts w:cs="Helvetica"/>
          <w:sz w:val="24"/>
          <w:szCs w:val="24"/>
        </w:rPr>
      </w:pPr>
      <w:r>
        <w:rPr>
          <w:bCs/>
          <w:sz w:val="24"/>
          <w:szCs w:val="24"/>
        </w:rPr>
        <w:t>92</w:t>
      </w:r>
      <w:r w:rsidR="006C1917" w:rsidRPr="00434163">
        <w:rPr>
          <w:bCs/>
          <w:sz w:val="24"/>
          <w:szCs w:val="24"/>
        </w:rPr>
        <w:t xml:space="preserve">/ </w:t>
      </w:r>
      <w:r w:rsidR="006C1917" w:rsidRPr="00434163">
        <w:rPr>
          <w:rFonts w:cs="Arial"/>
          <w:sz w:val="24"/>
          <w:szCs w:val="24"/>
          <w:shd w:val="clear" w:color="auto" w:fill="FFFFFF"/>
        </w:rPr>
        <w:t>IMAZIO, Massimo, et al. Cardiac troponin I in acute pericarditis.</w:t>
      </w:r>
      <w:r w:rsidR="006C1917" w:rsidRPr="00434163">
        <w:rPr>
          <w:rFonts w:cs="Arial"/>
          <w:sz w:val="24"/>
          <w:szCs w:val="24"/>
        </w:rPr>
        <w:t> </w:t>
      </w:r>
      <w:r w:rsidR="006C1917" w:rsidRPr="00434163">
        <w:rPr>
          <w:rFonts w:cs="Arial"/>
          <w:i/>
          <w:iCs/>
          <w:sz w:val="24"/>
          <w:szCs w:val="24"/>
          <w:shd w:val="clear" w:color="auto" w:fill="FFFFFF"/>
        </w:rPr>
        <w:t>Journal of the American College of Cardiology</w:t>
      </w:r>
      <w:r w:rsidR="006C1917" w:rsidRPr="00434163">
        <w:rPr>
          <w:rFonts w:cs="Arial"/>
          <w:sz w:val="24"/>
          <w:szCs w:val="24"/>
          <w:shd w:val="clear" w:color="auto" w:fill="FFFFFF"/>
        </w:rPr>
        <w:t>, 2003, 42.12: 2144-2148.</w:t>
      </w:r>
      <w:r w:rsidR="006C1917" w:rsidRPr="00434163">
        <w:rPr>
          <w:rFonts w:cs="Helvetica"/>
          <w:sz w:val="24"/>
          <w:szCs w:val="24"/>
        </w:rPr>
        <w:t xml:space="preserve"> ISSN 0735-1097.</w:t>
      </w:r>
    </w:p>
    <w:p w:rsidR="006C1917" w:rsidRPr="00434163" w:rsidRDefault="00797C57" w:rsidP="00434163">
      <w:pPr>
        <w:spacing w:after="120" w:line="360" w:lineRule="auto"/>
        <w:rPr>
          <w:rFonts w:cs="Arial"/>
          <w:sz w:val="24"/>
          <w:szCs w:val="24"/>
          <w:shd w:val="clear" w:color="auto" w:fill="FFFFFF"/>
        </w:rPr>
      </w:pPr>
      <w:r>
        <w:rPr>
          <w:sz w:val="24"/>
          <w:szCs w:val="24"/>
        </w:rPr>
        <w:t>93</w:t>
      </w:r>
      <w:r w:rsidR="006C1917" w:rsidRPr="00434163">
        <w:rPr>
          <w:sz w:val="24"/>
          <w:szCs w:val="24"/>
        </w:rPr>
        <w:t xml:space="preserve">/ </w:t>
      </w:r>
      <w:r w:rsidR="006C1917" w:rsidRPr="00434163">
        <w:rPr>
          <w:rFonts w:cs="Arial"/>
          <w:sz w:val="24"/>
          <w:szCs w:val="24"/>
          <w:shd w:val="clear" w:color="auto" w:fill="FFFFFF"/>
        </w:rPr>
        <w:t>MÁLEK, F.; MÁLEK, I. Novinky v diagnostice a terapii chronického srdečního selhání.</w:t>
      </w:r>
      <w:r w:rsidR="006C1917" w:rsidRPr="00434163">
        <w:rPr>
          <w:rFonts w:cs="Arial"/>
          <w:sz w:val="24"/>
          <w:szCs w:val="24"/>
        </w:rPr>
        <w:t> </w:t>
      </w:r>
      <w:r w:rsidR="006C1917" w:rsidRPr="00434163">
        <w:rPr>
          <w:rFonts w:cs="Arial"/>
          <w:i/>
          <w:iCs/>
          <w:sz w:val="24"/>
          <w:szCs w:val="24"/>
          <w:shd w:val="clear" w:color="auto" w:fill="FFFFFF"/>
        </w:rPr>
        <w:t>Interní medicína pro praxi</w:t>
      </w:r>
      <w:r w:rsidR="006C1917" w:rsidRPr="00434163">
        <w:rPr>
          <w:rFonts w:cs="Arial"/>
          <w:sz w:val="24"/>
          <w:szCs w:val="24"/>
          <w:shd w:val="clear" w:color="auto" w:fill="FFFFFF"/>
        </w:rPr>
        <w:t>, 2002, 9: 422-428.</w:t>
      </w:r>
      <w:r w:rsidR="006C1917" w:rsidRPr="00434163">
        <w:rPr>
          <w:sz w:val="24"/>
          <w:szCs w:val="24"/>
        </w:rPr>
        <w:t xml:space="preserve"> ISSN</w:t>
      </w:r>
      <w:r w:rsidR="006C1917" w:rsidRPr="00434163">
        <w:rPr>
          <w:rFonts w:cs="Arial"/>
          <w:sz w:val="24"/>
          <w:szCs w:val="24"/>
        </w:rPr>
        <w:t> </w:t>
      </w:r>
      <w:r w:rsidR="006C1917" w:rsidRPr="00434163">
        <w:rPr>
          <w:rFonts w:cs="Arial"/>
          <w:sz w:val="24"/>
          <w:szCs w:val="24"/>
          <w:shd w:val="clear" w:color="auto" w:fill="FFFFFF"/>
        </w:rPr>
        <w:t>1212-7299.</w:t>
      </w:r>
    </w:p>
    <w:p w:rsidR="006C1917" w:rsidRPr="00434163" w:rsidRDefault="00797C57" w:rsidP="00434163">
      <w:pPr>
        <w:pStyle w:val="Nadpis1"/>
        <w:numPr>
          <w:ilvl w:val="0"/>
          <w:numId w:val="0"/>
        </w:numPr>
        <w:shd w:val="clear" w:color="auto" w:fill="FFFFFF"/>
        <w:spacing w:before="0" w:beforeAutospacing="0" w:after="120" w:afterAutospacing="0" w:line="360" w:lineRule="auto"/>
        <w:textAlignment w:val="baseline"/>
        <w:rPr>
          <w:rFonts w:cs="Arial"/>
          <w:b w:val="0"/>
          <w:bCs w:val="0"/>
          <w:kern w:val="0"/>
          <w:sz w:val="24"/>
          <w:szCs w:val="24"/>
          <w:shd w:val="clear" w:color="auto" w:fill="FFFFFF"/>
          <w:lang w:eastAsia="en-US"/>
        </w:rPr>
      </w:pPr>
      <w:bookmarkStart w:id="63" w:name="_Toc422993273"/>
      <w:r>
        <w:rPr>
          <w:b w:val="0"/>
          <w:sz w:val="24"/>
          <w:szCs w:val="24"/>
          <w:shd w:val="clear" w:color="auto" w:fill="FFFFFF"/>
        </w:rPr>
        <w:t>94</w:t>
      </w:r>
      <w:r w:rsidR="006C1917" w:rsidRPr="00434163">
        <w:rPr>
          <w:b w:val="0"/>
          <w:sz w:val="24"/>
          <w:szCs w:val="24"/>
          <w:shd w:val="clear" w:color="auto" w:fill="FFFFFF"/>
        </w:rPr>
        <w:t>/ ČIHÁK, Robert</w:t>
      </w:r>
      <w:r w:rsidR="006C1917" w:rsidRPr="00434163">
        <w:rPr>
          <w:rFonts w:cs="Arial"/>
          <w:b w:val="0"/>
          <w:sz w:val="24"/>
          <w:szCs w:val="24"/>
          <w:shd w:val="clear" w:color="auto" w:fill="FFFFFF"/>
        </w:rPr>
        <w:t xml:space="preserve">; </w:t>
      </w:r>
      <w:r w:rsidR="006C1917" w:rsidRPr="00434163">
        <w:rPr>
          <w:b w:val="0"/>
          <w:sz w:val="24"/>
          <w:szCs w:val="24"/>
          <w:shd w:val="clear" w:color="auto" w:fill="FFFFFF"/>
        </w:rPr>
        <w:t xml:space="preserve"> HEINZ, Petr. Doporučení pro léčbu pacientů s fibrilací síní</w:t>
      </w:r>
      <w:r w:rsidR="006C1917" w:rsidRPr="00CE6CB2">
        <w:rPr>
          <w:b w:val="0"/>
          <w:sz w:val="24"/>
          <w:szCs w:val="24"/>
          <w:shd w:val="clear" w:color="auto" w:fill="FFFFFF"/>
        </w:rPr>
        <w:t xml:space="preserve">.  </w:t>
      </w:r>
      <w:r w:rsidR="006C1917" w:rsidRPr="00CE6CB2">
        <w:rPr>
          <w:rFonts w:cs="Arial"/>
          <w:b w:val="0"/>
          <w:i/>
          <w:sz w:val="24"/>
          <w:szCs w:val="24"/>
          <w:shd w:val="clear" w:color="auto" w:fill="FFFFFF"/>
        </w:rPr>
        <w:t>Cor Vasa</w:t>
      </w:r>
      <w:r w:rsidR="006C1917" w:rsidRPr="00CE6CB2">
        <w:rPr>
          <w:rFonts w:cs="Arial"/>
          <w:b w:val="0"/>
          <w:sz w:val="24"/>
          <w:szCs w:val="24"/>
          <w:shd w:val="clear" w:color="auto" w:fill="FFFFFF"/>
        </w:rPr>
        <w:t>,</w:t>
      </w:r>
      <w:r w:rsidR="006C1917" w:rsidRPr="00434163">
        <w:rPr>
          <w:rFonts w:cs="Arial"/>
          <w:b w:val="0"/>
          <w:sz w:val="24"/>
          <w:szCs w:val="24"/>
          <w:shd w:val="clear" w:color="auto" w:fill="FFFFFF"/>
        </w:rPr>
        <w:t xml:space="preserve"> 2004; 46(5): K </w:t>
      </w:r>
      <w:proofErr w:type="gramStart"/>
      <w:r w:rsidR="006C1917" w:rsidRPr="00434163">
        <w:rPr>
          <w:rFonts w:cs="Arial"/>
          <w:b w:val="0"/>
          <w:sz w:val="24"/>
          <w:szCs w:val="24"/>
          <w:shd w:val="clear" w:color="auto" w:fill="FFFFFF"/>
        </w:rPr>
        <w:t>67–K77</w:t>
      </w:r>
      <w:proofErr w:type="gramEnd"/>
      <w:r w:rsidR="006C1917" w:rsidRPr="00434163">
        <w:rPr>
          <w:rFonts w:cs="Arial"/>
          <w:b w:val="0"/>
          <w:sz w:val="24"/>
          <w:szCs w:val="24"/>
          <w:shd w:val="clear" w:color="auto" w:fill="FFFFFF"/>
        </w:rPr>
        <w:t xml:space="preserve">. </w:t>
      </w:r>
      <w:r w:rsidR="006C1917" w:rsidRPr="00434163">
        <w:rPr>
          <w:rFonts w:cs="Arial"/>
          <w:b w:val="0"/>
          <w:kern w:val="0"/>
          <w:sz w:val="24"/>
          <w:szCs w:val="24"/>
          <w:lang w:eastAsia="en-US"/>
        </w:rPr>
        <w:t>ISSN</w:t>
      </w:r>
      <w:r w:rsidR="006C1917" w:rsidRPr="00434163">
        <w:rPr>
          <w:rFonts w:cs="Arial"/>
          <w:b w:val="0"/>
          <w:bCs w:val="0"/>
          <w:kern w:val="0"/>
          <w:sz w:val="24"/>
          <w:szCs w:val="24"/>
          <w:lang w:eastAsia="en-US"/>
        </w:rPr>
        <w:t> </w:t>
      </w:r>
      <w:r w:rsidR="006C1917" w:rsidRPr="00434163">
        <w:rPr>
          <w:rFonts w:cs="Arial"/>
          <w:b w:val="0"/>
          <w:bCs w:val="0"/>
          <w:kern w:val="0"/>
          <w:sz w:val="24"/>
          <w:szCs w:val="24"/>
          <w:shd w:val="clear" w:color="auto" w:fill="FFFFFF"/>
          <w:lang w:eastAsia="en-US"/>
        </w:rPr>
        <w:t>0010-8650.</w:t>
      </w:r>
      <w:bookmarkEnd w:id="63"/>
    </w:p>
    <w:p w:rsidR="006C1917" w:rsidRPr="00434163" w:rsidRDefault="00797C57" w:rsidP="00434163">
      <w:pPr>
        <w:spacing w:after="120" w:line="360" w:lineRule="auto"/>
        <w:rPr>
          <w:sz w:val="24"/>
          <w:szCs w:val="24"/>
        </w:rPr>
      </w:pPr>
      <w:r>
        <w:rPr>
          <w:sz w:val="24"/>
          <w:szCs w:val="24"/>
          <w:shd w:val="clear" w:color="auto" w:fill="FFFFFF"/>
        </w:rPr>
        <w:lastRenderedPageBreak/>
        <w:t>95</w:t>
      </w:r>
      <w:r w:rsidR="006C1917" w:rsidRPr="00434163">
        <w:rPr>
          <w:sz w:val="24"/>
          <w:szCs w:val="24"/>
          <w:shd w:val="clear" w:color="auto" w:fill="FFFFFF"/>
        </w:rPr>
        <w:t xml:space="preserve">/ </w:t>
      </w:r>
      <w:r w:rsidR="006C1917" w:rsidRPr="00434163">
        <w:rPr>
          <w:rFonts w:cs="Arial"/>
          <w:sz w:val="24"/>
          <w:szCs w:val="24"/>
          <w:shd w:val="clear" w:color="auto" w:fill="FFFFFF"/>
        </w:rPr>
        <w:t>ANTER, Elad; JESSUP, Mariell; CALLANS, David J. Atrial fibrillation and heart failure treatment considerations for a dual epidemic.</w:t>
      </w:r>
      <w:r w:rsidR="006C1917" w:rsidRPr="00434163">
        <w:rPr>
          <w:rFonts w:cs="Arial"/>
          <w:sz w:val="24"/>
          <w:szCs w:val="24"/>
        </w:rPr>
        <w:t> </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2009, 119.18: 2516-2525.</w:t>
      </w:r>
      <w:r w:rsidR="006C1917" w:rsidRPr="00434163">
        <w:rPr>
          <w:rFonts w:cs="Arial"/>
          <w:bCs/>
          <w:sz w:val="24"/>
          <w:szCs w:val="24"/>
          <w:shd w:val="clear" w:color="auto" w:fill="FFFFFF"/>
        </w:rPr>
        <w:t xml:space="preserve">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p>
    <w:p w:rsidR="006C1917" w:rsidRPr="00434163" w:rsidRDefault="00797C57" w:rsidP="00434163">
      <w:pPr>
        <w:shd w:val="clear" w:color="auto" w:fill="FFFFFF"/>
        <w:spacing w:after="120" w:line="360" w:lineRule="auto"/>
        <w:rPr>
          <w:rFonts w:cs="Arial"/>
          <w:sz w:val="24"/>
          <w:szCs w:val="24"/>
          <w:shd w:val="clear" w:color="auto" w:fill="FFFFFF"/>
        </w:rPr>
      </w:pPr>
      <w:r>
        <w:rPr>
          <w:sz w:val="24"/>
          <w:szCs w:val="24"/>
        </w:rPr>
        <w:t>96</w:t>
      </w:r>
      <w:r w:rsidR="006C1917" w:rsidRPr="00434163">
        <w:rPr>
          <w:sz w:val="24"/>
          <w:szCs w:val="24"/>
        </w:rPr>
        <w:t>/</w:t>
      </w:r>
      <w:r w:rsidR="006C1917" w:rsidRPr="00434163">
        <w:rPr>
          <w:rFonts w:cs="Arial"/>
          <w:sz w:val="24"/>
          <w:szCs w:val="24"/>
          <w:shd w:val="clear" w:color="auto" w:fill="FFFFFF"/>
        </w:rPr>
        <w:t xml:space="preserve"> ROLDAN, V., et al. High sensitivity cardiac troponin T and interleukin</w:t>
      </w:r>
      <w:r w:rsidR="006C1917" w:rsidRPr="00434163">
        <w:rPr>
          <w:rFonts w:cs="Cambria Math"/>
          <w:sz w:val="24"/>
          <w:szCs w:val="24"/>
          <w:shd w:val="clear" w:color="auto" w:fill="FFFFFF"/>
        </w:rPr>
        <w:t>‐</w:t>
      </w:r>
      <w:r w:rsidR="006C1917" w:rsidRPr="00434163">
        <w:rPr>
          <w:rFonts w:cs="Arial"/>
          <w:sz w:val="24"/>
          <w:szCs w:val="24"/>
          <w:shd w:val="clear" w:color="auto" w:fill="FFFFFF"/>
        </w:rPr>
        <w:t>6 predict adverse cardiovascular events and mortality in anticoagulated patients with atrial fibrillation.</w:t>
      </w:r>
      <w:r w:rsidR="006C1917" w:rsidRPr="00434163">
        <w:rPr>
          <w:rFonts w:cs="Arial"/>
          <w:sz w:val="24"/>
          <w:szCs w:val="24"/>
        </w:rPr>
        <w:t> </w:t>
      </w:r>
      <w:r w:rsidR="006C1917" w:rsidRPr="00434163">
        <w:rPr>
          <w:rFonts w:cs="Arial"/>
          <w:i/>
          <w:iCs/>
          <w:sz w:val="24"/>
          <w:szCs w:val="24"/>
          <w:shd w:val="clear" w:color="auto" w:fill="FFFFFF"/>
        </w:rPr>
        <w:t>Journal of Thrombosis and Haemostasis</w:t>
      </w:r>
      <w:r w:rsidR="006C1917" w:rsidRPr="00434163">
        <w:rPr>
          <w:rFonts w:cs="Arial"/>
          <w:sz w:val="24"/>
          <w:szCs w:val="24"/>
          <w:shd w:val="clear" w:color="auto" w:fill="FFFFFF"/>
        </w:rPr>
        <w:t xml:space="preserve">, 2012, 10.8: 1500-1507. ISSN </w:t>
      </w:r>
      <w:r w:rsidR="006C1917" w:rsidRPr="00434163">
        <w:rPr>
          <w:rFonts w:cs="Arial"/>
          <w:sz w:val="24"/>
          <w:szCs w:val="24"/>
          <w:bdr w:val="none" w:sz="0" w:space="0" w:color="auto" w:frame="1"/>
          <w:shd w:val="clear" w:color="auto" w:fill="FFFFFF"/>
        </w:rPr>
        <w:t>1538-7836.</w:t>
      </w:r>
    </w:p>
    <w:p w:rsidR="006C1917" w:rsidRPr="00434163" w:rsidRDefault="00797C57" w:rsidP="00434163">
      <w:pPr>
        <w:spacing w:after="120" w:line="360" w:lineRule="auto"/>
        <w:rPr>
          <w:sz w:val="24"/>
          <w:szCs w:val="24"/>
        </w:rPr>
      </w:pPr>
      <w:r>
        <w:rPr>
          <w:sz w:val="24"/>
          <w:szCs w:val="24"/>
        </w:rPr>
        <w:t>97</w:t>
      </w:r>
      <w:r w:rsidR="006C1917" w:rsidRPr="00434163">
        <w:rPr>
          <w:sz w:val="24"/>
          <w:szCs w:val="24"/>
        </w:rPr>
        <w:t xml:space="preserve">/ </w:t>
      </w:r>
      <w:r w:rsidR="006C1917" w:rsidRPr="00434163">
        <w:rPr>
          <w:rFonts w:cs="Arial"/>
          <w:sz w:val="24"/>
          <w:szCs w:val="24"/>
          <w:shd w:val="clear" w:color="auto" w:fill="FFFFFF"/>
        </w:rPr>
        <w:t>NARULA, Jagat, et al. Apoptosis in myocytes in end-stage heart failure.</w:t>
      </w:r>
      <w:r w:rsidR="006C1917" w:rsidRPr="00434163">
        <w:rPr>
          <w:rFonts w:cs="Arial"/>
          <w:sz w:val="24"/>
          <w:szCs w:val="24"/>
        </w:rPr>
        <w:t> </w:t>
      </w:r>
      <w:r w:rsidR="006C1917" w:rsidRPr="00434163">
        <w:rPr>
          <w:rFonts w:cs="Arial"/>
          <w:i/>
          <w:iCs/>
          <w:sz w:val="24"/>
          <w:szCs w:val="24"/>
          <w:shd w:val="clear" w:color="auto" w:fill="FFFFFF"/>
        </w:rPr>
        <w:t>New England Journal of Medicine</w:t>
      </w:r>
      <w:r w:rsidR="006C1917" w:rsidRPr="00434163">
        <w:rPr>
          <w:rFonts w:cs="Arial"/>
          <w:sz w:val="24"/>
          <w:szCs w:val="24"/>
          <w:shd w:val="clear" w:color="auto" w:fill="FFFFFF"/>
        </w:rPr>
        <w:t>, 1996, 335.16: 1182-1189.</w:t>
      </w:r>
      <w:r w:rsidR="006C1917" w:rsidRPr="00434163">
        <w:rPr>
          <w:rStyle w:val="Nadpis1Char"/>
          <w:rFonts w:cs="Arial"/>
          <w:b w:val="0"/>
          <w:bCs w:val="0"/>
          <w:i/>
          <w:iCs/>
          <w:sz w:val="24"/>
          <w:szCs w:val="24"/>
          <w:shd w:val="clear" w:color="auto" w:fill="FFFFFF"/>
        </w:rPr>
        <w:t xml:space="preserve"> </w:t>
      </w:r>
      <w:r w:rsidR="006C1917" w:rsidRPr="00434163">
        <w:rPr>
          <w:rFonts w:cs="Arial"/>
          <w:bCs/>
          <w:sz w:val="24"/>
          <w:szCs w:val="24"/>
        </w:rPr>
        <w:t>ISSN</w:t>
      </w:r>
      <w:r w:rsidR="006C1917" w:rsidRPr="00434163">
        <w:rPr>
          <w:rFonts w:cs="Arial"/>
          <w:sz w:val="24"/>
          <w:szCs w:val="24"/>
        </w:rPr>
        <w:t> </w:t>
      </w:r>
      <w:r w:rsidR="006C1917" w:rsidRPr="00434163">
        <w:rPr>
          <w:rFonts w:cs="Arial"/>
          <w:sz w:val="24"/>
          <w:szCs w:val="24"/>
          <w:shd w:val="clear" w:color="auto" w:fill="FFFFFF"/>
        </w:rPr>
        <w:t xml:space="preserve"> 0028-4793</w:t>
      </w:r>
      <w:r w:rsidR="006148B5">
        <w:rPr>
          <w:rFonts w:cs="Arial"/>
          <w:sz w:val="24"/>
          <w:szCs w:val="24"/>
          <w:shd w:val="clear" w:color="auto" w:fill="FFFFFF"/>
        </w:rPr>
        <w:t>.</w:t>
      </w:r>
    </w:p>
    <w:p w:rsidR="006C1917" w:rsidRPr="00434163" w:rsidRDefault="00797C57" w:rsidP="00434163">
      <w:pPr>
        <w:shd w:val="clear" w:color="auto" w:fill="FFFFFF"/>
        <w:spacing w:after="120" w:line="360" w:lineRule="auto"/>
        <w:ind w:right="72"/>
        <w:rPr>
          <w:rFonts w:cs="Arial"/>
          <w:sz w:val="24"/>
          <w:szCs w:val="24"/>
          <w:shd w:val="clear" w:color="auto" w:fill="FFFFFF"/>
        </w:rPr>
      </w:pPr>
      <w:r>
        <w:rPr>
          <w:sz w:val="24"/>
          <w:szCs w:val="24"/>
        </w:rPr>
        <w:t>98</w:t>
      </w:r>
      <w:r w:rsidR="006C1917" w:rsidRPr="00434163">
        <w:rPr>
          <w:sz w:val="24"/>
          <w:szCs w:val="24"/>
        </w:rPr>
        <w:t>/</w:t>
      </w:r>
      <w:r w:rsidR="006C1917" w:rsidRPr="00434163">
        <w:rPr>
          <w:rFonts w:cs="Arial"/>
          <w:sz w:val="24"/>
          <w:szCs w:val="24"/>
        </w:rPr>
        <w:t xml:space="preserve"> </w:t>
      </w:r>
      <w:r w:rsidR="006C1917" w:rsidRPr="00434163">
        <w:rPr>
          <w:rFonts w:cs="Arial"/>
          <w:sz w:val="24"/>
          <w:szCs w:val="24"/>
          <w:shd w:val="clear" w:color="auto" w:fill="FFFFFF"/>
        </w:rPr>
        <w:t xml:space="preserve">EVAN, Gerard I., et al. Induction of apoptosis in fibroblasts by c-myc protein. </w:t>
      </w:r>
      <w:r w:rsidR="006C1917" w:rsidRPr="00434163">
        <w:rPr>
          <w:rFonts w:cs="Arial"/>
          <w:i/>
          <w:iCs/>
          <w:sz w:val="24"/>
          <w:szCs w:val="24"/>
          <w:shd w:val="clear" w:color="auto" w:fill="FFFFFF"/>
        </w:rPr>
        <w:t>Cell</w:t>
      </w:r>
      <w:r w:rsidR="006C1917" w:rsidRPr="00434163">
        <w:rPr>
          <w:rFonts w:cs="Arial"/>
          <w:sz w:val="24"/>
          <w:szCs w:val="24"/>
          <w:shd w:val="clear" w:color="auto" w:fill="FFFFFF"/>
        </w:rPr>
        <w:t xml:space="preserve">, 1992, 69.1: 119-128. </w:t>
      </w:r>
      <w:r w:rsidR="006C1917" w:rsidRPr="00434163">
        <w:rPr>
          <w:rFonts w:cs="Arial"/>
          <w:bCs/>
          <w:sz w:val="24"/>
          <w:szCs w:val="24"/>
        </w:rPr>
        <w:t>ISSN</w:t>
      </w:r>
      <w:r w:rsidR="006C1917" w:rsidRPr="00434163">
        <w:rPr>
          <w:rFonts w:cs="Arial"/>
          <w:sz w:val="24"/>
          <w:szCs w:val="24"/>
        </w:rPr>
        <w:t>: 0092-8674.</w:t>
      </w:r>
    </w:p>
    <w:p w:rsidR="006C1917" w:rsidRPr="00434163" w:rsidRDefault="00797C57" w:rsidP="00434163">
      <w:pPr>
        <w:shd w:val="clear" w:color="auto" w:fill="FFFFFF"/>
        <w:spacing w:after="120" w:line="360" w:lineRule="auto"/>
        <w:rPr>
          <w:rFonts w:cs="Arial"/>
          <w:sz w:val="24"/>
          <w:szCs w:val="24"/>
          <w:shd w:val="clear" w:color="auto" w:fill="FFFFFF"/>
        </w:rPr>
      </w:pPr>
      <w:r>
        <w:rPr>
          <w:sz w:val="24"/>
          <w:szCs w:val="24"/>
        </w:rPr>
        <w:t>99</w:t>
      </w:r>
      <w:r w:rsidR="006C1917" w:rsidRPr="00434163">
        <w:rPr>
          <w:sz w:val="24"/>
          <w:szCs w:val="24"/>
        </w:rPr>
        <w:t xml:space="preserve">/ </w:t>
      </w:r>
      <w:r w:rsidR="006C1917" w:rsidRPr="00434163">
        <w:rPr>
          <w:rFonts w:cs="Arial"/>
          <w:sz w:val="24"/>
          <w:szCs w:val="24"/>
          <w:shd w:val="clear" w:color="auto" w:fill="FFFFFF"/>
        </w:rPr>
        <w:t>SICILIANO, Massimo, et al. Troponin I serum concentration: a new marker of left ventricular hypertrophy in patients with essential hypertension.</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Italian heart journal: official journal of the Italian Federation of Cardiology</w:t>
      </w:r>
      <w:r w:rsidR="006C1917" w:rsidRPr="00434163">
        <w:rPr>
          <w:rFonts w:cs="Arial"/>
          <w:sz w:val="24"/>
          <w:szCs w:val="24"/>
          <w:shd w:val="clear" w:color="auto" w:fill="FFFFFF"/>
        </w:rPr>
        <w:t xml:space="preserve">, 2000, 1.8: 532-535. ISSN </w:t>
      </w:r>
      <w:r w:rsidR="006C1917" w:rsidRPr="00434163">
        <w:rPr>
          <w:rFonts w:cs="Helvetica"/>
          <w:sz w:val="24"/>
          <w:szCs w:val="24"/>
          <w:shd w:val="clear" w:color="auto" w:fill="FFFFFF"/>
        </w:rPr>
        <w:t>1129-4728.</w:t>
      </w:r>
    </w:p>
    <w:p w:rsidR="006C1917" w:rsidRPr="00434163" w:rsidRDefault="00797C57" w:rsidP="00434163">
      <w:pPr>
        <w:spacing w:after="120" w:line="360" w:lineRule="auto"/>
        <w:rPr>
          <w:sz w:val="24"/>
          <w:szCs w:val="24"/>
        </w:rPr>
      </w:pPr>
      <w:r>
        <w:rPr>
          <w:sz w:val="24"/>
          <w:szCs w:val="24"/>
        </w:rPr>
        <w:t>100</w:t>
      </w:r>
      <w:r w:rsidR="006C1917" w:rsidRPr="00434163">
        <w:rPr>
          <w:bCs/>
          <w:sz w:val="24"/>
          <w:szCs w:val="24"/>
        </w:rPr>
        <w:t xml:space="preserve">/ </w:t>
      </w:r>
      <w:r w:rsidR="006C1917" w:rsidRPr="00434163">
        <w:rPr>
          <w:rFonts w:cs="Arial"/>
          <w:sz w:val="24"/>
          <w:szCs w:val="24"/>
          <w:shd w:val="clear" w:color="auto" w:fill="FFFFFF"/>
        </w:rPr>
        <w:t>JHUND, Pardeep S., et al. Elevation in High-Sensitivity Troponin T in Heart Failure and Preserved Ejection Fraction and Influence of Treatment With the Angiotensin Receptor Neprilysin Inhibitor LCZ696.</w:t>
      </w:r>
      <w:r w:rsidR="006C1917" w:rsidRPr="00434163">
        <w:rPr>
          <w:rFonts w:cs="Arial"/>
          <w:sz w:val="24"/>
          <w:szCs w:val="24"/>
        </w:rPr>
        <w:t> </w:t>
      </w:r>
      <w:r w:rsidR="006C1917" w:rsidRPr="00434163">
        <w:rPr>
          <w:rFonts w:cs="Arial"/>
          <w:i/>
          <w:iCs/>
          <w:sz w:val="24"/>
          <w:szCs w:val="24"/>
          <w:shd w:val="clear" w:color="auto" w:fill="FFFFFF"/>
        </w:rPr>
        <w:t>Circulation: Heart Failure</w:t>
      </w:r>
      <w:r w:rsidR="006C1917" w:rsidRPr="00434163">
        <w:rPr>
          <w:rFonts w:cs="Arial"/>
          <w:sz w:val="24"/>
          <w:szCs w:val="24"/>
          <w:shd w:val="clear" w:color="auto" w:fill="FFFFFF"/>
        </w:rPr>
        <w:t xml:space="preserve">, 2014, 7.6: 953-959.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w:t>
      </w:r>
      <w:r w:rsidR="006C1917" w:rsidRPr="00434163">
        <w:rPr>
          <w:rFonts w:cs="Lucida Sans Unicode"/>
          <w:bCs/>
          <w:sz w:val="24"/>
          <w:szCs w:val="24"/>
        </w:rPr>
        <w:t>1941-3297.</w:t>
      </w:r>
    </w:p>
    <w:p w:rsidR="006C1917" w:rsidRPr="00434163" w:rsidRDefault="00797C57" w:rsidP="00434163">
      <w:pPr>
        <w:spacing w:after="120" w:line="360" w:lineRule="auto"/>
        <w:rPr>
          <w:sz w:val="24"/>
          <w:szCs w:val="24"/>
        </w:rPr>
      </w:pPr>
      <w:r>
        <w:rPr>
          <w:sz w:val="24"/>
          <w:szCs w:val="24"/>
        </w:rPr>
        <w:t>101</w:t>
      </w:r>
      <w:r w:rsidR="006C1917" w:rsidRPr="00434163">
        <w:rPr>
          <w:sz w:val="24"/>
          <w:szCs w:val="24"/>
        </w:rPr>
        <w:t xml:space="preserve">/ </w:t>
      </w:r>
      <w:r w:rsidR="006C1917" w:rsidRPr="00434163">
        <w:rPr>
          <w:rFonts w:cs="Arial"/>
          <w:sz w:val="24"/>
          <w:szCs w:val="24"/>
          <w:shd w:val="clear" w:color="auto" w:fill="FFFFFF"/>
        </w:rPr>
        <w:t>LANKEIT, Mareike, et al. Predictive Value of the High-Sensitivity Troponin T Assay and the Simplified Pulmonary Embolism Severity Index in Hemodynamically Stable Patients With Acute Pulmonary Embolism A Prospective Validation Study.</w:t>
      </w:r>
      <w:r w:rsidR="006C1917" w:rsidRPr="00434163">
        <w:rPr>
          <w:rFonts w:cs="Arial"/>
          <w:sz w:val="24"/>
          <w:szCs w:val="24"/>
        </w:rPr>
        <w:t> </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xml:space="preserve">, 2011, 124.24: 2716-2724.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p>
    <w:p w:rsidR="006C1917" w:rsidRPr="00434163" w:rsidRDefault="006C1917" w:rsidP="00434163">
      <w:pPr>
        <w:spacing w:after="120" w:line="360" w:lineRule="auto"/>
        <w:rPr>
          <w:rStyle w:val="CittHTML"/>
          <w:i w:val="0"/>
          <w:iCs w:val="0"/>
          <w:sz w:val="24"/>
          <w:szCs w:val="24"/>
        </w:rPr>
      </w:pPr>
      <w:r w:rsidRPr="00434163">
        <w:rPr>
          <w:sz w:val="24"/>
          <w:szCs w:val="24"/>
        </w:rPr>
        <w:t xml:space="preserve"> </w:t>
      </w:r>
      <w:r w:rsidR="00797C57">
        <w:rPr>
          <w:rStyle w:val="CittHTML"/>
          <w:rFonts w:cs="Lucida Sans Unicode"/>
          <w:i w:val="0"/>
          <w:iCs w:val="0"/>
          <w:sz w:val="24"/>
          <w:szCs w:val="24"/>
          <w:bdr w:val="none" w:sz="0" w:space="0" w:color="auto" w:frame="1"/>
        </w:rPr>
        <w:t>102</w:t>
      </w:r>
      <w:r w:rsidRPr="00434163">
        <w:rPr>
          <w:rStyle w:val="CittHTML"/>
          <w:rFonts w:cs="Lucida Sans Unicode"/>
          <w:i w:val="0"/>
          <w:iCs w:val="0"/>
          <w:sz w:val="24"/>
          <w:szCs w:val="24"/>
          <w:bdr w:val="none" w:sz="0" w:space="0" w:color="auto" w:frame="1"/>
        </w:rPr>
        <w:t xml:space="preserve">/ </w:t>
      </w:r>
      <w:r w:rsidRPr="00434163">
        <w:rPr>
          <w:rFonts w:cs="Arial"/>
          <w:sz w:val="24"/>
          <w:szCs w:val="24"/>
          <w:shd w:val="clear" w:color="auto" w:fill="FFFFFF"/>
        </w:rPr>
        <w:t>JANATA, Karin, et al. Cardiac troponin T in the severity assessment of patients with pulmonary embolism: cohort study.</w:t>
      </w:r>
      <w:r w:rsidRPr="00434163">
        <w:rPr>
          <w:rFonts w:cs="Arial"/>
          <w:sz w:val="24"/>
          <w:szCs w:val="24"/>
        </w:rPr>
        <w:t> </w:t>
      </w:r>
      <w:r w:rsidRPr="00434163">
        <w:rPr>
          <w:rFonts w:cs="Arial"/>
          <w:i/>
          <w:iCs/>
          <w:sz w:val="24"/>
          <w:szCs w:val="24"/>
          <w:shd w:val="clear" w:color="auto" w:fill="FFFFFF"/>
        </w:rPr>
        <w:t>Bmj</w:t>
      </w:r>
      <w:r w:rsidRPr="00434163">
        <w:rPr>
          <w:rFonts w:cs="Arial"/>
          <w:sz w:val="24"/>
          <w:szCs w:val="24"/>
          <w:shd w:val="clear" w:color="auto" w:fill="FFFFFF"/>
        </w:rPr>
        <w:t xml:space="preserve">, 2003, 326.7384: 312-313. ISSN </w:t>
      </w:r>
      <w:r w:rsidRPr="00434163">
        <w:rPr>
          <w:rFonts w:cs="Arial"/>
          <w:sz w:val="24"/>
          <w:szCs w:val="24"/>
        </w:rPr>
        <w:t>2044-6055.</w:t>
      </w:r>
    </w:p>
    <w:p w:rsidR="006C1917" w:rsidRPr="00434163" w:rsidRDefault="00797C57" w:rsidP="00434163">
      <w:pPr>
        <w:shd w:val="clear" w:color="auto" w:fill="FFFFFF"/>
        <w:spacing w:after="120" w:line="360" w:lineRule="auto"/>
        <w:textAlignment w:val="baseline"/>
        <w:rPr>
          <w:rStyle w:val="CittHTML"/>
          <w:rFonts w:cs="Lucida Sans Unicode"/>
          <w:i w:val="0"/>
          <w:iCs w:val="0"/>
          <w:sz w:val="24"/>
          <w:szCs w:val="24"/>
          <w:bdr w:val="none" w:sz="0" w:space="0" w:color="auto" w:frame="1"/>
        </w:rPr>
      </w:pPr>
      <w:r>
        <w:rPr>
          <w:rStyle w:val="apple-converted-space"/>
          <w:rFonts w:cs="Lucida Sans Unicode"/>
          <w:sz w:val="24"/>
          <w:szCs w:val="24"/>
        </w:rPr>
        <w:t>103</w:t>
      </w:r>
      <w:r w:rsidR="006C1917" w:rsidRPr="00434163">
        <w:rPr>
          <w:rStyle w:val="apple-converted-space"/>
          <w:rFonts w:cs="Lucida Sans Unicode"/>
          <w:sz w:val="24"/>
          <w:szCs w:val="24"/>
        </w:rPr>
        <w:t xml:space="preserve">/ </w:t>
      </w:r>
      <w:r w:rsidR="006C1917" w:rsidRPr="00434163">
        <w:rPr>
          <w:rFonts w:cs="Arial"/>
          <w:sz w:val="24"/>
          <w:szCs w:val="24"/>
          <w:shd w:val="clear" w:color="auto" w:fill="FFFFFF"/>
        </w:rPr>
        <w:t>LA VECCHIA, L., et al. Increased cardiac troponin I on admission predicts in-hospital mortality in acute pulmonary embolism.</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Heart</w:t>
      </w:r>
      <w:r w:rsidR="006C1917" w:rsidRPr="00434163">
        <w:rPr>
          <w:rFonts w:cs="Arial"/>
          <w:sz w:val="24"/>
          <w:szCs w:val="24"/>
          <w:shd w:val="clear" w:color="auto" w:fill="FFFFFF"/>
        </w:rPr>
        <w:t>, 2004, 90.6: 633-637. ISSN</w:t>
      </w:r>
      <w:r w:rsidR="006C1917" w:rsidRPr="00434163">
        <w:rPr>
          <w:rStyle w:val="CittHTML"/>
          <w:rFonts w:cs="Lucida Sans Unicode"/>
          <w:i w:val="0"/>
          <w:iCs w:val="0"/>
          <w:sz w:val="24"/>
          <w:szCs w:val="24"/>
          <w:bdr w:val="none" w:sz="0" w:space="0" w:color="auto" w:frame="1"/>
        </w:rPr>
        <w:t xml:space="preserve"> </w:t>
      </w:r>
      <w:r w:rsidR="006C1917" w:rsidRPr="00434163">
        <w:rPr>
          <w:rFonts w:cs="Arial"/>
          <w:sz w:val="24"/>
          <w:szCs w:val="24"/>
          <w:shd w:val="clear" w:color="auto" w:fill="FFFFFF"/>
        </w:rPr>
        <w:t>1355-6037.</w:t>
      </w:r>
    </w:p>
    <w:p w:rsidR="006C1917" w:rsidRPr="00434163" w:rsidRDefault="00797C57" w:rsidP="00434163">
      <w:pPr>
        <w:spacing w:after="120" w:line="360" w:lineRule="auto"/>
        <w:rPr>
          <w:sz w:val="24"/>
          <w:szCs w:val="24"/>
        </w:rPr>
      </w:pPr>
      <w:r>
        <w:rPr>
          <w:sz w:val="24"/>
          <w:szCs w:val="24"/>
        </w:rPr>
        <w:t>104</w:t>
      </w:r>
      <w:r w:rsidR="006C1917" w:rsidRPr="00434163">
        <w:rPr>
          <w:sz w:val="24"/>
          <w:szCs w:val="24"/>
        </w:rPr>
        <w:t xml:space="preserve">/ </w:t>
      </w:r>
      <w:r w:rsidR="006C1917" w:rsidRPr="00434163">
        <w:rPr>
          <w:rFonts w:cs="Arial"/>
          <w:sz w:val="24"/>
          <w:szCs w:val="24"/>
          <w:shd w:val="clear" w:color="auto" w:fill="FFFFFF"/>
        </w:rPr>
        <w:t>KONSTANTINIDES, Stavros V., et al. 2014 ESC Guidelines on the diagnosis and management of acute pulmonary embolism.</w:t>
      </w:r>
      <w:r w:rsidR="006C1917" w:rsidRPr="00434163">
        <w:rPr>
          <w:rFonts w:cs="Arial"/>
          <w:sz w:val="24"/>
          <w:szCs w:val="24"/>
        </w:rPr>
        <w:t> </w:t>
      </w:r>
      <w:r w:rsidR="006C1917" w:rsidRPr="00434163">
        <w:rPr>
          <w:rFonts w:cs="Arial"/>
          <w:i/>
          <w:iCs/>
          <w:sz w:val="24"/>
          <w:szCs w:val="24"/>
          <w:shd w:val="clear" w:color="auto" w:fill="FFFFFF"/>
        </w:rPr>
        <w:t>European Heart Journal</w:t>
      </w:r>
      <w:r w:rsidR="006C1917" w:rsidRPr="00434163">
        <w:rPr>
          <w:rFonts w:cs="Arial"/>
          <w:sz w:val="24"/>
          <w:szCs w:val="24"/>
          <w:shd w:val="clear" w:color="auto" w:fill="FFFFFF"/>
        </w:rPr>
        <w:t>, 2014, ehu283. ISSN 1522-9445.</w:t>
      </w:r>
    </w:p>
    <w:p w:rsidR="006C1917" w:rsidRPr="00434163" w:rsidRDefault="00797C57" w:rsidP="00434163">
      <w:pPr>
        <w:shd w:val="clear" w:color="auto" w:fill="FFFFFF"/>
        <w:spacing w:after="120" w:line="360" w:lineRule="auto"/>
        <w:rPr>
          <w:rFonts w:cs="Arial"/>
          <w:sz w:val="24"/>
          <w:szCs w:val="24"/>
        </w:rPr>
      </w:pPr>
      <w:r>
        <w:rPr>
          <w:sz w:val="24"/>
          <w:szCs w:val="24"/>
        </w:rPr>
        <w:lastRenderedPageBreak/>
        <w:t>105</w:t>
      </w:r>
      <w:r w:rsidR="006C1917" w:rsidRPr="00434163">
        <w:rPr>
          <w:sz w:val="24"/>
          <w:szCs w:val="24"/>
        </w:rPr>
        <w:t xml:space="preserve">/ </w:t>
      </w:r>
      <w:r w:rsidR="006C1917" w:rsidRPr="00434163">
        <w:rPr>
          <w:rFonts w:cs="Arial"/>
          <w:sz w:val="24"/>
          <w:szCs w:val="24"/>
          <w:shd w:val="clear" w:color="auto" w:fill="FFFFFF"/>
        </w:rPr>
        <w:t>FREDA, Benjamin J., et al. Cardiac troponins in renal insufficiency: review and clinical implications.</w:t>
      </w:r>
      <w:r w:rsidR="006C1917" w:rsidRPr="00434163">
        <w:rPr>
          <w:rFonts w:cs="Arial"/>
          <w:sz w:val="24"/>
          <w:szCs w:val="24"/>
        </w:rPr>
        <w:t> </w:t>
      </w:r>
      <w:r w:rsidR="006C1917" w:rsidRPr="00434163">
        <w:rPr>
          <w:rFonts w:cs="Arial"/>
          <w:i/>
          <w:iCs/>
          <w:sz w:val="24"/>
          <w:szCs w:val="24"/>
          <w:shd w:val="clear" w:color="auto" w:fill="FFFFFF"/>
        </w:rPr>
        <w:t>Journal of the American College of Cardiology</w:t>
      </w:r>
      <w:r w:rsidR="006C1917" w:rsidRPr="00434163">
        <w:rPr>
          <w:rFonts w:cs="Arial"/>
          <w:sz w:val="24"/>
          <w:szCs w:val="24"/>
          <w:shd w:val="clear" w:color="auto" w:fill="FFFFFF"/>
        </w:rPr>
        <w:t xml:space="preserve">, 2002, 40.12: 2065-2071. </w:t>
      </w:r>
      <w:r w:rsidR="006C1917" w:rsidRPr="00434163">
        <w:rPr>
          <w:rFonts w:cs="Helvetica"/>
          <w:sz w:val="24"/>
          <w:szCs w:val="24"/>
        </w:rPr>
        <w:t>ISSN: 0735-1097.</w:t>
      </w:r>
    </w:p>
    <w:p w:rsidR="006C1917" w:rsidRPr="00434163" w:rsidRDefault="00797C57" w:rsidP="00434163">
      <w:pPr>
        <w:spacing w:after="120" w:line="360" w:lineRule="auto"/>
        <w:rPr>
          <w:sz w:val="24"/>
          <w:szCs w:val="24"/>
        </w:rPr>
      </w:pPr>
      <w:r>
        <w:rPr>
          <w:sz w:val="24"/>
          <w:szCs w:val="24"/>
        </w:rPr>
        <w:t>106</w:t>
      </w:r>
      <w:r w:rsidR="006C1917" w:rsidRPr="00434163">
        <w:rPr>
          <w:sz w:val="24"/>
          <w:szCs w:val="24"/>
        </w:rPr>
        <w:t xml:space="preserve">/ </w:t>
      </w:r>
      <w:r w:rsidR="006C1917" w:rsidRPr="00434163">
        <w:rPr>
          <w:rFonts w:cs="Arial"/>
          <w:sz w:val="24"/>
          <w:szCs w:val="24"/>
          <w:shd w:val="clear" w:color="auto" w:fill="FFFFFF"/>
        </w:rPr>
        <w:t>NEWBY, L. Kristin, et al. ACCF 2012 expert consensus document on practical clinical considerations in the interpretation of troponin elevations: a report of the American College of Cardiology Foundation task force on Clinical Expert Consensus Documents.</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Journal of the American College of Cardiology</w:t>
      </w:r>
      <w:r w:rsidR="006C1917" w:rsidRPr="00434163">
        <w:rPr>
          <w:rFonts w:cs="Arial"/>
          <w:sz w:val="24"/>
          <w:szCs w:val="24"/>
          <w:shd w:val="clear" w:color="auto" w:fill="FFFFFF"/>
        </w:rPr>
        <w:t>, 2012, 60.23: 2427-2463.</w:t>
      </w:r>
      <w:r w:rsidR="006C1917" w:rsidRPr="00434163">
        <w:rPr>
          <w:sz w:val="24"/>
          <w:szCs w:val="24"/>
        </w:rPr>
        <w:t xml:space="preserve"> </w:t>
      </w:r>
      <w:r w:rsidR="006C1917" w:rsidRPr="00434163">
        <w:rPr>
          <w:rFonts w:cs="Arial"/>
          <w:bCs/>
          <w:sz w:val="24"/>
          <w:szCs w:val="24"/>
        </w:rPr>
        <w:t>ISSN</w:t>
      </w:r>
      <w:r w:rsidR="006C1917" w:rsidRPr="00434163">
        <w:rPr>
          <w:rFonts w:cs="Arial"/>
          <w:sz w:val="24"/>
          <w:szCs w:val="24"/>
          <w:shd w:val="clear" w:color="auto" w:fill="FFFFFF"/>
        </w:rPr>
        <w:t xml:space="preserve"> 0735-1097</w:t>
      </w:r>
      <w:r w:rsidR="006148B5">
        <w:rPr>
          <w:rFonts w:cs="Arial"/>
          <w:sz w:val="24"/>
          <w:szCs w:val="24"/>
          <w:shd w:val="clear" w:color="auto" w:fill="FFFFFF"/>
        </w:rPr>
        <w:t>.</w:t>
      </w:r>
    </w:p>
    <w:p w:rsidR="006C1917" w:rsidRPr="00434163" w:rsidRDefault="00797C57" w:rsidP="00434163">
      <w:pPr>
        <w:spacing w:after="120" w:line="360" w:lineRule="auto"/>
        <w:rPr>
          <w:sz w:val="24"/>
          <w:szCs w:val="24"/>
        </w:rPr>
      </w:pPr>
      <w:r>
        <w:rPr>
          <w:sz w:val="24"/>
          <w:szCs w:val="24"/>
        </w:rPr>
        <w:t>107</w:t>
      </w:r>
      <w:r w:rsidR="006C1917" w:rsidRPr="00434163">
        <w:rPr>
          <w:sz w:val="24"/>
          <w:szCs w:val="24"/>
        </w:rPr>
        <w:t xml:space="preserve">/ </w:t>
      </w:r>
      <w:r w:rsidR="006C1917" w:rsidRPr="00434163">
        <w:rPr>
          <w:rFonts w:cs="Arial"/>
          <w:sz w:val="24"/>
          <w:szCs w:val="24"/>
          <w:shd w:val="clear" w:color="auto" w:fill="FFFFFF"/>
        </w:rPr>
        <w:t>MUSSO, Paolo, et al. Cardiac troponin elevations in chronic renal failure: prevalence and clinical significance.</w:t>
      </w:r>
      <w:r w:rsidR="006C1917" w:rsidRPr="00434163">
        <w:rPr>
          <w:rFonts w:cs="Arial"/>
          <w:sz w:val="24"/>
          <w:szCs w:val="24"/>
        </w:rPr>
        <w:t> </w:t>
      </w:r>
      <w:r w:rsidR="006C1917" w:rsidRPr="00434163">
        <w:rPr>
          <w:rFonts w:cs="Arial"/>
          <w:i/>
          <w:iCs/>
          <w:sz w:val="24"/>
          <w:szCs w:val="24"/>
          <w:shd w:val="clear" w:color="auto" w:fill="FFFFFF"/>
        </w:rPr>
        <w:t>Clinical biochemistry</w:t>
      </w:r>
      <w:r w:rsidR="006C1917" w:rsidRPr="00434163">
        <w:rPr>
          <w:rFonts w:cs="Arial"/>
          <w:sz w:val="24"/>
          <w:szCs w:val="24"/>
          <w:shd w:val="clear" w:color="auto" w:fill="FFFFFF"/>
        </w:rPr>
        <w:t>, 1999, 32.2: 125-130.</w:t>
      </w:r>
      <w:r w:rsidR="006C1917" w:rsidRPr="00434163">
        <w:rPr>
          <w:rFonts w:cs="Helvetica"/>
          <w:sz w:val="24"/>
          <w:szCs w:val="24"/>
        </w:rPr>
        <w:t xml:space="preserve"> ISSN: 0009-9120.</w:t>
      </w:r>
      <w:r w:rsidR="006C1917" w:rsidRPr="00434163">
        <w:rPr>
          <w:sz w:val="24"/>
          <w:szCs w:val="24"/>
        </w:rPr>
        <w:t xml:space="preserve"> </w:t>
      </w:r>
    </w:p>
    <w:p w:rsidR="006C1917" w:rsidRPr="00434163" w:rsidRDefault="00797C57" w:rsidP="00434163">
      <w:pPr>
        <w:spacing w:after="120" w:line="360" w:lineRule="auto"/>
        <w:rPr>
          <w:sz w:val="24"/>
          <w:szCs w:val="24"/>
        </w:rPr>
      </w:pPr>
      <w:r>
        <w:rPr>
          <w:sz w:val="24"/>
          <w:szCs w:val="24"/>
        </w:rPr>
        <w:t>108</w:t>
      </w:r>
      <w:r w:rsidR="006C1917" w:rsidRPr="00434163">
        <w:rPr>
          <w:sz w:val="24"/>
          <w:szCs w:val="24"/>
        </w:rPr>
        <w:t xml:space="preserve">/ </w:t>
      </w:r>
      <w:r w:rsidR="006C1917" w:rsidRPr="00434163">
        <w:rPr>
          <w:rFonts w:cs="Arial"/>
          <w:sz w:val="24"/>
          <w:szCs w:val="24"/>
          <w:shd w:val="clear" w:color="auto" w:fill="FFFFFF"/>
        </w:rPr>
        <w:t>MCNEIL, A. R. Implications of a rapid decrease in serum troponin T levels after renal transplantation.</w:t>
      </w:r>
      <w:r w:rsidR="006C1917" w:rsidRPr="00434163">
        <w:rPr>
          <w:rFonts w:cs="Arial"/>
          <w:sz w:val="24"/>
          <w:szCs w:val="24"/>
        </w:rPr>
        <w:t> </w:t>
      </w:r>
      <w:r w:rsidR="006C1917" w:rsidRPr="00434163">
        <w:rPr>
          <w:rFonts w:cs="Arial"/>
          <w:i/>
          <w:iCs/>
          <w:sz w:val="24"/>
          <w:szCs w:val="24"/>
          <w:shd w:val="clear" w:color="auto" w:fill="FFFFFF"/>
        </w:rPr>
        <w:t>Australian and New Zealand journal of medicine</w:t>
      </w:r>
      <w:r w:rsidR="006C1917" w:rsidRPr="00434163">
        <w:rPr>
          <w:rFonts w:cs="Arial"/>
          <w:sz w:val="24"/>
          <w:szCs w:val="24"/>
          <w:shd w:val="clear" w:color="auto" w:fill="FFFFFF"/>
        </w:rPr>
        <w:t>, 2000, 30.5: 638-639.</w:t>
      </w:r>
      <w:r w:rsidR="006C1917" w:rsidRPr="00434163">
        <w:rPr>
          <w:sz w:val="24"/>
          <w:szCs w:val="24"/>
        </w:rPr>
        <w:t xml:space="preserve"> ISSN 0004-8291. </w:t>
      </w:r>
    </w:p>
    <w:p w:rsidR="006C1917" w:rsidRPr="00434163" w:rsidRDefault="00797C57" w:rsidP="00434163">
      <w:pPr>
        <w:spacing w:after="120" w:line="360" w:lineRule="auto"/>
        <w:rPr>
          <w:sz w:val="24"/>
          <w:szCs w:val="24"/>
        </w:rPr>
      </w:pPr>
      <w:r>
        <w:rPr>
          <w:sz w:val="24"/>
          <w:szCs w:val="24"/>
        </w:rPr>
        <w:t>109</w:t>
      </w:r>
      <w:r w:rsidR="006C1917" w:rsidRPr="00434163">
        <w:rPr>
          <w:sz w:val="24"/>
          <w:szCs w:val="24"/>
        </w:rPr>
        <w:t xml:space="preserve">/ </w:t>
      </w:r>
      <w:r w:rsidR="006C1917" w:rsidRPr="00434163">
        <w:rPr>
          <w:rFonts w:cs="Arial"/>
          <w:sz w:val="24"/>
          <w:szCs w:val="24"/>
          <w:shd w:val="clear" w:color="auto" w:fill="FFFFFF"/>
        </w:rPr>
        <w:t>KHAN, Nadia A., et al. Prognostic value of troponin T and I among asymptomatic patients with end-stage renal disease a meta-analysis.</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xml:space="preserve">, 2005, 112.20: 3088-3096.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p>
    <w:p w:rsidR="006C1917" w:rsidRPr="006148B5" w:rsidRDefault="00797C57" w:rsidP="00434163">
      <w:pPr>
        <w:spacing w:after="120" w:line="360" w:lineRule="auto"/>
        <w:rPr>
          <w:rFonts w:cs="Arial"/>
          <w:sz w:val="24"/>
          <w:szCs w:val="24"/>
          <w:shd w:val="clear" w:color="auto" w:fill="FFFFFF"/>
        </w:rPr>
      </w:pPr>
      <w:r w:rsidRPr="006148B5">
        <w:rPr>
          <w:sz w:val="24"/>
          <w:szCs w:val="24"/>
        </w:rPr>
        <w:t>110</w:t>
      </w:r>
      <w:r w:rsidR="006C1917" w:rsidRPr="006148B5">
        <w:rPr>
          <w:sz w:val="24"/>
          <w:szCs w:val="24"/>
        </w:rPr>
        <w:t>/</w:t>
      </w:r>
      <w:r w:rsidR="006C1917" w:rsidRPr="006148B5">
        <w:rPr>
          <w:rFonts w:cs="Arial"/>
          <w:sz w:val="24"/>
          <w:szCs w:val="24"/>
          <w:shd w:val="clear" w:color="auto" w:fill="FFFFFF"/>
        </w:rPr>
        <w:t xml:space="preserve"> ZAZULA, Roman; PRŮCHA, Miroslav. Ú</w:t>
      </w:r>
      <w:r w:rsidR="00CE6CB2">
        <w:rPr>
          <w:rFonts w:cs="Arial"/>
          <w:sz w:val="24"/>
          <w:szCs w:val="24"/>
          <w:shd w:val="clear" w:color="auto" w:fill="FFFFFF"/>
        </w:rPr>
        <w:t xml:space="preserve">skalí imunomodulační léčby sepse. </w:t>
      </w:r>
      <w:r w:rsidR="006C1917" w:rsidRPr="006148B5">
        <w:rPr>
          <w:i/>
          <w:sz w:val="24"/>
          <w:szCs w:val="24"/>
        </w:rPr>
        <w:t>Interní Med</w:t>
      </w:r>
      <w:r w:rsidR="006C1917" w:rsidRPr="006148B5">
        <w:rPr>
          <w:sz w:val="24"/>
          <w:szCs w:val="24"/>
        </w:rPr>
        <w:t>. 2007; 9(7–8): 343–344. ISSN</w:t>
      </w:r>
      <w:r w:rsidR="006C1917" w:rsidRPr="006148B5">
        <w:rPr>
          <w:rFonts w:cs="Arial"/>
          <w:sz w:val="24"/>
          <w:szCs w:val="24"/>
        </w:rPr>
        <w:t> </w:t>
      </w:r>
      <w:r w:rsidR="006C1917" w:rsidRPr="006148B5">
        <w:rPr>
          <w:rFonts w:cs="Arial"/>
          <w:sz w:val="24"/>
          <w:szCs w:val="24"/>
          <w:shd w:val="clear" w:color="auto" w:fill="FFFFFF"/>
        </w:rPr>
        <w:t>1212-7299.</w:t>
      </w:r>
    </w:p>
    <w:p w:rsidR="00B87BC9" w:rsidRPr="006148B5" w:rsidRDefault="00B87BC9" w:rsidP="00B87BC9">
      <w:pPr>
        <w:spacing w:after="120" w:line="360" w:lineRule="auto"/>
        <w:rPr>
          <w:rFonts w:asciiTheme="minorHAnsi" w:hAnsiTheme="minorHAnsi" w:cs="Arial"/>
          <w:sz w:val="24"/>
          <w:szCs w:val="24"/>
        </w:rPr>
      </w:pPr>
      <w:r w:rsidRPr="006148B5">
        <w:rPr>
          <w:rFonts w:asciiTheme="minorHAnsi" w:hAnsiTheme="minorHAnsi" w:cs="Arial"/>
          <w:sz w:val="24"/>
          <w:szCs w:val="24"/>
        </w:rPr>
        <w:t>111/</w:t>
      </w:r>
      <w:r w:rsidRPr="006148B5">
        <w:rPr>
          <w:rFonts w:asciiTheme="minorHAnsi" w:hAnsiTheme="minorHAnsi" w:cs="Arial"/>
          <w:sz w:val="24"/>
          <w:szCs w:val="24"/>
          <w:shd w:val="clear" w:color="auto" w:fill="FFFFFF"/>
        </w:rPr>
        <w:t xml:space="preserve"> AMMANN, Peter, et al. Troponin as a risk factor for mortality in critically ill patients without acute coronary syndromes.</w:t>
      </w:r>
      <w:r w:rsidRPr="006148B5">
        <w:rPr>
          <w:rFonts w:asciiTheme="minorHAnsi" w:hAnsiTheme="minorHAnsi" w:cs="Arial"/>
          <w:sz w:val="24"/>
          <w:szCs w:val="24"/>
        </w:rPr>
        <w:t> </w:t>
      </w:r>
      <w:r w:rsidRPr="006148B5">
        <w:rPr>
          <w:rFonts w:asciiTheme="minorHAnsi" w:hAnsiTheme="minorHAnsi" w:cs="Arial"/>
          <w:i/>
          <w:iCs/>
          <w:sz w:val="24"/>
          <w:szCs w:val="24"/>
          <w:shd w:val="clear" w:color="auto" w:fill="FFFFFF"/>
        </w:rPr>
        <w:t>Journal of the American College of Cardiology</w:t>
      </w:r>
      <w:r w:rsidRPr="006148B5">
        <w:rPr>
          <w:rFonts w:asciiTheme="minorHAnsi" w:hAnsiTheme="minorHAnsi" w:cs="Arial"/>
          <w:sz w:val="24"/>
          <w:szCs w:val="24"/>
          <w:shd w:val="clear" w:color="auto" w:fill="FFFFFF"/>
        </w:rPr>
        <w:t>, 2003, 41.11: 2004-2009.</w:t>
      </w:r>
      <w:r w:rsidR="00B474A1" w:rsidRPr="006148B5">
        <w:rPr>
          <w:rFonts w:asciiTheme="minorHAnsi" w:hAnsiTheme="minorHAnsi" w:cs="Arial"/>
          <w:sz w:val="24"/>
          <w:szCs w:val="24"/>
          <w:shd w:val="clear" w:color="auto" w:fill="FFFFFF"/>
        </w:rPr>
        <w:t xml:space="preserve"> </w:t>
      </w:r>
      <w:r w:rsidR="00B474A1" w:rsidRPr="006148B5">
        <w:rPr>
          <w:rFonts w:cs="Helvetica"/>
          <w:sz w:val="24"/>
          <w:szCs w:val="24"/>
        </w:rPr>
        <w:t>ISSN 0735-1097.</w:t>
      </w:r>
    </w:p>
    <w:p w:rsidR="006C1917" w:rsidRPr="006148B5" w:rsidRDefault="00B474A1" w:rsidP="00434163">
      <w:pPr>
        <w:spacing w:after="120" w:line="360" w:lineRule="auto"/>
        <w:rPr>
          <w:sz w:val="24"/>
          <w:szCs w:val="24"/>
        </w:rPr>
      </w:pPr>
      <w:r w:rsidRPr="006148B5">
        <w:rPr>
          <w:rFonts w:cs="Arial"/>
          <w:sz w:val="24"/>
          <w:szCs w:val="24"/>
          <w:shd w:val="clear" w:color="auto" w:fill="FFFFFF"/>
        </w:rPr>
        <w:t>112</w:t>
      </w:r>
      <w:r w:rsidR="006C1917" w:rsidRPr="006148B5">
        <w:rPr>
          <w:rFonts w:cs="Arial"/>
          <w:sz w:val="24"/>
          <w:szCs w:val="24"/>
          <w:shd w:val="clear" w:color="auto" w:fill="FFFFFF"/>
        </w:rPr>
        <w:t>/ AGEWALL, S., et al. Troponin elevation in coronary vs. non-coronary disease.</w:t>
      </w:r>
      <w:r w:rsidR="006C1917" w:rsidRPr="006148B5">
        <w:rPr>
          <w:rFonts w:cs="Arial"/>
          <w:i/>
          <w:iCs/>
          <w:sz w:val="24"/>
          <w:szCs w:val="24"/>
          <w:shd w:val="clear" w:color="auto" w:fill="FFFFFF"/>
        </w:rPr>
        <w:t>European heart journal</w:t>
      </w:r>
      <w:r w:rsidR="006C1917" w:rsidRPr="006148B5">
        <w:rPr>
          <w:rFonts w:cs="Arial"/>
          <w:sz w:val="24"/>
          <w:szCs w:val="24"/>
          <w:shd w:val="clear" w:color="auto" w:fill="FFFFFF"/>
        </w:rPr>
        <w:t>, 2011, 32.4: 404-411. ISSN 1522-9445.</w:t>
      </w:r>
    </w:p>
    <w:p w:rsidR="006C1917" w:rsidRPr="00434163" w:rsidRDefault="00B474A1" w:rsidP="00434163">
      <w:pPr>
        <w:shd w:val="clear" w:color="auto" w:fill="FFFFFF"/>
        <w:spacing w:after="120" w:line="360" w:lineRule="auto"/>
        <w:rPr>
          <w:sz w:val="24"/>
          <w:szCs w:val="24"/>
        </w:rPr>
      </w:pPr>
      <w:r>
        <w:rPr>
          <w:sz w:val="24"/>
          <w:szCs w:val="24"/>
        </w:rPr>
        <w:t>113</w:t>
      </w:r>
      <w:r w:rsidR="006C1917" w:rsidRPr="00434163">
        <w:rPr>
          <w:sz w:val="24"/>
          <w:szCs w:val="24"/>
        </w:rPr>
        <w:t xml:space="preserve">/ </w:t>
      </w:r>
      <w:r w:rsidR="006C1917" w:rsidRPr="00434163">
        <w:rPr>
          <w:rFonts w:cs="Arial"/>
          <w:sz w:val="24"/>
          <w:szCs w:val="24"/>
          <w:shd w:val="clear" w:color="auto" w:fill="FFFFFF"/>
        </w:rPr>
        <w:t>FERLITSCH, A., et al. The diagnostic value of CK-isoenzymes in suspected acute myocardial infarction (author's transl).</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Deutsche medizinische Wochenschrift (1946)</w:t>
      </w:r>
      <w:r w:rsidR="006C1917" w:rsidRPr="00434163">
        <w:rPr>
          <w:rFonts w:cs="Arial"/>
          <w:sz w:val="24"/>
          <w:szCs w:val="24"/>
          <w:shd w:val="clear" w:color="auto" w:fill="FFFFFF"/>
        </w:rPr>
        <w:t>, 1976, 101.9: 312.</w:t>
      </w:r>
      <w:r w:rsidR="006C1917" w:rsidRPr="00434163">
        <w:rPr>
          <w:sz w:val="24"/>
          <w:szCs w:val="24"/>
        </w:rPr>
        <w:t xml:space="preserve"> </w:t>
      </w:r>
      <w:r w:rsidR="006C1917" w:rsidRPr="00434163">
        <w:rPr>
          <w:rFonts w:cs="Arial"/>
          <w:sz w:val="24"/>
          <w:szCs w:val="24"/>
        </w:rPr>
        <w:t> </w:t>
      </w:r>
      <w:r w:rsidR="006C1917" w:rsidRPr="00434163">
        <w:rPr>
          <w:rFonts w:cs="Arial"/>
          <w:bCs/>
          <w:sz w:val="24"/>
          <w:szCs w:val="24"/>
        </w:rPr>
        <w:t>ISSN</w:t>
      </w:r>
      <w:r w:rsidR="006C1917" w:rsidRPr="00434163">
        <w:rPr>
          <w:rFonts w:cs="Arial"/>
          <w:sz w:val="24"/>
          <w:szCs w:val="24"/>
        </w:rPr>
        <w:t> </w:t>
      </w:r>
      <w:r w:rsidR="006C1917" w:rsidRPr="00434163">
        <w:rPr>
          <w:rFonts w:cs="Arial"/>
          <w:sz w:val="24"/>
          <w:szCs w:val="24"/>
          <w:shd w:val="clear" w:color="auto" w:fill="FFFFFF"/>
        </w:rPr>
        <w:t>0012-0472</w:t>
      </w:r>
      <w:r w:rsidR="006148B5">
        <w:rPr>
          <w:rFonts w:cs="Arial"/>
          <w:sz w:val="24"/>
          <w:szCs w:val="24"/>
          <w:shd w:val="clear" w:color="auto" w:fill="FFFFFF"/>
        </w:rPr>
        <w:t>.</w:t>
      </w:r>
      <w:r w:rsidR="006C1917" w:rsidRPr="00434163">
        <w:rPr>
          <w:rFonts w:cs="Arial"/>
          <w:sz w:val="24"/>
          <w:szCs w:val="24"/>
        </w:rPr>
        <w:t> </w:t>
      </w:r>
    </w:p>
    <w:p w:rsidR="006C1917" w:rsidRPr="00434163" w:rsidRDefault="00B474A1" w:rsidP="00434163">
      <w:pPr>
        <w:spacing w:after="120" w:line="360" w:lineRule="auto"/>
        <w:rPr>
          <w:sz w:val="24"/>
          <w:szCs w:val="24"/>
        </w:rPr>
      </w:pPr>
      <w:r>
        <w:rPr>
          <w:sz w:val="24"/>
          <w:szCs w:val="24"/>
        </w:rPr>
        <w:t>114</w:t>
      </w:r>
      <w:r w:rsidR="006C1917">
        <w:rPr>
          <w:sz w:val="24"/>
          <w:szCs w:val="24"/>
        </w:rPr>
        <w:t>/ ŠPAČEK</w:t>
      </w:r>
      <w:r w:rsidR="006C1917" w:rsidRPr="00434163">
        <w:rPr>
          <w:sz w:val="24"/>
          <w:szCs w:val="24"/>
        </w:rPr>
        <w:t>, Rudolf. Infarkt myokardu-diagnostika. Postgraduální medicína, 2002:8, 881-890.</w:t>
      </w:r>
      <w:r w:rsidR="006C1917" w:rsidRPr="00434163">
        <w:rPr>
          <w:rFonts w:cs="Arial"/>
          <w:sz w:val="24"/>
          <w:szCs w:val="24"/>
        </w:rPr>
        <w:t> </w:t>
      </w:r>
      <w:r w:rsidR="006C1917" w:rsidRPr="00434163">
        <w:rPr>
          <w:rFonts w:cs="Arial"/>
          <w:bCs/>
          <w:sz w:val="24"/>
          <w:szCs w:val="24"/>
        </w:rPr>
        <w:t>ISSN</w:t>
      </w:r>
      <w:r w:rsidR="006C1917" w:rsidRPr="00434163">
        <w:rPr>
          <w:rFonts w:cs="Arial"/>
          <w:sz w:val="24"/>
          <w:szCs w:val="24"/>
        </w:rPr>
        <w:t xml:space="preserve"> 1212-4184.</w:t>
      </w:r>
    </w:p>
    <w:p w:rsidR="006C1917" w:rsidRPr="00434163" w:rsidRDefault="00B474A1" w:rsidP="00434163">
      <w:pPr>
        <w:spacing w:after="120" w:line="360" w:lineRule="auto"/>
        <w:rPr>
          <w:rStyle w:val="CittHTML"/>
          <w:rFonts w:cs="Arial"/>
          <w:i w:val="0"/>
          <w:iCs w:val="0"/>
          <w:sz w:val="24"/>
          <w:szCs w:val="24"/>
          <w:shd w:val="clear" w:color="auto" w:fill="FFFFFF"/>
        </w:rPr>
      </w:pPr>
      <w:r>
        <w:rPr>
          <w:sz w:val="24"/>
          <w:szCs w:val="24"/>
        </w:rPr>
        <w:lastRenderedPageBreak/>
        <w:t>115</w:t>
      </w:r>
      <w:r w:rsidR="006C1917" w:rsidRPr="00434163">
        <w:rPr>
          <w:sz w:val="24"/>
          <w:szCs w:val="24"/>
        </w:rPr>
        <w:t>/</w:t>
      </w:r>
      <w:r w:rsidR="006C1917" w:rsidRPr="00434163">
        <w:rPr>
          <w:rFonts w:cs="Arial"/>
          <w:sz w:val="24"/>
          <w:szCs w:val="24"/>
          <w:shd w:val="clear" w:color="auto" w:fill="FFFFFF"/>
        </w:rPr>
        <w:t xml:space="preserve"> PULIDO, Juan N., et al. Clinical spectrum, frequency, and significance of myocardial dysfunction in </w:t>
      </w:r>
      <w:proofErr w:type="gramStart"/>
      <w:r w:rsidR="006C1917" w:rsidRPr="00434163">
        <w:rPr>
          <w:rFonts w:cs="Arial"/>
          <w:sz w:val="24"/>
          <w:szCs w:val="24"/>
          <w:shd w:val="clear" w:color="auto" w:fill="FFFFFF"/>
        </w:rPr>
        <w:t>severe</w:t>
      </w:r>
      <w:proofErr w:type="gramEnd"/>
      <w:r w:rsidR="006C1917" w:rsidRPr="00434163">
        <w:rPr>
          <w:rFonts w:cs="Arial"/>
          <w:sz w:val="24"/>
          <w:szCs w:val="24"/>
          <w:shd w:val="clear" w:color="auto" w:fill="FFFFFF"/>
        </w:rPr>
        <w:t xml:space="preserve"> sepsis and septic shock. In:</w:t>
      </w:r>
      <w:r w:rsidR="006C1917" w:rsidRPr="00434163">
        <w:rPr>
          <w:rFonts w:cs="Arial"/>
          <w:sz w:val="24"/>
          <w:szCs w:val="24"/>
        </w:rPr>
        <w:t> </w:t>
      </w:r>
      <w:r w:rsidR="006C1917" w:rsidRPr="00434163">
        <w:rPr>
          <w:rFonts w:cs="Arial"/>
          <w:i/>
          <w:iCs/>
          <w:sz w:val="24"/>
          <w:szCs w:val="24"/>
          <w:shd w:val="clear" w:color="auto" w:fill="FFFFFF"/>
        </w:rPr>
        <w:t>Mayo Clinic Proceedings</w:t>
      </w:r>
      <w:r w:rsidR="006C1917" w:rsidRPr="00434163">
        <w:rPr>
          <w:rFonts w:cs="Arial"/>
          <w:sz w:val="24"/>
          <w:szCs w:val="24"/>
          <w:shd w:val="clear" w:color="auto" w:fill="FFFFFF"/>
        </w:rPr>
        <w:t>. Elsevier, 2012. p. 620-628. ISSN 0025-6196.</w:t>
      </w:r>
    </w:p>
    <w:p w:rsidR="006C1917" w:rsidRPr="00434163" w:rsidRDefault="00B474A1" w:rsidP="00434163">
      <w:pPr>
        <w:spacing w:after="120" w:line="360" w:lineRule="auto"/>
        <w:rPr>
          <w:rFonts w:cs="Lucida Sans Unicode"/>
          <w:bCs/>
          <w:sz w:val="24"/>
          <w:szCs w:val="24"/>
          <w:lang w:eastAsia="cs-CZ"/>
        </w:rPr>
      </w:pPr>
      <w:r>
        <w:rPr>
          <w:sz w:val="24"/>
          <w:szCs w:val="24"/>
        </w:rPr>
        <w:t>116</w:t>
      </w:r>
      <w:r w:rsidR="006C1917" w:rsidRPr="00434163">
        <w:rPr>
          <w:sz w:val="24"/>
          <w:szCs w:val="24"/>
        </w:rPr>
        <w:t xml:space="preserve">/ </w:t>
      </w:r>
      <w:r w:rsidR="006C1917" w:rsidRPr="00434163">
        <w:rPr>
          <w:rFonts w:cs="Arial"/>
          <w:sz w:val="24"/>
          <w:szCs w:val="24"/>
          <w:shd w:val="clear" w:color="auto" w:fill="FFFFFF"/>
        </w:rPr>
        <w:t>AY, Hakan; ARSAVA, Ethem Murat; SARIBAŞ, Okay. Creatine kinase-MB elevation after stroke is not cardiac in origin comparison with troponin T levels.</w:t>
      </w:r>
      <w:r w:rsidR="006148B5">
        <w:rPr>
          <w:rFonts w:cs="Arial"/>
          <w:sz w:val="24"/>
          <w:szCs w:val="24"/>
          <w:shd w:val="clear" w:color="auto" w:fill="FFFFFF"/>
        </w:rPr>
        <w:t xml:space="preserve"> </w:t>
      </w:r>
      <w:r w:rsidR="006C1917" w:rsidRPr="00434163">
        <w:rPr>
          <w:rFonts w:cs="Arial"/>
          <w:i/>
          <w:iCs/>
          <w:sz w:val="24"/>
          <w:szCs w:val="24"/>
          <w:shd w:val="clear" w:color="auto" w:fill="FFFFFF"/>
        </w:rPr>
        <w:t>Stroke</w:t>
      </w:r>
      <w:r w:rsidR="006C1917" w:rsidRPr="00434163">
        <w:rPr>
          <w:rFonts w:cs="Arial"/>
          <w:sz w:val="24"/>
          <w:szCs w:val="24"/>
          <w:shd w:val="clear" w:color="auto" w:fill="FFFFFF"/>
        </w:rPr>
        <w:t>, 2002, 33.1: 286-289.</w:t>
      </w:r>
      <w:r w:rsidR="006C1917" w:rsidRPr="00434163">
        <w:rPr>
          <w:rStyle w:val="Nadpis1Char"/>
          <w:rFonts w:cs="Arial"/>
          <w:b w:val="0"/>
          <w:bCs w:val="0"/>
          <w:i/>
          <w:iCs/>
          <w:sz w:val="24"/>
          <w:szCs w:val="24"/>
          <w:shd w:val="clear" w:color="auto" w:fill="FFFFFF"/>
        </w:rPr>
        <w:t xml:space="preserve">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0039-2499</w:t>
      </w:r>
      <w:r w:rsidR="006148B5">
        <w:rPr>
          <w:rFonts w:cs="Arial"/>
          <w:sz w:val="24"/>
          <w:szCs w:val="24"/>
          <w:shd w:val="clear" w:color="auto" w:fill="FFFFFF"/>
        </w:rPr>
        <w:t>.</w:t>
      </w:r>
    </w:p>
    <w:p w:rsidR="006C1917" w:rsidRPr="00434163" w:rsidRDefault="00B474A1" w:rsidP="00434163">
      <w:pPr>
        <w:spacing w:after="120" w:line="360" w:lineRule="auto"/>
        <w:rPr>
          <w:rFonts w:cs="Arial"/>
          <w:sz w:val="24"/>
          <w:szCs w:val="24"/>
          <w:shd w:val="clear" w:color="auto" w:fill="FFFFFF"/>
        </w:rPr>
      </w:pPr>
      <w:r>
        <w:rPr>
          <w:sz w:val="24"/>
          <w:szCs w:val="24"/>
        </w:rPr>
        <w:t>117</w:t>
      </w:r>
      <w:r w:rsidR="006C1917" w:rsidRPr="00434163">
        <w:rPr>
          <w:sz w:val="24"/>
          <w:szCs w:val="24"/>
        </w:rPr>
        <w:t xml:space="preserve">/ </w:t>
      </w:r>
      <w:r w:rsidR="006C1917" w:rsidRPr="00434163">
        <w:rPr>
          <w:rFonts w:cs="Arial"/>
          <w:sz w:val="24"/>
          <w:szCs w:val="24"/>
          <w:shd w:val="clear" w:color="auto" w:fill="FFFFFF"/>
        </w:rPr>
        <w:t>RAMARAJ, Radhakrishnan; SORRELL, Vincent L.; MOVAHED, Mohammad Reza. Levels of troponin release can aid in the early exclusion of stress-induced (takotsubo) cardiomyopathy.</w:t>
      </w:r>
      <w:r w:rsidR="006C1917" w:rsidRPr="00434163">
        <w:rPr>
          <w:rFonts w:cs="Arial"/>
          <w:sz w:val="24"/>
          <w:szCs w:val="24"/>
        </w:rPr>
        <w:t> </w:t>
      </w:r>
      <w:r w:rsidR="006C1917" w:rsidRPr="00434163">
        <w:rPr>
          <w:rFonts w:cs="Arial"/>
          <w:i/>
          <w:iCs/>
          <w:sz w:val="24"/>
          <w:szCs w:val="24"/>
          <w:shd w:val="clear" w:color="auto" w:fill="FFFFFF"/>
        </w:rPr>
        <w:t>Experimental &amp; Clinical Cardiology</w:t>
      </w:r>
      <w:r w:rsidR="006C1917" w:rsidRPr="00434163">
        <w:rPr>
          <w:rFonts w:cs="Arial"/>
          <w:sz w:val="24"/>
          <w:szCs w:val="24"/>
          <w:shd w:val="clear" w:color="auto" w:fill="FFFFFF"/>
        </w:rPr>
        <w:t>, 2009, 14.1: 6.</w:t>
      </w:r>
      <w:r w:rsidR="006C1917" w:rsidRPr="00434163">
        <w:rPr>
          <w:rStyle w:val="Nadpis1Char"/>
          <w:rFonts w:cs="Arial"/>
          <w:b w:val="0"/>
          <w:sz w:val="24"/>
          <w:szCs w:val="24"/>
          <w:shd w:val="clear" w:color="auto" w:fill="FFFFFF"/>
        </w:rPr>
        <w:t xml:space="preserve"> </w:t>
      </w:r>
      <w:r w:rsidR="006C1917" w:rsidRPr="00434163">
        <w:rPr>
          <w:rFonts w:cs="Arial"/>
          <w:sz w:val="24"/>
          <w:szCs w:val="24"/>
        </w:rPr>
        <w:t> </w:t>
      </w:r>
      <w:r w:rsidR="006C1917" w:rsidRPr="00434163">
        <w:rPr>
          <w:rFonts w:cs="Arial"/>
          <w:bCs/>
          <w:sz w:val="24"/>
          <w:szCs w:val="24"/>
        </w:rPr>
        <w:t>ISSN</w:t>
      </w:r>
      <w:r w:rsidR="006C1917" w:rsidRPr="00434163">
        <w:rPr>
          <w:rFonts w:cs="Arial"/>
          <w:sz w:val="24"/>
          <w:szCs w:val="24"/>
        </w:rPr>
        <w:t>: 1205-6626</w:t>
      </w:r>
      <w:r w:rsidR="006148B5">
        <w:rPr>
          <w:rFonts w:cs="Arial"/>
          <w:sz w:val="24"/>
          <w:szCs w:val="24"/>
        </w:rPr>
        <w:t>.</w:t>
      </w:r>
    </w:p>
    <w:p w:rsidR="006C1917" w:rsidRPr="00434163" w:rsidRDefault="00B474A1" w:rsidP="00434163">
      <w:pPr>
        <w:spacing w:after="120" w:line="360" w:lineRule="auto"/>
        <w:rPr>
          <w:rFonts w:cs="Arial"/>
          <w:sz w:val="24"/>
          <w:szCs w:val="24"/>
        </w:rPr>
      </w:pPr>
      <w:r>
        <w:rPr>
          <w:sz w:val="24"/>
          <w:szCs w:val="24"/>
        </w:rPr>
        <w:t>118</w:t>
      </w:r>
      <w:r w:rsidR="006C1917" w:rsidRPr="00434163">
        <w:rPr>
          <w:sz w:val="24"/>
          <w:szCs w:val="24"/>
        </w:rPr>
        <w:t xml:space="preserve">/ </w:t>
      </w:r>
      <w:r w:rsidR="006C1917" w:rsidRPr="00434163">
        <w:rPr>
          <w:rFonts w:cs="Arial"/>
          <w:sz w:val="24"/>
          <w:szCs w:val="24"/>
          <w:shd w:val="clear" w:color="auto" w:fill="FFFFFF"/>
        </w:rPr>
        <w:t>EDOUARD, A. R., et al. Circulating cardiac troponin I in trauma patients without cardiac contusion.</w:t>
      </w:r>
      <w:r w:rsidR="006C1917" w:rsidRPr="00434163">
        <w:rPr>
          <w:rFonts w:cs="Arial"/>
          <w:sz w:val="24"/>
          <w:szCs w:val="24"/>
        </w:rPr>
        <w:t> </w:t>
      </w:r>
      <w:r w:rsidR="006C1917" w:rsidRPr="00434163">
        <w:rPr>
          <w:rFonts w:cs="Arial"/>
          <w:i/>
          <w:iCs/>
          <w:sz w:val="24"/>
          <w:szCs w:val="24"/>
          <w:shd w:val="clear" w:color="auto" w:fill="FFFFFF"/>
        </w:rPr>
        <w:t>Intensive care medicine</w:t>
      </w:r>
      <w:r w:rsidR="006C1917" w:rsidRPr="00434163">
        <w:rPr>
          <w:rFonts w:cs="Arial"/>
          <w:sz w:val="24"/>
          <w:szCs w:val="24"/>
          <w:shd w:val="clear" w:color="auto" w:fill="FFFFFF"/>
        </w:rPr>
        <w:t>, 1998, 24.6: 569-573. ISSN</w:t>
      </w:r>
      <w:r w:rsidR="006C1917" w:rsidRPr="00434163">
        <w:rPr>
          <w:rFonts w:cs="Arial"/>
          <w:sz w:val="24"/>
          <w:szCs w:val="24"/>
        </w:rPr>
        <w:t> 0342-4642</w:t>
      </w:r>
      <w:r w:rsidR="006148B5">
        <w:rPr>
          <w:rFonts w:cs="Arial"/>
          <w:sz w:val="24"/>
          <w:szCs w:val="24"/>
        </w:rPr>
        <w:t>.</w:t>
      </w:r>
    </w:p>
    <w:p w:rsidR="006C1917" w:rsidRPr="006148B5" w:rsidRDefault="00B474A1" w:rsidP="00434163">
      <w:pPr>
        <w:spacing w:after="120" w:line="360" w:lineRule="auto"/>
        <w:rPr>
          <w:sz w:val="24"/>
          <w:szCs w:val="24"/>
        </w:rPr>
      </w:pPr>
      <w:r w:rsidRPr="006148B5">
        <w:rPr>
          <w:rFonts w:cs="Arial"/>
          <w:sz w:val="24"/>
          <w:szCs w:val="24"/>
        </w:rPr>
        <w:t>119</w:t>
      </w:r>
      <w:r w:rsidR="006C1917" w:rsidRPr="006148B5">
        <w:rPr>
          <w:rFonts w:cs="Arial"/>
          <w:sz w:val="24"/>
          <w:szCs w:val="24"/>
        </w:rPr>
        <w:t xml:space="preserve">/ </w:t>
      </w:r>
      <w:r w:rsidR="006C1917" w:rsidRPr="006148B5">
        <w:rPr>
          <w:rFonts w:cs="Arial"/>
          <w:sz w:val="24"/>
          <w:szCs w:val="24"/>
          <w:shd w:val="clear" w:color="auto" w:fill="FFFFFF"/>
        </w:rPr>
        <w:t>MAHAJAN, Vinay S.; JAROLIM, Petr. How to interpret elevated cardiac troponin levels.</w:t>
      </w:r>
      <w:r w:rsidR="006C1917" w:rsidRPr="006148B5">
        <w:rPr>
          <w:rStyle w:val="apple-converted-space"/>
          <w:rFonts w:cs="Arial"/>
          <w:sz w:val="24"/>
          <w:szCs w:val="24"/>
          <w:shd w:val="clear" w:color="auto" w:fill="FFFFFF"/>
        </w:rPr>
        <w:t> </w:t>
      </w:r>
      <w:r w:rsidR="006C1917" w:rsidRPr="006148B5">
        <w:rPr>
          <w:rFonts w:cs="Arial"/>
          <w:i/>
          <w:iCs/>
          <w:sz w:val="24"/>
          <w:szCs w:val="24"/>
          <w:shd w:val="clear" w:color="auto" w:fill="FFFFFF"/>
        </w:rPr>
        <w:t>Circulation</w:t>
      </w:r>
      <w:r w:rsidR="006C1917" w:rsidRPr="006148B5">
        <w:rPr>
          <w:rFonts w:cs="Arial"/>
          <w:sz w:val="24"/>
          <w:szCs w:val="24"/>
          <w:shd w:val="clear" w:color="auto" w:fill="FFFFFF"/>
        </w:rPr>
        <w:t>, 2011, 124.21: 2350-2354.</w:t>
      </w:r>
      <w:r w:rsidR="006C1917" w:rsidRPr="006148B5">
        <w:rPr>
          <w:sz w:val="24"/>
          <w:szCs w:val="24"/>
        </w:rPr>
        <w:t xml:space="preserve"> </w:t>
      </w:r>
      <w:r w:rsidR="006C1917" w:rsidRPr="006148B5">
        <w:rPr>
          <w:rStyle w:val="Zvraznn"/>
          <w:rFonts w:cs="Arial"/>
          <w:bCs/>
          <w:i w:val="0"/>
          <w:iCs w:val="0"/>
          <w:sz w:val="24"/>
          <w:szCs w:val="24"/>
          <w:shd w:val="clear" w:color="auto" w:fill="FFFFFF"/>
        </w:rPr>
        <w:t>ISSN</w:t>
      </w:r>
      <w:r w:rsidR="006C1917" w:rsidRPr="006148B5">
        <w:rPr>
          <w:rFonts w:cs="Arial"/>
          <w:sz w:val="24"/>
          <w:szCs w:val="24"/>
          <w:shd w:val="clear" w:color="auto" w:fill="FFFFFF"/>
        </w:rPr>
        <w:t xml:space="preserve"> 0009-7322.</w:t>
      </w:r>
    </w:p>
    <w:p w:rsidR="006C1917" w:rsidRPr="006148B5" w:rsidRDefault="00B474A1" w:rsidP="00434163">
      <w:pPr>
        <w:spacing w:after="120" w:line="360" w:lineRule="auto"/>
        <w:rPr>
          <w:sz w:val="24"/>
          <w:szCs w:val="24"/>
        </w:rPr>
      </w:pPr>
      <w:r w:rsidRPr="006148B5">
        <w:rPr>
          <w:rFonts w:cs="Arial"/>
          <w:sz w:val="24"/>
          <w:szCs w:val="24"/>
        </w:rPr>
        <w:t>120</w:t>
      </w:r>
      <w:r w:rsidR="006C1917" w:rsidRPr="006148B5">
        <w:rPr>
          <w:rFonts w:cs="Arial"/>
          <w:sz w:val="24"/>
          <w:szCs w:val="24"/>
        </w:rPr>
        <w:t xml:space="preserve">/ </w:t>
      </w:r>
      <w:r w:rsidR="006C1917" w:rsidRPr="006148B5">
        <w:rPr>
          <w:rFonts w:cs="Arial"/>
          <w:sz w:val="24"/>
          <w:szCs w:val="24"/>
          <w:shd w:val="clear" w:color="auto" w:fill="FFFFFF"/>
        </w:rPr>
        <w:t>SABATINE, Marc S., et al. Detection of acute changes in circulating troponin in the setting of transient stress test-induced myocardial ischaemia using an ultrasensitive assay: results from TIMI 35.</w:t>
      </w:r>
      <w:r w:rsidR="006C1917" w:rsidRPr="006148B5">
        <w:rPr>
          <w:rFonts w:cs="Arial"/>
          <w:sz w:val="24"/>
          <w:szCs w:val="24"/>
        </w:rPr>
        <w:t> </w:t>
      </w:r>
      <w:r w:rsidR="006C1917" w:rsidRPr="006148B5">
        <w:rPr>
          <w:rFonts w:cs="Arial"/>
          <w:i/>
          <w:iCs/>
          <w:sz w:val="24"/>
          <w:szCs w:val="24"/>
          <w:shd w:val="clear" w:color="auto" w:fill="FFFFFF"/>
        </w:rPr>
        <w:t>European heart journal</w:t>
      </w:r>
      <w:r w:rsidR="006C1917" w:rsidRPr="006148B5">
        <w:rPr>
          <w:rFonts w:cs="Arial"/>
          <w:sz w:val="24"/>
          <w:szCs w:val="24"/>
          <w:shd w:val="clear" w:color="auto" w:fill="FFFFFF"/>
        </w:rPr>
        <w:t>, 2009, 30.2: 162-169. ISSN 1522-9445.</w:t>
      </w:r>
    </w:p>
    <w:p w:rsidR="006C1917" w:rsidRPr="006148B5" w:rsidRDefault="00B474A1" w:rsidP="00434163">
      <w:pPr>
        <w:spacing w:after="120" w:line="360" w:lineRule="auto"/>
        <w:rPr>
          <w:rFonts w:cs="Arial"/>
          <w:sz w:val="24"/>
          <w:szCs w:val="24"/>
          <w:shd w:val="clear" w:color="auto" w:fill="FFFFFF"/>
        </w:rPr>
      </w:pPr>
      <w:r w:rsidRPr="006148B5">
        <w:rPr>
          <w:sz w:val="24"/>
          <w:szCs w:val="24"/>
        </w:rPr>
        <w:t>121</w:t>
      </w:r>
      <w:r w:rsidR="006C1917" w:rsidRPr="006148B5">
        <w:rPr>
          <w:sz w:val="24"/>
          <w:szCs w:val="24"/>
        </w:rPr>
        <w:t xml:space="preserve">/ </w:t>
      </w:r>
      <w:r w:rsidR="006C1917" w:rsidRPr="006148B5">
        <w:rPr>
          <w:rFonts w:cs="Arial"/>
          <w:sz w:val="24"/>
          <w:szCs w:val="24"/>
          <w:shd w:val="clear" w:color="auto" w:fill="FFFFFF"/>
        </w:rPr>
        <w:t>VAŠATOVÁ, M., et al. Kardiální troponin T ultrasenzitivní metodou – porovnání metod.</w:t>
      </w:r>
      <w:r w:rsidR="006C1917" w:rsidRPr="006148B5">
        <w:rPr>
          <w:rFonts w:cs="Arial"/>
          <w:sz w:val="24"/>
          <w:szCs w:val="24"/>
        </w:rPr>
        <w:t> </w:t>
      </w:r>
      <w:r w:rsidR="006C1917" w:rsidRPr="006148B5">
        <w:rPr>
          <w:rFonts w:cs="Arial"/>
          <w:i/>
          <w:iCs/>
          <w:sz w:val="24"/>
          <w:szCs w:val="24"/>
          <w:shd w:val="clear" w:color="auto" w:fill="FFFFFF"/>
        </w:rPr>
        <w:t>Klinická biochemie a metabolismus</w:t>
      </w:r>
      <w:r w:rsidR="006C1917" w:rsidRPr="006148B5">
        <w:rPr>
          <w:rFonts w:cs="Arial"/>
          <w:sz w:val="24"/>
          <w:szCs w:val="24"/>
          <w:shd w:val="clear" w:color="auto" w:fill="FFFFFF"/>
        </w:rPr>
        <w:t>, 2010, 197. ISSN 1210-7921.</w:t>
      </w:r>
    </w:p>
    <w:p w:rsidR="006C1917" w:rsidRPr="00434163" w:rsidRDefault="00B474A1" w:rsidP="00434163">
      <w:pPr>
        <w:spacing w:after="120" w:line="360" w:lineRule="auto"/>
        <w:rPr>
          <w:rFonts w:cs="Arial"/>
          <w:sz w:val="24"/>
          <w:szCs w:val="24"/>
          <w:shd w:val="clear" w:color="auto" w:fill="FFFFFF"/>
        </w:rPr>
      </w:pPr>
      <w:r>
        <w:rPr>
          <w:sz w:val="24"/>
          <w:szCs w:val="24"/>
        </w:rPr>
        <w:t>122</w:t>
      </w:r>
      <w:r w:rsidR="006C1917" w:rsidRPr="00434163">
        <w:rPr>
          <w:sz w:val="24"/>
          <w:szCs w:val="24"/>
        </w:rPr>
        <w:t>/</w:t>
      </w:r>
      <w:r w:rsidR="006C1917" w:rsidRPr="00434163">
        <w:rPr>
          <w:rFonts w:cs="Arial"/>
          <w:sz w:val="24"/>
          <w:szCs w:val="24"/>
          <w:shd w:val="clear" w:color="auto" w:fill="FFFFFF"/>
        </w:rPr>
        <w:t xml:space="preserve"> JOZWIAK, Mathieu, et al. Management of myocardial dysfunction in </w:t>
      </w:r>
      <w:proofErr w:type="gramStart"/>
      <w:r w:rsidR="006C1917" w:rsidRPr="00434163">
        <w:rPr>
          <w:rFonts w:cs="Arial"/>
          <w:sz w:val="24"/>
          <w:szCs w:val="24"/>
          <w:shd w:val="clear" w:color="auto" w:fill="FFFFFF"/>
        </w:rPr>
        <w:t>severe</w:t>
      </w:r>
      <w:proofErr w:type="gramEnd"/>
      <w:r w:rsidR="006C1917" w:rsidRPr="00434163">
        <w:rPr>
          <w:rFonts w:cs="Arial"/>
          <w:sz w:val="24"/>
          <w:szCs w:val="24"/>
          <w:shd w:val="clear" w:color="auto" w:fill="FFFFFF"/>
        </w:rPr>
        <w:t xml:space="preserve"> sepsis. In:</w:t>
      </w:r>
      <w:r w:rsidR="006C1917" w:rsidRPr="00434163">
        <w:rPr>
          <w:rFonts w:cs="Arial"/>
          <w:sz w:val="24"/>
          <w:szCs w:val="24"/>
        </w:rPr>
        <w:t> </w:t>
      </w:r>
      <w:r w:rsidR="006C1917" w:rsidRPr="00434163">
        <w:rPr>
          <w:rFonts w:cs="Arial"/>
          <w:i/>
          <w:iCs/>
          <w:sz w:val="24"/>
          <w:szCs w:val="24"/>
          <w:shd w:val="clear" w:color="auto" w:fill="FFFFFF"/>
        </w:rPr>
        <w:t>Seminars in respiratory and critical care medicine</w:t>
      </w:r>
      <w:r w:rsidR="006C1917" w:rsidRPr="00434163">
        <w:rPr>
          <w:rFonts w:cs="Arial"/>
          <w:sz w:val="24"/>
          <w:szCs w:val="24"/>
          <w:shd w:val="clear" w:color="auto" w:fill="FFFFFF"/>
        </w:rPr>
        <w:t>. 2011. p. 206.</w:t>
      </w:r>
      <w:r w:rsidR="006C1917" w:rsidRPr="00434163">
        <w:rPr>
          <w:sz w:val="24"/>
          <w:szCs w:val="24"/>
        </w:rPr>
        <w:t xml:space="preserve"> ISSN </w:t>
      </w:r>
      <w:r w:rsidR="006C1917" w:rsidRPr="00434163">
        <w:rPr>
          <w:rFonts w:cs="Arial"/>
          <w:sz w:val="24"/>
          <w:szCs w:val="24"/>
          <w:shd w:val="clear" w:color="auto" w:fill="FFFFFF"/>
        </w:rPr>
        <w:t>1069-3424.</w:t>
      </w:r>
    </w:p>
    <w:p w:rsidR="006C1917" w:rsidRPr="00434163" w:rsidRDefault="00797C57" w:rsidP="00434163">
      <w:pPr>
        <w:spacing w:after="120" w:line="360" w:lineRule="auto"/>
        <w:rPr>
          <w:rFonts w:cs="Arial"/>
          <w:sz w:val="24"/>
          <w:szCs w:val="24"/>
          <w:shd w:val="clear" w:color="auto" w:fill="FFFFFF"/>
        </w:rPr>
      </w:pPr>
      <w:r>
        <w:rPr>
          <w:rFonts w:cs="Arial"/>
          <w:sz w:val="24"/>
          <w:szCs w:val="24"/>
          <w:shd w:val="clear" w:color="auto" w:fill="FFFFFF"/>
        </w:rPr>
        <w:t>123</w:t>
      </w:r>
      <w:r w:rsidR="006C1917" w:rsidRPr="00434163">
        <w:rPr>
          <w:rFonts w:cs="Arial"/>
          <w:sz w:val="24"/>
          <w:szCs w:val="24"/>
          <w:shd w:val="clear" w:color="auto" w:fill="FFFFFF"/>
        </w:rPr>
        <w:t>/ BORUTAITE, Vilmante; BROWN, Guy C. Mitochondria in apoptosis of ischemic heart.</w:t>
      </w:r>
      <w:r w:rsidR="006C1917" w:rsidRPr="00434163">
        <w:rPr>
          <w:rFonts w:cs="Arial"/>
          <w:sz w:val="24"/>
          <w:szCs w:val="24"/>
        </w:rPr>
        <w:t> </w:t>
      </w:r>
      <w:r w:rsidR="006C1917" w:rsidRPr="00434163">
        <w:rPr>
          <w:rFonts w:cs="Arial"/>
          <w:i/>
          <w:iCs/>
          <w:sz w:val="24"/>
          <w:szCs w:val="24"/>
          <w:shd w:val="clear" w:color="auto" w:fill="FFFFFF"/>
        </w:rPr>
        <w:t>FEBS letters</w:t>
      </w:r>
      <w:r w:rsidR="006C1917" w:rsidRPr="00434163">
        <w:rPr>
          <w:rFonts w:cs="Arial"/>
          <w:sz w:val="24"/>
          <w:szCs w:val="24"/>
          <w:shd w:val="clear" w:color="auto" w:fill="FFFFFF"/>
        </w:rPr>
        <w:t>, 2003, 541.1: 1-5. ISSN 0014-5793.</w:t>
      </w:r>
    </w:p>
    <w:p w:rsidR="006C1917" w:rsidRPr="00434163" w:rsidRDefault="00797C57" w:rsidP="00434163">
      <w:pPr>
        <w:spacing w:after="120" w:line="360" w:lineRule="auto"/>
        <w:rPr>
          <w:kern w:val="36"/>
          <w:sz w:val="24"/>
          <w:szCs w:val="24"/>
          <w:lang w:eastAsia="cs-CZ"/>
        </w:rPr>
      </w:pPr>
      <w:r>
        <w:rPr>
          <w:kern w:val="36"/>
          <w:sz w:val="24"/>
          <w:szCs w:val="24"/>
          <w:lang w:eastAsia="cs-CZ"/>
        </w:rPr>
        <w:t>124</w:t>
      </w:r>
      <w:r w:rsidR="006C1917" w:rsidRPr="00434163">
        <w:rPr>
          <w:kern w:val="36"/>
          <w:sz w:val="24"/>
          <w:szCs w:val="24"/>
          <w:lang w:eastAsia="cs-CZ"/>
        </w:rPr>
        <w:t xml:space="preserve">/ </w:t>
      </w:r>
      <w:r w:rsidR="006C1917" w:rsidRPr="00434163">
        <w:rPr>
          <w:rFonts w:cs="Arial"/>
          <w:sz w:val="24"/>
          <w:szCs w:val="24"/>
          <w:shd w:val="clear" w:color="auto" w:fill="FFFFFF"/>
        </w:rPr>
        <w:t>NARIN, Nazmi, et al. Diagnostic value of troponin T in neonates of mild pre-eclamptic mothers.</w:t>
      </w:r>
      <w:r w:rsidR="006C1917" w:rsidRPr="00434163">
        <w:rPr>
          <w:rFonts w:cs="Arial"/>
          <w:sz w:val="24"/>
          <w:szCs w:val="24"/>
        </w:rPr>
        <w:t> </w:t>
      </w:r>
      <w:r w:rsidR="006C1917" w:rsidRPr="00434163">
        <w:rPr>
          <w:rFonts w:cs="Arial"/>
          <w:i/>
          <w:iCs/>
          <w:sz w:val="24"/>
          <w:szCs w:val="24"/>
          <w:shd w:val="clear" w:color="auto" w:fill="FFFFFF"/>
        </w:rPr>
        <w:t>Biology of the neonate</w:t>
      </w:r>
      <w:r w:rsidR="006C1917" w:rsidRPr="00434163">
        <w:rPr>
          <w:rFonts w:cs="Arial"/>
          <w:sz w:val="24"/>
          <w:szCs w:val="24"/>
          <w:shd w:val="clear" w:color="auto" w:fill="FFFFFF"/>
        </w:rPr>
        <w:t>, 1998, 75.2: 137-142.</w:t>
      </w:r>
      <w:r w:rsidR="006C1917" w:rsidRPr="00434163">
        <w:rPr>
          <w:kern w:val="36"/>
          <w:sz w:val="24"/>
          <w:szCs w:val="24"/>
          <w:lang w:eastAsia="cs-CZ"/>
        </w:rPr>
        <w:t xml:space="preserve"> ISSN </w:t>
      </w:r>
      <w:r w:rsidR="006C1917" w:rsidRPr="00434163">
        <w:rPr>
          <w:sz w:val="24"/>
          <w:szCs w:val="24"/>
        </w:rPr>
        <w:t> </w:t>
      </w:r>
      <w:r w:rsidR="006C1917" w:rsidRPr="00434163">
        <w:rPr>
          <w:sz w:val="24"/>
          <w:szCs w:val="24"/>
          <w:shd w:val="clear" w:color="auto" w:fill="FFFFFF"/>
        </w:rPr>
        <w:t>0006-3126.</w:t>
      </w:r>
      <w:r w:rsidR="006C1917" w:rsidRPr="00434163">
        <w:rPr>
          <w:sz w:val="24"/>
          <w:szCs w:val="24"/>
        </w:rPr>
        <w:t> </w:t>
      </w:r>
    </w:p>
    <w:p w:rsidR="006C1917" w:rsidRPr="00434163" w:rsidRDefault="0085656F" w:rsidP="00434163">
      <w:pPr>
        <w:spacing w:after="120" w:line="360" w:lineRule="auto"/>
        <w:rPr>
          <w:rFonts w:cs="Helvetica"/>
          <w:sz w:val="24"/>
          <w:szCs w:val="24"/>
        </w:rPr>
      </w:pPr>
      <w:r>
        <w:rPr>
          <w:sz w:val="24"/>
          <w:szCs w:val="24"/>
        </w:rPr>
        <w:t>125</w:t>
      </w:r>
      <w:r w:rsidR="006C1917" w:rsidRPr="00434163">
        <w:rPr>
          <w:sz w:val="24"/>
          <w:szCs w:val="24"/>
        </w:rPr>
        <w:t>/</w:t>
      </w:r>
      <w:r w:rsidR="006C1917" w:rsidRPr="00434163">
        <w:rPr>
          <w:rFonts w:cs="Arial"/>
          <w:sz w:val="24"/>
          <w:szCs w:val="24"/>
          <w:shd w:val="clear" w:color="auto" w:fill="FFFFFF"/>
        </w:rPr>
        <w:t xml:space="preserve"> ADAMCOVÁ, Michaela, et al. Cardiac troponin T in pregnant women having intravenous tocolytic therapy.</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Archives of gynecology and obstetrics</w:t>
      </w:r>
      <w:r w:rsidR="006C1917" w:rsidRPr="00434163">
        <w:rPr>
          <w:rFonts w:cs="Arial"/>
          <w:sz w:val="24"/>
          <w:szCs w:val="24"/>
          <w:shd w:val="clear" w:color="auto" w:fill="FFFFFF"/>
        </w:rPr>
        <w:t>, 1999, 262.3-4: 121-126. ISSN 0932-0067.</w:t>
      </w:r>
    </w:p>
    <w:p w:rsidR="006C1917" w:rsidRPr="00434163" w:rsidRDefault="0085656F" w:rsidP="00434163">
      <w:pPr>
        <w:spacing w:after="120" w:line="360" w:lineRule="auto"/>
        <w:rPr>
          <w:rFonts w:cs="Arial"/>
          <w:sz w:val="24"/>
          <w:szCs w:val="24"/>
          <w:shd w:val="clear" w:color="auto" w:fill="FFFFFF"/>
        </w:rPr>
      </w:pPr>
      <w:r>
        <w:rPr>
          <w:sz w:val="24"/>
          <w:szCs w:val="24"/>
        </w:rPr>
        <w:lastRenderedPageBreak/>
        <w:t>126</w:t>
      </w:r>
      <w:r w:rsidR="006C1917" w:rsidRPr="00434163">
        <w:rPr>
          <w:sz w:val="24"/>
          <w:szCs w:val="24"/>
        </w:rPr>
        <w:t xml:space="preserve">/ </w:t>
      </w:r>
      <w:r w:rsidR="006C1917" w:rsidRPr="00434163">
        <w:rPr>
          <w:rFonts w:cs="Arial"/>
          <w:sz w:val="24"/>
          <w:szCs w:val="24"/>
          <w:shd w:val="clear" w:color="auto" w:fill="FFFFFF"/>
        </w:rPr>
        <w:t>MÄKIKALLIO, Kaarin, et al. Ultrasonographic and biochemical markers of human fetal cardiac dysfunction in placental insufficiency.</w:t>
      </w:r>
      <w:r w:rsidR="006C1917" w:rsidRPr="00434163">
        <w:rPr>
          <w:rStyle w:val="apple-converted-space"/>
          <w:rFonts w:cs="Arial"/>
          <w:sz w:val="24"/>
          <w:szCs w:val="24"/>
          <w:shd w:val="clear" w:color="auto" w:fill="FFFFFF"/>
        </w:rPr>
        <w:t> </w:t>
      </w:r>
      <w:r w:rsidR="006C1917" w:rsidRPr="00434163">
        <w:rPr>
          <w:rFonts w:cs="Arial"/>
          <w:i/>
          <w:iCs/>
          <w:sz w:val="24"/>
          <w:szCs w:val="24"/>
          <w:shd w:val="clear" w:color="auto" w:fill="FFFFFF"/>
        </w:rPr>
        <w:t>Circulation</w:t>
      </w:r>
      <w:r w:rsidR="006C1917" w:rsidRPr="00434163">
        <w:rPr>
          <w:rFonts w:cs="Arial"/>
          <w:sz w:val="24"/>
          <w:szCs w:val="24"/>
          <w:shd w:val="clear" w:color="auto" w:fill="FFFFFF"/>
        </w:rPr>
        <w:t xml:space="preserve">, 2002, 105.17: 2058-2063. </w:t>
      </w:r>
      <w:r w:rsidR="006C1917" w:rsidRPr="00434163">
        <w:rPr>
          <w:rStyle w:val="Zvraznn"/>
          <w:rFonts w:cs="Arial"/>
          <w:bCs/>
          <w:i w:val="0"/>
          <w:iCs w:val="0"/>
          <w:sz w:val="24"/>
          <w:szCs w:val="24"/>
          <w:shd w:val="clear" w:color="auto" w:fill="FFFFFF"/>
        </w:rPr>
        <w:t>ISSN</w:t>
      </w:r>
      <w:r w:rsidR="006C1917" w:rsidRPr="00434163">
        <w:rPr>
          <w:rFonts w:cs="Arial"/>
          <w:sz w:val="24"/>
          <w:szCs w:val="24"/>
          <w:shd w:val="clear" w:color="auto" w:fill="FFFFFF"/>
        </w:rPr>
        <w:t xml:space="preserve"> 0009-7322.</w:t>
      </w:r>
    </w:p>
    <w:p w:rsidR="00797C57" w:rsidRDefault="00797C57" w:rsidP="0085656F">
      <w:pPr>
        <w:spacing w:after="120" w:line="360" w:lineRule="auto"/>
        <w:rPr>
          <w:rFonts w:asciiTheme="minorHAnsi" w:hAnsiTheme="minorHAnsi"/>
          <w:sz w:val="24"/>
          <w:szCs w:val="24"/>
        </w:rPr>
      </w:pPr>
    </w:p>
    <w:p w:rsidR="00B87BC9" w:rsidRDefault="00B87BC9" w:rsidP="0085656F">
      <w:pPr>
        <w:spacing w:after="120" w:line="360" w:lineRule="auto"/>
        <w:rPr>
          <w:rFonts w:asciiTheme="minorHAnsi" w:hAnsiTheme="minorHAnsi"/>
          <w:sz w:val="24"/>
          <w:szCs w:val="24"/>
        </w:rPr>
      </w:pPr>
    </w:p>
    <w:p w:rsidR="00B87BC9" w:rsidRPr="00B87BC9" w:rsidRDefault="00B87BC9" w:rsidP="00B87BC9">
      <w:pPr>
        <w:spacing w:after="120" w:line="360" w:lineRule="auto"/>
        <w:rPr>
          <w:rFonts w:asciiTheme="minorHAnsi" w:hAnsiTheme="minorHAnsi" w:cs="Arial"/>
          <w:sz w:val="24"/>
          <w:szCs w:val="24"/>
        </w:rPr>
      </w:pPr>
    </w:p>
    <w:sectPr w:rsidR="00B87BC9" w:rsidRPr="00B87BC9" w:rsidSect="0056117D">
      <w:footerReference w:type="default" r:id="rId23"/>
      <w:pgSz w:w="11906" w:h="16838"/>
      <w:pgMar w:top="1417" w:right="1417" w:bottom="1417" w:left="1417" w:header="708" w:footer="708" w:gutter="0"/>
      <w:pgNumType w:start="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B09" w:rsidRDefault="00BF6B09" w:rsidP="00A714E9">
      <w:pPr>
        <w:spacing w:after="0" w:line="240" w:lineRule="auto"/>
      </w:pPr>
      <w:r>
        <w:separator/>
      </w:r>
    </w:p>
  </w:endnote>
  <w:endnote w:type="continuationSeparator" w:id="0">
    <w:p w:rsidR="00BF6B09" w:rsidRDefault="00BF6B09" w:rsidP="00A71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B09" w:rsidRDefault="00BF6B09">
    <w:pPr>
      <w:pStyle w:val="Zpat"/>
      <w:jc w:val="center"/>
    </w:pPr>
  </w:p>
  <w:p w:rsidR="00BF6B09" w:rsidRDefault="00BF6B0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B09" w:rsidRDefault="00D904E8">
    <w:pPr>
      <w:pStyle w:val="Zpat"/>
      <w:jc w:val="center"/>
    </w:pPr>
    <w:fldSimple w:instr="PAGE   \* MERGEFORMAT">
      <w:r w:rsidR="00540B9D">
        <w:rPr>
          <w:noProof/>
        </w:rPr>
        <w:t>42</w:t>
      </w:r>
    </w:fldSimple>
  </w:p>
  <w:p w:rsidR="00BF6B09" w:rsidRDefault="00BF6B0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B09" w:rsidRDefault="00BF6B09" w:rsidP="00A714E9">
      <w:pPr>
        <w:spacing w:after="0" w:line="240" w:lineRule="auto"/>
      </w:pPr>
      <w:r>
        <w:separator/>
      </w:r>
    </w:p>
  </w:footnote>
  <w:footnote w:type="continuationSeparator" w:id="0">
    <w:p w:rsidR="00BF6B09" w:rsidRDefault="00BF6B09" w:rsidP="00A71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C6A28"/>
    <w:multiLevelType w:val="hybridMultilevel"/>
    <w:tmpl w:val="8146E3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05730AB"/>
    <w:multiLevelType w:val="multilevel"/>
    <w:tmpl w:val="60AE7E22"/>
    <w:lvl w:ilvl="0">
      <w:start w:val="1"/>
      <w:numFmt w:val="decimal"/>
      <w:pStyle w:val="Nadpis1"/>
      <w:lvlText w:val="%1"/>
      <w:lvlJc w:val="left"/>
      <w:pPr>
        <w:ind w:left="432" w:hanging="432"/>
      </w:pPr>
      <w:rPr>
        <w:rFonts w:cs="Times New Roman"/>
      </w:rPr>
    </w:lvl>
    <w:lvl w:ilvl="1">
      <w:start w:val="1"/>
      <w:numFmt w:val="decimal"/>
      <w:pStyle w:val="Nadpis2"/>
      <w:lvlText w:val="%1.%2"/>
      <w:lvlJc w:val="left"/>
      <w:pPr>
        <w:ind w:left="576" w:hanging="576"/>
      </w:pPr>
      <w:rPr>
        <w:rFonts w:cs="Times New Roman"/>
        <w:sz w:val="28"/>
        <w:szCs w:val="28"/>
      </w:rPr>
    </w:lvl>
    <w:lvl w:ilvl="2">
      <w:start w:val="1"/>
      <w:numFmt w:val="decimal"/>
      <w:pStyle w:val="Nadpis3"/>
      <w:lvlText w:val="%1.%2.%3"/>
      <w:lvlJc w:val="left"/>
      <w:pPr>
        <w:ind w:left="720" w:hanging="720"/>
      </w:pPr>
      <w:rPr>
        <w:rFonts w:cs="Times New Roman"/>
      </w:rPr>
    </w:lvl>
    <w:lvl w:ilvl="3">
      <w:start w:val="1"/>
      <w:numFmt w:val="decimal"/>
      <w:pStyle w:val="Nadpis4"/>
      <w:lvlText w:val="%1.%2.%3.%4"/>
      <w:lvlJc w:val="left"/>
      <w:pPr>
        <w:ind w:left="864" w:hanging="864"/>
      </w:pPr>
      <w:rPr>
        <w:rFonts w:cs="Times New Roman"/>
      </w:rPr>
    </w:lvl>
    <w:lvl w:ilvl="4">
      <w:start w:val="1"/>
      <w:numFmt w:val="decimal"/>
      <w:pStyle w:val="Nadpis5"/>
      <w:lvlText w:val="%1.%2.%3.%4.%5"/>
      <w:lvlJc w:val="left"/>
      <w:pPr>
        <w:ind w:left="1008" w:hanging="1008"/>
      </w:pPr>
      <w:rPr>
        <w:rFonts w:cs="Times New Roman"/>
      </w:rPr>
    </w:lvl>
    <w:lvl w:ilvl="5">
      <w:start w:val="1"/>
      <w:numFmt w:val="decimal"/>
      <w:pStyle w:val="Nadpis6"/>
      <w:lvlText w:val="%1.%2.%3.%4.%5.%6"/>
      <w:lvlJc w:val="left"/>
      <w:pPr>
        <w:ind w:left="1152" w:hanging="1152"/>
      </w:pPr>
      <w:rPr>
        <w:rFonts w:cs="Times New Roman"/>
      </w:rPr>
    </w:lvl>
    <w:lvl w:ilvl="6">
      <w:start w:val="1"/>
      <w:numFmt w:val="decimal"/>
      <w:pStyle w:val="Nadpis7"/>
      <w:lvlText w:val="%1.%2.%3.%4.%5.%6.%7"/>
      <w:lvlJc w:val="left"/>
      <w:pPr>
        <w:ind w:left="1296" w:hanging="1296"/>
      </w:pPr>
      <w:rPr>
        <w:rFonts w:cs="Times New Roman"/>
      </w:rPr>
    </w:lvl>
    <w:lvl w:ilvl="7">
      <w:start w:val="1"/>
      <w:numFmt w:val="decimal"/>
      <w:pStyle w:val="Nadpis8"/>
      <w:lvlText w:val="%1.%2.%3.%4.%5.%6.%7.%8"/>
      <w:lvlJc w:val="left"/>
      <w:pPr>
        <w:ind w:left="1440" w:hanging="1440"/>
      </w:pPr>
      <w:rPr>
        <w:rFonts w:cs="Times New Roman"/>
      </w:rPr>
    </w:lvl>
    <w:lvl w:ilvl="8">
      <w:start w:val="1"/>
      <w:numFmt w:val="decimal"/>
      <w:pStyle w:val="Nadpis9"/>
      <w:lvlText w:val="%1.%2.%3.%4.%5.%6.%7.%8.%9"/>
      <w:lvlJc w:val="left"/>
      <w:pPr>
        <w:ind w:left="1584" w:hanging="1584"/>
      </w:pPr>
      <w:rPr>
        <w:rFonts w:cs="Times New Roman"/>
      </w:rPr>
    </w:lvl>
  </w:abstractNum>
  <w:abstractNum w:abstractNumId="2">
    <w:nsid w:val="57AE06F7"/>
    <w:multiLevelType w:val="hybridMultilevel"/>
    <w:tmpl w:val="B5B45C7C"/>
    <w:lvl w:ilvl="0" w:tplc="04050011">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60892BA3"/>
    <w:multiLevelType w:val="hybridMultilevel"/>
    <w:tmpl w:val="9D346398"/>
    <w:lvl w:ilvl="0" w:tplc="04050011">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63201172"/>
    <w:multiLevelType w:val="hybridMultilevel"/>
    <w:tmpl w:val="EF8EA7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703B508A"/>
    <w:multiLevelType w:val="hybridMultilevel"/>
    <w:tmpl w:val="1A9EA4C2"/>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7A655019"/>
    <w:multiLevelType w:val="hybridMultilevel"/>
    <w:tmpl w:val="169A4F90"/>
    <w:lvl w:ilvl="0" w:tplc="04050011">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6"/>
  </w:num>
  <w:num w:numId="4">
    <w:abstractNumId w:val="5"/>
  </w:num>
  <w:num w:numId="5">
    <w:abstractNumId w:val="3"/>
  </w:num>
  <w:num w:numId="6">
    <w:abstractNumId w:val="2"/>
  </w:num>
  <w:num w:numId="7">
    <w:abstractNumId w:val="4"/>
  </w:num>
  <w:num w:numId="8">
    <w:abstractNumId w:val="1"/>
  </w:num>
  <w:num w:numId="9">
    <w:abstractNumId w:val="1"/>
  </w:num>
  <w:num w:numId="10">
    <w:abstractNumId w:val="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242D7"/>
    <w:rsid w:val="00004329"/>
    <w:rsid w:val="0000737D"/>
    <w:rsid w:val="00010869"/>
    <w:rsid w:val="00010CFB"/>
    <w:rsid w:val="000171AA"/>
    <w:rsid w:val="00017B37"/>
    <w:rsid w:val="00017BA9"/>
    <w:rsid w:val="00022188"/>
    <w:rsid w:val="000224CB"/>
    <w:rsid w:val="000238CD"/>
    <w:rsid w:val="00024C21"/>
    <w:rsid w:val="00024C85"/>
    <w:rsid w:val="00025411"/>
    <w:rsid w:val="0002637A"/>
    <w:rsid w:val="000325B9"/>
    <w:rsid w:val="00032995"/>
    <w:rsid w:val="00036A7C"/>
    <w:rsid w:val="0003719B"/>
    <w:rsid w:val="00040C7A"/>
    <w:rsid w:val="00042E13"/>
    <w:rsid w:val="000435EB"/>
    <w:rsid w:val="0005242A"/>
    <w:rsid w:val="000533F3"/>
    <w:rsid w:val="00056845"/>
    <w:rsid w:val="00063465"/>
    <w:rsid w:val="00066AFA"/>
    <w:rsid w:val="00071353"/>
    <w:rsid w:val="00072771"/>
    <w:rsid w:val="00075C03"/>
    <w:rsid w:val="00077D85"/>
    <w:rsid w:val="00081420"/>
    <w:rsid w:val="0008281B"/>
    <w:rsid w:val="00087ACA"/>
    <w:rsid w:val="00093254"/>
    <w:rsid w:val="00094EEB"/>
    <w:rsid w:val="000A11B8"/>
    <w:rsid w:val="000A149B"/>
    <w:rsid w:val="000A2D4F"/>
    <w:rsid w:val="000A36A1"/>
    <w:rsid w:val="000A5780"/>
    <w:rsid w:val="000B48A0"/>
    <w:rsid w:val="000B558B"/>
    <w:rsid w:val="000B73A4"/>
    <w:rsid w:val="000C142E"/>
    <w:rsid w:val="000C21FE"/>
    <w:rsid w:val="000C52EC"/>
    <w:rsid w:val="000C5E4A"/>
    <w:rsid w:val="000C7FCD"/>
    <w:rsid w:val="000D0754"/>
    <w:rsid w:val="000D1AC9"/>
    <w:rsid w:val="000D244C"/>
    <w:rsid w:val="000D3C4B"/>
    <w:rsid w:val="000D6D62"/>
    <w:rsid w:val="000E15A3"/>
    <w:rsid w:val="000E41B3"/>
    <w:rsid w:val="000E63E4"/>
    <w:rsid w:val="000E7930"/>
    <w:rsid w:val="000E7C49"/>
    <w:rsid w:val="000F074E"/>
    <w:rsid w:val="000F0F0F"/>
    <w:rsid w:val="000F4673"/>
    <w:rsid w:val="000F4E30"/>
    <w:rsid w:val="000F5A19"/>
    <w:rsid w:val="000F6867"/>
    <w:rsid w:val="00101961"/>
    <w:rsid w:val="00102183"/>
    <w:rsid w:val="00105C3C"/>
    <w:rsid w:val="001101F0"/>
    <w:rsid w:val="00114CED"/>
    <w:rsid w:val="00122D8F"/>
    <w:rsid w:val="001242D7"/>
    <w:rsid w:val="0012524B"/>
    <w:rsid w:val="00126230"/>
    <w:rsid w:val="00127AA3"/>
    <w:rsid w:val="00131834"/>
    <w:rsid w:val="001324DB"/>
    <w:rsid w:val="00133633"/>
    <w:rsid w:val="001375C3"/>
    <w:rsid w:val="00137770"/>
    <w:rsid w:val="001407A8"/>
    <w:rsid w:val="00141754"/>
    <w:rsid w:val="001429DD"/>
    <w:rsid w:val="00143804"/>
    <w:rsid w:val="00143D26"/>
    <w:rsid w:val="00153B94"/>
    <w:rsid w:val="00154D64"/>
    <w:rsid w:val="001570DF"/>
    <w:rsid w:val="001629C0"/>
    <w:rsid w:val="0016551A"/>
    <w:rsid w:val="001733D1"/>
    <w:rsid w:val="0017739C"/>
    <w:rsid w:val="001819E4"/>
    <w:rsid w:val="001827BB"/>
    <w:rsid w:val="001830B1"/>
    <w:rsid w:val="00186FD7"/>
    <w:rsid w:val="00187673"/>
    <w:rsid w:val="00187917"/>
    <w:rsid w:val="00190351"/>
    <w:rsid w:val="00190635"/>
    <w:rsid w:val="00190F5B"/>
    <w:rsid w:val="00193888"/>
    <w:rsid w:val="0019767B"/>
    <w:rsid w:val="001A1E92"/>
    <w:rsid w:val="001A37FE"/>
    <w:rsid w:val="001B1043"/>
    <w:rsid w:val="001B25CE"/>
    <w:rsid w:val="001B3816"/>
    <w:rsid w:val="001B4543"/>
    <w:rsid w:val="001B6825"/>
    <w:rsid w:val="001B7CE6"/>
    <w:rsid w:val="001C0215"/>
    <w:rsid w:val="001C1B81"/>
    <w:rsid w:val="001C685C"/>
    <w:rsid w:val="001C69D3"/>
    <w:rsid w:val="001C6DFE"/>
    <w:rsid w:val="001D1DDE"/>
    <w:rsid w:val="001D4555"/>
    <w:rsid w:val="001D4FD7"/>
    <w:rsid w:val="001D66CD"/>
    <w:rsid w:val="001D7DE5"/>
    <w:rsid w:val="001E12E8"/>
    <w:rsid w:val="001F36C1"/>
    <w:rsid w:val="001F384C"/>
    <w:rsid w:val="001F3DDF"/>
    <w:rsid w:val="001F43AE"/>
    <w:rsid w:val="001F5B5B"/>
    <w:rsid w:val="00200708"/>
    <w:rsid w:val="00203736"/>
    <w:rsid w:val="00204B19"/>
    <w:rsid w:val="0020526E"/>
    <w:rsid w:val="00206361"/>
    <w:rsid w:val="0020781A"/>
    <w:rsid w:val="002328CF"/>
    <w:rsid w:val="002331C4"/>
    <w:rsid w:val="00235640"/>
    <w:rsid w:val="00240744"/>
    <w:rsid w:val="002451D7"/>
    <w:rsid w:val="002459A0"/>
    <w:rsid w:val="00246E41"/>
    <w:rsid w:val="0025107B"/>
    <w:rsid w:val="0025435F"/>
    <w:rsid w:val="00255C70"/>
    <w:rsid w:val="0026033C"/>
    <w:rsid w:val="002629CB"/>
    <w:rsid w:val="0026486E"/>
    <w:rsid w:val="002651FD"/>
    <w:rsid w:val="00265D18"/>
    <w:rsid w:val="002713DB"/>
    <w:rsid w:val="00276EFE"/>
    <w:rsid w:val="00281289"/>
    <w:rsid w:val="00283EB0"/>
    <w:rsid w:val="00284D7B"/>
    <w:rsid w:val="002873F4"/>
    <w:rsid w:val="002944A3"/>
    <w:rsid w:val="00295821"/>
    <w:rsid w:val="002A1F5B"/>
    <w:rsid w:val="002A4AE6"/>
    <w:rsid w:val="002A5158"/>
    <w:rsid w:val="002A5827"/>
    <w:rsid w:val="002A7672"/>
    <w:rsid w:val="002B4D0F"/>
    <w:rsid w:val="002B728C"/>
    <w:rsid w:val="002B731A"/>
    <w:rsid w:val="002B7C03"/>
    <w:rsid w:val="002C13C3"/>
    <w:rsid w:val="002C1459"/>
    <w:rsid w:val="002C2EE3"/>
    <w:rsid w:val="002C48E6"/>
    <w:rsid w:val="002D081D"/>
    <w:rsid w:val="002D0A01"/>
    <w:rsid w:val="002D0A9E"/>
    <w:rsid w:val="002D2A0D"/>
    <w:rsid w:val="002D2D77"/>
    <w:rsid w:val="002D3C69"/>
    <w:rsid w:val="002D67BB"/>
    <w:rsid w:val="002D69C7"/>
    <w:rsid w:val="002E270F"/>
    <w:rsid w:val="002E2913"/>
    <w:rsid w:val="002F2B0D"/>
    <w:rsid w:val="002F7A5D"/>
    <w:rsid w:val="002F7A91"/>
    <w:rsid w:val="00300D29"/>
    <w:rsid w:val="00301350"/>
    <w:rsid w:val="00305912"/>
    <w:rsid w:val="00312AA9"/>
    <w:rsid w:val="003130E6"/>
    <w:rsid w:val="003131C3"/>
    <w:rsid w:val="0031432B"/>
    <w:rsid w:val="00315C3D"/>
    <w:rsid w:val="00321986"/>
    <w:rsid w:val="00322071"/>
    <w:rsid w:val="00322695"/>
    <w:rsid w:val="0032333F"/>
    <w:rsid w:val="003316C3"/>
    <w:rsid w:val="00333088"/>
    <w:rsid w:val="00334417"/>
    <w:rsid w:val="0034347F"/>
    <w:rsid w:val="003513E8"/>
    <w:rsid w:val="00351CD6"/>
    <w:rsid w:val="003527C7"/>
    <w:rsid w:val="003534C0"/>
    <w:rsid w:val="003548BD"/>
    <w:rsid w:val="00356164"/>
    <w:rsid w:val="0035686C"/>
    <w:rsid w:val="00357762"/>
    <w:rsid w:val="00361414"/>
    <w:rsid w:val="00362E8D"/>
    <w:rsid w:val="003632B6"/>
    <w:rsid w:val="00367D66"/>
    <w:rsid w:val="00380920"/>
    <w:rsid w:val="003814F7"/>
    <w:rsid w:val="00385AD2"/>
    <w:rsid w:val="00386E7B"/>
    <w:rsid w:val="00387222"/>
    <w:rsid w:val="00391273"/>
    <w:rsid w:val="0039207A"/>
    <w:rsid w:val="0039462C"/>
    <w:rsid w:val="00394C25"/>
    <w:rsid w:val="0039789E"/>
    <w:rsid w:val="00397A34"/>
    <w:rsid w:val="003A04E2"/>
    <w:rsid w:val="003A4731"/>
    <w:rsid w:val="003A5169"/>
    <w:rsid w:val="003B1632"/>
    <w:rsid w:val="003B272D"/>
    <w:rsid w:val="003B3AFA"/>
    <w:rsid w:val="003B4041"/>
    <w:rsid w:val="003B764C"/>
    <w:rsid w:val="003C1AF3"/>
    <w:rsid w:val="003C242C"/>
    <w:rsid w:val="003C2DC7"/>
    <w:rsid w:val="003C606C"/>
    <w:rsid w:val="003C6782"/>
    <w:rsid w:val="003D3DFB"/>
    <w:rsid w:val="003D4438"/>
    <w:rsid w:val="003E456E"/>
    <w:rsid w:val="003E5F9C"/>
    <w:rsid w:val="003F0BB1"/>
    <w:rsid w:val="003F2AF5"/>
    <w:rsid w:val="004006DF"/>
    <w:rsid w:val="00403782"/>
    <w:rsid w:val="0040409A"/>
    <w:rsid w:val="00410330"/>
    <w:rsid w:val="00410A12"/>
    <w:rsid w:val="00411866"/>
    <w:rsid w:val="00412901"/>
    <w:rsid w:val="0041322B"/>
    <w:rsid w:val="00413500"/>
    <w:rsid w:val="00413F1E"/>
    <w:rsid w:val="0041737A"/>
    <w:rsid w:val="00420AF6"/>
    <w:rsid w:val="00421286"/>
    <w:rsid w:val="0042201F"/>
    <w:rsid w:val="00422EBC"/>
    <w:rsid w:val="004238C0"/>
    <w:rsid w:val="00424E36"/>
    <w:rsid w:val="0042773F"/>
    <w:rsid w:val="0043078E"/>
    <w:rsid w:val="004316FB"/>
    <w:rsid w:val="00434163"/>
    <w:rsid w:val="00440D48"/>
    <w:rsid w:val="0044131C"/>
    <w:rsid w:val="00441850"/>
    <w:rsid w:val="00442562"/>
    <w:rsid w:val="00443605"/>
    <w:rsid w:val="00443E93"/>
    <w:rsid w:val="0044420D"/>
    <w:rsid w:val="00447E20"/>
    <w:rsid w:val="00450D18"/>
    <w:rsid w:val="00452E70"/>
    <w:rsid w:val="004534DB"/>
    <w:rsid w:val="004540F0"/>
    <w:rsid w:val="00456725"/>
    <w:rsid w:val="00460BC2"/>
    <w:rsid w:val="00462F6C"/>
    <w:rsid w:val="00465B6B"/>
    <w:rsid w:val="004707AF"/>
    <w:rsid w:val="00471171"/>
    <w:rsid w:val="004750C1"/>
    <w:rsid w:val="004769A3"/>
    <w:rsid w:val="004803FD"/>
    <w:rsid w:val="00483725"/>
    <w:rsid w:val="004837B7"/>
    <w:rsid w:val="00483BEB"/>
    <w:rsid w:val="0048495A"/>
    <w:rsid w:val="004849CE"/>
    <w:rsid w:val="00485C4B"/>
    <w:rsid w:val="00485F59"/>
    <w:rsid w:val="00487781"/>
    <w:rsid w:val="00491FD6"/>
    <w:rsid w:val="00492023"/>
    <w:rsid w:val="00492517"/>
    <w:rsid w:val="00493463"/>
    <w:rsid w:val="004A098E"/>
    <w:rsid w:val="004A0CF8"/>
    <w:rsid w:val="004B0298"/>
    <w:rsid w:val="004B0BDD"/>
    <w:rsid w:val="004B1BB6"/>
    <w:rsid w:val="004B2577"/>
    <w:rsid w:val="004B2F97"/>
    <w:rsid w:val="004B3573"/>
    <w:rsid w:val="004B5C53"/>
    <w:rsid w:val="004B5F33"/>
    <w:rsid w:val="004B5FB2"/>
    <w:rsid w:val="004B6CBA"/>
    <w:rsid w:val="004B752F"/>
    <w:rsid w:val="004C2D6A"/>
    <w:rsid w:val="004C3D88"/>
    <w:rsid w:val="004C7E05"/>
    <w:rsid w:val="004D05D2"/>
    <w:rsid w:val="004D3139"/>
    <w:rsid w:val="004E0909"/>
    <w:rsid w:val="004E0E8E"/>
    <w:rsid w:val="004E0EF4"/>
    <w:rsid w:val="004E118C"/>
    <w:rsid w:val="004E3CC4"/>
    <w:rsid w:val="004E54F5"/>
    <w:rsid w:val="004E6F35"/>
    <w:rsid w:val="004E727E"/>
    <w:rsid w:val="004E7EEB"/>
    <w:rsid w:val="004F054E"/>
    <w:rsid w:val="004F0CD8"/>
    <w:rsid w:val="004F19F5"/>
    <w:rsid w:val="004F1C44"/>
    <w:rsid w:val="004F5771"/>
    <w:rsid w:val="00502704"/>
    <w:rsid w:val="00504DBA"/>
    <w:rsid w:val="00513556"/>
    <w:rsid w:val="00515E79"/>
    <w:rsid w:val="005214B8"/>
    <w:rsid w:val="005237BD"/>
    <w:rsid w:val="00524067"/>
    <w:rsid w:val="00527F37"/>
    <w:rsid w:val="00530336"/>
    <w:rsid w:val="005313DF"/>
    <w:rsid w:val="00533F16"/>
    <w:rsid w:val="005347D2"/>
    <w:rsid w:val="00534B4A"/>
    <w:rsid w:val="005360AA"/>
    <w:rsid w:val="00536DE9"/>
    <w:rsid w:val="0054042F"/>
    <w:rsid w:val="00540B9D"/>
    <w:rsid w:val="0054665E"/>
    <w:rsid w:val="00552F4E"/>
    <w:rsid w:val="00557BF4"/>
    <w:rsid w:val="0056117D"/>
    <w:rsid w:val="00561F1A"/>
    <w:rsid w:val="00565A81"/>
    <w:rsid w:val="0056637D"/>
    <w:rsid w:val="00566BAD"/>
    <w:rsid w:val="00567D0B"/>
    <w:rsid w:val="005706AF"/>
    <w:rsid w:val="00570CCF"/>
    <w:rsid w:val="00577D75"/>
    <w:rsid w:val="00580991"/>
    <w:rsid w:val="005814E8"/>
    <w:rsid w:val="00583D6C"/>
    <w:rsid w:val="005933FC"/>
    <w:rsid w:val="00593B0B"/>
    <w:rsid w:val="00597126"/>
    <w:rsid w:val="00597B39"/>
    <w:rsid w:val="005A495C"/>
    <w:rsid w:val="005B0865"/>
    <w:rsid w:val="005B4E85"/>
    <w:rsid w:val="005B5B9F"/>
    <w:rsid w:val="005C1C95"/>
    <w:rsid w:val="005C4966"/>
    <w:rsid w:val="005C4AD2"/>
    <w:rsid w:val="005C7EDE"/>
    <w:rsid w:val="005D2745"/>
    <w:rsid w:val="005D275B"/>
    <w:rsid w:val="005D33AD"/>
    <w:rsid w:val="005E1D41"/>
    <w:rsid w:val="005E36CA"/>
    <w:rsid w:val="005E4D1A"/>
    <w:rsid w:val="005E71C2"/>
    <w:rsid w:val="005E75F4"/>
    <w:rsid w:val="005F0D62"/>
    <w:rsid w:val="005F1AEB"/>
    <w:rsid w:val="005F37F5"/>
    <w:rsid w:val="005F403A"/>
    <w:rsid w:val="005F478D"/>
    <w:rsid w:val="005F7488"/>
    <w:rsid w:val="006002F0"/>
    <w:rsid w:val="00600A11"/>
    <w:rsid w:val="00602523"/>
    <w:rsid w:val="006037CD"/>
    <w:rsid w:val="00604B36"/>
    <w:rsid w:val="006073AB"/>
    <w:rsid w:val="00610FDB"/>
    <w:rsid w:val="00612A49"/>
    <w:rsid w:val="006137BF"/>
    <w:rsid w:val="006148B5"/>
    <w:rsid w:val="00616ED4"/>
    <w:rsid w:val="00617C76"/>
    <w:rsid w:val="00620503"/>
    <w:rsid w:val="00620A91"/>
    <w:rsid w:val="00621174"/>
    <w:rsid w:val="006212C6"/>
    <w:rsid w:val="00621F5D"/>
    <w:rsid w:val="006221A9"/>
    <w:rsid w:val="00625BF6"/>
    <w:rsid w:val="00626AC8"/>
    <w:rsid w:val="006271DB"/>
    <w:rsid w:val="0062771D"/>
    <w:rsid w:val="00630ED0"/>
    <w:rsid w:val="006322B7"/>
    <w:rsid w:val="00633528"/>
    <w:rsid w:val="00634197"/>
    <w:rsid w:val="00635FB0"/>
    <w:rsid w:val="0063600B"/>
    <w:rsid w:val="00640D52"/>
    <w:rsid w:val="00641A3C"/>
    <w:rsid w:val="0064545F"/>
    <w:rsid w:val="0065028F"/>
    <w:rsid w:val="0065047C"/>
    <w:rsid w:val="00653BB3"/>
    <w:rsid w:val="006542A9"/>
    <w:rsid w:val="00656114"/>
    <w:rsid w:val="00656929"/>
    <w:rsid w:val="006569DB"/>
    <w:rsid w:val="00656F70"/>
    <w:rsid w:val="00660B06"/>
    <w:rsid w:val="006701CB"/>
    <w:rsid w:val="00670202"/>
    <w:rsid w:val="006709A7"/>
    <w:rsid w:val="00672A5F"/>
    <w:rsid w:val="006773CC"/>
    <w:rsid w:val="0068284D"/>
    <w:rsid w:val="00683232"/>
    <w:rsid w:val="00683366"/>
    <w:rsid w:val="006835F7"/>
    <w:rsid w:val="00684965"/>
    <w:rsid w:val="0069079F"/>
    <w:rsid w:val="00693CF7"/>
    <w:rsid w:val="006944B2"/>
    <w:rsid w:val="00697520"/>
    <w:rsid w:val="006A1BE2"/>
    <w:rsid w:val="006A2A96"/>
    <w:rsid w:val="006A2DB4"/>
    <w:rsid w:val="006A34E7"/>
    <w:rsid w:val="006A45CA"/>
    <w:rsid w:val="006B144C"/>
    <w:rsid w:val="006B1C40"/>
    <w:rsid w:val="006B2107"/>
    <w:rsid w:val="006B212C"/>
    <w:rsid w:val="006B2498"/>
    <w:rsid w:val="006B24FB"/>
    <w:rsid w:val="006B2777"/>
    <w:rsid w:val="006B5445"/>
    <w:rsid w:val="006B6EAA"/>
    <w:rsid w:val="006C0F6F"/>
    <w:rsid w:val="006C1917"/>
    <w:rsid w:val="006C2779"/>
    <w:rsid w:val="006C2B16"/>
    <w:rsid w:val="006C35BF"/>
    <w:rsid w:val="006D0164"/>
    <w:rsid w:val="006D2591"/>
    <w:rsid w:val="006D2A50"/>
    <w:rsid w:val="006D3E27"/>
    <w:rsid w:val="006E0AAD"/>
    <w:rsid w:val="006E4316"/>
    <w:rsid w:val="006E4B55"/>
    <w:rsid w:val="006E5313"/>
    <w:rsid w:val="006E6452"/>
    <w:rsid w:val="006E6F10"/>
    <w:rsid w:val="006E7380"/>
    <w:rsid w:val="006E77E6"/>
    <w:rsid w:val="006F0684"/>
    <w:rsid w:val="006F0F15"/>
    <w:rsid w:val="006F1805"/>
    <w:rsid w:val="006F344A"/>
    <w:rsid w:val="006F5900"/>
    <w:rsid w:val="006F6066"/>
    <w:rsid w:val="006F6853"/>
    <w:rsid w:val="006F7CA7"/>
    <w:rsid w:val="007002AC"/>
    <w:rsid w:val="007018C8"/>
    <w:rsid w:val="007019A4"/>
    <w:rsid w:val="007036E8"/>
    <w:rsid w:val="00703A6C"/>
    <w:rsid w:val="00707268"/>
    <w:rsid w:val="007110DA"/>
    <w:rsid w:val="00713FCB"/>
    <w:rsid w:val="00714003"/>
    <w:rsid w:val="00717FA6"/>
    <w:rsid w:val="0072110C"/>
    <w:rsid w:val="00724FD2"/>
    <w:rsid w:val="00725C7A"/>
    <w:rsid w:val="00730C64"/>
    <w:rsid w:val="007345E5"/>
    <w:rsid w:val="0073658D"/>
    <w:rsid w:val="00736E01"/>
    <w:rsid w:val="0074000E"/>
    <w:rsid w:val="007459BA"/>
    <w:rsid w:val="007468F0"/>
    <w:rsid w:val="00754AF7"/>
    <w:rsid w:val="00761907"/>
    <w:rsid w:val="00770D25"/>
    <w:rsid w:val="007722FF"/>
    <w:rsid w:val="007742AB"/>
    <w:rsid w:val="007742EB"/>
    <w:rsid w:val="00774C07"/>
    <w:rsid w:val="007753B7"/>
    <w:rsid w:val="00776005"/>
    <w:rsid w:val="007766F3"/>
    <w:rsid w:val="00780B86"/>
    <w:rsid w:val="00780C6E"/>
    <w:rsid w:val="00780ED4"/>
    <w:rsid w:val="007816CB"/>
    <w:rsid w:val="00783267"/>
    <w:rsid w:val="00783AC2"/>
    <w:rsid w:val="00783D67"/>
    <w:rsid w:val="00785DD9"/>
    <w:rsid w:val="00786668"/>
    <w:rsid w:val="007871F9"/>
    <w:rsid w:val="007920A0"/>
    <w:rsid w:val="007932DE"/>
    <w:rsid w:val="00794A31"/>
    <w:rsid w:val="00794D1A"/>
    <w:rsid w:val="007975EA"/>
    <w:rsid w:val="00797C57"/>
    <w:rsid w:val="007A16E4"/>
    <w:rsid w:val="007A2025"/>
    <w:rsid w:val="007A26C7"/>
    <w:rsid w:val="007A380A"/>
    <w:rsid w:val="007A495F"/>
    <w:rsid w:val="007A6F93"/>
    <w:rsid w:val="007B160B"/>
    <w:rsid w:val="007B243C"/>
    <w:rsid w:val="007B2D8C"/>
    <w:rsid w:val="007B61C8"/>
    <w:rsid w:val="007C0C79"/>
    <w:rsid w:val="007C5FF3"/>
    <w:rsid w:val="007D2C2E"/>
    <w:rsid w:val="007D3D0F"/>
    <w:rsid w:val="007D563B"/>
    <w:rsid w:val="007D5B0F"/>
    <w:rsid w:val="007D6FA8"/>
    <w:rsid w:val="007E1EF4"/>
    <w:rsid w:val="007E3810"/>
    <w:rsid w:val="007E464C"/>
    <w:rsid w:val="007E53EC"/>
    <w:rsid w:val="007E687C"/>
    <w:rsid w:val="007E7F51"/>
    <w:rsid w:val="007F20AD"/>
    <w:rsid w:val="007F25E1"/>
    <w:rsid w:val="007F5A10"/>
    <w:rsid w:val="007F6193"/>
    <w:rsid w:val="007F65B9"/>
    <w:rsid w:val="007F67ED"/>
    <w:rsid w:val="007F7222"/>
    <w:rsid w:val="00800803"/>
    <w:rsid w:val="0080192D"/>
    <w:rsid w:val="00804379"/>
    <w:rsid w:val="008053D2"/>
    <w:rsid w:val="00806A0D"/>
    <w:rsid w:val="00812DA6"/>
    <w:rsid w:val="008142D8"/>
    <w:rsid w:val="0082291F"/>
    <w:rsid w:val="008229C9"/>
    <w:rsid w:val="008252F3"/>
    <w:rsid w:val="00831E98"/>
    <w:rsid w:val="008333EA"/>
    <w:rsid w:val="008350A1"/>
    <w:rsid w:val="00835389"/>
    <w:rsid w:val="008373B8"/>
    <w:rsid w:val="0083794A"/>
    <w:rsid w:val="00837D62"/>
    <w:rsid w:val="00841B9E"/>
    <w:rsid w:val="0084451F"/>
    <w:rsid w:val="00847FEB"/>
    <w:rsid w:val="008512B3"/>
    <w:rsid w:val="00851338"/>
    <w:rsid w:val="00852B9B"/>
    <w:rsid w:val="00854002"/>
    <w:rsid w:val="00854224"/>
    <w:rsid w:val="008543F7"/>
    <w:rsid w:val="0085656F"/>
    <w:rsid w:val="00857674"/>
    <w:rsid w:val="00857F84"/>
    <w:rsid w:val="0086407A"/>
    <w:rsid w:val="00866E6D"/>
    <w:rsid w:val="00872528"/>
    <w:rsid w:val="0087339E"/>
    <w:rsid w:val="008736F7"/>
    <w:rsid w:val="00875963"/>
    <w:rsid w:val="00875F3A"/>
    <w:rsid w:val="00876A20"/>
    <w:rsid w:val="00885230"/>
    <w:rsid w:val="00887039"/>
    <w:rsid w:val="00887437"/>
    <w:rsid w:val="00892202"/>
    <w:rsid w:val="008929B3"/>
    <w:rsid w:val="00895955"/>
    <w:rsid w:val="00895CF9"/>
    <w:rsid w:val="0089687C"/>
    <w:rsid w:val="008A1B7E"/>
    <w:rsid w:val="008A563E"/>
    <w:rsid w:val="008B19A9"/>
    <w:rsid w:val="008B1AFE"/>
    <w:rsid w:val="008B1EC1"/>
    <w:rsid w:val="008B3746"/>
    <w:rsid w:val="008B5E0A"/>
    <w:rsid w:val="008B7A12"/>
    <w:rsid w:val="008C12E5"/>
    <w:rsid w:val="008C3472"/>
    <w:rsid w:val="008C5F4A"/>
    <w:rsid w:val="008D0E8D"/>
    <w:rsid w:val="008D37FD"/>
    <w:rsid w:val="008D4441"/>
    <w:rsid w:val="008D50D8"/>
    <w:rsid w:val="008D597E"/>
    <w:rsid w:val="008D6207"/>
    <w:rsid w:val="008D75EC"/>
    <w:rsid w:val="008E6917"/>
    <w:rsid w:val="008F064D"/>
    <w:rsid w:val="008F284A"/>
    <w:rsid w:val="008F54FE"/>
    <w:rsid w:val="008F6E16"/>
    <w:rsid w:val="00901007"/>
    <w:rsid w:val="00902EAC"/>
    <w:rsid w:val="00905976"/>
    <w:rsid w:val="00910437"/>
    <w:rsid w:val="00914912"/>
    <w:rsid w:val="00921D46"/>
    <w:rsid w:val="009233F8"/>
    <w:rsid w:val="00925597"/>
    <w:rsid w:val="00925C49"/>
    <w:rsid w:val="00926E15"/>
    <w:rsid w:val="00927BA7"/>
    <w:rsid w:val="00930B73"/>
    <w:rsid w:val="00931723"/>
    <w:rsid w:val="00931B81"/>
    <w:rsid w:val="00931DF6"/>
    <w:rsid w:val="00933584"/>
    <w:rsid w:val="00934114"/>
    <w:rsid w:val="00935A56"/>
    <w:rsid w:val="0093724B"/>
    <w:rsid w:val="00943304"/>
    <w:rsid w:val="009441BA"/>
    <w:rsid w:val="009443DF"/>
    <w:rsid w:val="009456B7"/>
    <w:rsid w:val="00945E4D"/>
    <w:rsid w:val="00946F55"/>
    <w:rsid w:val="009517C1"/>
    <w:rsid w:val="009521B5"/>
    <w:rsid w:val="00953B0B"/>
    <w:rsid w:val="00954DD0"/>
    <w:rsid w:val="00955B7C"/>
    <w:rsid w:val="00960566"/>
    <w:rsid w:val="00961493"/>
    <w:rsid w:val="009640F3"/>
    <w:rsid w:val="00964686"/>
    <w:rsid w:val="009650EB"/>
    <w:rsid w:val="00965AE0"/>
    <w:rsid w:val="00966EAB"/>
    <w:rsid w:val="00967F14"/>
    <w:rsid w:val="009701B0"/>
    <w:rsid w:val="00971B11"/>
    <w:rsid w:val="00973157"/>
    <w:rsid w:val="00976E7A"/>
    <w:rsid w:val="00981399"/>
    <w:rsid w:val="009822AB"/>
    <w:rsid w:val="00982D42"/>
    <w:rsid w:val="00985319"/>
    <w:rsid w:val="009856C9"/>
    <w:rsid w:val="00985B1A"/>
    <w:rsid w:val="009918CE"/>
    <w:rsid w:val="00992AAD"/>
    <w:rsid w:val="00995D00"/>
    <w:rsid w:val="009973BC"/>
    <w:rsid w:val="009A0771"/>
    <w:rsid w:val="009A1B13"/>
    <w:rsid w:val="009A2213"/>
    <w:rsid w:val="009A3B5D"/>
    <w:rsid w:val="009A49FF"/>
    <w:rsid w:val="009A7A25"/>
    <w:rsid w:val="009B1917"/>
    <w:rsid w:val="009B1A48"/>
    <w:rsid w:val="009B4CB8"/>
    <w:rsid w:val="009B4FA0"/>
    <w:rsid w:val="009B58F1"/>
    <w:rsid w:val="009B5F48"/>
    <w:rsid w:val="009B5FC4"/>
    <w:rsid w:val="009B7019"/>
    <w:rsid w:val="009B7425"/>
    <w:rsid w:val="009B7A0F"/>
    <w:rsid w:val="009C037A"/>
    <w:rsid w:val="009C0CFA"/>
    <w:rsid w:val="009C5A95"/>
    <w:rsid w:val="009D0F76"/>
    <w:rsid w:val="009D1D37"/>
    <w:rsid w:val="009D34D9"/>
    <w:rsid w:val="009D7562"/>
    <w:rsid w:val="009E15F8"/>
    <w:rsid w:val="009E47DB"/>
    <w:rsid w:val="009E55C8"/>
    <w:rsid w:val="009E5D06"/>
    <w:rsid w:val="009E7673"/>
    <w:rsid w:val="009E7B06"/>
    <w:rsid w:val="009E7D3A"/>
    <w:rsid w:val="009F1BFF"/>
    <w:rsid w:val="009F4F76"/>
    <w:rsid w:val="009F686B"/>
    <w:rsid w:val="009F7533"/>
    <w:rsid w:val="00A00A7F"/>
    <w:rsid w:val="00A01071"/>
    <w:rsid w:val="00A035D1"/>
    <w:rsid w:val="00A03F64"/>
    <w:rsid w:val="00A05317"/>
    <w:rsid w:val="00A063C3"/>
    <w:rsid w:val="00A166EC"/>
    <w:rsid w:val="00A16D10"/>
    <w:rsid w:val="00A20836"/>
    <w:rsid w:val="00A20924"/>
    <w:rsid w:val="00A220A4"/>
    <w:rsid w:val="00A23ABA"/>
    <w:rsid w:val="00A2629A"/>
    <w:rsid w:val="00A32ADC"/>
    <w:rsid w:val="00A37AA3"/>
    <w:rsid w:val="00A44E68"/>
    <w:rsid w:val="00A53DCB"/>
    <w:rsid w:val="00A544AD"/>
    <w:rsid w:val="00A57634"/>
    <w:rsid w:val="00A62267"/>
    <w:rsid w:val="00A660C3"/>
    <w:rsid w:val="00A714E9"/>
    <w:rsid w:val="00A72BF9"/>
    <w:rsid w:val="00A74F6F"/>
    <w:rsid w:val="00A759BD"/>
    <w:rsid w:val="00A75BF2"/>
    <w:rsid w:val="00A76D34"/>
    <w:rsid w:val="00A770C3"/>
    <w:rsid w:val="00A77A45"/>
    <w:rsid w:val="00A77CC3"/>
    <w:rsid w:val="00A80CEB"/>
    <w:rsid w:val="00A8187F"/>
    <w:rsid w:val="00A9067C"/>
    <w:rsid w:val="00A90A22"/>
    <w:rsid w:val="00A926EF"/>
    <w:rsid w:val="00A927D2"/>
    <w:rsid w:val="00A93696"/>
    <w:rsid w:val="00A9472E"/>
    <w:rsid w:val="00AA0357"/>
    <w:rsid w:val="00AA15AB"/>
    <w:rsid w:val="00AA28A0"/>
    <w:rsid w:val="00AA302F"/>
    <w:rsid w:val="00AA744C"/>
    <w:rsid w:val="00AB0291"/>
    <w:rsid w:val="00AB0A97"/>
    <w:rsid w:val="00AB1953"/>
    <w:rsid w:val="00AB4FE4"/>
    <w:rsid w:val="00AB5B92"/>
    <w:rsid w:val="00AB77F4"/>
    <w:rsid w:val="00AC1FDE"/>
    <w:rsid w:val="00AC75D6"/>
    <w:rsid w:val="00AD0C18"/>
    <w:rsid w:val="00AD15D4"/>
    <w:rsid w:val="00AD24BB"/>
    <w:rsid w:val="00AD4998"/>
    <w:rsid w:val="00AD49A3"/>
    <w:rsid w:val="00AD5DB2"/>
    <w:rsid w:val="00AE102A"/>
    <w:rsid w:val="00AE1528"/>
    <w:rsid w:val="00AE1ADF"/>
    <w:rsid w:val="00AE55F4"/>
    <w:rsid w:val="00AE5A9F"/>
    <w:rsid w:val="00AE666B"/>
    <w:rsid w:val="00AF073A"/>
    <w:rsid w:val="00AF2D3F"/>
    <w:rsid w:val="00AF3D15"/>
    <w:rsid w:val="00AF73FA"/>
    <w:rsid w:val="00B02E0B"/>
    <w:rsid w:val="00B10C68"/>
    <w:rsid w:val="00B10F56"/>
    <w:rsid w:val="00B1122A"/>
    <w:rsid w:val="00B11AA6"/>
    <w:rsid w:val="00B161E6"/>
    <w:rsid w:val="00B16C81"/>
    <w:rsid w:val="00B17F32"/>
    <w:rsid w:val="00B20CA2"/>
    <w:rsid w:val="00B21E8A"/>
    <w:rsid w:val="00B253B4"/>
    <w:rsid w:val="00B26B73"/>
    <w:rsid w:val="00B30FCA"/>
    <w:rsid w:val="00B31945"/>
    <w:rsid w:val="00B33211"/>
    <w:rsid w:val="00B357D6"/>
    <w:rsid w:val="00B41E3C"/>
    <w:rsid w:val="00B428CB"/>
    <w:rsid w:val="00B474A1"/>
    <w:rsid w:val="00B47B6A"/>
    <w:rsid w:val="00B50CE9"/>
    <w:rsid w:val="00B5440D"/>
    <w:rsid w:val="00B56899"/>
    <w:rsid w:val="00B6466B"/>
    <w:rsid w:val="00B65098"/>
    <w:rsid w:val="00B66308"/>
    <w:rsid w:val="00B663DE"/>
    <w:rsid w:val="00B70EE5"/>
    <w:rsid w:val="00B72A2F"/>
    <w:rsid w:val="00B771D8"/>
    <w:rsid w:val="00B7760B"/>
    <w:rsid w:val="00B80724"/>
    <w:rsid w:val="00B82540"/>
    <w:rsid w:val="00B83E61"/>
    <w:rsid w:val="00B84C92"/>
    <w:rsid w:val="00B85545"/>
    <w:rsid w:val="00B86F6F"/>
    <w:rsid w:val="00B87BC9"/>
    <w:rsid w:val="00B90199"/>
    <w:rsid w:val="00B90B37"/>
    <w:rsid w:val="00B9596B"/>
    <w:rsid w:val="00B97DC4"/>
    <w:rsid w:val="00B97EB7"/>
    <w:rsid w:val="00BA14BA"/>
    <w:rsid w:val="00BA2CC2"/>
    <w:rsid w:val="00BA6D57"/>
    <w:rsid w:val="00BA7704"/>
    <w:rsid w:val="00BB05E2"/>
    <w:rsid w:val="00BB1DCD"/>
    <w:rsid w:val="00BB5DF8"/>
    <w:rsid w:val="00BB5F5B"/>
    <w:rsid w:val="00BC0A6C"/>
    <w:rsid w:val="00BC1082"/>
    <w:rsid w:val="00BC347B"/>
    <w:rsid w:val="00BC6FDF"/>
    <w:rsid w:val="00BC7BF9"/>
    <w:rsid w:val="00BD38D0"/>
    <w:rsid w:val="00BD429B"/>
    <w:rsid w:val="00BD4DF5"/>
    <w:rsid w:val="00BD6DAE"/>
    <w:rsid w:val="00BD724E"/>
    <w:rsid w:val="00BE0AB7"/>
    <w:rsid w:val="00BE266D"/>
    <w:rsid w:val="00BE4EA0"/>
    <w:rsid w:val="00BE5612"/>
    <w:rsid w:val="00BF0120"/>
    <w:rsid w:val="00BF09FE"/>
    <w:rsid w:val="00BF0D86"/>
    <w:rsid w:val="00BF263D"/>
    <w:rsid w:val="00BF412D"/>
    <w:rsid w:val="00BF6B09"/>
    <w:rsid w:val="00BF7FBA"/>
    <w:rsid w:val="00C03932"/>
    <w:rsid w:val="00C054FB"/>
    <w:rsid w:val="00C06013"/>
    <w:rsid w:val="00C07D58"/>
    <w:rsid w:val="00C106AD"/>
    <w:rsid w:val="00C11996"/>
    <w:rsid w:val="00C1226A"/>
    <w:rsid w:val="00C150D7"/>
    <w:rsid w:val="00C157BC"/>
    <w:rsid w:val="00C158F5"/>
    <w:rsid w:val="00C1612A"/>
    <w:rsid w:val="00C171C5"/>
    <w:rsid w:val="00C30D4C"/>
    <w:rsid w:val="00C31313"/>
    <w:rsid w:val="00C33593"/>
    <w:rsid w:val="00C34B47"/>
    <w:rsid w:val="00C378FA"/>
    <w:rsid w:val="00C402C8"/>
    <w:rsid w:val="00C4202A"/>
    <w:rsid w:val="00C43321"/>
    <w:rsid w:val="00C45095"/>
    <w:rsid w:val="00C51420"/>
    <w:rsid w:val="00C525F8"/>
    <w:rsid w:val="00C5362E"/>
    <w:rsid w:val="00C54001"/>
    <w:rsid w:val="00C55E7A"/>
    <w:rsid w:val="00C60E84"/>
    <w:rsid w:val="00C6129E"/>
    <w:rsid w:val="00C65C7A"/>
    <w:rsid w:val="00C81F14"/>
    <w:rsid w:val="00C829ED"/>
    <w:rsid w:val="00C83FB2"/>
    <w:rsid w:val="00C85DBD"/>
    <w:rsid w:val="00C866A0"/>
    <w:rsid w:val="00C86893"/>
    <w:rsid w:val="00C86B54"/>
    <w:rsid w:val="00C8740C"/>
    <w:rsid w:val="00C935D1"/>
    <w:rsid w:val="00C951E3"/>
    <w:rsid w:val="00C95A8D"/>
    <w:rsid w:val="00C968B3"/>
    <w:rsid w:val="00C972FA"/>
    <w:rsid w:val="00CA554B"/>
    <w:rsid w:val="00CA5A38"/>
    <w:rsid w:val="00CB104B"/>
    <w:rsid w:val="00CB2C34"/>
    <w:rsid w:val="00CB5054"/>
    <w:rsid w:val="00CB6CF8"/>
    <w:rsid w:val="00CB6F5E"/>
    <w:rsid w:val="00CC1DBB"/>
    <w:rsid w:val="00CC7382"/>
    <w:rsid w:val="00CD42A1"/>
    <w:rsid w:val="00CD548E"/>
    <w:rsid w:val="00CD5926"/>
    <w:rsid w:val="00CD623E"/>
    <w:rsid w:val="00CD7C12"/>
    <w:rsid w:val="00CE035A"/>
    <w:rsid w:val="00CE1452"/>
    <w:rsid w:val="00CE32C9"/>
    <w:rsid w:val="00CE4E35"/>
    <w:rsid w:val="00CE60C3"/>
    <w:rsid w:val="00CE6CB2"/>
    <w:rsid w:val="00CF0598"/>
    <w:rsid w:val="00CF24BB"/>
    <w:rsid w:val="00CF35DB"/>
    <w:rsid w:val="00CF6667"/>
    <w:rsid w:val="00CF7D4A"/>
    <w:rsid w:val="00D000F7"/>
    <w:rsid w:val="00D00A2D"/>
    <w:rsid w:val="00D01FE1"/>
    <w:rsid w:val="00D05652"/>
    <w:rsid w:val="00D1090D"/>
    <w:rsid w:val="00D11301"/>
    <w:rsid w:val="00D120E5"/>
    <w:rsid w:val="00D12D5A"/>
    <w:rsid w:val="00D140FF"/>
    <w:rsid w:val="00D14764"/>
    <w:rsid w:val="00D15B96"/>
    <w:rsid w:val="00D2033C"/>
    <w:rsid w:val="00D248AE"/>
    <w:rsid w:val="00D24EFC"/>
    <w:rsid w:val="00D24FCF"/>
    <w:rsid w:val="00D2697F"/>
    <w:rsid w:val="00D2769B"/>
    <w:rsid w:val="00D27B4B"/>
    <w:rsid w:val="00D31600"/>
    <w:rsid w:val="00D339CD"/>
    <w:rsid w:val="00D35734"/>
    <w:rsid w:val="00D366D4"/>
    <w:rsid w:val="00D36E74"/>
    <w:rsid w:val="00D37E12"/>
    <w:rsid w:val="00D461E0"/>
    <w:rsid w:val="00D47F63"/>
    <w:rsid w:val="00D52886"/>
    <w:rsid w:val="00D529AE"/>
    <w:rsid w:val="00D53506"/>
    <w:rsid w:val="00D53935"/>
    <w:rsid w:val="00D6380E"/>
    <w:rsid w:val="00D638A6"/>
    <w:rsid w:val="00D63BDC"/>
    <w:rsid w:val="00D812FB"/>
    <w:rsid w:val="00D81C0F"/>
    <w:rsid w:val="00D837B1"/>
    <w:rsid w:val="00D861CB"/>
    <w:rsid w:val="00D903A6"/>
    <w:rsid w:val="00D904E8"/>
    <w:rsid w:val="00D91C2F"/>
    <w:rsid w:val="00D92070"/>
    <w:rsid w:val="00D95B32"/>
    <w:rsid w:val="00D96031"/>
    <w:rsid w:val="00D960A0"/>
    <w:rsid w:val="00D97051"/>
    <w:rsid w:val="00DA28D4"/>
    <w:rsid w:val="00DA2A17"/>
    <w:rsid w:val="00DA5E7F"/>
    <w:rsid w:val="00DB1005"/>
    <w:rsid w:val="00DB1E05"/>
    <w:rsid w:val="00DB3607"/>
    <w:rsid w:val="00DB775C"/>
    <w:rsid w:val="00DC5900"/>
    <w:rsid w:val="00DC6847"/>
    <w:rsid w:val="00DC77F6"/>
    <w:rsid w:val="00DD1DB9"/>
    <w:rsid w:val="00DD43A3"/>
    <w:rsid w:val="00DD7354"/>
    <w:rsid w:val="00DD73C5"/>
    <w:rsid w:val="00DE2E57"/>
    <w:rsid w:val="00DE30D9"/>
    <w:rsid w:val="00DF0D30"/>
    <w:rsid w:val="00DF1B1C"/>
    <w:rsid w:val="00DF4BCA"/>
    <w:rsid w:val="00DF7CDE"/>
    <w:rsid w:val="00E02E57"/>
    <w:rsid w:val="00E0712E"/>
    <w:rsid w:val="00E1259F"/>
    <w:rsid w:val="00E12775"/>
    <w:rsid w:val="00E15AB0"/>
    <w:rsid w:val="00E1747F"/>
    <w:rsid w:val="00E207C5"/>
    <w:rsid w:val="00E21F23"/>
    <w:rsid w:val="00E22F2B"/>
    <w:rsid w:val="00E2761A"/>
    <w:rsid w:val="00E27DE7"/>
    <w:rsid w:val="00E318B3"/>
    <w:rsid w:val="00E32676"/>
    <w:rsid w:val="00E3302C"/>
    <w:rsid w:val="00E331EF"/>
    <w:rsid w:val="00E40675"/>
    <w:rsid w:val="00E40C2A"/>
    <w:rsid w:val="00E41BA9"/>
    <w:rsid w:val="00E430D6"/>
    <w:rsid w:val="00E442CC"/>
    <w:rsid w:val="00E47340"/>
    <w:rsid w:val="00E50CF8"/>
    <w:rsid w:val="00E618EC"/>
    <w:rsid w:val="00E6651E"/>
    <w:rsid w:val="00E72938"/>
    <w:rsid w:val="00E74064"/>
    <w:rsid w:val="00E76C95"/>
    <w:rsid w:val="00E76D03"/>
    <w:rsid w:val="00E8167B"/>
    <w:rsid w:val="00E819DA"/>
    <w:rsid w:val="00E91647"/>
    <w:rsid w:val="00E92A45"/>
    <w:rsid w:val="00E96C45"/>
    <w:rsid w:val="00EA2847"/>
    <w:rsid w:val="00EA385F"/>
    <w:rsid w:val="00EA39DC"/>
    <w:rsid w:val="00EB0355"/>
    <w:rsid w:val="00EB2C44"/>
    <w:rsid w:val="00EB42DA"/>
    <w:rsid w:val="00EC00B6"/>
    <w:rsid w:val="00EC0B3F"/>
    <w:rsid w:val="00EC3773"/>
    <w:rsid w:val="00EC507D"/>
    <w:rsid w:val="00EC6D7A"/>
    <w:rsid w:val="00ED005E"/>
    <w:rsid w:val="00ED0292"/>
    <w:rsid w:val="00ED1662"/>
    <w:rsid w:val="00ED4706"/>
    <w:rsid w:val="00ED582B"/>
    <w:rsid w:val="00ED6AF8"/>
    <w:rsid w:val="00ED78A5"/>
    <w:rsid w:val="00EF238B"/>
    <w:rsid w:val="00EF6453"/>
    <w:rsid w:val="00F00632"/>
    <w:rsid w:val="00F02F94"/>
    <w:rsid w:val="00F078BA"/>
    <w:rsid w:val="00F13C70"/>
    <w:rsid w:val="00F14330"/>
    <w:rsid w:val="00F178D5"/>
    <w:rsid w:val="00F237A3"/>
    <w:rsid w:val="00F23E21"/>
    <w:rsid w:val="00F27B60"/>
    <w:rsid w:val="00F30659"/>
    <w:rsid w:val="00F36273"/>
    <w:rsid w:val="00F3651E"/>
    <w:rsid w:val="00F3663A"/>
    <w:rsid w:val="00F37B99"/>
    <w:rsid w:val="00F420AA"/>
    <w:rsid w:val="00F43B97"/>
    <w:rsid w:val="00F534FD"/>
    <w:rsid w:val="00F73191"/>
    <w:rsid w:val="00F75AA2"/>
    <w:rsid w:val="00F772FA"/>
    <w:rsid w:val="00F775E0"/>
    <w:rsid w:val="00F77A47"/>
    <w:rsid w:val="00F92EF9"/>
    <w:rsid w:val="00F93B9B"/>
    <w:rsid w:val="00F943BF"/>
    <w:rsid w:val="00F94B0A"/>
    <w:rsid w:val="00F957EF"/>
    <w:rsid w:val="00F96ECB"/>
    <w:rsid w:val="00F97870"/>
    <w:rsid w:val="00FA154C"/>
    <w:rsid w:val="00FA2207"/>
    <w:rsid w:val="00FA36C6"/>
    <w:rsid w:val="00FA5C45"/>
    <w:rsid w:val="00FB147E"/>
    <w:rsid w:val="00FB3964"/>
    <w:rsid w:val="00FB530B"/>
    <w:rsid w:val="00FB5F99"/>
    <w:rsid w:val="00FB6B53"/>
    <w:rsid w:val="00FC0803"/>
    <w:rsid w:val="00FC0C92"/>
    <w:rsid w:val="00FC4A5C"/>
    <w:rsid w:val="00FD1642"/>
    <w:rsid w:val="00FD2A0B"/>
    <w:rsid w:val="00FD2E65"/>
    <w:rsid w:val="00FD3F4C"/>
    <w:rsid w:val="00FD6C41"/>
    <w:rsid w:val="00FD7A68"/>
    <w:rsid w:val="00FD7FE5"/>
    <w:rsid w:val="00FE0B5E"/>
    <w:rsid w:val="00FE1861"/>
    <w:rsid w:val="00FE3E28"/>
    <w:rsid w:val="00FE676C"/>
    <w:rsid w:val="00FE73C2"/>
    <w:rsid w:val="00FE7EFC"/>
    <w:rsid w:val="00FF2F7B"/>
    <w:rsid w:val="00FF4E30"/>
    <w:rsid w:val="00FF58C3"/>
    <w:rsid w:val="00FF620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01"/>
    <o:shapelayout v:ext="edit">
      <o:idmap v:ext="edit" data="1"/>
      <o:rules v:ext="edit">
        <o:r id="V:Rule10" type="callout" idref="#_x0000_s1035"/>
        <o:r id="V:Rule11" type="callout" idref="#_x0000_s1036"/>
        <o:r id="V:Rule12" type="callout" idref="#_x0000_s1037"/>
        <o:r id="V:Rule13" type="callout" idref="#_x0000_s1038"/>
        <o:r id="V:Rule14" type="callout" idref="#_x0000_s1039"/>
        <o:r id="V:Rule15" type="callout" idref="#_x0000_s1040"/>
        <o:r id="V:Rule17" type="callout" idref="#_x0000_s1042"/>
        <o:r id="V:Rule21" type="callout" idref="#_x0000_s1046"/>
        <o:r id="V:Rule23" type="callout" idref="#_x0000_s1048"/>
        <o:r id="V:Rule24" type="callout" idref="#_x0000_s1049"/>
        <o:r id="V:Rule26" type="callout" idref="#_x0000_s1061"/>
        <o:r id="V:Rule28" type="callout" idref="#_x0000_s1058"/>
        <o:r id="V:Rule31" type="callout" idref="#_x0000_s1052"/>
        <o:r id="V:Rule33" type="callout" idref="#_x0000_s1054"/>
        <o:r id="V:Rule34" type="callout" idref="#_x0000_s1055"/>
        <o:r id="V:Rule36" type="callout" idref="#_x0000_s1057"/>
        <o:r id="V:Rule37" type="callout" idref="#_x0000_s1062"/>
        <o:r id="V:Rule38" type="callout" idref="#_x0000_s1063"/>
        <o:r id="V:Rule39" type="callout" idref="#_x0000_s1064"/>
        <o:r id="V:Rule40" type="callout" idref="#_x0000_s1065"/>
        <o:r id="V:Rule41" type="callout" idref="#_x0000_s1066"/>
        <o:r id="V:Rule43" type="callout" idref="#_x0000_s1069"/>
        <o:r id="V:Rule44" type="callout" idref="#_x0000_s1068"/>
        <o:r id="V:Rule45" type="callout" idref="#_x0000_s1067"/>
        <o:r id="V:Rule55" type="connector" idref="#_x0000_s1073"/>
        <o:r id="V:Rule56" type="connector" idref="#_x0000_s1072"/>
        <o:r id="V:Rule57" type="connector" idref="#_x0000_s1029"/>
        <o:r id="V:Rule58" type="connector" idref="#_x0000_s1070"/>
        <o:r id="V:Rule59" type="connector" idref="#_x0000_s1050"/>
        <o:r id="V:Rule60" type="connector" idref="#_x0000_s1034"/>
        <o:r id="V:Rule61" type="connector" idref="#_x0000_s1043"/>
        <o:r id="V:Rule62" type="connector" idref="#_x0000_s1053"/>
        <o:r id="V:Rule63" type="connector" idref="#_x0000_s1099"/>
        <o:r id="V:Rule64" type="connector" idref="#_x0000_s1083"/>
        <o:r id="V:Rule65" type="connector" idref="#_x0000_s1077"/>
        <o:r id="V:Rule66" type="connector" idref="#_x0000_s1032"/>
        <o:r id="V:Rule67" type="connector" idref="#_x0000_s1051"/>
        <o:r id="V:Rule68" type="connector" idref="#_x0000_s1033"/>
        <o:r id="V:Rule69" type="connector" idref="#_x0000_s1027"/>
        <o:r id="V:Rule70" type="connector" idref="#_x0000_s1085"/>
        <o:r id="V:Rule71" type="connector" idref="#_x0000_s1056"/>
        <o:r id="V:Rule72" type="connector" idref="#_x0000_s1031"/>
        <o:r id="V:Rule73" type="connector" idref="#_x0000_s1086"/>
        <o:r id="V:Rule74" type="connector" idref="#_x0000_s1074"/>
        <o:r id="V:Rule75" type="connector" idref="#_x0000_s1026"/>
        <o:r id="V:Rule76" type="connector" idref="#_x0000_s1059"/>
        <o:r id="V:Rule77" type="connector" idref="#_x0000_s1044"/>
        <o:r id="V:Rule78" type="connector" idref="#_x0000_s1075"/>
        <o:r id="V:Rule79" type="connector" idref="#_x0000_s1030"/>
        <o:r id="V:Rule80" type="connector" idref="#_x0000_s1041"/>
        <o:r id="V:Rule81" type="connector" idref="#_x0000_s1028"/>
        <o:r id="V:Rule82" type="connector" idref="#_x0000_s1047"/>
        <o:r id="V:Rule83" type="connector" idref="#_x0000_s1098"/>
        <o:r id="V:Rule84"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ln">
    <w:name w:val="Normal"/>
    <w:qFormat/>
    <w:rsid w:val="005C4966"/>
    <w:pPr>
      <w:spacing w:after="200" w:line="276" w:lineRule="auto"/>
    </w:pPr>
    <w:rPr>
      <w:lang w:eastAsia="en-US"/>
    </w:rPr>
  </w:style>
  <w:style w:type="paragraph" w:styleId="Nadpis1">
    <w:name w:val="heading 1"/>
    <w:basedOn w:val="Normln"/>
    <w:link w:val="Nadpis1Char"/>
    <w:uiPriority w:val="99"/>
    <w:qFormat/>
    <w:rsid w:val="007F7222"/>
    <w:pPr>
      <w:numPr>
        <w:numId w:val="1"/>
      </w:numPr>
      <w:spacing w:before="100" w:beforeAutospacing="1" w:after="100" w:afterAutospacing="1" w:line="240" w:lineRule="auto"/>
      <w:outlineLvl w:val="0"/>
    </w:pPr>
    <w:rPr>
      <w:rFonts w:eastAsia="Times New Roman"/>
      <w:b/>
      <w:bCs/>
      <w:kern w:val="36"/>
      <w:sz w:val="32"/>
      <w:szCs w:val="48"/>
      <w:lang w:eastAsia="cs-CZ"/>
    </w:rPr>
  </w:style>
  <w:style w:type="paragraph" w:styleId="Nadpis2">
    <w:name w:val="heading 2"/>
    <w:basedOn w:val="Normln"/>
    <w:next w:val="Normln"/>
    <w:link w:val="Nadpis2Char"/>
    <w:uiPriority w:val="99"/>
    <w:qFormat/>
    <w:locked/>
    <w:rsid w:val="00312AA9"/>
    <w:pPr>
      <w:keepNext/>
      <w:keepLines/>
      <w:numPr>
        <w:ilvl w:val="1"/>
        <w:numId w:val="1"/>
      </w:numPr>
      <w:spacing w:before="200" w:after="360"/>
      <w:outlineLvl w:val="1"/>
    </w:pPr>
    <w:rPr>
      <w:rFonts w:eastAsia="Times New Roman"/>
      <w:b/>
      <w:bCs/>
      <w:color w:val="000000"/>
      <w:sz w:val="28"/>
      <w:szCs w:val="26"/>
    </w:rPr>
  </w:style>
  <w:style w:type="paragraph" w:styleId="Nadpis3">
    <w:name w:val="heading 3"/>
    <w:basedOn w:val="Normln"/>
    <w:next w:val="Normln"/>
    <w:link w:val="Nadpis3Char"/>
    <w:uiPriority w:val="99"/>
    <w:qFormat/>
    <w:rsid w:val="007F7222"/>
    <w:pPr>
      <w:keepNext/>
      <w:keepLines/>
      <w:numPr>
        <w:ilvl w:val="2"/>
        <w:numId w:val="1"/>
      </w:numPr>
      <w:spacing w:before="200" w:after="240" w:line="240" w:lineRule="auto"/>
      <w:outlineLvl w:val="2"/>
    </w:pPr>
    <w:rPr>
      <w:rFonts w:eastAsia="Times New Roman"/>
      <w:b/>
      <w:bCs/>
      <w:color w:val="000000"/>
      <w:sz w:val="24"/>
    </w:rPr>
  </w:style>
  <w:style w:type="paragraph" w:styleId="Nadpis4">
    <w:name w:val="heading 4"/>
    <w:basedOn w:val="Normln"/>
    <w:next w:val="Normln"/>
    <w:link w:val="Nadpis4Char"/>
    <w:uiPriority w:val="99"/>
    <w:qFormat/>
    <w:rsid w:val="00CD623E"/>
    <w:pPr>
      <w:keepNext/>
      <w:keepLines/>
      <w:numPr>
        <w:ilvl w:val="3"/>
        <w:numId w:val="1"/>
      </w:numPr>
      <w:spacing w:before="200" w:after="0"/>
      <w:outlineLvl w:val="3"/>
    </w:pPr>
    <w:rPr>
      <w:rFonts w:eastAsia="Times New Roman"/>
      <w:bCs/>
      <w:iCs/>
      <w:sz w:val="24"/>
    </w:rPr>
  </w:style>
  <w:style w:type="paragraph" w:styleId="Nadpis5">
    <w:name w:val="heading 5"/>
    <w:basedOn w:val="Normln"/>
    <w:next w:val="Normln"/>
    <w:link w:val="Nadpis5Char"/>
    <w:uiPriority w:val="99"/>
    <w:qFormat/>
    <w:locked/>
    <w:rsid w:val="00930B73"/>
    <w:pPr>
      <w:keepNext/>
      <w:keepLines/>
      <w:numPr>
        <w:ilvl w:val="4"/>
        <w:numId w:val="1"/>
      </w:numPr>
      <w:spacing w:before="200" w:after="0"/>
      <w:outlineLvl w:val="4"/>
    </w:pPr>
    <w:rPr>
      <w:rFonts w:ascii="Cambria" w:eastAsia="Times New Roman" w:hAnsi="Cambria"/>
      <w:color w:val="243F60"/>
    </w:rPr>
  </w:style>
  <w:style w:type="paragraph" w:styleId="Nadpis6">
    <w:name w:val="heading 6"/>
    <w:basedOn w:val="Normln"/>
    <w:next w:val="Normln"/>
    <w:link w:val="Nadpis6Char"/>
    <w:uiPriority w:val="99"/>
    <w:qFormat/>
    <w:locked/>
    <w:rsid w:val="00930B73"/>
    <w:pPr>
      <w:keepNext/>
      <w:keepLines/>
      <w:numPr>
        <w:ilvl w:val="5"/>
        <w:numId w:val="1"/>
      </w:numPr>
      <w:spacing w:before="200" w:after="0"/>
      <w:outlineLvl w:val="5"/>
    </w:pPr>
    <w:rPr>
      <w:rFonts w:ascii="Cambria" w:eastAsia="Times New Roman" w:hAnsi="Cambria"/>
      <w:i/>
      <w:iCs/>
      <w:color w:val="243F60"/>
    </w:rPr>
  </w:style>
  <w:style w:type="paragraph" w:styleId="Nadpis7">
    <w:name w:val="heading 7"/>
    <w:basedOn w:val="Normln"/>
    <w:next w:val="Normln"/>
    <w:link w:val="Nadpis7Char"/>
    <w:uiPriority w:val="99"/>
    <w:qFormat/>
    <w:locked/>
    <w:rsid w:val="00930B73"/>
    <w:pPr>
      <w:keepNext/>
      <w:keepLines/>
      <w:numPr>
        <w:ilvl w:val="6"/>
        <w:numId w:val="1"/>
      </w:numPr>
      <w:spacing w:before="200" w:after="0"/>
      <w:outlineLvl w:val="6"/>
    </w:pPr>
    <w:rPr>
      <w:rFonts w:ascii="Cambria" w:eastAsia="Times New Roman" w:hAnsi="Cambria"/>
      <w:i/>
      <w:iCs/>
      <w:color w:val="404040"/>
    </w:rPr>
  </w:style>
  <w:style w:type="paragraph" w:styleId="Nadpis8">
    <w:name w:val="heading 8"/>
    <w:basedOn w:val="Normln"/>
    <w:next w:val="Normln"/>
    <w:link w:val="Nadpis8Char"/>
    <w:uiPriority w:val="99"/>
    <w:qFormat/>
    <w:locked/>
    <w:rsid w:val="00930B73"/>
    <w:pPr>
      <w:keepNext/>
      <w:keepLines/>
      <w:numPr>
        <w:ilvl w:val="7"/>
        <w:numId w:val="1"/>
      </w:numPr>
      <w:spacing w:before="200" w:after="0"/>
      <w:outlineLvl w:val="7"/>
    </w:pPr>
    <w:rPr>
      <w:rFonts w:ascii="Cambria" w:eastAsia="Times New Roman" w:hAnsi="Cambria"/>
      <w:color w:val="404040"/>
      <w:sz w:val="20"/>
      <w:szCs w:val="20"/>
    </w:rPr>
  </w:style>
  <w:style w:type="paragraph" w:styleId="Nadpis9">
    <w:name w:val="heading 9"/>
    <w:basedOn w:val="Normln"/>
    <w:next w:val="Normln"/>
    <w:link w:val="Nadpis9Char"/>
    <w:uiPriority w:val="99"/>
    <w:qFormat/>
    <w:locked/>
    <w:rsid w:val="00930B73"/>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F7222"/>
    <w:rPr>
      <w:rFonts w:ascii="Calibri" w:hAnsi="Calibri" w:cs="Times New Roman"/>
      <w:b/>
      <w:bCs/>
      <w:kern w:val="36"/>
      <w:sz w:val="48"/>
      <w:szCs w:val="48"/>
    </w:rPr>
  </w:style>
  <w:style w:type="character" w:customStyle="1" w:styleId="Nadpis2Char">
    <w:name w:val="Nadpis 2 Char"/>
    <w:basedOn w:val="Standardnpsmoodstavce"/>
    <w:link w:val="Nadpis2"/>
    <w:uiPriority w:val="99"/>
    <w:locked/>
    <w:rsid w:val="00312AA9"/>
    <w:rPr>
      <w:rFonts w:ascii="Calibri" w:hAnsi="Calibri" w:cs="Times New Roman"/>
      <w:b/>
      <w:bCs/>
      <w:color w:val="000000"/>
      <w:sz w:val="26"/>
      <w:szCs w:val="26"/>
      <w:lang w:eastAsia="en-US"/>
    </w:rPr>
  </w:style>
  <w:style w:type="character" w:customStyle="1" w:styleId="Nadpis3Char">
    <w:name w:val="Nadpis 3 Char"/>
    <w:basedOn w:val="Standardnpsmoodstavce"/>
    <w:link w:val="Nadpis3"/>
    <w:uiPriority w:val="99"/>
    <w:locked/>
    <w:rsid w:val="007F7222"/>
    <w:rPr>
      <w:rFonts w:ascii="Calibri" w:hAnsi="Calibri" w:cs="Times New Roman"/>
      <w:b/>
      <w:bCs/>
      <w:color w:val="000000"/>
      <w:sz w:val="22"/>
      <w:szCs w:val="22"/>
      <w:lang w:val="cs-CZ" w:eastAsia="en-US" w:bidi="ar-SA"/>
    </w:rPr>
  </w:style>
  <w:style w:type="character" w:customStyle="1" w:styleId="Nadpis4Char">
    <w:name w:val="Nadpis 4 Char"/>
    <w:basedOn w:val="Standardnpsmoodstavce"/>
    <w:link w:val="Nadpis4"/>
    <w:uiPriority w:val="99"/>
    <w:locked/>
    <w:rsid w:val="00CD623E"/>
    <w:rPr>
      <w:rFonts w:ascii="Calibri" w:hAnsi="Calibri" w:cs="Times New Roman"/>
      <w:bCs/>
      <w:iCs/>
      <w:sz w:val="24"/>
      <w:lang w:eastAsia="en-US"/>
    </w:rPr>
  </w:style>
  <w:style w:type="character" w:customStyle="1" w:styleId="Nadpis5Char">
    <w:name w:val="Nadpis 5 Char"/>
    <w:basedOn w:val="Standardnpsmoodstavce"/>
    <w:link w:val="Nadpis5"/>
    <w:uiPriority w:val="99"/>
    <w:semiHidden/>
    <w:locked/>
    <w:rsid w:val="00930B73"/>
    <w:rPr>
      <w:rFonts w:ascii="Cambria" w:hAnsi="Cambria" w:cs="Times New Roman"/>
      <w:color w:val="243F60"/>
      <w:lang w:eastAsia="en-US"/>
    </w:rPr>
  </w:style>
  <w:style w:type="character" w:customStyle="1" w:styleId="Nadpis6Char">
    <w:name w:val="Nadpis 6 Char"/>
    <w:basedOn w:val="Standardnpsmoodstavce"/>
    <w:link w:val="Nadpis6"/>
    <w:uiPriority w:val="99"/>
    <w:semiHidden/>
    <w:locked/>
    <w:rsid w:val="00930B73"/>
    <w:rPr>
      <w:rFonts w:ascii="Cambria" w:hAnsi="Cambria" w:cs="Times New Roman"/>
      <w:i/>
      <w:iCs/>
      <w:color w:val="243F60"/>
      <w:lang w:eastAsia="en-US"/>
    </w:rPr>
  </w:style>
  <w:style w:type="character" w:customStyle="1" w:styleId="Nadpis7Char">
    <w:name w:val="Nadpis 7 Char"/>
    <w:basedOn w:val="Standardnpsmoodstavce"/>
    <w:link w:val="Nadpis7"/>
    <w:uiPriority w:val="99"/>
    <w:semiHidden/>
    <w:locked/>
    <w:rsid w:val="00930B73"/>
    <w:rPr>
      <w:rFonts w:ascii="Cambria" w:hAnsi="Cambria" w:cs="Times New Roman"/>
      <w:i/>
      <w:iCs/>
      <w:color w:val="404040"/>
      <w:lang w:eastAsia="en-US"/>
    </w:rPr>
  </w:style>
  <w:style w:type="character" w:customStyle="1" w:styleId="Nadpis8Char">
    <w:name w:val="Nadpis 8 Char"/>
    <w:basedOn w:val="Standardnpsmoodstavce"/>
    <w:link w:val="Nadpis8"/>
    <w:uiPriority w:val="99"/>
    <w:semiHidden/>
    <w:locked/>
    <w:rsid w:val="00930B73"/>
    <w:rPr>
      <w:rFonts w:ascii="Cambria" w:hAnsi="Cambria" w:cs="Times New Roman"/>
      <w:color w:val="404040"/>
      <w:sz w:val="20"/>
      <w:szCs w:val="20"/>
      <w:lang w:eastAsia="en-US"/>
    </w:rPr>
  </w:style>
  <w:style w:type="character" w:customStyle="1" w:styleId="Nadpis9Char">
    <w:name w:val="Nadpis 9 Char"/>
    <w:basedOn w:val="Standardnpsmoodstavce"/>
    <w:link w:val="Nadpis9"/>
    <w:uiPriority w:val="99"/>
    <w:semiHidden/>
    <w:locked/>
    <w:rsid w:val="00930B73"/>
    <w:rPr>
      <w:rFonts w:ascii="Cambria" w:hAnsi="Cambria" w:cs="Times New Roman"/>
      <w:i/>
      <w:iCs/>
      <w:color w:val="404040"/>
      <w:sz w:val="20"/>
      <w:szCs w:val="20"/>
      <w:lang w:eastAsia="en-US"/>
    </w:rPr>
  </w:style>
  <w:style w:type="character" w:styleId="Hypertextovodkaz">
    <w:name w:val="Hyperlink"/>
    <w:basedOn w:val="Standardnpsmoodstavce"/>
    <w:uiPriority w:val="99"/>
    <w:rsid w:val="00D92070"/>
    <w:rPr>
      <w:rFonts w:cs="Times New Roman"/>
      <w:color w:val="0000FF"/>
      <w:u w:val="single"/>
    </w:rPr>
  </w:style>
  <w:style w:type="character" w:customStyle="1" w:styleId="apple-converted-space">
    <w:name w:val="apple-converted-space"/>
    <w:basedOn w:val="Standardnpsmoodstavce"/>
    <w:rsid w:val="00D92070"/>
    <w:rPr>
      <w:rFonts w:cs="Times New Roman"/>
    </w:rPr>
  </w:style>
  <w:style w:type="character" w:styleId="Siln">
    <w:name w:val="Strong"/>
    <w:basedOn w:val="Standardnpsmoodstavce"/>
    <w:uiPriority w:val="99"/>
    <w:qFormat/>
    <w:rsid w:val="00D92070"/>
    <w:rPr>
      <w:rFonts w:cs="Times New Roman"/>
      <w:b/>
      <w:bCs/>
    </w:rPr>
  </w:style>
  <w:style w:type="character" w:customStyle="1" w:styleId="bibrecord-highlight-user">
    <w:name w:val="bibrecord-highlight-user"/>
    <w:basedOn w:val="Standardnpsmoodstavce"/>
    <w:uiPriority w:val="99"/>
    <w:rsid w:val="00D92070"/>
    <w:rPr>
      <w:rFonts w:cs="Times New Roman"/>
    </w:rPr>
  </w:style>
  <w:style w:type="character" w:customStyle="1" w:styleId="titles-title">
    <w:name w:val="titles-title"/>
    <w:basedOn w:val="Standardnpsmoodstavce"/>
    <w:uiPriority w:val="99"/>
    <w:rsid w:val="00D92070"/>
    <w:rPr>
      <w:rFonts w:cs="Times New Roman"/>
    </w:rPr>
  </w:style>
  <w:style w:type="character" w:customStyle="1" w:styleId="bibrecord-highlight-related">
    <w:name w:val="bibrecord-highlight-related"/>
    <w:basedOn w:val="Standardnpsmoodstavce"/>
    <w:uiPriority w:val="99"/>
    <w:rsid w:val="00D92070"/>
    <w:rPr>
      <w:rFonts w:cs="Times New Roman"/>
    </w:rPr>
  </w:style>
  <w:style w:type="character" w:customStyle="1" w:styleId="titles-source">
    <w:name w:val="titles-source"/>
    <w:basedOn w:val="Standardnpsmoodstavce"/>
    <w:uiPriority w:val="99"/>
    <w:rsid w:val="00D92070"/>
    <w:rPr>
      <w:rFonts w:cs="Times New Roman"/>
    </w:rPr>
  </w:style>
  <w:style w:type="character" w:customStyle="1" w:styleId="cit">
    <w:name w:val="cit"/>
    <w:basedOn w:val="Standardnpsmoodstavce"/>
    <w:uiPriority w:val="99"/>
    <w:rsid w:val="00380920"/>
    <w:rPr>
      <w:rFonts w:cs="Times New Roman"/>
    </w:rPr>
  </w:style>
  <w:style w:type="character" w:customStyle="1" w:styleId="fm-vol-iss-date">
    <w:name w:val="fm-vol-iss-date"/>
    <w:basedOn w:val="Standardnpsmoodstavce"/>
    <w:uiPriority w:val="99"/>
    <w:rsid w:val="00380920"/>
    <w:rPr>
      <w:rFonts w:cs="Times New Roman"/>
    </w:rPr>
  </w:style>
  <w:style w:type="character" w:customStyle="1" w:styleId="doi">
    <w:name w:val="doi"/>
    <w:basedOn w:val="Standardnpsmoodstavce"/>
    <w:uiPriority w:val="99"/>
    <w:rsid w:val="00380920"/>
    <w:rPr>
      <w:rFonts w:cs="Times New Roman"/>
    </w:rPr>
  </w:style>
  <w:style w:type="character" w:customStyle="1" w:styleId="fm-citation-ids-label">
    <w:name w:val="fm-citation-ids-label"/>
    <w:basedOn w:val="Standardnpsmoodstavce"/>
    <w:uiPriority w:val="99"/>
    <w:rsid w:val="00380920"/>
    <w:rPr>
      <w:rFonts w:cs="Times New Roman"/>
    </w:rPr>
  </w:style>
  <w:style w:type="paragraph" w:styleId="Textbubliny">
    <w:name w:val="Balloon Text"/>
    <w:basedOn w:val="Normln"/>
    <w:link w:val="TextbublinyChar"/>
    <w:uiPriority w:val="99"/>
    <w:semiHidden/>
    <w:rsid w:val="0038092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380920"/>
    <w:rPr>
      <w:rFonts w:ascii="Tahoma" w:hAnsi="Tahoma" w:cs="Tahoma"/>
      <w:sz w:val="16"/>
      <w:szCs w:val="16"/>
    </w:rPr>
  </w:style>
  <w:style w:type="table" w:styleId="Stednmka3zvraznn1">
    <w:name w:val="Medium Grid 3 Accent 1"/>
    <w:basedOn w:val="Normlntabulka"/>
    <w:uiPriority w:val="99"/>
    <w:rsid w:val="001C69D3"/>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Odstavecseseznamem">
    <w:name w:val="List Paragraph"/>
    <w:basedOn w:val="Normln"/>
    <w:uiPriority w:val="99"/>
    <w:qFormat/>
    <w:rsid w:val="00C150D7"/>
    <w:pPr>
      <w:ind w:left="720"/>
      <w:contextualSpacing/>
    </w:pPr>
  </w:style>
  <w:style w:type="table" w:styleId="Mkatabulky">
    <w:name w:val="Table Grid"/>
    <w:basedOn w:val="Normlntabulka"/>
    <w:uiPriority w:val="99"/>
    <w:rsid w:val="00E9164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rsid w:val="00154D64"/>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ui-ncbitoggler-master-text">
    <w:name w:val="ui-ncbitoggler-master-text"/>
    <w:basedOn w:val="Standardnpsmoodstavce"/>
    <w:uiPriority w:val="99"/>
    <w:rsid w:val="00154D64"/>
    <w:rPr>
      <w:rFonts w:cs="Times New Roman"/>
    </w:rPr>
  </w:style>
  <w:style w:type="character" w:customStyle="1" w:styleId="name">
    <w:name w:val="name"/>
    <w:basedOn w:val="Standardnpsmoodstavce"/>
    <w:uiPriority w:val="99"/>
    <w:rsid w:val="000D0754"/>
    <w:rPr>
      <w:rFonts w:cs="Times New Roman"/>
    </w:rPr>
  </w:style>
  <w:style w:type="character" w:customStyle="1" w:styleId="contrib-degrees">
    <w:name w:val="contrib-degrees"/>
    <w:basedOn w:val="Standardnpsmoodstavce"/>
    <w:uiPriority w:val="99"/>
    <w:rsid w:val="000D0754"/>
    <w:rPr>
      <w:rFonts w:cs="Times New Roman"/>
    </w:rPr>
  </w:style>
  <w:style w:type="paragraph" w:customStyle="1" w:styleId="affiliation-list-reveal">
    <w:name w:val="affiliation-list-reveal"/>
    <w:basedOn w:val="Normln"/>
    <w:uiPriority w:val="99"/>
    <w:rsid w:val="000D0754"/>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highlight">
    <w:name w:val="highlight"/>
    <w:basedOn w:val="Standardnpsmoodstavce"/>
    <w:uiPriority w:val="99"/>
    <w:rsid w:val="008350A1"/>
    <w:rPr>
      <w:rFonts w:cs="Times New Roman"/>
    </w:rPr>
  </w:style>
  <w:style w:type="character" w:styleId="CittHTML">
    <w:name w:val="HTML Cite"/>
    <w:basedOn w:val="Standardnpsmoodstavce"/>
    <w:uiPriority w:val="99"/>
    <w:semiHidden/>
    <w:rsid w:val="00351CD6"/>
    <w:rPr>
      <w:rFonts w:cs="Times New Roman"/>
      <w:i/>
      <w:iCs/>
    </w:rPr>
  </w:style>
  <w:style w:type="character" w:customStyle="1" w:styleId="cit-source">
    <w:name w:val="cit-source"/>
    <w:basedOn w:val="Standardnpsmoodstavce"/>
    <w:uiPriority w:val="99"/>
    <w:rsid w:val="00351CD6"/>
    <w:rPr>
      <w:rFonts w:cs="Times New Roman"/>
    </w:rPr>
  </w:style>
  <w:style w:type="character" w:styleId="Zvraznn">
    <w:name w:val="Emphasis"/>
    <w:basedOn w:val="Standardnpsmoodstavce"/>
    <w:uiPriority w:val="99"/>
    <w:qFormat/>
    <w:locked/>
    <w:rsid w:val="00351CD6"/>
    <w:rPr>
      <w:rFonts w:cs="Times New Roman"/>
      <w:i/>
      <w:iCs/>
    </w:rPr>
  </w:style>
  <w:style w:type="character" w:customStyle="1" w:styleId="cit-pub-date">
    <w:name w:val="cit-pub-date"/>
    <w:basedOn w:val="Standardnpsmoodstavce"/>
    <w:uiPriority w:val="99"/>
    <w:rsid w:val="00351CD6"/>
    <w:rPr>
      <w:rFonts w:cs="Times New Roman"/>
    </w:rPr>
  </w:style>
  <w:style w:type="character" w:customStyle="1" w:styleId="cit-vol">
    <w:name w:val="cit-vol"/>
    <w:basedOn w:val="Standardnpsmoodstavce"/>
    <w:uiPriority w:val="99"/>
    <w:rsid w:val="00351CD6"/>
    <w:rPr>
      <w:rFonts w:cs="Times New Roman"/>
    </w:rPr>
  </w:style>
  <w:style w:type="character" w:customStyle="1" w:styleId="cit-fpage">
    <w:name w:val="cit-fpage"/>
    <w:basedOn w:val="Standardnpsmoodstavce"/>
    <w:uiPriority w:val="99"/>
    <w:rsid w:val="00351CD6"/>
    <w:rPr>
      <w:rFonts w:cs="Times New Roman"/>
    </w:rPr>
  </w:style>
  <w:style w:type="character" w:customStyle="1" w:styleId="autoren">
    <w:name w:val="autoren"/>
    <w:basedOn w:val="Standardnpsmoodstavce"/>
    <w:uiPriority w:val="99"/>
    <w:rsid w:val="00653BB3"/>
    <w:rPr>
      <w:rFonts w:cs="Times New Roman"/>
    </w:rPr>
  </w:style>
  <w:style w:type="character" w:customStyle="1" w:styleId="color">
    <w:name w:val="color"/>
    <w:basedOn w:val="Standardnpsmoodstavce"/>
    <w:uiPriority w:val="99"/>
    <w:rsid w:val="00653BB3"/>
    <w:rPr>
      <w:rFonts w:cs="Times New Roman"/>
    </w:rPr>
  </w:style>
  <w:style w:type="character" w:customStyle="1" w:styleId="slug-pub-date">
    <w:name w:val="slug-pub-date"/>
    <w:basedOn w:val="Standardnpsmoodstavce"/>
    <w:uiPriority w:val="99"/>
    <w:rsid w:val="00483725"/>
    <w:rPr>
      <w:rFonts w:cs="Times New Roman"/>
    </w:rPr>
  </w:style>
  <w:style w:type="character" w:customStyle="1" w:styleId="slug-vol">
    <w:name w:val="slug-vol"/>
    <w:basedOn w:val="Standardnpsmoodstavce"/>
    <w:uiPriority w:val="99"/>
    <w:rsid w:val="00483725"/>
    <w:rPr>
      <w:rFonts w:cs="Times New Roman"/>
    </w:rPr>
  </w:style>
  <w:style w:type="character" w:customStyle="1" w:styleId="slug-pages">
    <w:name w:val="slug-pages"/>
    <w:basedOn w:val="Standardnpsmoodstavce"/>
    <w:uiPriority w:val="99"/>
    <w:rsid w:val="00483725"/>
    <w:rPr>
      <w:rFonts w:cs="Times New Roman"/>
    </w:rPr>
  </w:style>
  <w:style w:type="character" w:customStyle="1" w:styleId="slug-doi">
    <w:name w:val="slug-doi"/>
    <w:basedOn w:val="Standardnpsmoodstavce"/>
    <w:uiPriority w:val="99"/>
    <w:rsid w:val="002873F4"/>
    <w:rPr>
      <w:rFonts w:cs="Times New Roman"/>
    </w:rPr>
  </w:style>
  <w:style w:type="character" w:customStyle="1" w:styleId="slug-issue">
    <w:name w:val="slug-issue"/>
    <w:basedOn w:val="Standardnpsmoodstavce"/>
    <w:uiPriority w:val="99"/>
    <w:rsid w:val="002873F4"/>
    <w:rPr>
      <w:rFonts w:cs="Times New Roman"/>
    </w:rPr>
  </w:style>
  <w:style w:type="character" w:customStyle="1" w:styleId="xref-aff">
    <w:name w:val="xref-aff"/>
    <w:basedOn w:val="Standardnpsmoodstavce"/>
    <w:uiPriority w:val="99"/>
    <w:rsid w:val="002873F4"/>
    <w:rPr>
      <w:rFonts w:cs="Times New Roman"/>
    </w:rPr>
  </w:style>
  <w:style w:type="character" w:customStyle="1" w:styleId="xref-sep">
    <w:name w:val="xref-sep"/>
    <w:basedOn w:val="Standardnpsmoodstavce"/>
    <w:uiPriority w:val="99"/>
    <w:rsid w:val="002873F4"/>
    <w:rPr>
      <w:rFonts w:cs="Times New Roman"/>
    </w:rPr>
  </w:style>
  <w:style w:type="character" w:customStyle="1" w:styleId="xref-corresp">
    <w:name w:val="xref-corresp"/>
    <w:basedOn w:val="Standardnpsmoodstavce"/>
    <w:uiPriority w:val="99"/>
    <w:rsid w:val="002873F4"/>
    <w:rPr>
      <w:rFonts w:cs="Times New Roman"/>
    </w:rPr>
  </w:style>
  <w:style w:type="character" w:customStyle="1" w:styleId="authornames">
    <w:name w:val="authornames"/>
    <w:basedOn w:val="Standardnpsmoodstavce"/>
    <w:uiPriority w:val="99"/>
    <w:rsid w:val="00F772FA"/>
    <w:rPr>
      <w:rFonts w:cs="Times New Roman"/>
    </w:rPr>
  </w:style>
  <w:style w:type="character" w:customStyle="1" w:styleId="spanplus">
    <w:name w:val="spanplus"/>
    <w:basedOn w:val="Standardnpsmoodstavce"/>
    <w:uiPriority w:val="99"/>
    <w:rsid w:val="00F772FA"/>
    <w:rPr>
      <w:rFonts w:cs="Times New Roman"/>
    </w:rPr>
  </w:style>
  <w:style w:type="character" w:customStyle="1" w:styleId="slug-metadata-note">
    <w:name w:val="slug-metadata-note"/>
    <w:basedOn w:val="Standardnpsmoodstavce"/>
    <w:uiPriority w:val="99"/>
    <w:rsid w:val="00B21E8A"/>
    <w:rPr>
      <w:rFonts w:cs="Times New Roman"/>
    </w:rPr>
  </w:style>
  <w:style w:type="character" w:customStyle="1" w:styleId="slug-ahead-of-print-date">
    <w:name w:val="slug-ahead-of-print-date"/>
    <w:basedOn w:val="Standardnpsmoodstavce"/>
    <w:uiPriority w:val="99"/>
    <w:rsid w:val="00B21E8A"/>
    <w:rPr>
      <w:rFonts w:cs="Times New Roman"/>
    </w:rPr>
  </w:style>
  <w:style w:type="character" w:customStyle="1" w:styleId="cit-reflinks-full-text">
    <w:name w:val="cit-reflinks-full-text"/>
    <w:basedOn w:val="Standardnpsmoodstavce"/>
    <w:uiPriority w:val="99"/>
    <w:rsid w:val="000E7930"/>
    <w:rPr>
      <w:rFonts w:cs="Times New Roman"/>
    </w:rPr>
  </w:style>
  <w:style w:type="character" w:customStyle="1" w:styleId="free-full-text">
    <w:name w:val="free-full-text"/>
    <w:basedOn w:val="Standardnpsmoodstavce"/>
    <w:uiPriority w:val="99"/>
    <w:rsid w:val="000E7930"/>
    <w:rPr>
      <w:rFonts w:cs="Times New Roman"/>
    </w:rPr>
  </w:style>
  <w:style w:type="character" w:customStyle="1" w:styleId="cit-reflinks-abstract">
    <w:name w:val="cit-reflinks-abstract"/>
    <w:basedOn w:val="Standardnpsmoodstavce"/>
    <w:uiPriority w:val="99"/>
    <w:rsid w:val="000E7930"/>
    <w:rPr>
      <w:rFonts w:cs="Times New Roman"/>
    </w:rPr>
  </w:style>
  <w:style w:type="character" w:customStyle="1" w:styleId="cit-sep">
    <w:name w:val="cit-sep"/>
    <w:basedOn w:val="Standardnpsmoodstavce"/>
    <w:uiPriority w:val="99"/>
    <w:rsid w:val="000E7930"/>
    <w:rPr>
      <w:rFonts w:cs="Times New Roman"/>
    </w:rPr>
  </w:style>
  <w:style w:type="paragraph" w:customStyle="1" w:styleId="caption-title">
    <w:name w:val="caption-title"/>
    <w:basedOn w:val="Normln"/>
    <w:uiPriority w:val="99"/>
    <w:rsid w:val="00960566"/>
    <w:pPr>
      <w:spacing w:after="120" w:line="240" w:lineRule="auto"/>
    </w:pPr>
    <w:rPr>
      <w:rFonts w:ascii="Times New Roman" w:eastAsia="Times New Roman" w:hAnsi="Times New Roman"/>
      <w:b/>
      <w:bCs/>
      <w:sz w:val="24"/>
      <w:szCs w:val="24"/>
      <w:lang w:eastAsia="cs-CZ"/>
    </w:rPr>
  </w:style>
  <w:style w:type="character" w:customStyle="1" w:styleId="closebtn1">
    <w:name w:val="closebtn1"/>
    <w:basedOn w:val="Standardnpsmoodstavce"/>
    <w:uiPriority w:val="99"/>
    <w:rsid w:val="00960566"/>
    <w:rPr>
      <w:rFonts w:cs="Times New Roman"/>
      <w:b/>
      <w:bCs/>
      <w:color w:val="333333"/>
      <w:sz w:val="17"/>
      <w:szCs w:val="17"/>
      <w:u w:val="none"/>
      <w:effect w:val="none"/>
      <w:bdr w:val="single" w:sz="12" w:space="4" w:color="AAAAAA" w:frame="1"/>
      <w:shd w:val="clear" w:color="auto" w:fill="FFFFFF"/>
    </w:rPr>
  </w:style>
  <w:style w:type="character" w:customStyle="1" w:styleId="pubdatesrow">
    <w:name w:val="pubdatesrow"/>
    <w:basedOn w:val="Standardnpsmoodstavce"/>
    <w:uiPriority w:val="99"/>
    <w:rsid w:val="00960566"/>
    <w:rPr>
      <w:rFonts w:cs="Times New Roman"/>
    </w:rPr>
  </w:style>
  <w:style w:type="character" w:customStyle="1" w:styleId="pubdateslbls2">
    <w:name w:val="pubdateslbls2"/>
    <w:basedOn w:val="Standardnpsmoodstavce"/>
    <w:uiPriority w:val="99"/>
    <w:rsid w:val="00960566"/>
    <w:rPr>
      <w:rFonts w:cs="Times New Roman"/>
    </w:rPr>
  </w:style>
  <w:style w:type="character" w:customStyle="1" w:styleId="pubdateslbls3">
    <w:name w:val="pubdateslbls3"/>
    <w:basedOn w:val="Standardnpsmoodstavce"/>
    <w:uiPriority w:val="99"/>
    <w:rsid w:val="00960566"/>
    <w:rPr>
      <w:rFonts w:cs="Times New Roman"/>
    </w:rPr>
  </w:style>
  <w:style w:type="character" w:customStyle="1" w:styleId="label8">
    <w:name w:val="label8"/>
    <w:basedOn w:val="Standardnpsmoodstavce"/>
    <w:uiPriority w:val="99"/>
    <w:rsid w:val="00960566"/>
    <w:rPr>
      <w:rFonts w:cs="Times New Roman"/>
      <w:b/>
      <w:bCs/>
    </w:rPr>
  </w:style>
  <w:style w:type="character" w:customStyle="1" w:styleId="free">
    <w:name w:val="free"/>
    <w:basedOn w:val="Standardnpsmoodstavce"/>
    <w:uiPriority w:val="99"/>
    <w:rsid w:val="00456725"/>
    <w:rPr>
      <w:rFonts w:cs="Times New Roman"/>
    </w:rPr>
  </w:style>
  <w:style w:type="character" w:customStyle="1" w:styleId="contrib-role">
    <w:name w:val="contrib-role"/>
    <w:basedOn w:val="Standardnpsmoodstavce"/>
    <w:uiPriority w:val="99"/>
    <w:rsid w:val="00456725"/>
    <w:rPr>
      <w:rFonts w:cs="Times New Roman"/>
    </w:rPr>
  </w:style>
  <w:style w:type="paragraph" w:styleId="AdresaHTML">
    <w:name w:val="HTML Address"/>
    <w:basedOn w:val="Normln"/>
    <w:link w:val="AdresaHTMLChar"/>
    <w:uiPriority w:val="99"/>
    <w:semiHidden/>
    <w:rsid w:val="00456725"/>
    <w:pPr>
      <w:spacing w:after="0" w:line="240" w:lineRule="auto"/>
    </w:pPr>
    <w:rPr>
      <w:rFonts w:ascii="Times New Roman" w:eastAsia="Times New Roman" w:hAnsi="Times New Roman"/>
      <w:i/>
      <w:iCs/>
      <w:sz w:val="24"/>
      <w:szCs w:val="24"/>
      <w:lang w:eastAsia="cs-CZ"/>
    </w:rPr>
  </w:style>
  <w:style w:type="character" w:customStyle="1" w:styleId="AdresaHTMLChar">
    <w:name w:val="Adresa HTML Char"/>
    <w:basedOn w:val="Standardnpsmoodstavce"/>
    <w:link w:val="AdresaHTML"/>
    <w:uiPriority w:val="99"/>
    <w:semiHidden/>
    <w:locked/>
    <w:rsid w:val="00456725"/>
    <w:rPr>
      <w:rFonts w:ascii="Times New Roman" w:hAnsi="Times New Roman" w:cs="Times New Roman"/>
      <w:i/>
      <w:iCs/>
      <w:sz w:val="24"/>
      <w:szCs w:val="24"/>
    </w:rPr>
  </w:style>
  <w:style w:type="paragraph" w:styleId="Zhlav">
    <w:name w:val="header"/>
    <w:basedOn w:val="Normln"/>
    <w:link w:val="ZhlavChar"/>
    <w:uiPriority w:val="99"/>
    <w:rsid w:val="00A714E9"/>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A714E9"/>
    <w:rPr>
      <w:rFonts w:cs="Times New Roman"/>
      <w:lang w:eastAsia="en-US"/>
    </w:rPr>
  </w:style>
  <w:style w:type="paragraph" w:styleId="Zpat">
    <w:name w:val="footer"/>
    <w:basedOn w:val="Normln"/>
    <w:link w:val="ZpatChar"/>
    <w:uiPriority w:val="99"/>
    <w:rsid w:val="00A714E9"/>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A714E9"/>
    <w:rPr>
      <w:rFonts w:cs="Times New Roman"/>
      <w:lang w:eastAsia="en-US"/>
    </w:rPr>
  </w:style>
  <w:style w:type="character" w:customStyle="1" w:styleId="maintitle">
    <w:name w:val="maintitle"/>
    <w:basedOn w:val="Standardnpsmoodstavce"/>
    <w:uiPriority w:val="99"/>
    <w:rsid w:val="00837D62"/>
    <w:rPr>
      <w:rFonts w:cs="Times New Roman"/>
    </w:rPr>
  </w:style>
  <w:style w:type="paragraph" w:customStyle="1" w:styleId="articlecategory">
    <w:name w:val="articlecategory"/>
    <w:basedOn w:val="Normln"/>
    <w:uiPriority w:val="99"/>
    <w:rsid w:val="00837D62"/>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articledetails">
    <w:name w:val="articledetails"/>
    <w:basedOn w:val="Normln"/>
    <w:uiPriority w:val="99"/>
    <w:rsid w:val="00837D62"/>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authors">
    <w:name w:val="authors"/>
    <w:basedOn w:val="Normln"/>
    <w:uiPriority w:val="99"/>
    <w:rsid w:val="00926E15"/>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citationline">
    <w:name w:val="citationline"/>
    <w:basedOn w:val="Normln"/>
    <w:uiPriority w:val="99"/>
    <w:rsid w:val="00926E15"/>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itation">
    <w:name w:val="citation"/>
    <w:basedOn w:val="Standardnpsmoodstavce"/>
    <w:uiPriority w:val="99"/>
    <w:rsid w:val="00926E15"/>
    <w:rPr>
      <w:rFonts w:cs="Times New Roman"/>
    </w:rPr>
  </w:style>
  <w:style w:type="character" w:customStyle="1" w:styleId="stat">
    <w:name w:val="stat"/>
    <w:basedOn w:val="Standardnpsmoodstavce"/>
    <w:uiPriority w:val="99"/>
    <w:rsid w:val="00BE5612"/>
    <w:rPr>
      <w:rFonts w:cs="Times New Roman"/>
    </w:rPr>
  </w:style>
  <w:style w:type="paragraph" w:customStyle="1" w:styleId="rteright">
    <w:name w:val="rteright"/>
    <w:basedOn w:val="Normln"/>
    <w:uiPriority w:val="99"/>
    <w:rsid w:val="00BE5612"/>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highwire-citation-authors">
    <w:name w:val="highwire-citation-authors"/>
    <w:basedOn w:val="Standardnpsmoodstavce"/>
    <w:uiPriority w:val="99"/>
    <w:rsid w:val="00BE5612"/>
    <w:rPr>
      <w:rFonts w:cs="Times New Roman"/>
    </w:rPr>
  </w:style>
  <w:style w:type="character" w:customStyle="1" w:styleId="nlm-given-names">
    <w:name w:val="nlm-given-names"/>
    <w:basedOn w:val="Standardnpsmoodstavce"/>
    <w:uiPriority w:val="99"/>
    <w:rsid w:val="00BE5612"/>
    <w:rPr>
      <w:rFonts w:cs="Times New Roman"/>
    </w:rPr>
  </w:style>
  <w:style w:type="character" w:customStyle="1" w:styleId="nlm-surname">
    <w:name w:val="nlm-surname"/>
    <w:basedOn w:val="Standardnpsmoodstavce"/>
    <w:uiPriority w:val="99"/>
    <w:rsid w:val="00BE5612"/>
    <w:rPr>
      <w:rFonts w:cs="Times New Roman"/>
    </w:rPr>
  </w:style>
  <w:style w:type="character" w:customStyle="1" w:styleId="highwire-cite-doi">
    <w:name w:val="highwire-cite-doi"/>
    <w:basedOn w:val="Standardnpsmoodstavce"/>
    <w:uiPriority w:val="99"/>
    <w:rsid w:val="00BE5612"/>
    <w:rPr>
      <w:rFonts w:cs="Times New Roman"/>
    </w:rPr>
  </w:style>
  <w:style w:type="character" w:customStyle="1" w:styleId="highwire-cite-pages">
    <w:name w:val="highwire-cite-pages"/>
    <w:basedOn w:val="Standardnpsmoodstavce"/>
    <w:uiPriority w:val="99"/>
    <w:rsid w:val="00BE5612"/>
    <w:rPr>
      <w:rFonts w:cs="Times New Roman"/>
    </w:rPr>
  </w:style>
  <w:style w:type="character" w:customStyle="1" w:styleId="highwire-cite-fpub">
    <w:name w:val="highwire-cite-fpub"/>
    <w:basedOn w:val="Standardnpsmoodstavce"/>
    <w:uiPriority w:val="99"/>
    <w:rsid w:val="00BE5612"/>
    <w:rPr>
      <w:rFonts w:cs="Times New Roman"/>
    </w:rPr>
  </w:style>
  <w:style w:type="character" w:customStyle="1" w:styleId="authordegrees">
    <w:name w:val="authordegrees"/>
    <w:basedOn w:val="Standardnpsmoodstavce"/>
    <w:uiPriority w:val="99"/>
    <w:rsid w:val="002D0A9E"/>
    <w:rPr>
      <w:rFonts w:cs="Times New Roman"/>
    </w:rPr>
  </w:style>
  <w:style w:type="character" w:customStyle="1" w:styleId="ref-journal">
    <w:name w:val="ref-journal"/>
    <w:basedOn w:val="Standardnpsmoodstavce"/>
    <w:uiPriority w:val="99"/>
    <w:rsid w:val="007E1EF4"/>
    <w:rPr>
      <w:rFonts w:cs="Times New Roman"/>
    </w:rPr>
  </w:style>
  <w:style w:type="character" w:customStyle="1" w:styleId="ref-vol">
    <w:name w:val="ref-vol"/>
    <w:basedOn w:val="Standardnpsmoodstavce"/>
    <w:uiPriority w:val="99"/>
    <w:rsid w:val="007E1EF4"/>
    <w:rPr>
      <w:rFonts w:cs="Times New Roman"/>
    </w:rPr>
  </w:style>
  <w:style w:type="character" w:customStyle="1" w:styleId="nowrap">
    <w:name w:val="nowrap"/>
    <w:basedOn w:val="Standardnpsmoodstavce"/>
    <w:uiPriority w:val="99"/>
    <w:rsid w:val="004B1BB6"/>
    <w:rPr>
      <w:rFonts w:cs="Times New Roman"/>
    </w:rPr>
  </w:style>
  <w:style w:type="paragraph" w:styleId="Rozvrendokumentu">
    <w:name w:val="Document Map"/>
    <w:basedOn w:val="Normln"/>
    <w:link w:val="RozvrendokumentuChar"/>
    <w:uiPriority w:val="99"/>
    <w:semiHidden/>
    <w:rsid w:val="00AF73FA"/>
    <w:pPr>
      <w:spacing w:after="0" w:line="240" w:lineRule="auto"/>
    </w:pPr>
    <w:rPr>
      <w:rFonts w:ascii="Tahoma" w:hAnsi="Tahoma" w:cs="Tahoma"/>
      <w:sz w:val="16"/>
      <w:szCs w:val="16"/>
    </w:rPr>
  </w:style>
  <w:style w:type="character" w:customStyle="1" w:styleId="RozvrendokumentuChar">
    <w:name w:val="Rozvržení dokumentu Char"/>
    <w:basedOn w:val="Standardnpsmoodstavce"/>
    <w:link w:val="Rozvrendokumentu"/>
    <w:uiPriority w:val="99"/>
    <w:semiHidden/>
    <w:locked/>
    <w:rsid w:val="00AF73FA"/>
    <w:rPr>
      <w:rFonts w:ascii="Tahoma" w:hAnsi="Tahoma" w:cs="Tahoma"/>
      <w:sz w:val="16"/>
      <w:szCs w:val="16"/>
      <w:lang w:eastAsia="en-US"/>
    </w:rPr>
  </w:style>
  <w:style w:type="character" w:customStyle="1" w:styleId="highwire-cite-metadata-journal">
    <w:name w:val="highwire-cite-metadata-journal"/>
    <w:basedOn w:val="Standardnpsmoodstavce"/>
    <w:uiPriority w:val="99"/>
    <w:rsid w:val="00BD38D0"/>
    <w:rPr>
      <w:rFonts w:cs="Times New Roman"/>
    </w:rPr>
  </w:style>
  <w:style w:type="character" w:customStyle="1" w:styleId="highwire-cite-metadata-date">
    <w:name w:val="highwire-cite-metadata-date"/>
    <w:basedOn w:val="Standardnpsmoodstavce"/>
    <w:uiPriority w:val="99"/>
    <w:rsid w:val="00BD38D0"/>
    <w:rPr>
      <w:rFonts w:cs="Times New Roman"/>
    </w:rPr>
  </w:style>
  <w:style w:type="character" w:customStyle="1" w:styleId="highwire-cite-metadata-volume">
    <w:name w:val="highwire-cite-metadata-volume"/>
    <w:basedOn w:val="Standardnpsmoodstavce"/>
    <w:uiPriority w:val="99"/>
    <w:rsid w:val="00BD38D0"/>
    <w:rPr>
      <w:rFonts w:cs="Times New Roman"/>
    </w:rPr>
  </w:style>
  <w:style w:type="character" w:customStyle="1" w:styleId="highwire-cite-metadata-issue">
    <w:name w:val="highwire-cite-metadata-issue"/>
    <w:basedOn w:val="Standardnpsmoodstavce"/>
    <w:uiPriority w:val="99"/>
    <w:rsid w:val="00BD38D0"/>
    <w:rPr>
      <w:rFonts w:cs="Times New Roman"/>
    </w:rPr>
  </w:style>
  <w:style w:type="character" w:customStyle="1" w:styleId="highwire-cite-metadata-pages">
    <w:name w:val="highwire-cite-metadata-pages"/>
    <w:basedOn w:val="Standardnpsmoodstavce"/>
    <w:uiPriority w:val="99"/>
    <w:rsid w:val="00BD38D0"/>
    <w:rPr>
      <w:rFonts w:cs="Times New Roman"/>
    </w:rPr>
  </w:style>
  <w:style w:type="character" w:customStyle="1" w:styleId="cit-article-title">
    <w:name w:val="cit-article-title"/>
    <w:basedOn w:val="Standardnpsmoodstavce"/>
    <w:uiPriority w:val="99"/>
    <w:rsid w:val="00FD3F4C"/>
    <w:rPr>
      <w:rFonts w:cs="Times New Roman"/>
    </w:rPr>
  </w:style>
  <w:style w:type="character" w:customStyle="1" w:styleId="cit-name-surname">
    <w:name w:val="cit-name-surname"/>
    <w:basedOn w:val="Standardnpsmoodstavce"/>
    <w:uiPriority w:val="99"/>
    <w:rsid w:val="00FD3F4C"/>
    <w:rPr>
      <w:rFonts w:cs="Times New Roman"/>
    </w:rPr>
  </w:style>
  <w:style w:type="character" w:customStyle="1" w:styleId="cit-name-given-names">
    <w:name w:val="cit-name-given-names"/>
    <w:basedOn w:val="Standardnpsmoodstavce"/>
    <w:uiPriority w:val="99"/>
    <w:rsid w:val="00FD3F4C"/>
    <w:rPr>
      <w:rFonts w:cs="Times New Roman"/>
    </w:rPr>
  </w:style>
  <w:style w:type="character" w:customStyle="1" w:styleId="cit-etal">
    <w:name w:val="cit-etal"/>
    <w:basedOn w:val="Standardnpsmoodstavce"/>
    <w:uiPriority w:val="99"/>
    <w:rsid w:val="00FD3F4C"/>
    <w:rPr>
      <w:rFonts w:cs="Times New Roman"/>
    </w:rPr>
  </w:style>
  <w:style w:type="character" w:customStyle="1" w:styleId="cit-lpage">
    <w:name w:val="cit-lpage"/>
    <w:basedOn w:val="Standardnpsmoodstavce"/>
    <w:uiPriority w:val="99"/>
    <w:rsid w:val="00FD3F4C"/>
    <w:rPr>
      <w:rFonts w:cs="Times New Roman"/>
    </w:rPr>
  </w:style>
  <w:style w:type="character" w:customStyle="1" w:styleId="abscitationtitle">
    <w:name w:val="abs_citation_title"/>
    <w:basedOn w:val="Standardnpsmoodstavce"/>
    <w:uiPriority w:val="99"/>
    <w:rsid w:val="00BC1082"/>
    <w:rPr>
      <w:rFonts w:cs="Times New Roman"/>
    </w:rPr>
  </w:style>
  <w:style w:type="character" w:customStyle="1" w:styleId="absnonlinkmetadata">
    <w:name w:val="abs_nonlink_metadata"/>
    <w:basedOn w:val="Standardnpsmoodstavce"/>
    <w:uiPriority w:val="99"/>
    <w:rsid w:val="00BC1082"/>
    <w:rPr>
      <w:rFonts w:cs="Times New Roman"/>
    </w:rPr>
  </w:style>
  <w:style w:type="character" w:customStyle="1" w:styleId="absmetadatalabel">
    <w:name w:val="abs_metadata_label"/>
    <w:basedOn w:val="Standardnpsmoodstavce"/>
    <w:uiPriority w:val="99"/>
    <w:rsid w:val="00BC1082"/>
    <w:rPr>
      <w:rFonts w:cs="Times New Roman"/>
    </w:rPr>
  </w:style>
  <w:style w:type="character" w:customStyle="1" w:styleId="article-title">
    <w:name w:val="article-title"/>
    <w:basedOn w:val="Standardnpsmoodstavce"/>
    <w:uiPriority w:val="99"/>
    <w:rsid w:val="00EF238B"/>
    <w:rPr>
      <w:rFonts w:cs="Times New Roman"/>
    </w:rPr>
  </w:style>
  <w:style w:type="character" w:customStyle="1" w:styleId="cit-auth">
    <w:name w:val="cit-auth"/>
    <w:basedOn w:val="Standardnpsmoodstavce"/>
    <w:uiPriority w:val="99"/>
    <w:rsid w:val="00EF238B"/>
    <w:rPr>
      <w:rFonts w:cs="Times New Roman"/>
    </w:rPr>
  </w:style>
  <w:style w:type="character" w:customStyle="1" w:styleId="cit-print-date">
    <w:name w:val="cit-print-date"/>
    <w:basedOn w:val="Standardnpsmoodstavce"/>
    <w:uiPriority w:val="99"/>
    <w:rsid w:val="00EF238B"/>
    <w:rPr>
      <w:rFonts w:cs="Times New Roman"/>
    </w:rPr>
  </w:style>
  <w:style w:type="character" w:customStyle="1" w:styleId="cit-first-page">
    <w:name w:val="cit-first-page"/>
    <w:basedOn w:val="Standardnpsmoodstavce"/>
    <w:uiPriority w:val="99"/>
    <w:rsid w:val="00EF238B"/>
    <w:rPr>
      <w:rFonts w:cs="Times New Roman"/>
    </w:rPr>
  </w:style>
  <w:style w:type="character" w:customStyle="1" w:styleId="cit-last-page">
    <w:name w:val="cit-last-page"/>
    <w:basedOn w:val="Standardnpsmoodstavce"/>
    <w:uiPriority w:val="99"/>
    <w:rsid w:val="00EF238B"/>
    <w:rPr>
      <w:rFonts w:cs="Times New Roman"/>
    </w:rPr>
  </w:style>
  <w:style w:type="paragraph" w:customStyle="1" w:styleId="Abstrakt-text">
    <w:name w:val="Abstrakt - text"/>
    <w:basedOn w:val="Normln"/>
    <w:uiPriority w:val="99"/>
    <w:rsid w:val="00E6651E"/>
    <w:pPr>
      <w:spacing w:after="80" w:line="240" w:lineRule="auto"/>
      <w:jc w:val="both"/>
    </w:pPr>
    <w:rPr>
      <w:rFonts w:ascii="Times New Roman" w:hAnsi="Times New Roman"/>
      <w:sz w:val="20"/>
    </w:rPr>
  </w:style>
  <w:style w:type="paragraph" w:styleId="FormtovanvHTML">
    <w:name w:val="HTML Preformatted"/>
    <w:basedOn w:val="Normln"/>
    <w:link w:val="FormtovanvHTMLChar"/>
    <w:uiPriority w:val="99"/>
    <w:rsid w:val="0041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locked/>
    <w:rsid w:val="00410A12"/>
    <w:rPr>
      <w:rFonts w:ascii="Courier New" w:hAnsi="Courier New" w:cs="Courier New"/>
      <w:sz w:val="20"/>
      <w:szCs w:val="20"/>
    </w:rPr>
  </w:style>
  <w:style w:type="character" w:customStyle="1" w:styleId="ft">
    <w:name w:val="ft"/>
    <w:basedOn w:val="Standardnpsmoodstavce"/>
    <w:uiPriority w:val="99"/>
    <w:rsid w:val="00BF7FBA"/>
    <w:rPr>
      <w:rFonts w:cs="Times New Roman"/>
    </w:rPr>
  </w:style>
  <w:style w:type="character" w:customStyle="1" w:styleId="pissn">
    <w:name w:val="pissn"/>
    <w:basedOn w:val="Standardnpsmoodstavce"/>
    <w:uiPriority w:val="99"/>
    <w:rsid w:val="001570DF"/>
    <w:rPr>
      <w:rFonts w:cs="Times New Roman"/>
    </w:rPr>
  </w:style>
  <w:style w:type="character" w:customStyle="1" w:styleId="issn">
    <w:name w:val="issn"/>
    <w:basedOn w:val="Standardnpsmoodstavce"/>
    <w:uiPriority w:val="99"/>
    <w:rsid w:val="00321986"/>
    <w:rPr>
      <w:rFonts w:cs="Times New Roman"/>
    </w:rPr>
  </w:style>
  <w:style w:type="paragraph" w:styleId="Titulek">
    <w:name w:val="caption"/>
    <w:basedOn w:val="Normln"/>
    <w:next w:val="Normln"/>
    <w:uiPriority w:val="99"/>
    <w:qFormat/>
    <w:locked/>
    <w:rsid w:val="00714003"/>
    <w:pPr>
      <w:spacing w:line="240" w:lineRule="auto"/>
    </w:pPr>
    <w:rPr>
      <w:b/>
      <w:bCs/>
      <w:color w:val="4F81BD"/>
      <w:sz w:val="18"/>
      <w:szCs w:val="18"/>
    </w:rPr>
  </w:style>
  <w:style w:type="paragraph" w:customStyle="1" w:styleId="Styl1">
    <w:name w:val="Styl1"/>
    <w:basedOn w:val="Nadpis1"/>
    <w:uiPriority w:val="99"/>
    <w:rsid w:val="00930B73"/>
    <w:pPr>
      <w:keepNext/>
      <w:numPr>
        <w:numId w:val="0"/>
      </w:numPr>
      <w:suppressAutoHyphens/>
      <w:spacing w:before="0" w:beforeAutospacing="0" w:after="60" w:afterAutospacing="0" w:line="360" w:lineRule="auto"/>
    </w:pPr>
    <w:rPr>
      <w:kern w:val="1"/>
      <w:szCs w:val="32"/>
      <w:lang w:eastAsia="ar-SA"/>
    </w:rPr>
  </w:style>
  <w:style w:type="paragraph" w:customStyle="1" w:styleId="Styl2">
    <w:name w:val="Styl2"/>
    <w:basedOn w:val="Nadpis2"/>
    <w:uiPriority w:val="99"/>
    <w:rsid w:val="007F7222"/>
    <w:pPr>
      <w:keepLines w:val="0"/>
      <w:numPr>
        <w:ilvl w:val="0"/>
        <w:numId w:val="0"/>
      </w:numPr>
      <w:suppressAutoHyphens/>
      <w:spacing w:before="360" w:after="180" w:line="360" w:lineRule="auto"/>
    </w:pPr>
    <w:rPr>
      <w:b w:val="0"/>
      <w:bCs w:val="0"/>
      <w:iCs/>
      <w:color w:val="auto"/>
      <w:szCs w:val="28"/>
      <w:lang w:eastAsia="ar-SA"/>
    </w:rPr>
  </w:style>
  <w:style w:type="table" w:styleId="Stednseznam2zvraznn1">
    <w:name w:val="Medium List 2 Accent 1"/>
    <w:basedOn w:val="Normlntabulka"/>
    <w:uiPriority w:val="99"/>
    <w:rsid w:val="007753B7"/>
    <w:rPr>
      <w:rFonts w:ascii="Cambria" w:eastAsia="Times New Roman" w:hAnsi="Cambria"/>
      <w:color w:val="00000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styleId="Nadpisobsahu">
    <w:name w:val="TOC Heading"/>
    <w:basedOn w:val="Nadpis1"/>
    <w:next w:val="Normln"/>
    <w:uiPriority w:val="99"/>
    <w:qFormat/>
    <w:rsid w:val="005214B8"/>
    <w:pPr>
      <w:keepNext/>
      <w:keepLines/>
      <w:numPr>
        <w:numId w:val="0"/>
      </w:numPr>
      <w:spacing w:before="480" w:beforeAutospacing="0" w:after="0" w:afterAutospacing="0" w:line="276" w:lineRule="auto"/>
      <w:outlineLvl w:val="9"/>
    </w:pPr>
    <w:rPr>
      <w:rFonts w:ascii="Cambria" w:hAnsi="Cambria"/>
      <w:color w:val="365F91"/>
      <w:kern w:val="0"/>
      <w:sz w:val="28"/>
      <w:szCs w:val="28"/>
    </w:rPr>
  </w:style>
  <w:style w:type="paragraph" w:styleId="Obsah1">
    <w:name w:val="toc 1"/>
    <w:basedOn w:val="Normln"/>
    <w:next w:val="Normln"/>
    <w:autoRedefine/>
    <w:uiPriority w:val="99"/>
    <w:locked/>
    <w:rsid w:val="005214B8"/>
    <w:pPr>
      <w:spacing w:after="100"/>
    </w:pPr>
  </w:style>
  <w:style w:type="paragraph" w:styleId="Obsah2">
    <w:name w:val="toc 2"/>
    <w:basedOn w:val="Normln"/>
    <w:next w:val="Normln"/>
    <w:autoRedefine/>
    <w:uiPriority w:val="99"/>
    <w:locked/>
    <w:rsid w:val="0056117D"/>
    <w:pPr>
      <w:tabs>
        <w:tab w:val="left" w:pos="709"/>
        <w:tab w:val="right" w:leader="dot" w:pos="9062"/>
      </w:tabs>
      <w:spacing w:after="100"/>
    </w:pPr>
  </w:style>
  <w:style w:type="paragraph" w:styleId="Obsah3">
    <w:name w:val="toc 3"/>
    <w:basedOn w:val="Normln"/>
    <w:next w:val="Normln"/>
    <w:autoRedefine/>
    <w:uiPriority w:val="99"/>
    <w:locked/>
    <w:rsid w:val="005214B8"/>
    <w:pPr>
      <w:spacing w:after="100"/>
      <w:ind w:left="440"/>
    </w:pPr>
  </w:style>
</w:styles>
</file>

<file path=word/webSettings.xml><?xml version="1.0" encoding="utf-8"?>
<w:webSettings xmlns:r="http://schemas.openxmlformats.org/officeDocument/2006/relationships" xmlns:w="http://schemas.openxmlformats.org/wordprocessingml/2006/main">
  <w:divs>
    <w:div w:id="249587293">
      <w:marLeft w:val="0"/>
      <w:marRight w:val="0"/>
      <w:marTop w:val="0"/>
      <w:marBottom w:val="0"/>
      <w:divBdr>
        <w:top w:val="none" w:sz="0" w:space="0" w:color="auto"/>
        <w:left w:val="none" w:sz="0" w:space="0" w:color="auto"/>
        <w:bottom w:val="none" w:sz="0" w:space="0" w:color="auto"/>
        <w:right w:val="none" w:sz="0" w:space="0" w:color="auto"/>
      </w:divBdr>
    </w:div>
    <w:div w:id="249587294">
      <w:marLeft w:val="0"/>
      <w:marRight w:val="0"/>
      <w:marTop w:val="0"/>
      <w:marBottom w:val="0"/>
      <w:divBdr>
        <w:top w:val="none" w:sz="0" w:space="0" w:color="auto"/>
        <w:left w:val="none" w:sz="0" w:space="0" w:color="auto"/>
        <w:bottom w:val="none" w:sz="0" w:space="0" w:color="auto"/>
        <w:right w:val="none" w:sz="0" w:space="0" w:color="auto"/>
      </w:divBdr>
      <w:divsChild>
        <w:div w:id="249587491">
          <w:marLeft w:val="75"/>
          <w:marRight w:val="75"/>
          <w:marTop w:val="0"/>
          <w:marBottom w:val="0"/>
          <w:divBdr>
            <w:top w:val="none" w:sz="0" w:space="0" w:color="auto"/>
            <w:left w:val="none" w:sz="0" w:space="0" w:color="auto"/>
            <w:bottom w:val="none" w:sz="0" w:space="0" w:color="auto"/>
            <w:right w:val="none" w:sz="0" w:space="0" w:color="auto"/>
          </w:divBdr>
        </w:div>
      </w:divsChild>
    </w:div>
    <w:div w:id="249587295">
      <w:marLeft w:val="0"/>
      <w:marRight w:val="0"/>
      <w:marTop w:val="0"/>
      <w:marBottom w:val="0"/>
      <w:divBdr>
        <w:top w:val="none" w:sz="0" w:space="0" w:color="auto"/>
        <w:left w:val="none" w:sz="0" w:space="0" w:color="auto"/>
        <w:bottom w:val="none" w:sz="0" w:space="0" w:color="auto"/>
        <w:right w:val="none" w:sz="0" w:space="0" w:color="auto"/>
      </w:divBdr>
    </w:div>
    <w:div w:id="249587296">
      <w:marLeft w:val="0"/>
      <w:marRight w:val="0"/>
      <w:marTop w:val="0"/>
      <w:marBottom w:val="0"/>
      <w:divBdr>
        <w:top w:val="none" w:sz="0" w:space="0" w:color="auto"/>
        <w:left w:val="none" w:sz="0" w:space="0" w:color="auto"/>
        <w:bottom w:val="none" w:sz="0" w:space="0" w:color="auto"/>
        <w:right w:val="none" w:sz="0" w:space="0" w:color="auto"/>
      </w:divBdr>
      <w:divsChild>
        <w:div w:id="249587389">
          <w:marLeft w:val="0"/>
          <w:marRight w:val="0"/>
          <w:marTop w:val="0"/>
          <w:marBottom w:val="375"/>
          <w:divBdr>
            <w:top w:val="none" w:sz="0" w:space="0" w:color="auto"/>
            <w:left w:val="none" w:sz="0" w:space="0" w:color="auto"/>
            <w:bottom w:val="none" w:sz="0" w:space="0" w:color="auto"/>
            <w:right w:val="none" w:sz="0" w:space="0" w:color="auto"/>
          </w:divBdr>
          <w:divsChild>
            <w:div w:id="249587583">
              <w:marLeft w:val="0"/>
              <w:marRight w:val="0"/>
              <w:marTop w:val="0"/>
              <w:marBottom w:val="0"/>
              <w:divBdr>
                <w:top w:val="none" w:sz="0" w:space="0" w:color="auto"/>
                <w:left w:val="none" w:sz="0" w:space="0" w:color="auto"/>
                <w:bottom w:val="none" w:sz="0" w:space="0" w:color="auto"/>
                <w:right w:val="none" w:sz="0" w:space="0" w:color="auto"/>
              </w:divBdr>
              <w:divsChild>
                <w:div w:id="249587279">
                  <w:marLeft w:val="0"/>
                  <w:marRight w:val="0"/>
                  <w:marTop w:val="0"/>
                  <w:marBottom w:val="0"/>
                  <w:divBdr>
                    <w:top w:val="none" w:sz="0" w:space="0" w:color="auto"/>
                    <w:left w:val="none" w:sz="0" w:space="0" w:color="auto"/>
                    <w:bottom w:val="none" w:sz="0" w:space="0" w:color="auto"/>
                    <w:right w:val="none" w:sz="0" w:space="0" w:color="auto"/>
                  </w:divBdr>
                  <w:divsChild>
                    <w:div w:id="249587285">
                      <w:marLeft w:val="0"/>
                      <w:marRight w:val="0"/>
                      <w:marTop w:val="0"/>
                      <w:marBottom w:val="0"/>
                      <w:divBdr>
                        <w:top w:val="none" w:sz="0" w:space="0" w:color="auto"/>
                        <w:left w:val="none" w:sz="0" w:space="0" w:color="auto"/>
                        <w:bottom w:val="none" w:sz="0" w:space="0" w:color="auto"/>
                        <w:right w:val="none" w:sz="0" w:space="0" w:color="auto"/>
                      </w:divBdr>
                      <w:divsChild>
                        <w:div w:id="249587297">
                          <w:marLeft w:val="0"/>
                          <w:marRight w:val="0"/>
                          <w:marTop w:val="0"/>
                          <w:marBottom w:val="0"/>
                          <w:divBdr>
                            <w:top w:val="none" w:sz="0" w:space="0" w:color="auto"/>
                            <w:left w:val="none" w:sz="0" w:space="0" w:color="auto"/>
                            <w:bottom w:val="none" w:sz="0" w:space="0" w:color="auto"/>
                            <w:right w:val="none" w:sz="0" w:space="0" w:color="auto"/>
                          </w:divBdr>
                          <w:divsChild>
                            <w:div w:id="249587282">
                              <w:marLeft w:val="0"/>
                              <w:marRight w:val="0"/>
                              <w:marTop w:val="0"/>
                              <w:marBottom w:val="210"/>
                              <w:divBdr>
                                <w:top w:val="none" w:sz="0" w:space="0" w:color="auto"/>
                                <w:left w:val="none" w:sz="0" w:space="0" w:color="auto"/>
                                <w:bottom w:val="none" w:sz="0" w:space="0" w:color="auto"/>
                                <w:right w:val="none" w:sz="0" w:space="0" w:color="auto"/>
                              </w:divBdr>
                              <w:divsChild>
                                <w:div w:id="249587612">
                                  <w:marLeft w:val="0"/>
                                  <w:marRight w:val="0"/>
                                  <w:marTop w:val="0"/>
                                  <w:marBottom w:val="0"/>
                                  <w:divBdr>
                                    <w:top w:val="none" w:sz="0" w:space="0" w:color="auto"/>
                                    <w:left w:val="none" w:sz="0" w:space="0" w:color="auto"/>
                                    <w:bottom w:val="none" w:sz="0" w:space="0" w:color="auto"/>
                                    <w:right w:val="none" w:sz="0" w:space="0" w:color="auto"/>
                                  </w:divBdr>
                                </w:div>
                              </w:divsChild>
                            </w:div>
                            <w:div w:id="249587468">
                              <w:marLeft w:val="0"/>
                              <w:marRight w:val="0"/>
                              <w:marTop w:val="0"/>
                              <w:marBottom w:val="0"/>
                              <w:divBdr>
                                <w:top w:val="none" w:sz="0" w:space="0" w:color="auto"/>
                                <w:left w:val="none" w:sz="0" w:space="0" w:color="auto"/>
                                <w:bottom w:val="none" w:sz="0" w:space="0" w:color="auto"/>
                                <w:right w:val="none" w:sz="0" w:space="0" w:color="auto"/>
                              </w:divBdr>
                              <w:divsChild>
                                <w:div w:id="24958764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587632">
          <w:marLeft w:val="0"/>
          <w:marRight w:val="0"/>
          <w:marTop w:val="0"/>
          <w:marBottom w:val="0"/>
          <w:divBdr>
            <w:top w:val="none" w:sz="0" w:space="0" w:color="auto"/>
            <w:left w:val="none" w:sz="0" w:space="0" w:color="auto"/>
            <w:bottom w:val="none" w:sz="0" w:space="0" w:color="auto"/>
            <w:right w:val="none" w:sz="0" w:space="0" w:color="auto"/>
          </w:divBdr>
          <w:divsChild>
            <w:div w:id="249587445">
              <w:marLeft w:val="0"/>
              <w:marRight w:val="0"/>
              <w:marTop w:val="0"/>
              <w:marBottom w:val="0"/>
              <w:divBdr>
                <w:top w:val="none" w:sz="0" w:space="0" w:color="auto"/>
                <w:left w:val="none" w:sz="0" w:space="0" w:color="auto"/>
                <w:bottom w:val="none" w:sz="0" w:space="0" w:color="auto"/>
                <w:right w:val="none" w:sz="0" w:space="0" w:color="auto"/>
              </w:divBdr>
              <w:divsChild>
                <w:div w:id="249587588">
                  <w:marLeft w:val="0"/>
                  <w:marRight w:val="0"/>
                  <w:marTop w:val="0"/>
                  <w:marBottom w:val="375"/>
                  <w:divBdr>
                    <w:top w:val="none" w:sz="0" w:space="0" w:color="auto"/>
                    <w:left w:val="none" w:sz="0" w:space="0" w:color="auto"/>
                    <w:bottom w:val="none" w:sz="0" w:space="0" w:color="auto"/>
                    <w:right w:val="none" w:sz="0" w:space="0" w:color="auto"/>
                  </w:divBdr>
                  <w:divsChild>
                    <w:div w:id="249587381">
                      <w:marLeft w:val="0"/>
                      <w:marRight w:val="0"/>
                      <w:marTop w:val="0"/>
                      <w:marBottom w:val="0"/>
                      <w:divBdr>
                        <w:top w:val="none" w:sz="0" w:space="0" w:color="auto"/>
                        <w:left w:val="none" w:sz="0" w:space="0" w:color="auto"/>
                        <w:bottom w:val="none" w:sz="0" w:space="0" w:color="auto"/>
                        <w:right w:val="none" w:sz="0" w:space="0" w:color="auto"/>
                      </w:divBdr>
                      <w:divsChild>
                        <w:div w:id="249587644">
                          <w:marLeft w:val="0"/>
                          <w:marRight w:val="0"/>
                          <w:marTop w:val="0"/>
                          <w:marBottom w:val="0"/>
                          <w:divBdr>
                            <w:top w:val="none" w:sz="0" w:space="0" w:color="auto"/>
                            <w:left w:val="none" w:sz="0" w:space="0" w:color="auto"/>
                            <w:bottom w:val="none" w:sz="0" w:space="0" w:color="auto"/>
                            <w:right w:val="none" w:sz="0" w:space="0" w:color="auto"/>
                          </w:divBdr>
                          <w:divsChild>
                            <w:div w:id="249587618">
                              <w:marLeft w:val="0"/>
                              <w:marRight w:val="0"/>
                              <w:marTop w:val="0"/>
                              <w:marBottom w:val="0"/>
                              <w:divBdr>
                                <w:top w:val="none" w:sz="0" w:space="0" w:color="auto"/>
                                <w:left w:val="none" w:sz="0" w:space="0" w:color="auto"/>
                                <w:bottom w:val="none" w:sz="0" w:space="0" w:color="auto"/>
                                <w:right w:val="none" w:sz="0" w:space="0" w:color="auto"/>
                              </w:divBdr>
                              <w:divsChild>
                                <w:div w:id="249587413">
                                  <w:marLeft w:val="0"/>
                                  <w:marRight w:val="0"/>
                                  <w:marTop w:val="0"/>
                                  <w:marBottom w:val="0"/>
                                  <w:divBdr>
                                    <w:top w:val="none" w:sz="0" w:space="0" w:color="auto"/>
                                    <w:left w:val="none" w:sz="0" w:space="0" w:color="auto"/>
                                    <w:bottom w:val="none" w:sz="0" w:space="0" w:color="auto"/>
                                    <w:right w:val="none" w:sz="0" w:space="0" w:color="auto"/>
                                  </w:divBdr>
                                  <w:divsChild>
                                    <w:div w:id="249587642">
                                      <w:marLeft w:val="0"/>
                                      <w:marRight w:val="0"/>
                                      <w:marTop w:val="0"/>
                                      <w:marBottom w:val="0"/>
                                      <w:divBdr>
                                        <w:top w:val="none" w:sz="0" w:space="0" w:color="auto"/>
                                        <w:left w:val="none" w:sz="0" w:space="0" w:color="auto"/>
                                        <w:bottom w:val="none" w:sz="0" w:space="0" w:color="auto"/>
                                        <w:right w:val="none" w:sz="0" w:space="0" w:color="auto"/>
                                      </w:divBdr>
                                      <w:divsChild>
                                        <w:div w:id="249587587">
                                          <w:marLeft w:val="0"/>
                                          <w:marRight w:val="0"/>
                                          <w:marTop w:val="0"/>
                                          <w:marBottom w:val="0"/>
                                          <w:divBdr>
                                            <w:top w:val="none" w:sz="0" w:space="0" w:color="auto"/>
                                            <w:left w:val="none" w:sz="0" w:space="0" w:color="auto"/>
                                            <w:bottom w:val="none" w:sz="0" w:space="0" w:color="auto"/>
                                            <w:right w:val="none" w:sz="0" w:space="0" w:color="auto"/>
                                          </w:divBdr>
                                          <w:divsChild>
                                            <w:div w:id="249587477">
                                              <w:marLeft w:val="0"/>
                                              <w:marRight w:val="0"/>
                                              <w:marTop w:val="0"/>
                                              <w:marBottom w:val="0"/>
                                              <w:divBdr>
                                                <w:top w:val="none" w:sz="0" w:space="0" w:color="auto"/>
                                                <w:left w:val="none" w:sz="0" w:space="0" w:color="auto"/>
                                                <w:bottom w:val="none" w:sz="0" w:space="0" w:color="auto"/>
                                                <w:right w:val="none" w:sz="0" w:space="0" w:color="auto"/>
                                              </w:divBdr>
                                              <w:divsChild>
                                                <w:div w:id="249587387">
                                                  <w:marLeft w:val="0"/>
                                                  <w:marRight w:val="0"/>
                                                  <w:marTop w:val="0"/>
                                                  <w:marBottom w:val="0"/>
                                                  <w:divBdr>
                                                    <w:top w:val="none" w:sz="0" w:space="0" w:color="auto"/>
                                                    <w:left w:val="none" w:sz="0" w:space="0" w:color="auto"/>
                                                    <w:bottom w:val="none" w:sz="0" w:space="0" w:color="auto"/>
                                                    <w:right w:val="none" w:sz="0" w:space="0" w:color="auto"/>
                                                  </w:divBdr>
                                                  <w:divsChild>
                                                    <w:div w:id="249587321">
                                                      <w:marLeft w:val="0"/>
                                                      <w:marRight w:val="300"/>
                                                      <w:marTop w:val="0"/>
                                                      <w:marBottom w:val="0"/>
                                                      <w:divBdr>
                                                        <w:top w:val="none" w:sz="0" w:space="0" w:color="auto"/>
                                                        <w:left w:val="none" w:sz="0" w:space="0" w:color="auto"/>
                                                        <w:bottom w:val="none" w:sz="0" w:space="0" w:color="auto"/>
                                                        <w:right w:val="none" w:sz="0" w:space="0" w:color="auto"/>
                                                      </w:divBdr>
                                                      <w:divsChild>
                                                        <w:div w:id="249587663">
                                                          <w:marLeft w:val="0"/>
                                                          <w:marRight w:val="0"/>
                                                          <w:marTop w:val="0"/>
                                                          <w:marBottom w:val="0"/>
                                                          <w:divBdr>
                                                            <w:top w:val="none" w:sz="0" w:space="0" w:color="auto"/>
                                                            <w:left w:val="none" w:sz="0" w:space="0" w:color="auto"/>
                                                            <w:bottom w:val="none" w:sz="0" w:space="0" w:color="auto"/>
                                                            <w:right w:val="none" w:sz="0" w:space="0" w:color="auto"/>
                                                          </w:divBdr>
                                                          <w:divsChild>
                                                            <w:div w:id="249587324">
                                                              <w:marLeft w:val="0"/>
                                                              <w:marRight w:val="0"/>
                                                              <w:marTop w:val="0"/>
                                                              <w:marBottom w:val="0"/>
                                                              <w:divBdr>
                                                                <w:top w:val="none" w:sz="0" w:space="0" w:color="auto"/>
                                                                <w:left w:val="none" w:sz="0" w:space="0" w:color="auto"/>
                                                                <w:bottom w:val="none" w:sz="0" w:space="0" w:color="auto"/>
                                                                <w:right w:val="none" w:sz="0" w:space="0" w:color="auto"/>
                                                              </w:divBdr>
                                                              <w:divsChild>
                                                                <w:div w:id="249587493">
                                                                  <w:marLeft w:val="0"/>
                                                                  <w:marRight w:val="0"/>
                                                                  <w:marTop w:val="0"/>
                                                                  <w:marBottom w:val="0"/>
                                                                  <w:divBdr>
                                                                    <w:top w:val="none" w:sz="0" w:space="0" w:color="auto"/>
                                                                    <w:left w:val="none" w:sz="0" w:space="0" w:color="auto"/>
                                                                    <w:bottom w:val="none" w:sz="0" w:space="0" w:color="auto"/>
                                                                    <w:right w:val="none" w:sz="0" w:space="0" w:color="auto"/>
                                                                  </w:divBdr>
                                                                  <w:divsChild>
                                                                    <w:div w:id="249587452">
                                                                      <w:marLeft w:val="0"/>
                                                                      <w:marRight w:val="0"/>
                                                                      <w:marTop w:val="0"/>
                                                                      <w:marBottom w:val="0"/>
                                                                      <w:divBdr>
                                                                        <w:top w:val="none" w:sz="0" w:space="0" w:color="auto"/>
                                                                        <w:left w:val="none" w:sz="0" w:space="0" w:color="auto"/>
                                                                        <w:bottom w:val="none" w:sz="0" w:space="0" w:color="auto"/>
                                                                        <w:right w:val="none" w:sz="0" w:space="0" w:color="auto"/>
                                                                      </w:divBdr>
                                                                      <w:divsChild>
                                                                        <w:div w:id="24958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587643">
                                                      <w:marLeft w:val="0"/>
                                                      <w:marRight w:val="0"/>
                                                      <w:marTop w:val="0"/>
                                                      <w:marBottom w:val="0"/>
                                                      <w:divBdr>
                                                        <w:top w:val="none" w:sz="0" w:space="0" w:color="auto"/>
                                                        <w:left w:val="none" w:sz="0" w:space="0" w:color="auto"/>
                                                        <w:bottom w:val="none" w:sz="0" w:space="0" w:color="auto"/>
                                                        <w:right w:val="none" w:sz="0" w:space="0" w:color="auto"/>
                                                      </w:divBdr>
                                                      <w:divsChild>
                                                        <w:div w:id="249587668">
                                                          <w:marLeft w:val="120"/>
                                                          <w:marRight w:val="0"/>
                                                          <w:marTop w:val="0"/>
                                                          <w:marBottom w:val="240"/>
                                                          <w:divBdr>
                                                            <w:top w:val="none" w:sz="0" w:space="0" w:color="auto"/>
                                                            <w:left w:val="none" w:sz="0" w:space="0" w:color="auto"/>
                                                            <w:bottom w:val="none" w:sz="0" w:space="0" w:color="auto"/>
                                                            <w:right w:val="none" w:sz="0" w:space="0" w:color="auto"/>
                                                          </w:divBdr>
                                                          <w:divsChild>
                                                            <w:div w:id="249587658">
                                                              <w:marLeft w:val="0"/>
                                                              <w:marRight w:val="0"/>
                                                              <w:marTop w:val="0"/>
                                                              <w:marBottom w:val="0"/>
                                                              <w:divBdr>
                                                                <w:top w:val="none" w:sz="0" w:space="0" w:color="auto"/>
                                                                <w:left w:val="none" w:sz="0" w:space="0" w:color="auto"/>
                                                                <w:bottom w:val="none" w:sz="0" w:space="0" w:color="auto"/>
                                                                <w:right w:val="none" w:sz="0" w:space="0" w:color="auto"/>
                                                              </w:divBdr>
                                                              <w:divsChild>
                                                                <w:div w:id="24958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7661">
                                                      <w:marLeft w:val="0"/>
                                                      <w:marRight w:val="0"/>
                                                      <w:marTop w:val="0"/>
                                                      <w:marBottom w:val="0"/>
                                                      <w:divBdr>
                                                        <w:top w:val="none" w:sz="0" w:space="0" w:color="auto"/>
                                                        <w:left w:val="none" w:sz="0" w:space="0" w:color="auto"/>
                                                        <w:bottom w:val="none" w:sz="0" w:space="0" w:color="auto"/>
                                                        <w:right w:val="none" w:sz="0" w:space="0" w:color="auto"/>
                                                      </w:divBdr>
                                                      <w:divsChild>
                                                        <w:div w:id="249587486">
                                                          <w:marLeft w:val="0"/>
                                                          <w:marRight w:val="0"/>
                                                          <w:marTop w:val="0"/>
                                                          <w:marBottom w:val="0"/>
                                                          <w:divBdr>
                                                            <w:top w:val="none" w:sz="0" w:space="0" w:color="auto"/>
                                                            <w:left w:val="none" w:sz="0" w:space="0" w:color="auto"/>
                                                            <w:bottom w:val="none" w:sz="0" w:space="0" w:color="auto"/>
                                                            <w:right w:val="none" w:sz="0" w:space="0" w:color="auto"/>
                                                          </w:divBdr>
                                                          <w:divsChild>
                                                            <w:div w:id="249587418">
                                                              <w:marLeft w:val="0"/>
                                                              <w:marRight w:val="0"/>
                                                              <w:marTop w:val="0"/>
                                                              <w:marBottom w:val="0"/>
                                                              <w:divBdr>
                                                                <w:top w:val="none" w:sz="0" w:space="0" w:color="auto"/>
                                                                <w:left w:val="none" w:sz="0" w:space="0" w:color="auto"/>
                                                                <w:bottom w:val="none" w:sz="0" w:space="0" w:color="auto"/>
                                                                <w:right w:val="none" w:sz="0" w:space="0" w:color="auto"/>
                                                              </w:divBdr>
                                                              <w:divsChild>
                                                                <w:div w:id="249587673">
                                                                  <w:marLeft w:val="0"/>
                                                                  <w:marRight w:val="0"/>
                                                                  <w:marTop w:val="0"/>
                                                                  <w:marBottom w:val="0"/>
                                                                  <w:divBdr>
                                                                    <w:top w:val="none" w:sz="0" w:space="0" w:color="auto"/>
                                                                    <w:left w:val="none" w:sz="0" w:space="0" w:color="auto"/>
                                                                    <w:bottom w:val="none" w:sz="0" w:space="0" w:color="auto"/>
                                                                    <w:right w:val="none" w:sz="0" w:space="0" w:color="auto"/>
                                                                  </w:divBdr>
                                                                  <w:divsChild>
                                                                    <w:div w:id="249587510">
                                                                      <w:marLeft w:val="0"/>
                                                                      <w:marRight w:val="0"/>
                                                                      <w:marTop w:val="0"/>
                                                                      <w:marBottom w:val="0"/>
                                                                      <w:divBdr>
                                                                        <w:top w:val="none" w:sz="0" w:space="0" w:color="auto"/>
                                                                        <w:left w:val="none" w:sz="0" w:space="0" w:color="auto"/>
                                                                        <w:bottom w:val="none" w:sz="0" w:space="0" w:color="auto"/>
                                                                        <w:right w:val="none" w:sz="0" w:space="0" w:color="auto"/>
                                                                      </w:divBdr>
                                                                      <w:divsChild>
                                                                        <w:div w:id="249587610">
                                                                          <w:marLeft w:val="0"/>
                                                                          <w:marRight w:val="0"/>
                                                                          <w:marTop w:val="0"/>
                                                                          <w:marBottom w:val="0"/>
                                                                          <w:divBdr>
                                                                            <w:top w:val="none" w:sz="0" w:space="0" w:color="auto"/>
                                                                            <w:left w:val="none" w:sz="0" w:space="0" w:color="auto"/>
                                                                            <w:bottom w:val="none" w:sz="0" w:space="0" w:color="auto"/>
                                                                            <w:right w:val="none" w:sz="0" w:space="0" w:color="auto"/>
                                                                          </w:divBdr>
                                                                          <w:divsChild>
                                                                            <w:div w:id="249587623">
                                                                              <w:marLeft w:val="0"/>
                                                                              <w:marRight w:val="0"/>
                                                                              <w:marTop w:val="0"/>
                                                                              <w:marBottom w:val="0"/>
                                                                              <w:divBdr>
                                                                                <w:top w:val="none" w:sz="0" w:space="0" w:color="auto"/>
                                                                                <w:left w:val="none" w:sz="0" w:space="0" w:color="auto"/>
                                                                                <w:bottom w:val="none" w:sz="0" w:space="0" w:color="auto"/>
                                                                                <w:right w:val="none" w:sz="0" w:space="0" w:color="auto"/>
                                                                              </w:divBdr>
                                                                              <w:divsChild>
                                                                                <w:div w:id="249587635">
                                                                                  <w:marLeft w:val="0"/>
                                                                                  <w:marRight w:val="0"/>
                                                                                  <w:marTop w:val="0"/>
                                                                                  <w:marBottom w:val="0"/>
                                                                                  <w:divBdr>
                                                                                    <w:top w:val="none" w:sz="0" w:space="0" w:color="auto"/>
                                                                                    <w:left w:val="none" w:sz="0" w:space="0" w:color="auto"/>
                                                                                    <w:bottom w:val="none" w:sz="0" w:space="0" w:color="auto"/>
                                                                                    <w:right w:val="none" w:sz="0" w:space="0" w:color="auto"/>
                                                                                  </w:divBdr>
                                                                                  <w:divsChild>
                                                                                    <w:div w:id="249587380">
                                                                                      <w:marLeft w:val="0"/>
                                                                                      <w:marRight w:val="0"/>
                                                                                      <w:marTop w:val="0"/>
                                                                                      <w:marBottom w:val="0"/>
                                                                                      <w:divBdr>
                                                                                        <w:top w:val="none" w:sz="0" w:space="0" w:color="auto"/>
                                                                                        <w:left w:val="none" w:sz="0" w:space="0" w:color="auto"/>
                                                                                        <w:bottom w:val="none" w:sz="0" w:space="0" w:color="auto"/>
                                                                                        <w:right w:val="none" w:sz="0" w:space="0" w:color="auto"/>
                                                                                      </w:divBdr>
                                                                                      <w:divsChild>
                                                                                        <w:div w:id="249587469">
                                                                                          <w:marLeft w:val="0"/>
                                                                                          <w:marRight w:val="0"/>
                                                                                          <w:marTop w:val="0"/>
                                                                                          <w:marBottom w:val="0"/>
                                                                                          <w:divBdr>
                                                                                            <w:top w:val="none" w:sz="0" w:space="0" w:color="auto"/>
                                                                                            <w:left w:val="none" w:sz="0" w:space="0" w:color="auto"/>
                                                                                            <w:bottom w:val="none" w:sz="0" w:space="0" w:color="auto"/>
                                                                                            <w:right w:val="none" w:sz="0" w:space="0" w:color="auto"/>
                                                                                          </w:divBdr>
                                                                                          <w:divsChild>
                                                                                            <w:div w:id="24958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9587651">
                                                              <w:marLeft w:val="0"/>
                                                              <w:marRight w:val="0"/>
                                                              <w:marTop w:val="0"/>
                                                              <w:marBottom w:val="0"/>
                                                              <w:divBdr>
                                                                <w:top w:val="none" w:sz="0" w:space="0" w:color="auto"/>
                                                                <w:left w:val="none" w:sz="0" w:space="0" w:color="auto"/>
                                                                <w:bottom w:val="none" w:sz="0" w:space="0" w:color="auto"/>
                                                                <w:right w:val="none" w:sz="0" w:space="0" w:color="auto"/>
                                                              </w:divBdr>
                                                              <w:divsChild>
                                                                <w:div w:id="249587393">
                                                                  <w:marLeft w:val="0"/>
                                                                  <w:marRight w:val="0"/>
                                                                  <w:marTop w:val="0"/>
                                                                  <w:marBottom w:val="0"/>
                                                                  <w:divBdr>
                                                                    <w:top w:val="none" w:sz="0" w:space="0" w:color="auto"/>
                                                                    <w:left w:val="none" w:sz="0" w:space="0" w:color="auto"/>
                                                                    <w:bottom w:val="none" w:sz="0" w:space="0" w:color="auto"/>
                                                                    <w:right w:val="none" w:sz="0" w:space="0" w:color="auto"/>
                                                                  </w:divBdr>
                                                                  <w:divsChild>
                                                                    <w:div w:id="249587512">
                                                                      <w:marLeft w:val="0"/>
                                                                      <w:marRight w:val="0"/>
                                                                      <w:marTop w:val="0"/>
                                                                      <w:marBottom w:val="0"/>
                                                                      <w:divBdr>
                                                                        <w:top w:val="none" w:sz="0" w:space="0" w:color="auto"/>
                                                                        <w:left w:val="none" w:sz="0" w:space="0" w:color="auto"/>
                                                                        <w:bottom w:val="none" w:sz="0" w:space="0" w:color="auto"/>
                                                                        <w:right w:val="none" w:sz="0" w:space="0" w:color="auto"/>
                                                                      </w:divBdr>
                                                                      <w:divsChild>
                                                                        <w:div w:id="249587298">
                                                                          <w:marLeft w:val="0"/>
                                                                          <w:marRight w:val="0"/>
                                                                          <w:marTop w:val="0"/>
                                                                          <w:marBottom w:val="0"/>
                                                                          <w:divBdr>
                                                                            <w:top w:val="none" w:sz="0" w:space="0" w:color="auto"/>
                                                                            <w:left w:val="none" w:sz="0" w:space="0" w:color="auto"/>
                                                                            <w:bottom w:val="none" w:sz="0" w:space="0" w:color="auto"/>
                                                                            <w:right w:val="none" w:sz="0" w:space="0" w:color="auto"/>
                                                                          </w:divBdr>
                                                                          <w:divsChild>
                                                                            <w:div w:id="249587484">
                                                                              <w:marLeft w:val="0"/>
                                                                              <w:marRight w:val="0"/>
                                                                              <w:marTop w:val="0"/>
                                                                              <w:marBottom w:val="0"/>
                                                                              <w:divBdr>
                                                                                <w:top w:val="none" w:sz="0" w:space="0" w:color="auto"/>
                                                                                <w:left w:val="none" w:sz="0" w:space="0" w:color="auto"/>
                                                                                <w:bottom w:val="none" w:sz="0" w:space="0" w:color="auto"/>
                                                                                <w:right w:val="none" w:sz="0" w:space="0" w:color="auto"/>
                                                                              </w:divBdr>
                                                                              <w:divsChild>
                                                                                <w:div w:id="249587378">
                                                                                  <w:marLeft w:val="0"/>
                                                                                  <w:marRight w:val="0"/>
                                                                                  <w:marTop w:val="0"/>
                                                                                  <w:marBottom w:val="0"/>
                                                                                  <w:divBdr>
                                                                                    <w:top w:val="none" w:sz="0" w:space="0" w:color="auto"/>
                                                                                    <w:left w:val="none" w:sz="0" w:space="0" w:color="auto"/>
                                                                                    <w:bottom w:val="none" w:sz="0" w:space="0" w:color="auto"/>
                                                                                    <w:right w:val="none" w:sz="0" w:space="0" w:color="auto"/>
                                                                                  </w:divBdr>
                                                                                  <w:divsChild>
                                                                                    <w:div w:id="249587678">
                                                                                      <w:marLeft w:val="0"/>
                                                                                      <w:marRight w:val="0"/>
                                                                                      <w:marTop w:val="0"/>
                                                                                      <w:marBottom w:val="0"/>
                                                                                      <w:divBdr>
                                                                                        <w:top w:val="none" w:sz="0" w:space="0" w:color="auto"/>
                                                                                        <w:left w:val="none" w:sz="0" w:space="0" w:color="auto"/>
                                                                                        <w:bottom w:val="none" w:sz="0" w:space="0" w:color="auto"/>
                                                                                        <w:right w:val="none" w:sz="0" w:space="0" w:color="auto"/>
                                                                                      </w:divBdr>
                                                                                      <w:divsChild>
                                                                                        <w:div w:id="24958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587313">
      <w:marLeft w:val="0"/>
      <w:marRight w:val="0"/>
      <w:marTop w:val="0"/>
      <w:marBottom w:val="0"/>
      <w:divBdr>
        <w:top w:val="none" w:sz="0" w:space="0" w:color="auto"/>
        <w:left w:val="none" w:sz="0" w:space="0" w:color="auto"/>
        <w:bottom w:val="none" w:sz="0" w:space="0" w:color="auto"/>
        <w:right w:val="none" w:sz="0" w:space="0" w:color="auto"/>
      </w:divBdr>
    </w:div>
    <w:div w:id="249587317">
      <w:marLeft w:val="0"/>
      <w:marRight w:val="0"/>
      <w:marTop w:val="0"/>
      <w:marBottom w:val="0"/>
      <w:divBdr>
        <w:top w:val="none" w:sz="0" w:space="0" w:color="auto"/>
        <w:left w:val="none" w:sz="0" w:space="0" w:color="auto"/>
        <w:bottom w:val="none" w:sz="0" w:space="0" w:color="auto"/>
        <w:right w:val="none" w:sz="0" w:space="0" w:color="auto"/>
      </w:divBdr>
    </w:div>
    <w:div w:id="249587319">
      <w:marLeft w:val="0"/>
      <w:marRight w:val="0"/>
      <w:marTop w:val="0"/>
      <w:marBottom w:val="0"/>
      <w:divBdr>
        <w:top w:val="none" w:sz="0" w:space="0" w:color="auto"/>
        <w:left w:val="none" w:sz="0" w:space="0" w:color="auto"/>
        <w:bottom w:val="none" w:sz="0" w:space="0" w:color="auto"/>
        <w:right w:val="none" w:sz="0" w:space="0" w:color="auto"/>
      </w:divBdr>
      <w:divsChild>
        <w:div w:id="249587315">
          <w:marLeft w:val="0"/>
          <w:marRight w:val="0"/>
          <w:marTop w:val="0"/>
          <w:marBottom w:val="0"/>
          <w:divBdr>
            <w:top w:val="none" w:sz="0" w:space="0" w:color="auto"/>
            <w:left w:val="none" w:sz="0" w:space="0" w:color="auto"/>
            <w:bottom w:val="none" w:sz="0" w:space="0" w:color="auto"/>
            <w:right w:val="none" w:sz="0" w:space="0" w:color="auto"/>
          </w:divBdr>
          <w:divsChild>
            <w:div w:id="2495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22">
      <w:marLeft w:val="0"/>
      <w:marRight w:val="0"/>
      <w:marTop w:val="0"/>
      <w:marBottom w:val="0"/>
      <w:divBdr>
        <w:top w:val="none" w:sz="0" w:space="0" w:color="auto"/>
        <w:left w:val="none" w:sz="0" w:space="0" w:color="auto"/>
        <w:bottom w:val="none" w:sz="0" w:space="0" w:color="auto"/>
        <w:right w:val="none" w:sz="0" w:space="0" w:color="auto"/>
      </w:divBdr>
      <w:divsChild>
        <w:div w:id="249587442">
          <w:marLeft w:val="0"/>
          <w:marRight w:val="0"/>
          <w:marTop w:val="120"/>
          <w:marBottom w:val="360"/>
          <w:divBdr>
            <w:top w:val="none" w:sz="0" w:space="0" w:color="auto"/>
            <w:left w:val="none" w:sz="0" w:space="0" w:color="auto"/>
            <w:bottom w:val="none" w:sz="0" w:space="0" w:color="auto"/>
            <w:right w:val="none" w:sz="0" w:space="0" w:color="auto"/>
          </w:divBdr>
          <w:divsChild>
            <w:div w:id="249587439">
              <w:marLeft w:val="0"/>
              <w:marRight w:val="0"/>
              <w:marTop w:val="0"/>
              <w:marBottom w:val="0"/>
              <w:divBdr>
                <w:top w:val="none" w:sz="0" w:space="0" w:color="auto"/>
                <w:left w:val="none" w:sz="0" w:space="0" w:color="auto"/>
                <w:bottom w:val="none" w:sz="0" w:space="0" w:color="auto"/>
                <w:right w:val="none" w:sz="0" w:space="0" w:color="auto"/>
              </w:divBdr>
            </w:div>
            <w:div w:id="249587517">
              <w:marLeft w:val="0"/>
              <w:marRight w:val="0"/>
              <w:marTop w:val="0"/>
              <w:marBottom w:val="0"/>
              <w:divBdr>
                <w:top w:val="none" w:sz="0" w:space="0" w:color="auto"/>
                <w:left w:val="none" w:sz="0" w:space="0" w:color="auto"/>
                <w:bottom w:val="none" w:sz="0" w:space="0" w:color="auto"/>
                <w:right w:val="none" w:sz="0" w:space="0" w:color="auto"/>
              </w:divBdr>
            </w:div>
            <w:div w:id="24958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25">
      <w:marLeft w:val="0"/>
      <w:marRight w:val="0"/>
      <w:marTop w:val="0"/>
      <w:marBottom w:val="0"/>
      <w:divBdr>
        <w:top w:val="none" w:sz="0" w:space="0" w:color="auto"/>
        <w:left w:val="none" w:sz="0" w:space="0" w:color="auto"/>
        <w:bottom w:val="none" w:sz="0" w:space="0" w:color="auto"/>
        <w:right w:val="none" w:sz="0" w:space="0" w:color="auto"/>
      </w:divBdr>
    </w:div>
    <w:div w:id="249587326">
      <w:marLeft w:val="0"/>
      <w:marRight w:val="0"/>
      <w:marTop w:val="0"/>
      <w:marBottom w:val="0"/>
      <w:divBdr>
        <w:top w:val="none" w:sz="0" w:space="0" w:color="auto"/>
        <w:left w:val="none" w:sz="0" w:space="0" w:color="auto"/>
        <w:bottom w:val="none" w:sz="0" w:space="0" w:color="auto"/>
        <w:right w:val="none" w:sz="0" w:space="0" w:color="auto"/>
      </w:divBdr>
    </w:div>
    <w:div w:id="249587329">
      <w:marLeft w:val="0"/>
      <w:marRight w:val="0"/>
      <w:marTop w:val="0"/>
      <w:marBottom w:val="0"/>
      <w:divBdr>
        <w:top w:val="none" w:sz="0" w:space="0" w:color="auto"/>
        <w:left w:val="none" w:sz="0" w:space="0" w:color="auto"/>
        <w:bottom w:val="none" w:sz="0" w:space="0" w:color="auto"/>
        <w:right w:val="none" w:sz="0" w:space="0" w:color="auto"/>
      </w:divBdr>
      <w:divsChild>
        <w:div w:id="249587301">
          <w:marLeft w:val="0"/>
          <w:marRight w:val="0"/>
          <w:marTop w:val="96"/>
          <w:marBottom w:val="0"/>
          <w:divBdr>
            <w:top w:val="none" w:sz="0" w:space="0" w:color="auto"/>
            <w:left w:val="none" w:sz="0" w:space="0" w:color="auto"/>
            <w:bottom w:val="none" w:sz="0" w:space="0" w:color="auto"/>
            <w:right w:val="none" w:sz="0" w:space="0" w:color="auto"/>
          </w:divBdr>
        </w:div>
      </w:divsChild>
    </w:div>
    <w:div w:id="249587330">
      <w:marLeft w:val="0"/>
      <w:marRight w:val="0"/>
      <w:marTop w:val="0"/>
      <w:marBottom w:val="0"/>
      <w:divBdr>
        <w:top w:val="none" w:sz="0" w:space="0" w:color="auto"/>
        <w:left w:val="none" w:sz="0" w:space="0" w:color="auto"/>
        <w:bottom w:val="none" w:sz="0" w:space="0" w:color="auto"/>
        <w:right w:val="none" w:sz="0" w:space="0" w:color="auto"/>
      </w:divBdr>
    </w:div>
    <w:div w:id="249587331">
      <w:marLeft w:val="0"/>
      <w:marRight w:val="0"/>
      <w:marTop w:val="0"/>
      <w:marBottom w:val="0"/>
      <w:divBdr>
        <w:top w:val="none" w:sz="0" w:space="0" w:color="auto"/>
        <w:left w:val="none" w:sz="0" w:space="0" w:color="auto"/>
        <w:bottom w:val="none" w:sz="0" w:space="0" w:color="auto"/>
        <w:right w:val="none" w:sz="0" w:space="0" w:color="auto"/>
      </w:divBdr>
    </w:div>
    <w:div w:id="249587333">
      <w:marLeft w:val="0"/>
      <w:marRight w:val="0"/>
      <w:marTop w:val="0"/>
      <w:marBottom w:val="0"/>
      <w:divBdr>
        <w:top w:val="none" w:sz="0" w:space="0" w:color="auto"/>
        <w:left w:val="none" w:sz="0" w:space="0" w:color="auto"/>
        <w:bottom w:val="none" w:sz="0" w:space="0" w:color="auto"/>
        <w:right w:val="none" w:sz="0" w:space="0" w:color="auto"/>
      </w:divBdr>
    </w:div>
    <w:div w:id="249587334">
      <w:marLeft w:val="0"/>
      <w:marRight w:val="0"/>
      <w:marTop w:val="0"/>
      <w:marBottom w:val="0"/>
      <w:divBdr>
        <w:top w:val="none" w:sz="0" w:space="0" w:color="auto"/>
        <w:left w:val="none" w:sz="0" w:space="0" w:color="auto"/>
        <w:bottom w:val="none" w:sz="0" w:space="0" w:color="auto"/>
        <w:right w:val="none" w:sz="0" w:space="0" w:color="auto"/>
      </w:divBdr>
      <w:divsChild>
        <w:div w:id="249587410">
          <w:marLeft w:val="0"/>
          <w:marRight w:val="0"/>
          <w:marTop w:val="168"/>
          <w:marBottom w:val="0"/>
          <w:divBdr>
            <w:top w:val="none" w:sz="0" w:space="0" w:color="auto"/>
            <w:left w:val="none" w:sz="0" w:space="0" w:color="auto"/>
            <w:bottom w:val="none" w:sz="0" w:space="0" w:color="auto"/>
            <w:right w:val="none" w:sz="0" w:space="0" w:color="auto"/>
          </w:divBdr>
          <w:divsChild>
            <w:div w:id="249587426">
              <w:marLeft w:val="0"/>
              <w:marRight w:val="0"/>
              <w:marTop w:val="0"/>
              <w:marBottom w:val="0"/>
              <w:divBdr>
                <w:top w:val="none" w:sz="0" w:space="0" w:color="auto"/>
                <w:left w:val="none" w:sz="0" w:space="0" w:color="auto"/>
                <w:bottom w:val="none" w:sz="0" w:space="0" w:color="auto"/>
                <w:right w:val="none" w:sz="0" w:space="0" w:color="auto"/>
              </w:divBdr>
            </w:div>
            <w:div w:id="249587628">
              <w:marLeft w:val="0"/>
              <w:marRight w:val="0"/>
              <w:marTop w:val="0"/>
              <w:marBottom w:val="0"/>
              <w:divBdr>
                <w:top w:val="none" w:sz="0" w:space="0" w:color="auto"/>
                <w:left w:val="none" w:sz="0" w:space="0" w:color="auto"/>
                <w:bottom w:val="none" w:sz="0" w:space="0" w:color="auto"/>
                <w:right w:val="none" w:sz="0" w:space="0" w:color="auto"/>
              </w:divBdr>
            </w:div>
          </w:divsChild>
        </w:div>
        <w:div w:id="249587451">
          <w:marLeft w:val="0"/>
          <w:marRight w:val="0"/>
          <w:marTop w:val="168"/>
          <w:marBottom w:val="0"/>
          <w:divBdr>
            <w:top w:val="none" w:sz="0" w:space="0" w:color="auto"/>
            <w:left w:val="none" w:sz="0" w:space="0" w:color="auto"/>
            <w:bottom w:val="none" w:sz="0" w:space="0" w:color="auto"/>
            <w:right w:val="none" w:sz="0" w:space="0" w:color="auto"/>
          </w:divBdr>
          <w:divsChild>
            <w:div w:id="249587278">
              <w:marLeft w:val="0"/>
              <w:marRight w:val="0"/>
              <w:marTop w:val="0"/>
              <w:marBottom w:val="0"/>
              <w:divBdr>
                <w:top w:val="none" w:sz="0" w:space="0" w:color="auto"/>
                <w:left w:val="none" w:sz="0" w:space="0" w:color="auto"/>
                <w:bottom w:val="none" w:sz="0" w:space="0" w:color="auto"/>
                <w:right w:val="none" w:sz="0" w:space="0" w:color="auto"/>
              </w:divBdr>
            </w:div>
            <w:div w:id="24958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42">
      <w:marLeft w:val="0"/>
      <w:marRight w:val="0"/>
      <w:marTop w:val="0"/>
      <w:marBottom w:val="0"/>
      <w:divBdr>
        <w:top w:val="none" w:sz="0" w:space="0" w:color="auto"/>
        <w:left w:val="none" w:sz="0" w:space="0" w:color="auto"/>
        <w:bottom w:val="none" w:sz="0" w:space="0" w:color="auto"/>
        <w:right w:val="none" w:sz="0" w:space="0" w:color="auto"/>
      </w:divBdr>
    </w:div>
    <w:div w:id="249587343">
      <w:marLeft w:val="0"/>
      <w:marRight w:val="0"/>
      <w:marTop w:val="0"/>
      <w:marBottom w:val="0"/>
      <w:divBdr>
        <w:top w:val="none" w:sz="0" w:space="0" w:color="auto"/>
        <w:left w:val="none" w:sz="0" w:space="0" w:color="auto"/>
        <w:bottom w:val="none" w:sz="0" w:space="0" w:color="auto"/>
        <w:right w:val="none" w:sz="0" w:space="0" w:color="auto"/>
      </w:divBdr>
    </w:div>
    <w:div w:id="249587349">
      <w:marLeft w:val="0"/>
      <w:marRight w:val="0"/>
      <w:marTop w:val="0"/>
      <w:marBottom w:val="0"/>
      <w:divBdr>
        <w:top w:val="none" w:sz="0" w:space="0" w:color="auto"/>
        <w:left w:val="none" w:sz="0" w:space="0" w:color="auto"/>
        <w:bottom w:val="none" w:sz="0" w:space="0" w:color="auto"/>
        <w:right w:val="none" w:sz="0" w:space="0" w:color="auto"/>
      </w:divBdr>
      <w:divsChild>
        <w:div w:id="249587506">
          <w:marLeft w:val="0"/>
          <w:marRight w:val="0"/>
          <w:marTop w:val="120"/>
          <w:marBottom w:val="360"/>
          <w:divBdr>
            <w:top w:val="none" w:sz="0" w:space="0" w:color="auto"/>
            <w:left w:val="none" w:sz="0" w:space="0" w:color="auto"/>
            <w:bottom w:val="none" w:sz="0" w:space="0" w:color="auto"/>
            <w:right w:val="none" w:sz="0" w:space="0" w:color="auto"/>
          </w:divBdr>
          <w:divsChild>
            <w:div w:id="249587409">
              <w:marLeft w:val="0"/>
              <w:marRight w:val="0"/>
              <w:marTop w:val="0"/>
              <w:marBottom w:val="0"/>
              <w:divBdr>
                <w:top w:val="none" w:sz="0" w:space="0" w:color="auto"/>
                <w:left w:val="none" w:sz="0" w:space="0" w:color="auto"/>
                <w:bottom w:val="none" w:sz="0" w:space="0" w:color="auto"/>
                <w:right w:val="none" w:sz="0" w:space="0" w:color="auto"/>
              </w:divBdr>
            </w:div>
            <w:div w:id="24958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50">
      <w:marLeft w:val="0"/>
      <w:marRight w:val="0"/>
      <w:marTop w:val="0"/>
      <w:marBottom w:val="0"/>
      <w:divBdr>
        <w:top w:val="none" w:sz="0" w:space="0" w:color="auto"/>
        <w:left w:val="none" w:sz="0" w:space="0" w:color="auto"/>
        <w:bottom w:val="none" w:sz="0" w:space="0" w:color="auto"/>
        <w:right w:val="none" w:sz="0" w:space="0" w:color="auto"/>
      </w:divBdr>
      <w:divsChild>
        <w:div w:id="249587327">
          <w:marLeft w:val="0"/>
          <w:marRight w:val="0"/>
          <w:marTop w:val="0"/>
          <w:marBottom w:val="0"/>
          <w:divBdr>
            <w:top w:val="none" w:sz="0" w:space="0" w:color="auto"/>
            <w:left w:val="none" w:sz="0" w:space="0" w:color="auto"/>
            <w:bottom w:val="none" w:sz="0" w:space="0" w:color="auto"/>
            <w:right w:val="none" w:sz="0" w:space="0" w:color="auto"/>
          </w:divBdr>
        </w:div>
        <w:div w:id="249587375">
          <w:marLeft w:val="0"/>
          <w:marRight w:val="0"/>
          <w:marTop w:val="0"/>
          <w:marBottom w:val="0"/>
          <w:divBdr>
            <w:top w:val="none" w:sz="0" w:space="0" w:color="auto"/>
            <w:left w:val="none" w:sz="0" w:space="0" w:color="auto"/>
            <w:bottom w:val="none" w:sz="0" w:space="0" w:color="auto"/>
            <w:right w:val="none" w:sz="0" w:space="0" w:color="auto"/>
          </w:divBdr>
        </w:div>
        <w:div w:id="249587423">
          <w:marLeft w:val="0"/>
          <w:marRight w:val="0"/>
          <w:marTop w:val="0"/>
          <w:marBottom w:val="0"/>
          <w:divBdr>
            <w:top w:val="none" w:sz="0" w:space="0" w:color="auto"/>
            <w:left w:val="none" w:sz="0" w:space="0" w:color="auto"/>
            <w:bottom w:val="none" w:sz="0" w:space="0" w:color="auto"/>
            <w:right w:val="none" w:sz="0" w:space="0" w:color="auto"/>
          </w:divBdr>
        </w:div>
      </w:divsChild>
    </w:div>
    <w:div w:id="249587360">
      <w:marLeft w:val="0"/>
      <w:marRight w:val="0"/>
      <w:marTop w:val="0"/>
      <w:marBottom w:val="0"/>
      <w:divBdr>
        <w:top w:val="none" w:sz="0" w:space="0" w:color="auto"/>
        <w:left w:val="none" w:sz="0" w:space="0" w:color="auto"/>
        <w:bottom w:val="none" w:sz="0" w:space="0" w:color="auto"/>
        <w:right w:val="none" w:sz="0" w:space="0" w:color="auto"/>
      </w:divBdr>
      <w:divsChild>
        <w:div w:id="249587361">
          <w:marLeft w:val="0"/>
          <w:marRight w:val="0"/>
          <w:marTop w:val="120"/>
          <w:marBottom w:val="360"/>
          <w:divBdr>
            <w:top w:val="none" w:sz="0" w:space="0" w:color="auto"/>
            <w:left w:val="none" w:sz="0" w:space="0" w:color="auto"/>
            <w:bottom w:val="none" w:sz="0" w:space="0" w:color="auto"/>
            <w:right w:val="none" w:sz="0" w:space="0" w:color="auto"/>
          </w:divBdr>
          <w:divsChild>
            <w:div w:id="249587323">
              <w:marLeft w:val="0"/>
              <w:marRight w:val="0"/>
              <w:marTop w:val="0"/>
              <w:marBottom w:val="0"/>
              <w:divBdr>
                <w:top w:val="none" w:sz="0" w:space="0" w:color="auto"/>
                <w:left w:val="none" w:sz="0" w:space="0" w:color="auto"/>
                <w:bottom w:val="none" w:sz="0" w:space="0" w:color="auto"/>
                <w:right w:val="none" w:sz="0" w:space="0" w:color="auto"/>
              </w:divBdr>
            </w:div>
            <w:div w:id="24958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66">
      <w:marLeft w:val="0"/>
      <w:marRight w:val="0"/>
      <w:marTop w:val="0"/>
      <w:marBottom w:val="0"/>
      <w:divBdr>
        <w:top w:val="none" w:sz="0" w:space="0" w:color="auto"/>
        <w:left w:val="none" w:sz="0" w:space="0" w:color="auto"/>
        <w:bottom w:val="none" w:sz="0" w:space="0" w:color="auto"/>
        <w:right w:val="none" w:sz="0" w:space="0" w:color="auto"/>
      </w:divBdr>
      <w:divsChild>
        <w:div w:id="249587589">
          <w:marLeft w:val="-15"/>
          <w:marRight w:val="0"/>
          <w:marTop w:val="0"/>
          <w:marBottom w:val="0"/>
          <w:divBdr>
            <w:top w:val="none" w:sz="0" w:space="0" w:color="auto"/>
            <w:left w:val="none" w:sz="0" w:space="0" w:color="auto"/>
            <w:bottom w:val="none" w:sz="0" w:space="0" w:color="auto"/>
            <w:right w:val="none" w:sz="0" w:space="0" w:color="auto"/>
          </w:divBdr>
        </w:div>
        <w:div w:id="249587590">
          <w:marLeft w:val="-15"/>
          <w:marRight w:val="0"/>
          <w:marTop w:val="0"/>
          <w:marBottom w:val="0"/>
          <w:divBdr>
            <w:top w:val="none" w:sz="0" w:space="0" w:color="auto"/>
            <w:left w:val="none" w:sz="0" w:space="0" w:color="auto"/>
            <w:bottom w:val="none" w:sz="0" w:space="0" w:color="auto"/>
            <w:right w:val="none" w:sz="0" w:space="0" w:color="auto"/>
          </w:divBdr>
          <w:divsChild>
            <w:div w:id="249587475">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249587368">
      <w:marLeft w:val="0"/>
      <w:marRight w:val="0"/>
      <w:marTop w:val="0"/>
      <w:marBottom w:val="0"/>
      <w:divBdr>
        <w:top w:val="none" w:sz="0" w:space="0" w:color="auto"/>
        <w:left w:val="none" w:sz="0" w:space="0" w:color="auto"/>
        <w:bottom w:val="none" w:sz="0" w:space="0" w:color="auto"/>
        <w:right w:val="none" w:sz="0" w:space="0" w:color="auto"/>
      </w:divBdr>
      <w:divsChild>
        <w:div w:id="249587395">
          <w:marLeft w:val="0"/>
          <w:marRight w:val="0"/>
          <w:marTop w:val="0"/>
          <w:marBottom w:val="0"/>
          <w:divBdr>
            <w:top w:val="none" w:sz="0" w:space="0" w:color="auto"/>
            <w:left w:val="none" w:sz="0" w:space="0" w:color="auto"/>
            <w:bottom w:val="none" w:sz="0" w:space="0" w:color="auto"/>
            <w:right w:val="none" w:sz="0" w:space="0" w:color="auto"/>
          </w:divBdr>
          <w:divsChild>
            <w:div w:id="249587461">
              <w:marLeft w:val="0"/>
              <w:marRight w:val="0"/>
              <w:marTop w:val="150"/>
              <w:marBottom w:val="0"/>
              <w:divBdr>
                <w:top w:val="none" w:sz="0" w:space="0" w:color="auto"/>
                <w:left w:val="none" w:sz="0" w:space="0" w:color="auto"/>
                <w:bottom w:val="none" w:sz="0" w:space="0" w:color="auto"/>
                <w:right w:val="none" w:sz="0" w:space="0" w:color="auto"/>
              </w:divBdr>
              <w:divsChild>
                <w:div w:id="2495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96">
          <w:marLeft w:val="0"/>
          <w:marRight w:val="0"/>
          <w:marTop w:val="0"/>
          <w:marBottom w:val="0"/>
          <w:divBdr>
            <w:top w:val="none" w:sz="0" w:space="0" w:color="auto"/>
            <w:left w:val="none" w:sz="0" w:space="0" w:color="auto"/>
            <w:bottom w:val="none" w:sz="0" w:space="0" w:color="auto"/>
            <w:right w:val="none" w:sz="0" w:space="0" w:color="auto"/>
          </w:divBdr>
        </w:div>
      </w:divsChild>
    </w:div>
    <w:div w:id="249587371">
      <w:marLeft w:val="0"/>
      <w:marRight w:val="0"/>
      <w:marTop w:val="0"/>
      <w:marBottom w:val="0"/>
      <w:divBdr>
        <w:top w:val="none" w:sz="0" w:space="0" w:color="auto"/>
        <w:left w:val="none" w:sz="0" w:space="0" w:color="auto"/>
        <w:bottom w:val="none" w:sz="0" w:space="0" w:color="auto"/>
        <w:right w:val="none" w:sz="0" w:space="0" w:color="auto"/>
      </w:divBdr>
    </w:div>
    <w:div w:id="249587376">
      <w:marLeft w:val="0"/>
      <w:marRight w:val="0"/>
      <w:marTop w:val="0"/>
      <w:marBottom w:val="0"/>
      <w:divBdr>
        <w:top w:val="none" w:sz="0" w:space="0" w:color="auto"/>
        <w:left w:val="none" w:sz="0" w:space="0" w:color="auto"/>
        <w:bottom w:val="none" w:sz="0" w:space="0" w:color="auto"/>
        <w:right w:val="none" w:sz="0" w:space="0" w:color="auto"/>
      </w:divBdr>
    </w:div>
    <w:div w:id="249587377">
      <w:marLeft w:val="0"/>
      <w:marRight w:val="0"/>
      <w:marTop w:val="0"/>
      <w:marBottom w:val="0"/>
      <w:divBdr>
        <w:top w:val="none" w:sz="0" w:space="0" w:color="auto"/>
        <w:left w:val="none" w:sz="0" w:space="0" w:color="auto"/>
        <w:bottom w:val="none" w:sz="0" w:space="0" w:color="auto"/>
        <w:right w:val="none" w:sz="0" w:space="0" w:color="auto"/>
      </w:divBdr>
    </w:div>
    <w:div w:id="249587383">
      <w:marLeft w:val="0"/>
      <w:marRight w:val="0"/>
      <w:marTop w:val="0"/>
      <w:marBottom w:val="0"/>
      <w:divBdr>
        <w:top w:val="none" w:sz="0" w:space="0" w:color="auto"/>
        <w:left w:val="none" w:sz="0" w:space="0" w:color="auto"/>
        <w:bottom w:val="none" w:sz="0" w:space="0" w:color="auto"/>
        <w:right w:val="none" w:sz="0" w:space="0" w:color="auto"/>
      </w:divBdr>
      <w:divsChild>
        <w:div w:id="249587687">
          <w:marLeft w:val="0"/>
          <w:marRight w:val="0"/>
          <w:marTop w:val="0"/>
          <w:marBottom w:val="0"/>
          <w:divBdr>
            <w:top w:val="none" w:sz="0" w:space="0" w:color="auto"/>
            <w:left w:val="none" w:sz="0" w:space="0" w:color="auto"/>
            <w:bottom w:val="none" w:sz="0" w:space="0" w:color="auto"/>
            <w:right w:val="none" w:sz="0" w:space="0" w:color="auto"/>
          </w:divBdr>
          <w:divsChild>
            <w:div w:id="24958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84">
      <w:marLeft w:val="0"/>
      <w:marRight w:val="0"/>
      <w:marTop w:val="0"/>
      <w:marBottom w:val="0"/>
      <w:divBdr>
        <w:top w:val="none" w:sz="0" w:space="0" w:color="auto"/>
        <w:left w:val="none" w:sz="0" w:space="0" w:color="auto"/>
        <w:bottom w:val="none" w:sz="0" w:space="0" w:color="auto"/>
        <w:right w:val="none" w:sz="0" w:space="0" w:color="auto"/>
      </w:divBdr>
      <w:divsChild>
        <w:div w:id="249587337">
          <w:marLeft w:val="0"/>
          <w:marRight w:val="0"/>
          <w:marTop w:val="120"/>
          <w:marBottom w:val="360"/>
          <w:divBdr>
            <w:top w:val="none" w:sz="0" w:space="0" w:color="auto"/>
            <w:left w:val="none" w:sz="0" w:space="0" w:color="auto"/>
            <w:bottom w:val="none" w:sz="0" w:space="0" w:color="auto"/>
            <w:right w:val="none" w:sz="0" w:space="0" w:color="auto"/>
          </w:divBdr>
          <w:divsChild>
            <w:div w:id="249587374">
              <w:marLeft w:val="0"/>
              <w:marRight w:val="0"/>
              <w:marTop w:val="0"/>
              <w:marBottom w:val="0"/>
              <w:divBdr>
                <w:top w:val="none" w:sz="0" w:space="0" w:color="auto"/>
                <w:left w:val="none" w:sz="0" w:space="0" w:color="auto"/>
                <w:bottom w:val="none" w:sz="0" w:space="0" w:color="auto"/>
                <w:right w:val="none" w:sz="0" w:space="0" w:color="auto"/>
              </w:divBdr>
            </w:div>
            <w:div w:id="249587401">
              <w:marLeft w:val="0"/>
              <w:marRight w:val="0"/>
              <w:marTop w:val="0"/>
              <w:marBottom w:val="0"/>
              <w:divBdr>
                <w:top w:val="none" w:sz="0" w:space="0" w:color="auto"/>
                <w:left w:val="none" w:sz="0" w:space="0" w:color="auto"/>
                <w:bottom w:val="none" w:sz="0" w:space="0" w:color="auto"/>
                <w:right w:val="none" w:sz="0" w:space="0" w:color="auto"/>
              </w:divBdr>
            </w:div>
            <w:div w:id="249587608">
              <w:marLeft w:val="0"/>
              <w:marRight w:val="0"/>
              <w:marTop w:val="240"/>
              <w:marBottom w:val="100"/>
              <w:divBdr>
                <w:top w:val="none" w:sz="0" w:space="0" w:color="auto"/>
                <w:left w:val="none" w:sz="0" w:space="0" w:color="auto"/>
                <w:bottom w:val="none" w:sz="0" w:space="0" w:color="auto"/>
                <w:right w:val="none" w:sz="0" w:space="0" w:color="auto"/>
              </w:divBdr>
            </w:div>
            <w:div w:id="24958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88">
      <w:marLeft w:val="0"/>
      <w:marRight w:val="0"/>
      <w:marTop w:val="0"/>
      <w:marBottom w:val="0"/>
      <w:divBdr>
        <w:top w:val="none" w:sz="0" w:space="0" w:color="auto"/>
        <w:left w:val="none" w:sz="0" w:space="0" w:color="auto"/>
        <w:bottom w:val="none" w:sz="0" w:space="0" w:color="auto"/>
        <w:right w:val="none" w:sz="0" w:space="0" w:color="auto"/>
      </w:divBdr>
    </w:div>
    <w:div w:id="249587394">
      <w:marLeft w:val="0"/>
      <w:marRight w:val="0"/>
      <w:marTop w:val="0"/>
      <w:marBottom w:val="0"/>
      <w:divBdr>
        <w:top w:val="none" w:sz="0" w:space="0" w:color="auto"/>
        <w:left w:val="none" w:sz="0" w:space="0" w:color="auto"/>
        <w:bottom w:val="none" w:sz="0" w:space="0" w:color="auto"/>
        <w:right w:val="none" w:sz="0" w:space="0" w:color="auto"/>
      </w:divBdr>
    </w:div>
    <w:div w:id="249587397">
      <w:marLeft w:val="0"/>
      <w:marRight w:val="0"/>
      <w:marTop w:val="0"/>
      <w:marBottom w:val="0"/>
      <w:divBdr>
        <w:top w:val="none" w:sz="0" w:space="0" w:color="auto"/>
        <w:left w:val="none" w:sz="0" w:space="0" w:color="auto"/>
        <w:bottom w:val="none" w:sz="0" w:space="0" w:color="auto"/>
        <w:right w:val="none" w:sz="0" w:space="0" w:color="auto"/>
      </w:divBdr>
      <w:divsChild>
        <w:div w:id="249587425">
          <w:marLeft w:val="0"/>
          <w:marRight w:val="0"/>
          <w:marTop w:val="120"/>
          <w:marBottom w:val="360"/>
          <w:divBdr>
            <w:top w:val="none" w:sz="0" w:space="0" w:color="auto"/>
            <w:left w:val="none" w:sz="0" w:space="0" w:color="auto"/>
            <w:bottom w:val="none" w:sz="0" w:space="0" w:color="auto"/>
            <w:right w:val="none" w:sz="0" w:space="0" w:color="auto"/>
          </w:divBdr>
          <w:divsChild>
            <w:div w:id="249587598">
              <w:marLeft w:val="0"/>
              <w:marRight w:val="0"/>
              <w:marTop w:val="0"/>
              <w:marBottom w:val="0"/>
              <w:divBdr>
                <w:top w:val="none" w:sz="0" w:space="0" w:color="auto"/>
                <w:left w:val="none" w:sz="0" w:space="0" w:color="auto"/>
                <w:bottom w:val="none" w:sz="0" w:space="0" w:color="auto"/>
                <w:right w:val="none" w:sz="0" w:space="0" w:color="auto"/>
              </w:divBdr>
            </w:div>
            <w:div w:id="2495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99">
      <w:marLeft w:val="0"/>
      <w:marRight w:val="0"/>
      <w:marTop w:val="0"/>
      <w:marBottom w:val="0"/>
      <w:divBdr>
        <w:top w:val="none" w:sz="0" w:space="0" w:color="auto"/>
        <w:left w:val="none" w:sz="0" w:space="0" w:color="auto"/>
        <w:bottom w:val="none" w:sz="0" w:space="0" w:color="auto"/>
        <w:right w:val="none" w:sz="0" w:space="0" w:color="auto"/>
      </w:divBdr>
      <w:divsChild>
        <w:div w:id="249587354">
          <w:marLeft w:val="75"/>
          <w:marRight w:val="75"/>
          <w:marTop w:val="0"/>
          <w:marBottom w:val="0"/>
          <w:divBdr>
            <w:top w:val="none" w:sz="0" w:space="0" w:color="auto"/>
            <w:left w:val="none" w:sz="0" w:space="0" w:color="auto"/>
            <w:bottom w:val="none" w:sz="0" w:space="0" w:color="auto"/>
            <w:right w:val="none" w:sz="0" w:space="0" w:color="auto"/>
          </w:divBdr>
        </w:div>
      </w:divsChild>
    </w:div>
    <w:div w:id="249587412">
      <w:marLeft w:val="0"/>
      <w:marRight w:val="0"/>
      <w:marTop w:val="0"/>
      <w:marBottom w:val="0"/>
      <w:divBdr>
        <w:top w:val="none" w:sz="0" w:space="0" w:color="auto"/>
        <w:left w:val="none" w:sz="0" w:space="0" w:color="auto"/>
        <w:bottom w:val="none" w:sz="0" w:space="0" w:color="auto"/>
        <w:right w:val="none" w:sz="0" w:space="0" w:color="auto"/>
      </w:divBdr>
    </w:div>
    <w:div w:id="249587416">
      <w:marLeft w:val="0"/>
      <w:marRight w:val="0"/>
      <w:marTop w:val="0"/>
      <w:marBottom w:val="0"/>
      <w:divBdr>
        <w:top w:val="none" w:sz="0" w:space="0" w:color="auto"/>
        <w:left w:val="none" w:sz="0" w:space="0" w:color="auto"/>
        <w:bottom w:val="none" w:sz="0" w:space="0" w:color="auto"/>
        <w:right w:val="none" w:sz="0" w:space="0" w:color="auto"/>
      </w:divBdr>
    </w:div>
    <w:div w:id="249587421">
      <w:marLeft w:val="0"/>
      <w:marRight w:val="0"/>
      <w:marTop w:val="0"/>
      <w:marBottom w:val="0"/>
      <w:divBdr>
        <w:top w:val="none" w:sz="0" w:space="0" w:color="auto"/>
        <w:left w:val="none" w:sz="0" w:space="0" w:color="auto"/>
        <w:bottom w:val="none" w:sz="0" w:space="0" w:color="auto"/>
        <w:right w:val="none" w:sz="0" w:space="0" w:color="auto"/>
      </w:divBdr>
      <w:divsChild>
        <w:div w:id="249587403">
          <w:marLeft w:val="0"/>
          <w:marRight w:val="0"/>
          <w:marTop w:val="120"/>
          <w:marBottom w:val="360"/>
          <w:divBdr>
            <w:top w:val="none" w:sz="0" w:space="0" w:color="auto"/>
            <w:left w:val="none" w:sz="0" w:space="0" w:color="auto"/>
            <w:bottom w:val="none" w:sz="0" w:space="0" w:color="auto"/>
            <w:right w:val="none" w:sz="0" w:space="0" w:color="auto"/>
          </w:divBdr>
          <w:divsChild>
            <w:div w:id="249587339">
              <w:marLeft w:val="0"/>
              <w:marRight w:val="0"/>
              <w:marTop w:val="0"/>
              <w:marBottom w:val="0"/>
              <w:divBdr>
                <w:top w:val="none" w:sz="0" w:space="0" w:color="auto"/>
                <w:left w:val="none" w:sz="0" w:space="0" w:color="auto"/>
                <w:bottom w:val="none" w:sz="0" w:space="0" w:color="auto"/>
                <w:right w:val="none" w:sz="0" w:space="0" w:color="auto"/>
              </w:divBdr>
            </w:div>
            <w:div w:id="249587467">
              <w:marLeft w:val="0"/>
              <w:marRight w:val="0"/>
              <w:marTop w:val="0"/>
              <w:marBottom w:val="0"/>
              <w:divBdr>
                <w:top w:val="none" w:sz="0" w:space="0" w:color="auto"/>
                <w:left w:val="none" w:sz="0" w:space="0" w:color="auto"/>
                <w:bottom w:val="none" w:sz="0" w:space="0" w:color="auto"/>
                <w:right w:val="none" w:sz="0" w:space="0" w:color="auto"/>
              </w:divBdr>
            </w:div>
            <w:div w:id="24958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29">
      <w:marLeft w:val="0"/>
      <w:marRight w:val="0"/>
      <w:marTop w:val="0"/>
      <w:marBottom w:val="0"/>
      <w:divBdr>
        <w:top w:val="none" w:sz="0" w:space="0" w:color="auto"/>
        <w:left w:val="none" w:sz="0" w:space="0" w:color="auto"/>
        <w:bottom w:val="none" w:sz="0" w:space="0" w:color="auto"/>
        <w:right w:val="none" w:sz="0" w:space="0" w:color="auto"/>
      </w:divBdr>
    </w:div>
    <w:div w:id="249587430">
      <w:marLeft w:val="0"/>
      <w:marRight w:val="0"/>
      <w:marTop w:val="0"/>
      <w:marBottom w:val="0"/>
      <w:divBdr>
        <w:top w:val="none" w:sz="0" w:space="0" w:color="auto"/>
        <w:left w:val="none" w:sz="0" w:space="0" w:color="auto"/>
        <w:bottom w:val="none" w:sz="0" w:space="0" w:color="auto"/>
        <w:right w:val="none" w:sz="0" w:space="0" w:color="auto"/>
      </w:divBdr>
      <w:divsChild>
        <w:div w:id="249587385">
          <w:marLeft w:val="-435"/>
          <w:marRight w:val="0"/>
          <w:marTop w:val="0"/>
          <w:marBottom w:val="0"/>
          <w:divBdr>
            <w:top w:val="single" w:sz="6" w:space="15" w:color="B4B4B4"/>
            <w:left w:val="none" w:sz="0" w:space="0" w:color="auto"/>
            <w:bottom w:val="none" w:sz="0" w:space="0" w:color="auto"/>
            <w:right w:val="none" w:sz="0" w:space="0" w:color="auto"/>
          </w:divBdr>
          <w:divsChild>
            <w:div w:id="249587348">
              <w:marLeft w:val="0"/>
              <w:marRight w:val="0"/>
              <w:marTop w:val="0"/>
              <w:marBottom w:val="0"/>
              <w:divBdr>
                <w:top w:val="none" w:sz="0" w:space="0" w:color="auto"/>
                <w:left w:val="none" w:sz="0" w:space="0" w:color="auto"/>
                <w:bottom w:val="none" w:sz="0" w:space="0" w:color="auto"/>
                <w:right w:val="none" w:sz="0" w:space="0" w:color="auto"/>
              </w:divBdr>
            </w:div>
            <w:div w:id="249587455">
              <w:marLeft w:val="0"/>
              <w:marRight w:val="0"/>
              <w:marTop w:val="120"/>
              <w:marBottom w:val="120"/>
              <w:divBdr>
                <w:top w:val="none" w:sz="0" w:space="0" w:color="auto"/>
                <w:left w:val="none" w:sz="0" w:space="0" w:color="auto"/>
                <w:bottom w:val="none" w:sz="0" w:space="0" w:color="auto"/>
                <w:right w:val="none" w:sz="0" w:space="0" w:color="auto"/>
              </w:divBdr>
            </w:div>
            <w:div w:id="249587483">
              <w:marLeft w:val="0"/>
              <w:marRight w:val="0"/>
              <w:marTop w:val="0"/>
              <w:marBottom w:val="0"/>
              <w:divBdr>
                <w:top w:val="none" w:sz="0" w:space="0" w:color="auto"/>
                <w:left w:val="none" w:sz="0" w:space="0" w:color="auto"/>
                <w:bottom w:val="none" w:sz="0" w:space="0" w:color="auto"/>
                <w:right w:val="none" w:sz="0" w:space="0" w:color="auto"/>
              </w:divBdr>
              <w:divsChild>
                <w:div w:id="249587686">
                  <w:marLeft w:val="0"/>
                  <w:marRight w:val="0"/>
                  <w:marTop w:val="0"/>
                  <w:marBottom w:val="0"/>
                  <w:divBdr>
                    <w:top w:val="none" w:sz="0" w:space="0" w:color="auto"/>
                    <w:left w:val="none" w:sz="0" w:space="0" w:color="auto"/>
                    <w:bottom w:val="none" w:sz="0" w:space="0" w:color="auto"/>
                    <w:right w:val="none" w:sz="0" w:space="0" w:color="auto"/>
                  </w:divBdr>
                </w:div>
              </w:divsChild>
            </w:div>
            <w:div w:id="249587647">
              <w:marLeft w:val="0"/>
              <w:marRight w:val="0"/>
              <w:marTop w:val="0"/>
              <w:marBottom w:val="0"/>
              <w:divBdr>
                <w:top w:val="none" w:sz="0" w:space="0" w:color="auto"/>
                <w:left w:val="none" w:sz="0" w:space="0" w:color="auto"/>
                <w:bottom w:val="none" w:sz="0" w:space="0" w:color="auto"/>
                <w:right w:val="none" w:sz="0" w:space="0" w:color="auto"/>
              </w:divBdr>
              <w:divsChild>
                <w:div w:id="249587362">
                  <w:marLeft w:val="0"/>
                  <w:marRight w:val="0"/>
                  <w:marTop w:val="0"/>
                  <w:marBottom w:val="0"/>
                  <w:divBdr>
                    <w:top w:val="none" w:sz="0" w:space="0" w:color="auto"/>
                    <w:left w:val="none" w:sz="0" w:space="0" w:color="auto"/>
                    <w:bottom w:val="none" w:sz="0" w:space="0" w:color="auto"/>
                    <w:right w:val="none" w:sz="0" w:space="0" w:color="auto"/>
                  </w:divBdr>
                  <w:divsChild>
                    <w:div w:id="24958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7396">
          <w:marLeft w:val="0"/>
          <w:marRight w:val="0"/>
          <w:marTop w:val="0"/>
          <w:marBottom w:val="60"/>
          <w:divBdr>
            <w:top w:val="none" w:sz="0" w:space="0" w:color="auto"/>
            <w:left w:val="none" w:sz="0" w:space="0" w:color="auto"/>
            <w:bottom w:val="none" w:sz="0" w:space="0" w:color="auto"/>
            <w:right w:val="none" w:sz="0" w:space="0" w:color="auto"/>
          </w:divBdr>
        </w:div>
        <w:div w:id="249587648">
          <w:marLeft w:val="0"/>
          <w:marRight w:val="0"/>
          <w:marTop w:val="0"/>
          <w:marBottom w:val="0"/>
          <w:divBdr>
            <w:top w:val="none" w:sz="0" w:space="0" w:color="auto"/>
            <w:left w:val="none" w:sz="0" w:space="0" w:color="auto"/>
            <w:bottom w:val="none" w:sz="0" w:space="0" w:color="auto"/>
            <w:right w:val="none" w:sz="0" w:space="0" w:color="auto"/>
          </w:divBdr>
        </w:div>
      </w:divsChild>
    </w:div>
    <w:div w:id="249587431">
      <w:marLeft w:val="0"/>
      <w:marRight w:val="0"/>
      <w:marTop w:val="0"/>
      <w:marBottom w:val="0"/>
      <w:divBdr>
        <w:top w:val="none" w:sz="0" w:space="0" w:color="auto"/>
        <w:left w:val="none" w:sz="0" w:space="0" w:color="auto"/>
        <w:bottom w:val="none" w:sz="0" w:space="0" w:color="auto"/>
        <w:right w:val="none" w:sz="0" w:space="0" w:color="auto"/>
      </w:divBdr>
      <w:divsChild>
        <w:div w:id="249587299">
          <w:marLeft w:val="0"/>
          <w:marRight w:val="0"/>
          <w:marTop w:val="120"/>
          <w:marBottom w:val="360"/>
          <w:divBdr>
            <w:top w:val="none" w:sz="0" w:space="0" w:color="auto"/>
            <w:left w:val="none" w:sz="0" w:space="0" w:color="auto"/>
            <w:bottom w:val="none" w:sz="0" w:space="0" w:color="auto"/>
            <w:right w:val="none" w:sz="0" w:space="0" w:color="auto"/>
          </w:divBdr>
          <w:divsChild>
            <w:div w:id="249587602">
              <w:marLeft w:val="0"/>
              <w:marRight w:val="0"/>
              <w:marTop w:val="0"/>
              <w:marBottom w:val="0"/>
              <w:divBdr>
                <w:top w:val="none" w:sz="0" w:space="0" w:color="auto"/>
                <w:left w:val="none" w:sz="0" w:space="0" w:color="auto"/>
                <w:bottom w:val="none" w:sz="0" w:space="0" w:color="auto"/>
                <w:right w:val="none" w:sz="0" w:space="0" w:color="auto"/>
              </w:divBdr>
            </w:div>
            <w:div w:id="249587667">
              <w:marLeft w:val="0"/>
              <w:marRight w:val="0"/>
              <w:marTop w:val="0"/>
              <w:marBottom w:val="0"/>
              <w:divBdr>
                <w:top w:val="none" w:sz="0" w:space="0" w:color="auto"/>
                <w:left w:val="none" w:sz="0" w:space="0" w:color="auto"/>
                <w:bottom w:val="none" w:sz="0" w:space="0" w:color="auto"/>
                <w:right w:val="none" w:sz="0" w:space="0" w:color="auto"/>
              </w:divBdr>
            </w:div>
            <w:div w:id="24958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32">
      <w:marLeft w:val="0"/>
      <w:marRight w:val="0"/>
      <w:marTop w:val="0"/>
      <w:marBottom w:val="0"/>
      <w:divBdr>
        <w:top w:val="none" w:sz="0" w:space="0" w:color="auto"/>
        <w:left w:val="none" w:sz="0" w:space="0" w:color="auto"/>
        <w:bottom w:val="none" w:sz="0" w:space="0" w:color="auto"/>
        <w:right w:val="none" w:sz="0" w:space="0" w:color="auto"/>
      </w:divBdr>
      <w:divsChild>
        <w:div w:id="249587283">
          <w:marLeft w:val="0"/>
          <w:marRight w:val="0"/>
          <w:marTop w:val="240"/>
          <w:marBottom w:val="100"/>
          <w:divBdr>
            <w:top w:val="none" w:sz="0" w:space="0" w:color="auto"/>
            <w:left w:val="none" w:sz="0" w:space="0" w:color="auto"/>
            <w:bottom w:val="none" w:sz="0" w:space="0" w:color="auto"/>
            <w:right w:val="none" w:sz="0" w:space="0" w:color="auto"/>
          </w:divBdr>
        </w:div>
      </w:divsChild>
    </w:div>
    <w:div w:id="249587434">
      <w:marLeft w:val="0"/>
      <w:marRight w:val="0"/>
      <w:marTop w:val="0"/>
      <w:marBottom w:val="0"/>
      <w:divBdr>
        <w:top w:val="none" w:sz="0" w:space="0" w:color="auto"/>
        <w:left w:val="none" w:sz="0" w:space="0" w:color="auto"/>
        <w:bottom w:val="none" w:sz="0" w:space="0" w:color="auto"/>
        <w:right w:val="none" w:sz="0" w:space="0" w:color="auto"/>
      </w:divBdr>
    </w:div>
    <w:div w:id="249587440">
      <w:marLeft w:val="0"/>
      <w:marRight w:val="0"/>
      <w:marTop w:val="0"/>
      <w:marBottom w:val="0"/>
      <w:divBdr>
        <w:top w:val="none" w:sz="0" w:space="0" w:color="auto"/>
        <w:left w:val="none" w:sz="0" w:space="0" w:color="auto"/>
        <w:bottom w:val="none" w:sz="0" w:space="0" w:color="auto"/>
        <w:right w:val="none" w:sz="0" w:space="0" w:color="auto"/>
      </w:divBdr>
      <w:divsChild>
        <w:div w:id="249587359">
          <w:marLeft w:val="0"/>
          <w:marRight w:val="0"/>
          <w:marTop w:val="120"/>
          <w:marBottom w:val="360"/>
          <w:divBdr>
            <w:top w:val="none" w:sz="0" w:space="0" w:color="auto"/>
            <w:left w:val="none" w:sz="0" w:space="0" w:color="auto"/>
            <w:bottom w:val="none" w:sz="0" w:space="0" w:color="auto"/>
            <w:right w:val="none" w:sz="0" w:space="0" w:color="auto"/>
          </w:divBdr>
          <w:divsChild>
            <w:div w:id="249587509">
              <w:marLeft w:val="0"/>
              <w:marRight w:val="0"/>
              <w:marTop w:val="0"/>
              <w:marBottom w:val="0"/>
              <w:divBdr>
                <w:top w:val="none" w:sz="0" w:space="0" w:color="auto"/>
                <w:left w:val="none" w:sz="0" w:space="0" w:color="auto"/>
                <w:bottom w:val="none" w:sz="0" w:space="0" w:color="auto"/>
                <w:right w:val="none" w:sz="0" w:space="0" w:color="auto"/>
              </w:divBdr>
            </w:div>
            <w:div w:id="2495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41">
      <w:marLeft w:val="0"/>
      <w:marRight w:val="0"/>
      <w:marTop w:val="0"/>
      <w:marBottom w:val="0"/>
      <w:divBdr>
        <w:top w:val="none" w:sz="0" w:space="0" w:color="auto"/>
        <w:left w:val="none" w:sz="0" w:space="0" w:color="auto"/>
        <w:bottom w:val="none" w:sz="0" w:space="0" w:color="auto"/>
        <w:right w:val="none" w:sz="0" w:space="0" w:color="auto"/>
      </w:divBdr>
    </w:div>
    <w:div w:id="249587447">
      <w:marLeft w:val="0"/>
      <w:marRight w:val="0"/>
      <w:marTop w:val="0"/>
      <w:marBottom w:val="0"/>
      <w:divBdr>
        <w:top w:val="none" w:sz="0" w:space="0" w:color="auto"/>
        <w:left w:val="none" w:sz="0" w:space="0" w:color="auto"/>
        <w:bottom w:val="none" w:sz="0" w:space="0" w:color="auto"/>
        <w:right w:val="none" w:sz="0" w:space="0" w:color="auto"/>
      </w:divBdr>
      <w:divsChild>
        <w:div w:id="249587402">
          <w:marLeft w:val="0"/>
          <w:marRight w:val="0"/>
          <w:marTop w:val="168"/>
          <w:marBottom w:val="0"/>
          <w:divBdr>
            <w:top w:val="none" w:sz="0" w:space="0" w:color="auto"/>
            <w:left w:val="none" w:sz="0" w:space="0" w:color="auto"/>
            <w:bottom w:val="none" w:sz="0" w:space="0" w:color="auto"/>
            <w:right w:val="none" w:sz="0" w:space="0" w:color="auto"/>
          </w:divBdr>
          <w:divsChild>
            <w:div w:id="249587417">
              <w:marLeft w:val="0"/>
              <w:marRight w:val="0"/>
              <w:marTop w:val="0"/>
              <w:marBottom w:val="0"/>
              <w:divBdr>
                <w:top w:val="none" w:sz="0" w:space="0" w:color="auto"/>
                <w:left w:val="none" w:sz="0" w:space="0" w:color="auto"/>
                <w:bottom w:val="none" w:sz="0" w:space="0" w:color="auto"/>
                <w:right w:val="none" w:sz="0" w:space="0" w:color="auto"/>
              </w:divBdr>
            </w:div>
            <w:div w:id="249587511">
              <w:marLeft w:val="0"/>
              <w:marRight w:val="0"/>
              <w:marTop w:val="0"/>
              <w:marBottom w:val="0"/>
              <w:divBdr>
                <w:top w:val="none" w:sz="0" w:space="0" w:color="auto"/>
                <w:left w:val="none" w:sz="0" w:space="0" w:color="auto"/>
                <w:bottom w:val="none" w:sz="0" w:space="0" w:color="auto"/>
                <w:right w:val="none" w:sz="0" w:space="0" w:color="auto"/>
              </w:divBdr>
            </w:div>
          </w:divsChild>
        </w:div>
        <w:div w:id="249587443">
          <w:marLeft w:val="0"/>
          <w:marRight w:val="0"/>
          <w:marTop w:val="168"/>
          <w:marBottom w:val="0"/>
          <w:divBdr>
            <w:top w:val="none" w:sz="0" w:space="0" w:color="auto"/>
            <w:left w:val="none" w:sz="0" w:space="0" w:color="auto"/>
            <w:bottom w:val="none" w:sz="0" w:space="0" w:color="auto"/>
            <w:right w:val="none" w:sz="0" w:space="0" w:color="auto"/>
          </w:divBdr>
          <w:divsChild>
            <w:div w:id="249587382">
              <w:marLeft w:val="0"/>
              <w:marRight w:val="0"/>
              <w:marTop w:val="0"/>
              <w:marBottom w:val="0"/>
              <w:divBdr>
                <w:top w:val="none" w:sz="0" w:space="0" w:color="auto"/>
                <w:left w:val="none" w:sz="0" w:space="0" w:color="auto"/>
                <w:bottom w:val="none" w:sz="0" w:space="0" w:color="auto"/>
                <w:right w:val="none" w:sz="0" w:space="0" w:color="auto"/>
              </w:divBdr>
            </w:div>
            <w:div w:id="24958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49">
      <w:marLeft w:val="0"/>
      <w:marRight w:val="0"/>
      <w:marTop w:val="0"/>
      <w:marBottom w:val="0"/>
      <w:divBdr>
        <w:top w:val="none" w:sz="0" w:space="0" w:color="auto"/>
        <w:left w:val="none" w:sz="0" w:space="0" w:color="auto"/>
        <w:bottom w:val="none" w:sz="0" w:space="0" w:color="auto"/>
        <w:right w:val="none" w:sz="0" w:space="0" w:color="auto"/>
      </w:divBdr>
      <w:divsChild>
        <w:div w:id="249587328">
          <w:marLeft w:val="150"/>
          <w:marRight w:val="150"/>
          <w:marTop w:val="150"/>
          <w:marBottom w:val="0"/>
          <w:divBdr>
            <w:top w:val="none" w:sz="0" w:space="0" w:color="auto"/>
            <w:left w:val="none" w:sz="0" w:space="0" w:color="auto"/>
            <w:bottom w:val="none" w:sz="0" w:space="0" w:color="auto"/>
            <w:right w:val="none" w:sz="0" w:space="0" w:color="auto"/>
          </w:divBdr>
          <w:divsChild>
            <w:div w:id="249587692">
              <w:marLeft w:val="0"/>
              <w:marRight w:val="0"/>
              <w:marTop w:val="0"/>
              <w:marBottom w:val="0"/>
              <w:divBdr>
                <w:top w:val="none" w:sz="0" w:space="0" w:color="auto"/>
                <w:left w:val="none" w:sz="0" w:space="0" w:color="auto"/>
                <w:bottom w:val="none" w:sz="0" w:space="0" w:color="auto"/>
                <w:right w:val="none" w:sz="0" w:space="0" w:color="auto"/>
              </w:divBdr>
              <w:divsChild>
                <w:div w:id="249587480">
                  <w:marLeft w:val="150"/>
                  <w:marRight w:val="0"/>
                  <w:marTop w:val="0"/>
                  <w:marBottom w:val="0"/>
                  <w:divBdr>
                    <w:top w:val="single" w:sz="6" w:space="0" w:color="910039"/>
                    <w:left w:val="single" w:sz="6" w:space="1" w:color="999999"/>
                    <w:bottom w:val="none" w:sz="0" w:space="4" w:color="auto"/>
                    <w:right w:val="single" w:sz="6" w:space="0" w:color="B8B8B8"/>
                  </w:divBdr>
                </w:div>
              </w:divsChild>
            </w:div>
          </w:divsChild>
        </w:div>
        <w:div w:id="249587611">
          <w:marLeft w:val="0"/>
          <w:marRight w:val="0"/>
          <w:marTop w:val="0"/>
          <w:marBottom w:val="375"/>
          <w:divBdr>
            <w:top w:val="none" w:sz="0" w:space="0" w:color="auto"/>
            <w:left w:val="none" w:sz="0" w:space="0" w:color="auto"/>
            <w:bottom w:val="none" w:sz="0" w:space="0" w:color="auto"/>
            <w:right w:val="none" w:sz="0" w:space="0" w:color="auto"/>
          </w:divBdr>
          <w:divsChild>
            <w:div w:id="249587284">
              <w:marLeft w:val="0"/>
              <w:marRight w:val="0"/>
              <w:marTop w:val="0"/>
              <w:marBottom w:val="0"/>
              <w:divBdr>
                <w:top w:val="none" w:sz="0" w:space="0" w:color="auto"/>
                <w:left w:val="none" w:sz="0" w:space="0" w:color="auto"/>
                <w:bottom w:val="none" w:sz="0" w:space="0" w:color="auto"/>
                <w:right w:val="none" w:sz="0" w:space="0" w:color="auto"/>
              </w:divBdr>
            </w:div>
          </w:divsChild>
        </w:div>
        <w:div w:id="249587652">
          <w:marLeft w:val="0"/>
          <w:marRight w:val="0"/>
          <w:marTop w:val="0"/>
          <w:marBottom w:val="300"/>
          <w:divBdr>
            <w:top w:val="none" w:sz="0" w:space="0" w:color="auto"/>
            <w:left w:val="none" w:sz="0" w:space="0" w:color="auto"/>
            <w:bottom w:val="none" w:sz="0" w:space="0" w:color="auto"/>
            <w:right w:val="none" w:sz="0" w:space="0" w:color="auto"/>
          </w:divBdr>
        </w:div>
        <w:div w:id="249587665">
          <w:marLeft w:val="0"/>
          <w:marRight w:val="0"/>
          <w:marTop w:val="0"/>
          <w:marBottom w:val="150"/>
          <w:divBdr>
            <w:top w:val="none" w:sz="0" w:space="0" w:color="auto"/>
            <w:left w:val="none" w:sz="0" w:space="0" w:color="auto"/>
            <w:bottom w:val="none" w:sz="0" w:space="0" w:color="auto"/>
            <w:right w:val="none" w:sz="0" w:space="0" w:color="auto"/>
          </w:divBdr>
        </w:div>
      </w:divsChild>
    </w:div>
    <w:div w:id="249587459">
      <w:marLeft w:val="0"/>
      <w:marRight w:val="0"/>
      <w:marTop w:val="0"/>
      <w:marBottom w:val="0"/>
      <w:divBdr>
        <w:top w:val="none" w:sz="0" w:space="0" w:color="auto"/>
        <w:left w:val="none" w:sz="0" w:space="0" w:color="auto"/>
        <w:bottom w:val="none" w:sz="0" w:space="0" w:color="auto"/>
        <w:right w:val="none" w:sz="0" w:space="0" w:color="auto"/>
      </w:divBdr>
      <w:divsChild>
        <w:div w:id="249587503">
          <w:marLeft w:val="0"/>
          <w:marRight w:val="0"/>
          <w:marTop w:val="120"/>
          <w:marBottom w:val="360"/>
          <w:divBdr>
            <w:top w:val="none" w:sz="0" w:space="0" w:color="auto"/>
            <w:left w:val="none" w:sz="0" w:space="0" w:color="auto"/>
            <w:bottom w:val="none" w:sz="0" w:space="0" w:color="auto"/>
            <w:right w:val="none" w:sz="0" w:space="0" w:color="auto"/>
          </w:divBdr>
          <w:divsChild>
            <w:div w:id="249587594">
              <w:marLeft w:val="0"/>
              <w:marRight w:val="0"/>
              <w:marTop w:val="0"/>
              <w:marBottom w:val="0"/>
              <w:divBdr>
                <w:top w:val="none" w:sz="0" w:space="0" w:color="auto"/>
                <w:left w:val="none" w:sz="0" w:space="0" w:color="auto"/>
                <w:bottom w:val="none" w:sz="0" w:space="0" w:color="auto"/>
                <w:right w:val="none" w:sz="0" w:space="0" w:color="auto"/>
              </w:divBdr>
            </w:div>
            <w:div w:id="249587621">
              <w:marLeft w:val="0"/>
              <w:marRight w:val="0"/>
              <w:marTop w:val="0"/>
              <w:marBottom w:val="0"/>
              <w:divBdr>
                <w:top w:val="none" w:sz="0" w:space="0" w:color="auto"/>
                <w:left w:val="none" w:sz="0" w:space="0" w:color="auto"/>
                <w:bottom w:val="none" w:sz="0" w:space="0" w:color="auto"/>
                <w:right w:val="none" w:sz="0" w:space="0" w:color="auto"/>
              </w:divBdr>
            </w:div>
            <w:div w:id="24958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60">
      <w:marLeft w:val="0"/>
      <w:marRight w:val="0"/>
      <w:marTop w:val="0"/>
      <w:marBottom w:val="0"/>
      <w:divBdr>
        <w:top w:val="none" w:sz="0" w:space="0" w:color="auto"/>
        <w:left w:val="none" w:sz="0" w:space="0" w:color="auto"/>
        <w:bottom w:val="none" w:sz="0" w:space="0" w:color="auto"/>
        <w:right w:val="none" w:sz="0" w:space="0" w:color="auto"/>
      </w:divBdr>
    </w:div>
    <w:div w:id="249587466">
      <w:marLeft w:val="0"/>
      <w:marRight w:val="0"/>
      <w:marTop w:val="0"/>
      <w:marBottom w:val="0"/>
      <w:divBdr>
        <w:top w:val="none" w:sz="0" w:space="0" w:color="auto"/>
        <w:left w:val="none" w:sz="0" w:space="0" w:color="auto"/>
        <w:bottom w:val="none" w:sz="0" w:space="0" w:color="auto"/>
        <w:right w:val="none" w:sz="0" w:space="0" w:color="auto"/>
      </w:divBdr>
      <w:divsChild>
        <w:div w:id="249587304">
          <w:marLeft w:val="0"/>
          <w:marRight w:val="0"/>
          <w:marTop w:val="120"/>
          <w:marBottom w:val="360"/>
          <w:divBdr>
            <w:top w:val="none" w:sz="0" w:space="0" w:color="auto"/>
            <w:left w:val="none" w:sz="0" w:space="0" w:color="auto"/>
            <w:bottom w:val="none" w:sz="0" w:space="0" w:color="auto"/>
            <w:right w:val="none" w:sz="0" w:space="0" w:color="auto"/>
          </w:divBdr>
          <w:divsChild>
            <w:div w:id="249587436">
              <w:marLeft w:val="0"/>
              <w:marRight w:val="0"/>
              <w:marTop w:val="0"/>
              <w:marBottom w:val="0"/>
              <w:divBdr>
                <w:top w:val="none" w:sz="0" w:space="0" w:color="auto"/>
                <w:left w:val="none" w:sz="0" w:space="0" w:color="auto"/>
                <w:bottom w:val="none" w:sz="0" w:space="0" w:color="auto"/>
                <w:right w:val="none" w:sz="0" w:space="0" w:color="auto"/>
              </w:divBdr>
            </w:div>
            <w:div w:id="249587456">
              <w:marLeft w:val="0"/>
              <w:marRight w:val="0"/>
              <w:marTop w:val="0"/>
              <w:marBottom w:val="0"/>
              <w:divBdr>
                <w:top w:val="none" w:sz="0" w:space="0" w:color="auto"/>
                <w:left w:val="none" w:sz="0" w:space="0" w:color="auto"/>
                <w:bottom w:val="none" w:sz="0" w:space="0" w:color="auto"/>
                <w:right w:val="none" w:sz="0" w:space="0" w:color="auto"/>
              </w:divBdr>
            </w:div>
            <w:div w:id="2495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70">
      <w:marLeft w:val="0"/>
      <w:marRight w:val="0"/>
      <w:marTop w:val="0"/>
      <w:marBottom w:val="0"/>
      <w:divBdr>
        <w:top w:val="none" w:sz="0" w:space="0" w:color="auto"/>
        <w:left w:val="none" w:sz="0" w:space="0" w:color="auto"/>
        <w:bottom w:val="none" w:sz="0" w:space="0" w:color="auto"/>
        <w:right w:val="none" w:sz="0" w:space="0" w:color="auto"/>
      </w:divBdr>
      <w:divsChild>
        <w:div w:id="249587346">
          <w:marLeft w:val="0"/>
          <w:marRight w:val="0"/>
          <w:marTop w:val="120"/>
          <w:marBottom w:val="360"/>
          <w:divBdr>
            <w:top w:val="none" w:sz="0" w:space="0" w:color="auto"/>
            <w:left w:val="none" w:sz="0" w:space="0" w:color="auto"/>
            <w:bottom w:val="none" w:sz="0" w:space="0" w:color="auto"/>
            <w:right w:val="none" w:sz="0" w:space="0" w:color="auto"/>
          </w:divBdr>
          <w:divsChild>
            <w:div w:id="249587478">
              <w:marLeft w:val="0"/>
              <w:marRight w:val="0"/>
              <w:marTop w:val="0"/>
              <w:marBottom w:val="0"/>
              <w:divBdr>
                <w:top w:val="none" w:sz="0" w:space="0" w:color="auto"/>
                <w:left w:val="none" w:sz="0" w:space="0" w:color="auto"/>
                <w:bottom w:val="none" w:sz="0" w:space="0" w:color="auto"/>
                <w:right w:val="none" w:sz="0" w:space="0" w:color="auto"/>
              </w:divBdr>
            </w:div>
            <w:div w:id="249587500">
              <w:marLeft w:val="0"/>
              <w:marRight w:val="0"/>
              <w:marTop w:val="0"/>
              <w:marBottom w:val="0"/>
              <w:divBdr>
                <w:top w:val="none" w:sz="0" w:space="0" w:color="auto"/>
                <w:left w:val="none" w:sz="0" w:space="0" w:color="auto"/>
                <w:bottom w:val="none" w:sz="0" w:space="0" w:color="auto"/>
                <w:right w:val="none" w:sz="0" w:space="0" w:color="auto"/>
              </w:divBdr>
            </w:div>
            <w:div w:id="24958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85">
      <w:marLeft w:val="0"/>
      <w:marRight w:val="0"/>
      <w:marTop w:val="0"/>
      <w:marBottom w:val="0"/>
      <w:divBdr>
        <w:top w:val="none" w:sz="0" w:space="0" w:color="auto"/>
        <w:left w:val="none" w:sz="0" w:space="0" w:color="auto"/>
        <w:bottom w:val="none" w:sz="0" w:space="0" w:color="auto"/>
        <w:right w:val="none" w:sz="0" w:space="0" w:color="auto"/>
      </w:divBdr>
    </w:div>
    <w:div w:id="249587494">
      <w:marLeft w:val="0"/>
      <w:marRight w:val="0"/>
      <w:marTop w:val="0"/>
      <w:marBottom w:val="0"/>
      <w:divBdr>
        <w:top w:val="none" w:sz="0" w:space="0" w:color="auto"/>
        <w:left w:val="none" w:sz="0" w:space="0" w:color="auto"/>
        <w:bottom w:val="none" w:sz="0" w:space="0" w:color="auto"/>
        <w:right w:val="none" w:sz="0" w:space="0" w:color="auto"/>
      </w:divBdr>
      <w:divsChild>
        <w:div w:id="249587458">
          <w:marLeft w:val="0"/>
          <w:marRight w:val="0"/>
          <w:marTop w:val="0"/>
          <w:marBottom w:val="0"/>
          <w:divBdr>
            <w:top w:val="none" w:sz="0" w:space="0" w:color="auto"/>
            <w:left w:val="none" w:sz="0" w:space="0" w:color="auto"/>
            <w:bottom w:val="none" w:sz="0" w:space="0" w:color="auto"/>
            <w:right w:val="none" w:sz="0" w:space="0" w:color="auto"/>
          </w:divBdr>
          <w:divsChild>
            <w:div w:id="249587281">
              <w:marLeft w:val="0"/>
              <w:marRight w:val="0"/>
              <w:marTop w:val="0"/>
              <w:marBottom w:val="0"/>
              <w:divBdr>
                <w:top w:val="none" w:sz="0" w:space="0" w:color="auto"/>
                <w:left w:val="none" w:sz="0" w:space="0" w:color="auto"/>
                <w:bottom w:val="none" w:sz="0" w:space="0" w:color="auto"/>
                <w:right w:val="none" w:sz="0" w:space="0" w:color="auto"/>
              </w:divBdr>
              <w:divsChild>
                <w:div w:id="249587444">
                  <w:marLeft w:val="0"/>
                  <w:marRight w:val="0"/>
                  <w:marTop w:val="0"/>
                  <w:marBottom w:val="0"/>
                  <w:divBdr>
                    <w:top w:val="none" w:sz="0" w:space="0" w:color="auto"/>
                    <w:left w:val="none" w:sz="0" w:space="0" w:color="auto"/>
                    <w:bottom w:val="none" w:sz="0" w:space="0" w:color="auto"/>
                    <w:right w:val="none" w:sz="0" w:space="0" w:color="auto"/>
                  </w:divBdr>
                  <w:divsChild>
                    <w:div w:id="24958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587497">
      <w:marLeft w:val="0"/>
      <w:marRight w:val="0"/>
      <w:marTop w:val="0"/>
      <w:marBottom w:val="0"/>
      <w:divBdr>
        <w:top w:val="none" w:sz="0" w:space="0" w:color="auto"/>
        <w:left w:val="none" w:sz="0" w:space="0" w:color="auto"/>
        <w:bottom w:val="none" w:sz="0" w:space="0" w:color="auto"/>
        <w:right w:val="none" w:sz="0" w:space="0" w:color="auto"/>
      </w:divBdr>
    </w:div>
    <w:div w:id="249587498">
      <w:marLeft w:val="0"/>
      <w:marRight w:val="0"/>
      <w:marTop w:val="0"/>
      <w:marBottom w:val="0"/>
      <w:divBdr>
        <w:top w:val="none" w:sz="0" w:space="0" w:color="auto"/>
        <w:left w:val="none" w:sz="0" w:space="0" w:color="auto"/>
        <w:bottom w:val="none" w:sz="0" w:space="0" w:color="auto"/>
        <w:right w:val="none" w:sz="0" w:space="0" w:color="auto"/>
      </w:divBdr>
      <w:divsChild>
        <w:div w:id="249587302">
          <w:marLeft w:val="0"/>
          <w:marRight w:val="0"/>
          <w:marTop w:val="0"/>
          <w:marBottom w:val="300"/>
          <w:divBdr>
            <w:top w:val="none" w:sz="0" w:space="0" w:color="auto"/>
            <w:left w:val="none" w:sz="0" w:space="0" w:color="auto"/>
            <w:bottom w:val="none" w:sz="0" w:space="0" w:color="auto"/>
            <w:right w:val="none" w:sz="0" w:space="0" w:color="auto"/>
          </w:divBdr>
        </w:div>
        <w:div w:id="249587462">
          <w:marLeft w:val="0"/>
          <w:marRight w:val="0"/>
          <w:marTop w:val="0"/>
          <w:marBottom w:val="150"/>
          <w:divBdr>
            <w:top w:val="none" w:sz="0" w:space="0" w:color="auto"/>
            <w:left w:val="none" w:sz="0" w:space="0" w:color="auto"/>
            <w:bottom w:val="none" w:sz="0" w:space="0" w:color="auto"/>
            <w:right w:val="none" w:sz="0" w:space="0" w:color="auto"/>
          </w:divBdr>
        </w:div>
        <w:div w:id="249587473">
          <w:marLeft w:val="0"/>
          <w:marRight w:val="0"/>
          <w:marTop w:val="0"/>
          <w:marBottom w:val="375"/>
          <w:divBdr>
            <w:top w:val="none" w:sz="0" w:space="0" w:color="auto"/>
            <w:left w:val="none" w:sz="0" w:space="0" w:color="auto"/>
            <w:bottom w:val="none" w:sz="0" w:space="0" w:color="auto"/>
            <w:right w:val="none" w:sz="0" w:space="0" w:color="auto"/>
          </w:divBdr>
          <w:divsChild>
            <w:div w:id="2495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99">
      <w:marLeft w:val="0"/>
      <w:marRight w:val="0"/>
      <w:marTop w:val="0"/>
      <w:marBottom w:val="0"/>
      <w:divBdr>
        <w:top w:val="none" w:sz="0" w:space="0" w:color="auto"/>
        <w:left w:val="none" w:sz="0" w:space="0" w:color="auto"/>
        <w:bottom w:val="none" w:sz="0" w:space="0" w:color="auto"/>
        <w:right w:val="none" w:sz="0" w:space="0" w:color="auto"/>
      </w:divBdr>
      <w:divsChild>
        <w:div w:id="249587280">
          <w:marLeft w:val="0"/>
          <w:marRight w:val="1"/>
          <w:marTop w:val="0"/>
          <w:marBottom w:val="0"/>
          <w:divBdr>
            <w:top w:val="none" w:sz="0" w:space="0" w:color="auto"/>
            <w:left w:val="none" w:sz="0" w:space="0" w:color="auto"/>
            <w:bottom w:val="none" w:sz="0" w:space="0" w:color="auto"/>
            <w:right w:val="none" w:sz="0" w:space="0" w:color="auto"/>
          </w:divBdr>
          <w:divsChild>
            <w:div w:id="249587372">
              <w:marLeft w:val="0"/>
              <w:marRight w:val="0"/>
              <w:marTop w:val="0"/>
              <w:marBottom w:val="0"/>
              <w:divBdr>
                <w:top w:val="none" w:sz="0" w:space="0" w:color="auto"/>
                <w:left w:val="none" w:sz="0" w:space="0" w:color="auto"/>
                <w:bottom w:val="none" w:sz="0" w:space="0" w:color="auto"/>
                <w:right w:val="none" w:sz="0" w:space="0" w:color="auto"/>
              </w:divBdr>
              <w:divsChild>
                <w:div w:id="249587637">
                  <w:marLeft w:val="0"/>
                  <w:marRight w:val="1"/>
                  <w:marTop w:val="0"/>
                  <w:marBottom w:val="0"/>
                  <w:divBdr>
                    <w:top w:val="none" w:sz="0" w:space="0" w:color="auto"/>
                    <w:left w:val="none" w:sz="0" w:space="0" w:color="auto"/>
                    <w:bottom w:val="none" w:sz="0" w:space="0" w:color="auto"/>
                    <w:right w:val="none" w:sz="0" w:space="0" w:color="auto"/>
                  </w:divBdr>
                  <w:divsChild>
                    <w:div w:id="249587591">
                      <w:marLeft w:val="0"/>
                      <w:marRight w:val="0"/>
                      <w:marTop w:val="0"/>
                      <w:marBottom w:val="0"/>
                      <w:divBdr>
                        <w:top w:val="none" w:sz="0" w:space="0" w:color="auto"/>
                        <w:left w:val="none" w:sz="0" w:space="0" w:color="auto"/>
                        <w:bottom w:val="none" w:sz="0" w:space="0" w:color="auto"/>
                        <w:right w:val="none" w:sz="0" w:space="0" w:color="auto"/>
                      </w:divBdr>
                      <w:divsChild>
                        <w:div w:id="249587332">
                          <w:marLeft w:val="0"/>
                          <w:marRight w:val="0"/>
                          <w:marTop w:val="0"/>
                          <w:marBottom w:val="0"/>
                          <w:divBdr>
                            <w:top w:val="none" w:sz="0" w:space="0" w:color="auto"/>
                            <w:left w:val="none" w:sz="0" w:space="0" w:color="auto"/>
                            <w:bottom w:val="none" w:sz="0" w:space="0" w:color="auto"/>
                            <w:right w:val="none" w:sz="0" w:space="0" w:color="auto"/>
                          </w:divBdr>
                          <w:divsChild>
                            <w:div w:id="249587386">
                              <w:marLeft w:val="0"/>
                              <w:marRight w:val="0"/>
                              <w:marTop w:val="120"/>
                              <w:marBottom w:val="360"/>
                              <w:divBdr>
                                <w:top w:val="none" w:sz="0" w:space="0" w:color="auto"/>
                                <w:left w:val="none" w:sz="0" w:space="0" w:color="auto"/>
                                <w:bottom w:val="none" w:sz="0" w:space="0" w:color="auto"/>
                                <w:right w:val="none" w:sz="0" w:space="0" w:color="auto"/>
                              </w:divBdr>
                              <w:divsChild>
                                <w:div w:id="249587287">
                                  <w:marLeft w:val="0"/>
                                  <w:marRight w:val="0"/>
                                  <w:marTop w:val="0"/>
                                  <w:marBottom w:val="0"/>
                                  <w:divBdr>
                                    <w:top w:val="none" w:sz="0" w:space="0" w:color="auto"/>
                                    <w:left w:val="none" w:sz="0" w:space="0" w:color="auto"/>
                                    <w:bottom w:val="none" w:sz="0" w:space="0" w:color="auto"/>
                                    <w:right w:val="none" w:sz="0" w:space="0" w:color="auto"/>
                                  </w:divBdr>
                                </w:div>
                                <w:div w:id="249587367">
                                  <w:marLeft w:val="0"/>
                                  <w:marRight w:val="0"/>
                                  <w:marTop w:val="0"/>
                                  <w:marBottom w:val="0"/>
                                  <w:divBdr>
                                    <w:top w:val="none" w:sz="0" w:space="0" w:color="auto"/>
                                    <w:left w:val="none" w:sz="0" w:space="0" w:color="auto"/>
                                    <w:bottom w:val="none" w:sz="0" w:space="0" w:color="auto"/>
                                    <w:right w:val="none" w:sz="0" w:space="0" w:color="auto"/>
                                  </w:divBdr>
                                </w:div>
                                <w:div w:id="24958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77">
                          <w:marLeft w:val="0"/>
                          <w:marRight w:val="0"/>
                          <w:marTop w:val="0"/>
                          <w:marBottom w:val="0"/>
                          <w:divBdr>
                            <w:top w:val="none" w:sz="0" w:space="0" w:color="auto"/>
                            <w:left w:val="none" w:sz="0" w:space="0" w:color="auto"/>
                            <w:bottom w:val="none" w:sz="0" w:space="0" w:color="auto"/>
                            <w:right w:val="none" w:sz="0" w:space="0" w:color="auto"/>
                          </w:divBdr>
                          <w:divsChild>
                            <w:div w:id="249587336">
                              <w:marLeft w:val="0"/>
                              <w:marRight w:val="0"/>
                              <w:marTop w:val="0"/>
                              <w:marBottom w:val="0"/>
                              <w:divBdr>
                                <w:top w:val="none" w:sz="0" w:space="0" w:color="auto"/>
                                <w:left w:val="none" w:sz="0" w:space="0" w:color="auto"/>
                                <w:bottom w:val="none" w:sz="0" w:space="0" w:color="auto"/>
                                <w:right w:val="none" w:sz="0" w:space="0" w:color="auto"/>
                              </w:divBdr>
                            </w:div>
                          </w:divsChild>
                        </w:div>
                        <w:div w:id="249587688">
                          <w:marLeft w:val="0"/>
                          <w:marRight w:val="0"/>
                          <w:marTop w:val="0"/>
                          <w:marBottom w:val="0"/>
                          <w:divBdr>
                            <w:top w:val="none" w:sz="0" w:space="0" w:color="auto"/>
                            <w:left w:val="none" w:sz="0" w:space="0" w:color="auto"/>
                            <w:bottom w:val="none" w:sz="0" w:space="0" w:color="auto"/>
                            <w:right w:val="none" w:sz="0" w:space="0" w:color="auto"/>
                          </w:divBdr>
                          <w:divsChild>
                            <w:div w:id="249587351">
                              <w:marLeft w:val="0"/>
                              <w:marRight w:val="0"/>
                              <w:marTop w:val="45"/>
                              <w:marBottom w:val="0"/>
                              <w:divBdr>
                                <w:top w:val="single" w:sz="6" w:space="2" w:color="CCCCCC"/>
                                <w:left w:val="single" w:sz="6" w:space="2" w:color="CCCCCC"/>
                                <w:bottom w:val="single" w:sz="6" w:space="2" w:color="CCCCCC"/>
                                <w:right w:val="single" w:sz="6" w:space="2" w:color="CCCCCC"/>
                              </w:divBdr>
                              <w:divsChild>
                                <w:div w:id="249587306">
                                  <w:marLeft w:val="0"/>
                                  <w:marRight w:val="0"/>
                                  <w:marTop w:val="0"/>
                                  <w:marBottom w:val="0"/>
                                  <w:divBdr>
                                    <w:top w:val="none" w:sz="0" w:space="0" w:color="auto"/>
                                    <w:left w:val="none" w:sz="0" w:space="0" w:color="auto"/>
                                    <w:bottom w:val="none" w:sz="0" w:space="0" w:color="auto"/>
                                    <w:right w:val="none" w:sz="0" w:space="0" w:color="auto"/>
                                  </w:divBdr>
                                  <w:divsChild>
                                    <w:div w:id="249587392">
                                      <w:marLeft w:val="0"/>
                                      <w:marRight w:val="0"/>
                                      <w:marTop w:val="0"/>
                                      <w:marBottom w:val="0"/>
                                      <w:divBdr>
                                        <w:top w:val="none" w:sz="0" w:space="0" w:color="auto"/>
                                        <w:left w:val="none" w:sz="0" w:space="0" w:color="auto"/>
                                        <w:bottom w:val="none" w:sz="0" w:space="0" w:color="auto"/>
                                        <w:right w:val="none" w:sz="0" w:space="0" w:color="auto"/>
                                      </w:divBdr>
                                    </w:div>
                                  </w:divsChild>
                                </w:div>
                                <w:div w:id="249587373">
                                  <w:marLeft w:val="0"/>
                                  <w:marRight w:val="0"/>
                                  <w:marTop w:val="0"/>
                                  <w:marBottom w:val="0"/>
                                  <w:divBdr>
                                    <w:top w:val="none" w:sz="0" w:space="0" w:color="auto"/>
                                    <w:left w:val="none" w:sz="0" w:space="0" w:color="auto"/>
                                    <w:bottom w:val="none" w:sz="0" w:space="0" w:color="auto"/>
                                    <w:right w:val="none" w:sz="0" w:space="0" w:color="auto"/>
                                  </w:divBdr>
                                </w:div>
                                <w:div w:id="249587406">
                                  <w:marLeft w:val="0"/>
                                  <w:marRight w:val="0"/>
                                  <w:marTop w:val="0"/>
                                  <w:marBottom w:val="0"/>
                                  <w:divBdr>
                                    <w:top w:val="none" w:sz="0" w:space="0" w:color="auto"/>
                                    <w:left w:val="none" w:sz="0" w:space="0" w:color="auto"/>
                                    <w:bottom w:val="none" w:sz="0" w:space="0" w:color="auto"/>
                                    <w:right w:val="none" w:sz="0" w:space="0" w:color="auto"/>
                                  </w:divBdr>
                                </w:div>
                                <w:div w:id="249587414">
                                  <w:marLeft w:val="0"/>
                                  <w:marRight w:val="0"/>
                                  <w:marTop w:val="0"/>
                                  <w:marBottom w:val="0"/>
                                  <w:divBdr>
                                    <w:top w:val="none" w:sz="0" w:space="0" w:color="auto"/>
                                    <w:left w:val="none" w:sz="0" w:space="0" w:color="auto"/>
                                    <w:bottom w:val="none" w:sz="0" w:space="0" w:color="auto"/>
                                    <w:right w:val="none" w:sz="0" w:space="0" w:color="auto"/>
                                  </w:divBdr>
                                </w:div>
                                <w:div w:id="249587422">
                                  <w:marLeft w:val="0"/>
                                  <w:marRight w:val="0"/>
                                  <w:marTop w:val="0"/>
                                  <w:marBottom w:val="0"/>
                                  <w:divBdr>
                                    <w:top w:val="none" w:sz="0" w:space="0" w:color="auto"/>
                                    <w:left w:val="none" w:sz="0" w:space="0" w:color="auto"/>
                                    <w:bottom w:val="none" w:sz="0" w:space="0" w:color="auto"/>
                                    <w:right w:val="none" w:sz="0" w:space="0" w:color="auto"/>
                                  </w:divBdr>
                                </w:div>
                                <w:div w:id="249587479">
                                  <w:marLeft w:val="0"/>
                                  <w:marRight w:val="0"/>
                                  <w:marTop w:val="0"/>
                                  <w:marBottom w:val="0"/>
                                  <w:divBdr>
                                    <w:top w:val="none" w:sz="0" w:space="0" w:color="auto"/>
                                    <w:left w:val="none" w:sz="0" w:space="0" w:color="auto"/>
                                    <w:bottom w:val="none" w:sz="0" w:space="0" w:color="auto"/>
                                    <w:right w:val="none" w:sz="0" w:space="0" w:color="auto"/>
                                  </w:divBdr>
                                </w:div>
                                <w:div w:id="249587487">
                                  <w:marLeft w:val="0"/>
                                  <w:marRight w:val="0"/>
                                  <w:marTop w:val="0"/>
                                  <w:marBottom w:val="0"/>
                                  <w:divBdr>
                                    <w:top w:val="none" w:sz="0" w:space="0" w:color="auto"/>
                                    <w:left w:val="none" w:sz="0" w:space="0" w:color="auto"/>
                                    <w:bottom w:val="none" w:sz="0" w:space="0" w:color="auto"/>
                                    <w:right w:val="none" w:sz="0" w:space="0" w:color="auto"/>
                                  </w:divBdr>
                                </w:div>
                              </w:divsChild>
                            </w:div>
                            <w:div w:id="249587419">
                              <w:marLeft w:val="240"/>
                              <w:marRight w:val="0"/>
                              <w:marTop w:val="0"/>
                              <w:marBottom w:val="0"/>
                              <w:divBdr>
                                <w:top w:val="none" w:sz="0" w:space="0" w:color="auto"/>
                                <w:left w:val="none" w:sz="0" w:space="0" w:color="auto"/>
                                <w:bottom w:val="none" w:sz="0" w:space="0" w:color="auto"/>
                                <w:right w:val="none" w:sz="0" w:space="0" w:color="auto"/>
                              </w:divBdr>
                            </w:div>
                            <w:div w:id="2495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587501">
      <w:marLeft w:val="0"/>
      <w:marRight w:val="0"/>
      <w:marTop w:val="0"/>
      <w:marBottom w:val="0"/>
      <w:divBdr>
        <w:top w:val="none" w:sz="0" w:space="0" w:color="auto"/>
        <w:left w:val="none" w:sz="0" w:space="0" w:color="auto"/>
        <w:bottom w:val="none" w:sz="0" w:space="0" w:color="auto"/>
        <w:right w:val="none" w:sz="0" w:space="0" w:color="auto"/>
      </w:divBdr>
      <w:divsChild>
        <w:div w:id="249587404">
          <w:marLeft w:val="0"/>
          <w:marRight w:val="0"/>
          <w:marTop w:val="0"/>
          <w:marBottom w:val="0"/>
          <w:divBdr>
            <w:top w:val="single" w:sz="18" w:space="6" w:color="E1E9EB"/>
            <w:left w:val="none" w:sz="0" w:space="0" w:color="auto"/>
            <w:bottom w:val="none" w:sz="0" w:space="0" w:color="auto"/>
            <w:right w:val="none" w:sz="0" w:space="0" w:color="auto"/>
          </w:divBdr>
        </w:div>
        <w:div w:id="249587464">
          <w:marLeft w:val="240"/>
          <w:marRight w:val="0"/>
          <w:marTop w:val="288"/>
          <w:marBottom w:val="0"/>
          <w:divBdr>
            <w:top w:val="single" w:sz="18" w:space="6" w:color="E1E9EB"/>
            <w:left w:val="none" w:sz="0" w:space="0" w:color="auto"/>
            <w:bottom w:val="none" w:sz="0" w:space="0" w:color="auto"/>
            <w:right w:val="none" w:sz="0" w:space="0" w:color="auto"/>
          </w:divBdr>
          <w:divsChild>
            <w:div w:id="249587597">
              <w:marLeft w:val="0"/>
              <w:marRight w:val="0"/>
              <w:marTop w:val="120"/>
              <w:marBottom w:val="0"/>
              <w:divBdr>
                <w:top w:val="none" w:sz="0" w:space="0" w:color="auto"/>
                <w:left w:val="none" w:sz="0" w:space="0" w:color="auto"/>
                <w:bottom w:val="none" w:sz="0" w:space="0" w:color="auto"/>
                <w:right w:val="none" w:sz="0" w:space="0" w:color="auto"/>
              </w:divBdr>
              <w:divsChild>
                <w:div w:id="249587379">
                  <w:marLeft w:val="0"/>
                  <w:marRight w:val="0"/>
                  <w:marTop w:val="0"/>
                  <w:marBottom w:val="240"/>
                  <w:divBdr>
                    <w:top w:val="none" w:sz="0" w:space="0" w:color="auto"/>
                    <w:left w:val="none" w:sz="0" w:space="0" w:color="auto"/>
                    <w:bottom w:val="none" w:sz="0" w:space="0" w:color="auto"/>
                    <w:right w:val="none" w:sz="0" w:space="0" w:color="auto"/>
                  </w:divBdr>
                </w:div>
              </w:divsChild>
            </w:div>
            <w:div w:id="249587626">
              <w:marLeft w:val="0"/>
              <w:marRight w:val="240"/>
              <w:marTop w:val="120"/>
              <w:marBottom w:val="0"/>
              <w:divBdr>
                <w:top w:val="none" w:sz="0" w:space="0" w:color="auto"/>
                <w:left w:val="none" w:sz="0" w:space="0" w:color="auto"/>
                <w:bottom w:val="none" w:sz="0" w:space="0" w:color="auto"/>
                <w:right w:val="none" w:sz="0" w:space="0" w:color="auto"/>
              </w:divBdr>
              <w:divsChild>
                <w:div w:id="249587650">
                  <w:marLeft w:val="75"/>
                  <w:marRight w:val="0"/>
                  <w:marTop w:val="75"/>
                  <w:marBottom w:val="360"/>
                  <w:divBdr>
                    <w:top w:val="none" w:sz="0" w:space="0" w:color="auto"/>
                    <w:left w:val="none" w:sz="0" w:space="0" w:color="auto"/>
                    <w:bottom w:val="none" w:sz="0" w:space="0" w:color="auto"/>
                    <w:right w:val="none" w:sz="0" w:space="0" w:color="auto"/>
                  </w:divBdr>
                </w:div>
              </w:divsChild>
            </w:div>
          </w:divsChild>
        </w:div>
        <w:div w:id="249587646">
          <w:marLeft w:val="0"/>
          <w:marRight w:val="0"/>
          <w:marTop w:val="120"/>
          <w:marBottom w:val="0"/>
          <w:divBdr>
            <w:top w:val="none" w:sz="0" w:space="0" w:color="auto"/>
            <w:left w:val="none" w:sz="0" w:space="0" w:color="auto"/>
            <w:bottom w:val="none" w:sz="0" w:space="0" w:color="auto"/>
            <w:right w:val="none" w:sz="0" w:space="0" w:color="auto"/>
          </w:divBdr>
        </w:div>
      </w:divsChild>
    </w:div>
    <w:div w:id="249587505">
      <w:marLeft w:val="0"/>
      <w:marRight w:val="0"/>
      <w:marTop w:val="0"/>
      <w:marBottom w:val="0"/>
      <w:divBdr>
        <w:top w:val="none" w:sz="0" w:space="0" w:color="auto"/>
        <w:left w:val="none" w:sz="0" w:space="0" w:color="auto"/>
        <w:bottom w:val="none" w:sz="0" w:space="0" w:color="auto"/>
        <w:right w:val="none" w:sz="0" w:space="0" w:color="auto"/>
      </w:divBdr>
      <w:divsChild>
        <w:div w:id="249587353">
          <w:marLeft w:val="0"/>
          <w:marRight w:val="0"/>
          <w:marTop w:val="168"/>
          <w:marBottom w:val="0"/>
          <w:divBdr>
            <w:top w:val="none" w:sz="0" w:space="0" w:color="auto"/>
            <w:left w:val="none" w:sz="0" w:space="0" w:color="auto"/>
            <w:bottom w:val="none" w:sz="0" w:space="0" w:color="auto"/>
            <w:right w:val="none" w:sz="0" w:space="0" w:color="auto"/>
          </w:divBdr>
          <w:divsChild>
            <w:div w:id="249587415">
              <w:marLeft w:val="0"/>
              <w:marRight w:val="0"/>
              <w:marTop w:val="0"/>
              <w:marBottom w:val="0"/>
              <w:divBdr>
                <w:top w:val="none" w:sz="0" w:space="0" w:color="auto"/>
                <w:left w:val="none" w:sz="0" w:space="0" w:color="auto"/>
                <w:bottom w:val="none" w:sz="0" w:space="0" w:color="auto"/>
                <w:right w:val="none" w:sz="0" w:space="0" w:color="auto"/>
              </w:divBdr>
            </w:div>
            <w:div w:id="24958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15">
      <w:marLeft w:val="0"/>
      <w:marRight w:val="0"/>
      <w:marTop w:val="0"/>
      <w:marBottom w:val="0"/>
      <w:divBdr>
        <w:top w:val="none" w:sz="0" w:space="0" w:color="auto"/>
        <w:left w:val="none" w:sz="0" w:space="0" w:color="auto"/>
        <w:bottom w:val="none" w:sz="0" w:space="0" w:color="auto"/>
        <w:right w:val="none" w:sz="0" w:space="0" w:color="auto"/>
      </w:divBdr>
      <w:divsChild>
        <w:div w:id="249587689">
          <w:marLeft w:val="75"/>
          <w:marRight w:val="75"/>
          <w:marTop w:val="0"/>
          <w:marBottom w:val="0"/>
          <w:divBdr>
            <w:top w:val="none" w:sz="0" w:space="0" w:color="auto"/>
            <w:left w:val="none" w:sz="0" w:space="0" w:color="auto"/>
            <w:bottom w:val="none" w:sz="0" w:space="0" w:color="auto"/>
            <w:right w:val="none" w:sz="0" w:space="0" w:color="auto"/>
          </w:divBdr>
          <w:divsChild>
            <w:div w:id="249587316">
              <w:marLeft w:val="0"/>
              <w:marRight w:val="0"/>
              <w:marTop w:val="0"/>
              <w:marBottom w:val="0"/>
              <w:divBdr>
                <w:top w:val="none" w:sz="0" w:space="0" w:color="auto"/>
                <w:left w:val="none" w:sz="0" w:space="0" w:color="auto"/>
                <w:bottom w:val="none" w:sz="0" w:space="0" w:color="auto"/>
                <w:right w:val="none" w:sz="0" w:space="0" w:color="auto"/>
              </w:divBdr>
              <w:divsChild>
                <w:div w:id="249587400">
                  <w:marLeft w:val="0"/>
                  <w:marRight w:val="0"/>
                  <w:marTop w:val="0"/>
                  <w:marBottom w:val="0"/>
                  <w:divBdr>
                    <w:top w:val="none" w:sz="0" w:space="0" w:color="auto"/>
                    <w:left w:val="none" w:sz="0" w:space="0" w:color="auto"/>
                    <w:bottom w:val="none" w:sz="0" w:space="0" w:color="auto"/>
                    <w:right w:val="none" w:sz="0" w:space="0" w:color="auto"/>
                  </w:divBdr>
                  <w:divsChild>
                    <w:div w:id="24958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587523">
      <w:marLeft w:val="0"/>
      <w:marRight w:val="0"/>
      <w:marTop w:val="0"/>
      <w:marBottom w:val="0"/>
      <w:divBdr>
        <w:top w:val="none" w:sz="0" w:space="0" w:color="auto"/>
        <w:left w:val="none" w:sz="0" w:space="0" w:color="auto"/>
        <w:bottom w:val="none" w:sz="0" w:space="0" w:color="auto"/>
        <w:right w:val="none" w:sz="0" w:space="0" w:color="auto"/>
      </w:divBdr>
      <w:divsChild>
        <w:div w:id="249587530">
          <w:marLeft w:val="0"/>
          <w:marRight w:val="0"/>
          <w:marTop w:val="120"/>
          <w:marBottom w:val="360"/>
          <w:divBdr>
            <w:top w:val="none" w:sz="0" w:space="0" w:color="auto"/>
            <w:left w:val="none" w:sz="0" w:space="0" w:color="auto"/>
            <w:bottom w:val="none" w:sz="0" w:space="0" w:color="auto"/>
            <w:right w:val="none" w:sz="0" w:space="0" w:color="auto"/>
          </w:divBdr>
          <w:divsChild>
            <w:div w:id="249587535">
              <w:marLeft w:val="0"/>
              <w:marRight w:val="0"/>
              <w:marTop w:val="0"/>
              <w:marBottom w:val="0"/>
              <w:divBdr>
                <w:top w:val="none" w:sz="0" w:space="0" w:color="auto"/>
                <w:left w:val="none" w:sz="0" w:space="0" w:color="auto"/>
                <w:bottom w:val="none" w:sz="0" w:space="0" w:color="auto"/>
                <w:right w:val="none" w:sz="0" w:space="0" w:color="auto"/>
              </w:divBdr>
            </w:div>
            <w:div w:id="249587562">
              <w:marLeft w:val="0"/>
              <w:marRight w:val="0"/>
              <w:marTop w:val="0"/>
              <w:marBottom w:val="0"/>
              <w:divBdr>
                <w:top w:val="none" w:sz="0" w:space="0" w:color="auto"/>
                <w:left w:val="none" w:sz="0" w:space="0" w:color="auto"/>
                <w:bottom w:val="none" w:sz="0" w:space="0" w:color="auto"/>
                <w:right w:val="none" w:sz="0" w:space="0" w:color="auto"/>
              </w:divBdr>
            </w:div>
            <w:div w:id="2495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27">
      <w:marLeft w:val="0"/>
      <w:marRight w:val="0"/>
      <w:marTop w:val="0"/>
      <w:marBottom w:val="0"/>
      <w:divBdr>
        <w:top w:val="none" w:sz="0" w:space="0" w:color="auto"/>
        <w:left w:val="none" w:sz="0" w:space="0" w:color="auto"/>
        <w:bottom w:val="none" w:sz="0" w:space="0" w:color="auto"/>
        <w:right w:val="none" w:sz="0" w:space="0" w:color="auto"/>
      </w:divBdr>
    </w:div>
    <w:div w:id="249587538">
      <w:marLeft w:val="0"/>
      <w:marRight w:val="0"/>
      <w:marTop w:val="0"/>
      <w:marBottom w:val="0"/>
      <w:divBdr>
        <w:top w:val="none" w:sz="0" w:space="0" w:color="auto"/>
        <w:left w:val="none" w:sz="0" w:space="0" w:color="auto"/>
        <w:bottom w:val="none" w:sz="0" w:space="0" w:color="auto"/>
        <w:right w:val="none" w:sz="0" w:space="0" w:color="auto"/>
      </w:divBdr>
      <w:divsChild>
        <w:div w:id="249587561">
          <w:marLeft w:val="0"/>
          <w:marRight w:val="1"/>
          <w:marTop w:val="0"/>
          <w:marBottom w:val="0"/>
          <w:divBdr>
            <w:top w:val="none" w:sz="0" w:space="0" w:color="auto"/>
            <w:left w:val="none" w:sz="0" w:space="0" w:color="auto"/>
            <w:bottom w:val="none" w:sz="0" w:space="0" w:color="auto"/>
            <w:right w:val="none" w:sz="0" w:space="0" w:color="auto"/>
          </w:divBdr>
          <w:divsChild>
            <w:div w:id="249587519">
              <w:marLeft w:val="0"/>
              <w:marRight w:val="0"/>
              <w:marTop w:val="0"/>
              <w:marBottom w:val="0"/>
              <w:divBdr>
                <w:top w:val="none" w:sz="0" w:space="0" w:color="auto"/>
                <w:left w:val="none" w:sz="0" w:space="0" w:color="auto"/>
                <w:bottom w:val="none" w:sz="0" w:space="0" w:color="auto"/>
                <w:right w:val="none" w:sz="0" w:space="0" w:color="auto"/>
              </w:divBdr>
              <w:divsChild>
                <w:div w:id="249587540">
                  <w:marLeft w:val="0"/>
                  <w:marRight w:val="1"/>
                  <w:marTop w:val="0"/>
                  <w:marBottom w:val="0"/>
                  <w:divBdr>
                    <w:top w:val="none" w:sz="0" w:space="0" w:color="auto"/>
                    <w:left w:val="none" w:sz="0" w:space="0" w:color="auto"/>
                    <w:bottom w:val="none" w:sz="0" w:space="0" w:color="auto"/>
                    <w:right w:val="none" w:sz="0" w:space="0" w:color="auto"/>
                  </w:divBdr>
                  <w:divsChild>
                    <w:div w:id="249587521">
                      <w:marLeft w:val="0"/>
                      <w:marRight w:val="0"/>
                      <w:marTop w:val="0"/>
                      <w:marBottom w:val="0"/>
                      <w:divBdr>
                        <w:top w:val="none" w:sz="0" w:space="0" w:color="auto"/>
                        <w:left w:val="none" w:sz="0" w:space="0" w:color="auto"/>
                        <w:bottom w:val="none" w:sz="0" w:space="0" w:color="auto"/>
                        <w:right w:val="none" w:sz="0" w:space="0" w:color="auto"/>
                      </w:divBdr>
                      <w:divsChild>
                        <w:div w:id="249587518">
                          <w:marLeft w:val="0"/>
                          <w:marRight w:val="0"/>
                          <w:marTop w:val="0"/>
                          <w:marBottom w:val="0"/>
                          <w:divBdr>
                            <w:top w:val="none" w:sz="0" w:space="0" w:color="auto"/>
                            <w:left w:val="none" w:sz="0" w:space="0" w:color="auto"/>
                            <w:bottom w:val="none" w:sz="0" w:space="0" w:color="auto"/>
                            <w:right w:val="none" w:sz="0" w:space="0" w:color="auto"/>
                          </w:divBdr>
                          <w:divsChild>
                            <w:div w:id="249587545">
                              <w:marLeft w:val="0"/>
                              <w:marRight w:val="0"/>
                              <w:marTop w:val="0"/>
                              <w:marBottom w:val="0"/>
                              <w:divBdr>
                                <w:top w:val="none" w:sz="0" w:space="0" w:color="auto"/>
                                <w:left w:val="none" w:sz="0" w:space="0" w:color="auto"/>
                                <w:bottom w:val="none" w:sz="0" w:space="0" w:color="auto"/>
                                <w:right w:val="none" w:sz="0" w:space="0" w:color="auto"/>
                              </w:divBdr>
                            </w:div>
                            <w:div w:id="249587550">
                              <w:marLeft w:val="240"/>
                              <w:marRight w:val="0"/>
                              <w:marTop w:val="0"/>
                              <w:marBottom w:val="0"/>
                              <w:divBdr>
                                <w:top w:val="none" w:sz="0" w:space="0" w:color="auto"/>
                                <w:left w:val="none" w:sz="0" w:space="0" w:color="auto"/>
                                <w:bottom w:val="none" w:sz="0" w:space="0" w:color="auto"/>
                                <w:right w:val="none" w:sz="0" w:space="0" w:color="auto"/>
                              </w:divBdr>
                            </w:div>
                            <w:div w:id="249587566">
                              <w:marLeft w:val="0"/>
                              <w:marRight w:val="0"/>
                              <w:marTop w:val="45"/>
                              <w:marBottom w:val="0"/>
                              <w:divBdr>
                                <w:top w:val="single" w:sz="6" w:space="2" w:color="CCCCCC"/>
                                <w:left w:val="single" w:sz="6" w:space="2" w:color="CCCCCC"/>
                                <w:bottom w:val="single" w:sz="6" w:space="2" w:color="CCCCCC"/>
                                <w:right w:val="single" w:sz="6" w:space="2" w:color="CCCCCC"/>
                              </w:divBdr>
                              <w:divsChild>
                                <w:div w:id="249587520">
                                  <w:marLeft w:val="0"/>
                                  <w:marRight w:val="0"/>
                                  <w:marTop w:val="0"/>
                                  <w:marBottom w:val="0"/>
                                  <w:divBdr>
                                    <w:top w:val="none" w:sz="0" w:space="0" w:color="auto"/>
                                    <w:left w:val="none" w:sz="0" w:space="0" w:color="auto"/>
                                    <w:bottom w:val="none" w:sz="0" w:space="0" w:color="auto"/>
                                    <w:right w:val="none" w:sz="0" w:space="0" w:color="auto"/>
                                  </w:divBdr>
                                </w:div>
                                <w:div w:id="249587524">
                                  <w:marLeft w:val="0"/>
                                  <w:marRight w:val="0"/>
                                  <w:marTop w:val="0"/>
                                  <w:marBottom w:val="0"/>
                                  <w:divBdr>
                                    <w:top w:val="none" w:sz="0" w:space="0" w:color="auto"/>
                                    <w:left w:val="none" w:sz="0" w:space="0" w:color="auto"/>
                                    <w:bottom w:val="none" w:sz="0" w:space="0" w:color="auto"/>
                                    <w:right w:val="none" w:sz="0" w:space="0" w:color="auto"/>
                                  </w:divBdr>
                                </w:div>
                                <w:div w:id="249587549">
                                  <w:marLeft w:val="0"/>
                                  <w:marRight w:val="0"/>
                                  <w:marTop w:val="0"/>
                                  <w:marBottom w:val="0"/>
                                  <w:divBdr>
                                    <w:top w:val="none" w:sz="0" w:space="0" w:color="auto"/>
                                    <w:left w:val="none" w:sz="0" w:space="0" w:color="auto"/>
                                    <w:bottom w:val="none" w:sz="0" w:space="0" w:color="auto"/>
                                    <w:right w:val="none" w:sz="0" w:space="0" w:color="auto"/>
                                  </w:divBdr>
                                </w:div>
                                <w:div w:id="249587560">
                                  <w:marLeft w:val="0"/>
                                  <w:marRight w:val="0"/>
                                  <w:marTop w:val="0"/>
                                  <w:marBottom w:val="0"/>
                                  <w:divBdr>
                                    <w:top w:val="none" w:sz="0" w:space="0" w:color="auto"/>
                                    <w:left w:val="none" w:sz="0" w:space="0" w:color="auto"/>
                                    <w:bottom w:val="none" w:sz="0" w:space="0" w:color="auto"/>
                                    <w:right w:val="none" w:sz="0" w:space="0" w:color="auto"/>
                                  </w:divBdr>
                                  <w:divsChild>
                                    <w:div w:id="249587537">
                                      <w:marLeft w:val="0"/>
                                      <w:marRight w:val="0"/>
                                      <w:marTop w:val="0"/>
                                      <w:marBottom w:val="0"/>
                                      <w:divBdr>
                                        <w:top w:val="none" w:sz="0" w:space="0" w:color="auto"/>
                                        <w:left w:val="none" w:sz="0" w:space="0" w:color="auto"/>
                                        <w:bottom w:val="none" w:sz="0" w:space="0" w:color="auto"/>
                                        <w:right w:val="none" w:sz="0" w:space="0" w:color="auto"/>
                                      </w:divBdr>
                                    </w:div>
                                  </w:divsChild>
                                </w:div>
                                <w:div w:id="249587571">
                                  <w:marLeft w:val="0"/>
                                  <w:marRight w:val="0"/>
                                  <w:marTop w:val="0"/>
                                  <w:marBottom w:val="0"/>
                                  <w:divBdr>
                                    <w:top w:val="none" w:sz="0" w:space="0" w:color="auto"/>
                                    <w:left w:val="none" w:sz="0" w:space="0" w:color="auto"/>
                                    <w:bottom w:val="none" w:sz="0" w:space="0" w:color="auto"/>
                                    <w:right w:val="none" w:sz="0" w:space="0" w:color="auto"/>
                                  </w:divBdr>
                                </w:div>
                                <w:div w:id="249587576">
                                  <w:marLeft w:val="0"/>
                                  <w:marRight w:val="0"/>
                                  <w:marTop w:val="0"/>
                                  <w:marBottom w:val="0"/>
                                  <w:divBdr>
                                    <w:top w:val="none" w:sz="0" w:space="0" w:color="auto"/>
                                    <w:left w:val="none" w:sz="0" w:space="0" w:color="auto"/>
                                    <w:bottom w:val="none" w:sz="0" w:space="0" w:color="auto"/>
                                    <w:right w:val="none" w:sz="0" w:space="0" w:color="auto"/>
                                  </w:divBdr>
                                </w:div>
                                <w:div w:id="24958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75">
                          <w:marLeft w:val="0"/>
                          <w:marRight w:val="0"/>
                          <w:marTop w:val="0"/>
                          <w:marBottom w:val="0"/>
                          <w:divBdr>
                            <w:top w:val="none" w:sz="0" w:space="0" w:color="auto"/>
                            <w:left w:val="none" w:sz="0" w:space="0" w:color="auto"/>
                            <w:bottom w:val="none" w:sz="0" w:space="0" w:color="auto"/>
                            <w:right w:val="none" w:sz="0" w:space="0" w:color="auto"/>
                          </w:divBdr>
                          <w:divsChild>
                            <w:div w:id="249587534">
                              <w:marLeft w:val="0"/>
                              <w:marRight w:val="0"/>
                              <w:marTop w:val="0"/>
                              <w:marBottom w:val="0"/>
                              <w:divBdr>
                                <w:top w:val="none" w:sz="0" w:space="0" w:color="auto"/>
                                <w:left w:val="none" w:sz="0" w:space="0" w:color="auto"/>
                                <w:bottom w:val="none" w:sz="0" w:space="0" w:color="auto"/>
                                <w:right w:val="none" w:sz="0" w:space="0" w:color="auto"/>
                              </w:divBdr>
                            </w:div>
                          </w:divsChild>
                        </w:div>
                        <w:div w:id="249587580">
                          <w:marLeft w:val="0"/>
                          <w:marRight w:val="0"/>
                          <w:marTop w:val="0"/>
                          <w:marBottom w:val="0"/>
                          <w:divBdr>
                            <w:top w:val="none" w:sz="0" w:space="0" w:color="auto"/>
                            <w:left w:val="none" w:sz="0" w:space="0" w:color="auto"/>
                            <w:bottom w:val="none" w:sz="0" w:space="0" w:color="auto"/>
                            <w:right w:val="none" w:sz="0" w:space="0" w:color="auto"/>
                          </w:divBdr>
                          <w:divsChild>
                            <w:div w:id="249587557">
                              <w:marLeft w:val="0"/>
                              <w:marRight w:val="0"/>
                              <w:marTop w:val="120"/>
                              <w:marBottom w:val="360"/>
                              <w:divBdr>
                                <w:top w:val="none" w:sz="0" w:space="0" w:color="auto"/>
                                <w:left w:val="none" w:sz="0" w:space="0" w:color="auto"/>
                                <w:bottom w:val="none" w:sz="0" w:space="0" w:color="auto"/>
                                <w:right w:val="none" w:sz="0" w:space="0" w:color="auto"/>
                              </w:divBdr>
                              <w:divsChild>
                                <w:div w:id="249587546">
                                  <w:marLeft w:val="0"/>
                                  <w:marRight w:val="0"/>
                                  <w:marTop w:val="0"/>
                                  <w:marBottom w:val="0"/>
                                  <w:divBdr>
                                    <w:top w:val="none" w:sz="0" w:space="0" w:color="auto"/>
                                    <w:left w:val="none" w:sz="0" w:space="0" w:color="auto"/>
                                    <w:bottom w:val="none" w:sz="0" w:space="0" w:color="auto"/>
                                    <w:right w:val="none" w:sz="0" w:space="0" w:color="auto"/>
                                  </w:divBdr>
                                </w:div>
                                <w:div w:id="249587548">
                                  <w:marLeft w:val="0"/>
                                  <w:marRight w:val="0"/>
                                  <w:marTop w:val="0"/>
                                  <w:marBottom w:val="0"/>
                                  <w:divBdr>
                                    <w:top w:val="none" w:sz="0" w:space="0" w:color="auto"/>
                                    <w:left w:val="none" w:sz="0" w:space="0" w:color="auto"/>
                                    <w:bottom w:val="none" w:sz="0" w:space="0" w:color="auto"/>
                                    <w:right w:val="none" w:sz="0" w:space="0" w:color="auto"/>
                                  </w:divBdr>
                                </w:div>
                                <w:div w:id="24958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587541">
      <w:marLeft w:val="0"/>
      <w:marRight w:val="0"/>
      <w:marTop w:val="0"/>
      <w:marBottom w:val="0"/>
      <w:divBdr>
        <w:top w:val="none" w:sz="0" w:space="0" w:color="auto"/>
        <w:left w:val="none" w:sz="0" w:space="0" w:color="auto"/>
        <w:bottom w:val="none" w:sz="0" w:space="0" w:color="auto"/>
        <w:right w:val="none" w:sz="0" w:space="0" w:color="auto"/>
      </w:divBdr>
    </w:div>
    <w:div w:id="249587544">
      <w:marLeft w:val="0"/>
      <w:marRight w:val="0"/>
      <w:marTop w:val="0"/>
      <w:marBottom w:val="0"/>
      <w:divBdr>
        <w:top w:val="none" w:sz="0" w:space="0" w:color="auto"/>
        <w:left w:val="none" w:sz="0" w:space="0" w:color="auto"/>
        <w:bottom w:val="none" w:sz="0" w:space="0" w:color="auto"/>
        <w:right w:val="none" w:sz="0" w:space="0" w:color="auto"/>
      </w:divBdr>
      <w:divsChild>
        <w:div w:id="249587533">
          <w:marLeft w:val="0"/>
          <w:marRight w:val="0"/>
          <w:marTop w:val="332"/>
          <w:marBottom w:val="332"/>
          <w:divBdr>
            <w:top w:val="single" w:sz="6" w:space="0" w:color="DDDDDD"/>
            <w:left w:val="single" w:sz="6" w:space="8" w:color="DDDDDD"/>
            <w:bottom w:val="single" w:sz="6" w:space="0" w:color="DDDDDD"/>
            <w:right w:val="single" w:sz="6" w:space="8" w:color="DDDDDD"/>
          </w:divBdr>
          <w:divsChild>
            <w:div w:id="249587577">
              <w:marLeft w:val="0"/>
              <w:marRight w:val="0"/>
              <w:marTop w:val="0"/>
              <w:marBottom w:val="0"/>
              <w:divBdr>
                <w:top w:val="none" w:sz="0" w:space="0" w:color="auto"/>
                <w:left w:val="none" w:sz="0" w:space="0" w:color="auto"/>
                <w:bottom w:val="none" w:sz="0" w:space="0" w:color="auto"/>
                <w:right w:val="none" w:sz="0" w:space="0" w:color="auto"/>
              </w:divBdr>
              <w:divsChild>
                <w:div w:id="24958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58">
          <w:marLeft w:val="0"/>
          <w:marRight w:val="0"/>
          <w:marTop w:val="166"/>
          <w:marBottom w:val="166"/>
          <w:divBdr>
            <w:top w:val="none" w:sz="0" w:space="0" w:color="auto"/>
            <w:left w:val="none" w:sz="0" w:space="0" w:color="auto"/>
            <w:bottom w:val="none" w:sz="0" w:space="0" w:color="auto"/>
            <w:right w:val="none" w:sz="0" w:space="0" w:color="auto"/>
          </w:divBdr>
          <w:divsChild>
            <w:div w:id="249587563">
              <w:marLeft w:val="0"/>
              <w:marRight w:val="0"/>
              <w:marTop w:val="0"/>
              <w:marBottom w:val="0"/>
              <w:divBdr>
                <w:top w:val="none" w:sz="0" w:space="0" w:color="auto"/>
                <w:left w:val="none" w:sz="0" w:space="0" w:color="auto"/>
                <w:bottom w:val="none" w:sz="0" w:space="0" w:color="auto"/>
                <w:right w:val="none" w:sz="0" w:space="0" w:color="auto"/>
              </w:divBdr>
            </w:div>
          </w:divsChild>
        </w:div>
        <w:div w:id="249587569">
          <w:marLeft w:val="0"/>
          <w:marRight w:val="0"/>
          <w:marTop w:val="166"/>
          <w:marBottom w:val="166"/>
          <w:divBdr>
            <w:top w:val="none" w:sz="0" w:space="0" w:color="auto"/>
            <w:left w:val="none" w:sz="0" w:space="0" w:color="auto"/>
            <w:bottom w:val="none" w:sz="0" w:space="0" w:color="auto"/>
            <w:right w:val="none" w:sz="0" w:space="0" w:color="auto"/>
          </w:divBdr>
          <w:divsChild>
            <w:div w:id="24958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47">
      <w:marLeft w:val="0"/>
      <w:marRight w:val="0"/>
      <w:marTop w:val="0"/>
      <w:marBottom w:val="0"/>
      <w:divBdr>
        <w:top w:val="none" w:sz="0" w:space="0" w:color="auto"/>
        <w:left w:val="none" w:sz="0" w:space="0" w:color="auto"/>
        <w:bottom w:val="none" w:sz="0" w:space="0" w:color="auto"/>
        <w:right w:val="none" w:sz="0" w:space="0" w:color="auto"/>
      </w:divBdr>
      <w:divsChild>
        <w:div w:id="249587531">
          <w:marLeft w:val="0"/>
          <w:marRight w:val="0"/>
          <w:marTop w:val="120"/>
          <w:marBottom w:val="360"/>
          <w:divBdr>
            <w:top w:val="none" w:sz="0" w:space="0" w:color="auto"/>
            <w:left w:val="none" w:sz="0" w:space="0" w:color="auto"/>
            <w:bottom w:val="none" w:sz="0" w:space="0" w:color="auto"/>
            <w:right w:val="none" w:sz="0" w:space="0" w:color="auto"/>
          </w:divBdr>
          <w:divsChild>
            <w:div w:id="249587525">
              <w:marLeft w:val="0"/>
              <w:marRight w:val="0"/>
              <w:marTop w:val="0"/>
              <w:marBottom w:val="0"/>
              <w:divBdr>
                <w:top w:val="none" w:sz="0" w:space="0" w:color="auto"/>
                <w:left w:val="none" w:sz="0" w:space="0" w:color="auto"/>
                <w:bottom w:val="none" w:sz="0" w:space="0" w:color="auto"/>
                <w:right w:val="none" w:sz="0" w:space="0" w:color="auto"/>
              </w:divBdr>
            </w:div>
            <w:div w:id="249587559">
              <w:marLeft w:val="0"/>
              <w:marRight w:val="0"/>
              <w:marTop w:val="0"/>
              <w:marBottom w:val="0"/>
              <w:divBdr>
                <w:top w:val="none" w:sz="0" w:space="0" w:color="auto"/>
                <w:left w:val="none" w:sz="0" w:space="0" w:color="auto"/>
                <w:bottom w:val="none" w:sz="0" w:space="0" w:color="auto"/>
                <w:right w:val="none" w:sz="0" w:space="0" w:color="auto"/>
              </w:divBdr>
            </w:div>
            <w:div w:id="24958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54">
      <w:marLeft w:val="0"/>
      <w:marRight w:val="0"/>
      <w:marTop w:val="0"/>
      <w:marBottom w:val="0"/>
      <w:divBdr>
        <w:top w:val="none" w:sz="0" w:space="0" w:color="auto"/>
        <w:left w:val="none" w:sz="0" w:space="0" w:color="auto"/>
        <w:bottom w:val="none" w:sz="0" w:space="0" w:color="auto"/>
        <w:right w:val="none" w:sz="0" w:space="0" w:color="auto"/>
      </w:divBdr>
      <w:divsChild>
        <w:div w:id="249587522">
          <w:marLeft w:val="0"/>
          <w:marRight w:val="0"/>
          <w:marTop w:val="0"/>
          <w:marBottom w:val="166"/>
          <w:divBdr>
            <w:top w:val="none" w:sz="0" w:space="0" w:color="auto"/>
            <w:left w:val="none" w:sz="0" w:space="0" w:color="auto"/>
            <w:bottom w:val="none" w:sz="0" w:space="0" w:color="auto"/>
            <w:right w:val="none" w:sz="0" w:space="0" w:color="auto"/>
          </w:divBdr>
          <w:divsChild>
            <w:div w:id="249587556">
              <w:marLeft w:val="0"/>
              <w:marRight w:val="0"/>
              <w:marTop w:val="0"/>
              <w:marBottom w:val="0"/>
              <w:divBdr>
                <w:top w:val="none" w:sz="0" w:space="0" w:color="auto"/>
                <w:left w:val="none" w:sz="0" w:space="0" w:color="auto"/>
                <w:bottom w:val="none" w:sz="0" w:space="0" w:color="auto"/>
                <w:right w:val="none" w:sz="0" w:space="0" w:color="auto"/>
              </w:divBdr>
              <w:divsChild>
                <w:div w:id="249587543">
                  <w:marLeft w:val="0"/>
                  <w:marRight w:val="0"/>
                  <w:marTop w:val="0"/>
                  <w:marBottom w:val="0"/>
                  <w:divBdr>
                    <w:top w:val="none" w:sz="0" w:space="0" w:color="auto"/>
                    <w:left w:val="none" w:sz="0" w:space="0" w:color="auto"/>
                    <w:bottom w:val="none" w:sz="0" w:space="0" w:color="auto"/>
                    <w:right w:val="none" w:sz="0" w:space="0" w:color="auto"/>
                  </w:divBdr>
                  <w:divsChild>
                    <w:div w:id="249587564">
                      <w:marLeft w:val="0"/>
                      <w:marRight w:val="0"/>
                      <w:marTop w:val="0"/>
                      <w:marBottom w:val="0"/>
                      <w:divBdr>
                        <w:top w:val="none" w:sz="0" w:space="0" w:color="auto"/>
                        <w:left w:val="none" w:sz="0" w:space="0" w:color="auto"/>
                        <w:bottom w:val="none" w:sz="0" w:space="0" w:color="auto"/>
                        <w:right w:val="none" w:sz="0" w:space="0" w:color="auto"/>
                      </w:divBdr>
                    </w:div>
                  </w:divsChild>
                </w:div>
                <w:div w:id="249587567">
                  <w:marLeft w:val="0"/>
                  <w:marRight w:val="0"/>
                  <w:marTop w:val="0"/>
                  <w:marBottom w:val="0"/>
                  <w:divBdr>
                    <w:top w:val="none" w:sz="0" w:space="0" w:color="auto"/>
                    <w:left w:val="none" w:sz="0" w:space="0" w:color="auto"/>
                    <w:bottom w:val="none" w:sz="0" w:space="0" w:color="auto"/>
                    <w:right w:val="none" w:sz="0" w:space="0" w:color="auto"/>
                  </w:divBdr>
                  <w:divsChild>
                    <w:div w:id="249587536">
                      <w:marLeft w:val="0"/>
                      <w:marRight w:val="0"/>
                      <w:marTop w:val="0"/>
                      <w:marBottom w:val="0"/>
                      <w:divBdr>
                        <w:top w:val="none" w:sz="0" w:space="0" w:color="auto"/>
                        <w:left w:val="none" w:sz="0" w:space="0" w:color="auto"/>
                        <w:bottom w:val="none" w:sz="0" w:space="0" w:color="auto"/>
                        <w:right w:val="none" w:sz="0" w:space="0" w:color="auto"/>
                      </w:divBdr>
                      <w:divsChild>
                        <w:div w:id="249587555">
                          <w:marLeft w:val="0"/>
                          <w:marRight w:val="0"/>
                          <w:marTop w:val="0"/>
                          <w:marBottom w:val="0"/>
                          <w:divBdr>
                            <w:top w:val="none" w:sz="0" w:space="0" w:color="auto"/>
                            <w:left w:val="none" w:sz="0" w:space="0" w:color="auto"/>
                            <w:bottom w:val="none" w:sz="0" w:space="0" w:color="auto"/>
                            <w:right w:val="none" w:sz="0" w:space="0" w:color="auto"/>
                          </w:divBdr>
                        </w:div>
                        <w:div w:id="2495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587552">
          <w:marLeft w:val="0"/>
          <w:marRight w:val="0"/>
          <w:marTop w:val="166"/>
          <w:marBottom w:val="166"/>
          <w:divBdr>
            <w:top w:val="none" w:sz="0" w:space="0" w:color="auto"/>
            <w:left w:val="none" w:sz="0" w:space="0" w:color="auto"/>
            <w:bottom w:val="none" w:sz="0" w:space="0" w:color="auto"/>
            <w:right w:val="none" w:sz="0" w:space="0" w:color="auto"/>
          </w:divBdr>
          <w:divsChild>
            <w:div w:id="249587581">
              <w:marLeft w:val="0"/>
              <w:marRight w:val="0"/>
              <w:marTop w:val="0"/>
              <w:marBottom w:val="0"/>
              <w:divBdr>
                <w:top w:val="none" w:sz="0" w:space="0" w:color="auto"/>
                <w:left w:val="none" w:sz="0" w:space="0" w:color="auto"/>
                <w:bottom w:val="none" w:sz="0" w:space="0" w:color="auto"/>
                <w:right w:val="none" w:sz="0" w:space="0" w:color="auto"/>
              </w:divBdr>
            </w:div>
          </w:divsChild>
        </w:div>
        <w:div w:id="249587553">
          <w:marLeft w:val="0"/>
          <w:marRight w:val="0"/>
          <w:marTop w:val="166"/>
          <w:marBottom w:val="166"/>
          <w:divBdr>
            <w:top w:val="none" w:sz="0" w:space="0" w:color="auto"/>
            <w:left w:val="none" w:sz="0" w:space="0" w:color="auto"/>
            <w:bottom w:val="none" w:sz="0" w:space="0" w:color="auto"/>
            <w:right w:val="none" w:sz="0" w:space="0" w:color="auto"/>
          </w:divBdr>
          <w:divsChild>
            <w:div w:id="24958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70">
      <w:marLeft w:val="0"/>
      <w:marRight w:val="0"/>
      <w:marTop w:val="0"/>
      <w:marBottom w:val="0"/>
      <w:divBdr>
        <w:top w:val="none" w:sz="0" w:space="0" w:color="auto"/>
        <w:left w:val="none" w:sz="0" w:space="0" w:color="auto"/>
        <w:bottom w:val="none" w:sz="0" w:space="0" w:color="auto"/>
        <w:right w:val="none" w:sz="0" w:space="0" w:color="auto"/>
      </w:divBdr>
    </w:div>
    <w:div w:id="249587574">
      <w:marLeft w:val="0"/>
      <w:marRight w:val="0"/>
      <w:marTop w:val="0"/>
      <w:marBottom w:val="0"/>
      <w:divBdr>
        <w:top w:val="none" w:sz="0" w:space="0" w:color="auto"/>
        <w:left w:val="none" w:sz="0" w:space="0" w:color="auto"/>
        <w:bottom w:val="none" w:sz="0" w:space="0" w:color="auto"/>
        <w:right w:val="none" w:sz="0" w:space="0" w:color="auto"/>
      </w:divBdr>
      <w:divsChild>
        <w:div w:id="249587573">
          <w:marLeft w:val="0"/>
          <w:marRight w:val="0"/>
          <w:marTop w:val="120"/>
          <w:marBottom w:val="360"/>
          <w:divBdr>
            <w:top w:val="none" w:sz="0" w:space="0" w:color="auto"/>
            <w:left w:val="none" w:sz="0" w:space="0" w:color="auto"/>
            <w:bottom w:val="none" w:sz="0" w:space="0" w:color="auto"/>
            <w:right w:val="none" w:sz="0" w:space="0" w:color="auto"/>
          </w:divBdr>
          <w:divsChild>
            <w:div w:id="249587528">
              <w:marLeft w:val="0"/>
              <w:marRight w:val="0"/>
              <w:marTop w:val="0"/>
              <w:marBottom w:val="0"/>
              <w:divBdr>
                <w:top w:val="none" w:sz="0" w:space="0" w:color="auto"/>
                <w:left w:val="none" w:sz="0" w:space="0" w:color="auto"/>
                <w:bottom w:val="none" w:sz="0" w:space="0" w:color="auto"/>
                <w:right w:val="none" w:sz="0" w:space="0" w:color="auto"/>
              </w:divBdr>
            </w:div>
            <w:div w:id="249587532">
              <w:marLeft w:val="0"/>
              <w:marRight w:val="0"/>
              <w:marTop w:val="240"/>
              <w:marBottom w:val="100"/>
              <w:divBdr>
                <w:top w:val="none" w:sz="0" w:space="0" w:color="auto"/>
                <w:left w:val="none" w:sz="0" w:space="0" w:color="auto"/>
                <w:bottom w:val="none" w:sz="0" w:space="0" w:color="auto"/>
                <w:right w:val="none" w:sz="0" w:space="0" w:color="auto"/>
              </w:divBdr>
            </w:div>
            <w:div w:id="249587539">
              <w:marLeft w:val="0"/>
              <w:marRight w:val="0"/>
              <w:marTop w:val="0"/>
              <w:marBottom w:val="0"/>
              <w:divBdr>
                <w:top w:val="none" w:sz="0" w:space="0" w:color="auto"/>
                <w:left w:val="none" w:sz="0" w:space="0" w:color="auto"/>
                <w:bottom w:val="none" w:sz="0" w:space="0" w:color="auto"/>
                <w:right w:val="none" w:sz="0" w:space="0" w:color="auto"/>
              </w:divBdr>
            </w:div>
            <w:div w:id="24958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99">
      <w:marLeft w:val="0"/>
      <w:marRight w:val="0"/>
      <w:marTop w:val="0"/>
      <w:marBottom w:val="0"/>
      <w:divBdr>
        <w:top w:val="none" w:sz="0" w:space="0" w:color="auto"/>
        <w:left w:val="none" w:sz="0" w:space="0" w:color="auto"/>
        <w:bottom w:val="none" w:sz="0" w:space="0" w:color="auto"/>
        <w:right w:val="none" w:sz="0" w:space="0" w:color="auto"/>
      </w:divBdr>
      <w:divsChild>
        <w:div w:id="249587674">
          <w:marLeft w:val="75"/>
          <w:marRight w:val="75"/>
          <w:marTop w:val="0"/>
          <w:marBottom w:val="0"/>
          <w:divBdr>
            <w:top w:val="none" w:sz="0" w:space="0" w:color="auto"/>
            <w:left w:val="none" w:sz="0" w:space="0" w:color="auto"/>
            <w:bottom w:val="none" w:sz="0" w:space="0" w:color="auto"/>
            <w:right w:val="none" w:sz="0" w:space="0" w:color="auto"/>
          </w:divBdr>
        </w:div>
      </w:divsChild>
    </w:div>
    <w:div w:id="249587601">
      <w:marLeft w:val="0"/>
      <w:marRight w:val="0"/>
      <w:marTop w:val="0"/>
      <w:marBottom w:val="0"/>
      <w:divBdr>
        <w:top w:val="none" w:sz="0" w:space="0" w:color="auto"/>
        <w:left w:val="none" w:sz="0" w:space="0" w:color="auto"/>
        <w:bottom w:val="none" w:sz="0" w:space="0" w:color="auto"/>
        <w:right w:val="none" w:sz="0" w:space="0" w:color="auto"/>
      </w:divBdr>
      <w:divsChild>
        <w:div w:id="249587682">
          <w:marLeft w:val="0"/>
          <w:marRight w:val="0"/>
          <w:marTop w:val="0"/>
          <w:marBottom w:val="0"/>
          <w:divBdr>
            <w:top w:val="none" w:sz="0" w:space="0" w:color="auto"/>
            <w:left w:val="none" w:sz="0" w:space="0" w:color="auto"/>
            <w:bottom w:val="none" w:sz="0" w:space="0" w:color="auto"/>
            <w:right w:val="none" w:sz="0" w:space="0" w:color="auto"/>
          </w:divBdr>
          <w:divsChild>
            <w:div w:id="249587288">
              <w:marLeft w:val="0"/>
              <w:marRight w:val="0"/>
              <w:marTop w:val="0"/>
              <w:marBottom w:val="0"/>
              <w:divBdr>
                <w:top w:val="none" w:sz="0" w:space="0" w:color="auto"/>
                <w:left w:val="none" w:sz="0" w:space="0" w:color="auto"/>
                <w:bottom w:val="none" w:sz="0" w:space="0" w:color="auto"/>
                <w:right w:val="none" w:sz="0" w:space="0" w:color="auto"/>
              </w:divBdr>
              <w:divsChild>
                <w:div w:id="249587676">
                  <w:marLeft w:val="0"/>
                  <w:marRight w:val="0"/>
                  <w:marTop w:val="0"/>
                  <w:marBottom w:val="0"/>
                  <w:divBdr>
                    <w:top w:val="none" w:sz="0" w:space="0" w:color="auto"/>
                    <w:left w:val="none" w:sz="0" w:space="0" w:color="auto"/>
                    <w:bottom w:val="none" w:sz="0" w:space="0" w:color="auto"/>
                    <w:right w:val="none" w:sz="0" w:space="0" w:color="auto"/>
                  </w:divBdr>
                  <w:divsChild>
                    <w:div w:id="249587585">
                      <w:marLeft w:val="0"/>
                      <w:marRight w:val="0"/>
                      <w:marTop w:val="0"/>
                      <w:marBottom w:val="0"/>
                      <w:divBdr>
                        <w:top w:val="none" w:sz="0" w:space="0" w:color="auto"/>
                        <w:left w:val="none" w:sz="0" w:space="0" w:color="auto"/>
                        <w:bottom w:val="none" w:sz="0" w:space="0" w:color="auto"/>
                        <w:right w:val="none" w:sz="0" w:space="0" w:color="auto"/>
                      </w:divBdr>
                      <w:divsChild>
                        <w:div w:id="249587355">
                          <w:marLeft w:val="0"/>
                          <w:marRight w:val="0"/>
                          <w:marTop w:val="0"/>
                          <w:marBottom w:val="0"/>
                          <w:divBdr>
                            <w:top w:val="none" w:sz="0" w:space="0" w:color="auto"/>
                            <w:left w:val="none" w:sz="0" w:space="0" w:color="auto"/>
                            <w:bottom w:val="none" w:sz="0" w:space="0" w:color="auto"/>
                            <w:right w:val="none" w:sz="0" w:space="0" w:color="auto"/>
                          </w:divBdr>
                          <w:divsChild>
                            <w:div w:id="249587669">
                              <w:marLeft w:val="0"/>
                              <w:marRight w:val="0"/>
                              <w:marTop w:val="0"/>
                              <w:marBottom w:val="0"/>
                              <w:divBdr>
                                <w:top w:val="none" w:sz="0" w:space="0" w:color="auto"/>
                                <w:left w:val="none" w:sz="0" w:space="0" w:color="auto"/>
                                <w:bottom w:val="none" w:sz="0" w:space="0" w:color="auto"/>
                                <w:right w:val="none" w:sz="0" w:space="0" w:color="auto"/>
                              </w:divBdr>
                              <w:divsChild>
                                <w:div w:id="249587474">
                                  <w:marLeft w:val="0"/>
                                  <w:marRight w:val="0"/>
                                  <w:marTop w:val="0"/>
                                  <w:marBottom w:val="0"/>
                                  <w:divBdr>
                                    <w:top w:val="none" w:sz="0" w:space="0" w:color="auto"/>
                                    <w:left w:val="none" w:sz="0" w:space="0" w:color="auto"/>
                                    <w:bottom w:val="none" w:sz="0" w:space="0" w:color="auto"/>
                                    <w:right w:val="none" w:sz="0" w:space="0" w:color="auto"/>
                                  </w:divBdr>
                                  <w:divsChild>
                                    <w:div w:id="249587465">
                                      <w:marLeft w:val="0"/>
                                      <w:marRight w:val="0"/>
                                      <w:marTop w:val="0"/>
                                      <w:marBottom w:val="0"/>
                                      <w:divBdr>
                                        <w:top w:val="none" w:sz="0" w:space="0" w:color="auto"/>
                                        <w:left w:val="none" w:sz="0" w:space="0" w:color="auto"/>
                                        <w:bottom w:val="none" w:sz="0" w:space="0" w:color="auto"/>
                                        <w:right w:val="none" w:sz="0" w:space="0" w:color="auto"/>
                                      </w:divBdr>
                                      <w:divsChild>
                                        <w:div w:id="249587420">
                                          <w:marLeft w:val="0"/>
                                          <w:marRight w:val="0"/>
                                          <w:marTop w:val="0"/>
                                          <w:marBottom w:val="0"/>
                                          <w:divBdr>
                                            <w:top w:val="none" w:sz="0" w:space="0" w:color="auto"/>
                                            <w:left w:val="none" w:sz="0" w:space="0" w:color="auto"/>
                                            <w:bottom w:val="none" w:sz="0" w:space="0" w:color="auto"/>
                                            <w:right w:val="none" w:sz="0" w:space="0" w:color="auto"/>
                                          </w:divBdr>
                                          <w:divsChild>
                                            <w:div w:id="249587495">
                                              <w:marLeft w:val="0"/>
                                              <w:marRight w:val="0"/>
                                              <w:marTop w:val="0"/>
                                              <w:marBottom w:val="0"/>
                                              <w:divBdr>
                                                <w:top w:val="none" w:sz="0" w:space="0" w:color="auto"/>
                                                <w:left w:val="none" w:sz="0" w:space="0" w:color="auto"/>
                                                <w:bottom w:val="none" w:sz="0" w:space="0" w:color="auto"/>
                                                <w:right w:val="none" w:sz="0" w:space="0" w:color="auto"/>
                                              </w:divBdr>
                                              <w:divsChild>
                                                <w:div w:id="249587318">
                                                  <w:marLeft w:val="0"/>
                                                  <w:marRight w:val="0"/>
                                                  <w:marTop w:val="0"/>
                                                  <w:marBottom w:val="0"/>
                                                  <w:divBdr>
                                                    <w:top w:val="none" w:sz="0" w:space="0" w:color="auto"/>
                                                    <w:left w:val="none" w:sz="0" w:space="0" w:color="auto"/>
                                                    <w:bottom w:val="none" w:sz="0" w:space="0" w:color="auto"/>
                                                    <w:right w:val="none" w:sz="0" w:space="0" w:color="auto"/>
                                                  </w:divBdr>
                                                  <w:divsChild>
                                                    <w:div w:id="249587311">
                                                      <w:marLeft w:val="0"/>
                                                      <w:marRight w:val="0"/>
                                                      <w:marTop w:val="0"/>
                                                      <w:marBottom w:val="0"/>
                                                      <w:divBdr>
                                                        <w:top w:val="none" w:sz="0" w:space="0" w:color="auto"/>
                                                        <w:left w:val="none" w:sz="0" w:space="0" w:color="auto"/>
                                                        <w:bottom w:val="none" w:sz="0" w:space="0" w:color="auto"/>
                                                        <w:right w:val="none" w:sz="0" w:space="0" w:color="auto"/>
                                                      </w:divBdr>
                                                      <w:divsChild>
                                                        <w:div w:id="249587289">
                                                          <w:marLeft w:val="0"/>
                                                          <w:marRight w:val="0"/>
                                                          <w:marTop w:val="0"/>
                                                          <w:marBottom w:val="0"/>
                                                          <w:divBdr>
                                                            <w:top w:val="none" w:sz="0" w:space="0" w:color="auto"/>
                                                            <w:left w:val="none" w:sz="0" w:space="0" w:color="auto"/>
                                                            <w:bottom w:val="none" w:sz="0" w:space="0" w:color="auto"/>
                                                            <w:right w:val="none" w:sz="0" w:space="0" w:color="auto"/>
                                                          </w:divBdr>
                                                          <w:divsChild>
                                                            <w:div w:id="2495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11">
                                                      <w:marLeft w:val="0"/>
                                                      <w:marRight w:val="0"/>
                                                      <w:marTop w:val="0"/>
                                                      <w:marBottom w:val="0"/>
                                                      <w:divBdr>
                                                        <w:top w:val="none" w:sz="0" w:space="0" w:color="auto"/>
                                                        <w:left w:val="none" w:sz="0" w:space="0" w:color="auto"/>
                                                        <w:bottom w:val="none" w:sz="0" w:space="0" w:color="auto"/>
                                                        <w:right w:val="none" w:sz="0" w:space="0" w:color="auto"/>
                                                      </w:divBdr>
                                                      <w:divsChild>
                                                        <w:div w:id="249587453">
                                                          <w:marLeft w:val="0"/>
                                                          <w:marRight w:val="0"/>
                                                          <w:marTop w:val="0"/>
                                                          <w:marBottom w:val="0"/>
                                                          <w:divBdr>
                                                            <w:top w:val="none" w:sz="0" w:space="0" w:color="auto"/>
                                                            <w:left w:val="none" w:sz="0" w:space="0" w:color="auto"/>
                                                            <w:bottom w:val="none" w:sz="0" w:space="0" w:color="auto"/>
                                                            <w:right w:val="none" w:sz="0" w:space="0" w:color="auto"/>
                                                          </w:divBdr>
                                                          <w:divsChild>
                                                            <w:div w:id="249587347">
                                                              <w:marLeft w:val="0"/>
                                                              <w:marRight w:val="0"/>
                                                              <w:marTop w:val="0"/>
                                                              <w:marBottom w:val="0"/>
                                                              <w:divBdr>
                                                                <w:top w:val="none" w:sz="0" w:space="0" w:color="auto"/>
                                                                <w:left w:val="none" w:sz="0" w:space="0" w:color="auto"/>
                                                                <w:bottom w:val="none" w:sz="0" w:space="0" w:color="auto"/>
                                                                <w:right w:val="none" w:sz="0" w:space="0" w:color="auto"/>
                                                              </w:divBdr>
                                                              <w:divsChild>
                                                                <w:div w:id="249587305">
                                                                  <w:marLeft w:val="0"/>
                                                                  <w:marRight w:val="0"/>
                                                                  <w:marTop w:val="0"/>
                                                                  <w:marBottom w:val="0"/>
                                                                  <w:divBdr>
                                                                    <w:top w:val="none" w:sz="0" w:space="0" w:color="auto"/>
                                                                    <w:left w:val="none" w:sz="0" w:space="0" w:color="auto"/>
                                                                    <w:bottom w:val="none" w:sz="0" w:space="0" w:color="auto"/>
                                                                    <w:right w:val="none" w:sz="0" w:space="0" w:color="auto"/>
                                                                  </w:divBdr>
                                                                  <w:divsChild>
                                                                    <w:div w:id="24958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89">
                                                              <w:marLeft w:val="0"/>
                                                              <w:marRight w:val="0"/>
                                                              <w:marTop w:val="0"/>
                                                              <w:marBottom w:val="0"/>
                                                              <w:divBdr>
                                                                <w:top w:val="none" w:sz="0" w:space="0" w:color="auto"/>
                                                                <w:left w:val="none" w:sz="0" w:space="0" w:color="auto"/>
                                                                <w:bottom w:val="none" w:sz="0" w:space="0" w:color="auto"/>
                                                                <w:right w:val="none" w:sz="0" w:space="0" w:color="auto"/>
                                                              </w:divBdr>
                                                              <w:divsChild>
                                                                <w:div w:id="249587300">
                                                                  <w:marLeft w:val="0"/>
                                                                  <w:marRight w:val="0"/>
                                                                  <w:marTop w:val="0"/>
                                                                  <w:marBottom w:val="0"/>
                                                                  <w:divBdr>
                                                                    <w:top w:val="none" w:sz="0" w:space="0" w:color="auto"/>
                                                                    <w:left w:val="none" w:sz="0" w:space="0" w:color="auto"/>
                                                                    <w:bottom w:val="none" w:sz="0" w:space="0" w:color="auto"/>
                                                                    <w:right w:val="none" w:sz="0" w:space="0" w:color="auto"/>
                                                                  </w:divBdr>
                                                                  <w:divsChild>
                                                                    <w:div w:id="24958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496">
                                                      <w:marLeft w:val="0"/>
                                                      <w:marRight w:val="0"/>
                                                      <w:marTop w:val="0"/>
                                                      <w:marBottom w:val="0"/>
                                                      <w:divBdr>
                                                        <w:top w:val="none" w:sz="0" w:space="0" w:color="auto"/>
                                                        <w:left w:val="none" w:sz="0" w:space="0" w:color="auto"/>
                                                        <w:bottom w:val="none" w:sz="0" w:space="0" w:color="auto"/>
                                                        <w:right w:val="none" w:sz="0" w:space="0" w:color="auto"/>
                                                      </w:divBdr>
                                                      <w:divsChild>
                                                        <w:div w:id="249587309">
                                                          <w:marLeft w:val="0"/>
                                                          <w:marRight w:val="0"/>
                                                          <w:marTop w:val="0"/>
                                                          <w:marBottom w:val="0"/>
                                                          <w:divBdr>
                                                            <w:top w:val="none" w:sz="0" w:space="0" w:color="auto"/>
                                                            <w:left w:val="none" w:sz="0" w:space="0" w:color="auto"/>
                                                            <w:bottom w:val="none" w:sz="0" w:space="0" w:color="auto"/>
                                                            <w:right w:val="none" w:sz="0" w:space="0" w:color="auto"/>
                                                          </w:divBdr>
                                                        </w:div>
                                                        <w:div w:id="249587424">
                                                          <w:marLeft w:val="0"/>
                                                          <w:marRight w:val="0"/>
                                                          <w:marTop w:val="0"/>
                                                          <w:marBottom w:val="0"/>
                                                          <w:divBdr>
                                                            <w:top w:val="none" w:sz="0" w:space="0" w:color="auto"/>
                                                            <w:left w:val="none" w:sz="0" w:space="0" w:color="auto"/>
                                                            <w:bottom w:val="none" w:sz="0" w:space="0" w:color="auto"/>
                                                            <w:right w:val="none" w:sz="0" w:space="0" w:color="auto"/>
                                                          </w:divBdr>
                                                          <w:divsChild>
                                                            <w:div w:id="249587427">
                                                              <w:marLeft w:val="0"/>
                                                              <w:marRight w:val="0"/>
                                                              <w:marTop w:val="0"/>
                                                              <w:marBottom w:val="0"/>
                                                              <w:divBdr>
                                                                <w:top w:val="none" w:sz="0" w:space="0" w:color="auto"/>
                                                                <w:left w:val="none" w:sz="0" w:space="0" w:color="auto"/>
                                                                <w:bottom w:val="none" w:sz="0" w:space="0" w:color="auto"/>
                                                                <w:right w:val="none" w:sz="0" w:space="0" w:color="auto"/>
                                                              </w:divBdr>
                                                            </w:div>
                                                          </w:divsChild>
                                                        </w:div>
                                                        <w:div w:id="249587634">
                                                          <w:marLeft w:val="0"/>
                                                          <w:marRight w:val="0"/>
                                                          <w:marTop w:val="0"/>
                                                          <w:marBottom w:val="0"/>
                                                          <w:divBdr>
                                                            <w:top w:val="none" w:sz="0" w:space="0" w:color="auto"/>
                                                            <w:left w:val="none" w:sz="0" w:space="0" w:color="auto"/>
                                                            <w:bottom w:val="none" w:sz="0" w:space="0" w:color="auto"/>
                                                            <w:right w:val="none" w:sz="0" w:space="0" w:color="auto"/>
                                                          </w:divBdr>
                                                          <w:divsChild>
                                                            <w:div w:id="249587463">
                                                              <w:marLeft w:val="0"/>
                                                              <w:marRight w:val="0"/>
                                                              <w:marTop w:val="0"/>
                                                              <w:marBottom w:val="0"/>
                                                              <w:divBdr>
                                                                <w:top w:val="none" w:sz="0" w:space="0" w:color="auto"/>
                                                                <w:left w:val="none" w:sz="0" w:space="0" w:color="auto"/>
                                                                <w:bottom w:val="none" w:sz="0" w:space="0" w:color="auto"/>
                                                                <w:right w:val="none" w:sz="0" w:space="0" w:color="auto"/>
                                                              </w:divBdr>
                                                            </w:div>
                                                          </w:divsChild>
                                                        </w:div>
                                                        <w:div w:id="249587695">
                                                          <w:marLeft w:val="0"/>
                                                          <w:marRight w:val="0"/>
                                                          <w:marTop w:val="0"/>
                                                          <w:marBottom w:val="0"/>
                                                          <w:divBdr>
                                                            <w:top w:val="none" w:sz="0" w:space="0" w:color="auto"/>
                                                            <w:left w:val="none" w:sz="0" w:space="0" w:color="auto"/>
                                                            <w:bottom w:val="none" w:sz="0" w:space="0" w:color="auto"/>
                                                            <w:right w:val="none" w:sz="0" w:space="0" w:color="auto"/>
                                                          </w:divBdr>
                                                          <w:divsChild>
                                                            <w:div w:id="249587292">
                                                              <w:marLeft w:val="0"/>
                                                              <w:marRight w:val="0"/>
                                                              <w:marTop w:val="0"/>
                                                              <w:marBottom w:val="0"/>
                                                              <w:divBdr>
                                                                <w:top w:val="none" w:sz="0" w:space="0" w:color="auto"/>
                                                                <w:left w:val="none" w:sz="0" w:space="0" w:color="auto"/>
                                                                <w:bottom w:val="none" w:sz="0" w:space="0" w:color="auto"/>
                                                                <w:right w:val="none" w:sz="0" w:space="0" w:color="auto"/>
                                                              </w:divBdr>
                                                            </w:div>
                                                            <w:div w:id="249587356">
                                                              <w:marLeft w:val="0"/>
                                                              <w:marRight w:val="0"/>
                                                              <w:marTop w:val="0"/>
                                                              <w:marBottom w:val="0"/>
                                                              <w:divBdr>
                                                                <w:top w:val="none" w:sz="0" w:space="0" w:color="auto"/>
                                                                <w:left w:val="none" w:sz="0" w:space="0" w:color="auto"/>
                                                                <w:bottom w:val="none" w:sz="0" w:space="0" w:color="auto"/>
                                                                <w:right w:val="none" w:sz="0" w:space="0" w:color="auto"/>
                                                              </w:divBdr>
                                                            </w:div>
                                                            <w:div w:id="2495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507">
                                                      <w:marLeft w:val="0"/>
                                                      <w:marRight w:val="0"/>
                                                      <w:marTop w:val="0"/>
                                                      <w:marBottom w:val="0"/>
                                                      <w:divBdr>
                                                        <w:top w:val="none" w:sz="0" w:space="0" w:color="auto"/>
                                                        <w:left w:val="none" w:sz="0" w:space="0" w:color="auto"/>
                                                        <w:bottom w:val="none" w:sz="0" w:space="0" w:color="auto"/>
                                                        <w:right w:val="none" w:sz="0" w:space="0" w:color="auto"/>
                                                      </w:divBdr>
                                                      <w:divsChild>
                                                        <w:div w:id="24958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9587603">
      <w:marLeft w:val="0"/>
      <w:marRight w:val="0"/>
      <w:marTop w:val="0"/>
      <w:marBottom w:val="0"/>
      <w:divBdr>
        <w:top w:val="none" w:sz="0" w:space="0" w:color="auto"/>
        <w:left w:val="none" w:sz="0" w:space="0" w:color="auto"/>
        <w:bottom w:val="none" w:sz="0" w:space="0" w:color="auto"/>
        <w:right w:val="none" w:sz="0" w:space="0" w:color="auto"/>
      </w:divBdr>
    </w:div>
    <w:div w:id="249587605">
      <w:marLeft w:val="0"/>
      <w:marRight w:val="0"/>
      <w:marTop w:val="0"/>
      <w:marBottom w:val="0"/>
      <w:divBdr>
        <w:top w:val="none" w:sz="0" w:space="0" w:color="auto"/>
        <w:left w:val="none" w:sz="0" w:space="0" w:color="auto"/>
        <w:bottom w:val="none" w:sz="0" w:space="0" w:color="auto"/>
        <w:right w:val="none" w:sz="0" w:space="0" w:color="auto"/>
      </w:divBdr>
    </w:div>
    <w:div w:id="249587616">
      <w:marLeft w:val="0"/>
      <w:marRight w:val="0"/>
      <w:marTop w:val="0"/>
      <w:marBottom w:val="0"/>
      <w:divBdr>
        <w:top w:val="none" w:sz="0" w:space="0" w:color="auto"/>
        <w:left w:val="none" w:sz="0" w:space="0" w:color="auto"/>
        <w:bottom w:val="none" w:sz="0" w:space="0" w:color="auto"/>
        <w:right w:val="none" w:sz="0" w:space="0" w:color="auto"/>
      </w:divBdr>
    </w:div>
    <w:div w:id="249587617">
      <w:marLeft w:val="0"/>
      <w:marRight w:val="0"/>
      <w:marTop w:val="0"/>
      <w:marBottom w:val="0"/>
      <w:divBdr>
        <w:top w:val="none" w:sz="0" w:space="0" w:color="auto"/>
        <w:left w:val="none" w:sz="0" w:space="0" w:color="auto"/>
        <w:bottom w:val="none" w:sz="0" w:space="0" w:color="auto"/>
        <w:right w:val="none" w:sz="0" w:space="0" w:color="auto"/>
      </w:divBdr>
      <w:divsChild>
        <w:div w:id="249587472">
          <w:marLeft w:val="0"/>
          <w:marRight w:val="0"/>
          <w:marTop w:val="0"/>
          <w:marBottom w:val="0"/>
          <w:divBdr>
            <w:top w:val="none" w:sz="0" w:space="0" w:color="auto"/>
            <w:left w:val="none" w:sz="0" w:space="0" w:color="auto"/>
            <w:bottom w:val="none" w:sz="0" w:space="0" w:color="auto"/>
            <w:right w:val="none" w:sz="0" w:space="0" w:color="auto"/>
          </w:divBdr>
        </w:div>
      </w:divsChild>
    </w:div>
    <w:div w:id="249587619">
      <w:marLeft w:val="0"/>
      <w:marRight w:val="0"/>
      <w:marTop w:val="0"/>
      <w:marBottom w:val="0"/>
      <w:divBdr>
        <w:top w:val="none" w:sz="0" w:space="0" w:color="auto"/>
        <w:left w:val="none" w:sz="0" w:space="0" w:color="auto"/>
        <w:bottom w:val="none" w:sz="0" w:space="0" w:color="auto"/>
        <w:right w:val="none" w:sz="0" w:space="0" w:color="auto"/>
      </w:divBdr>
      <w:divsChild>
        <w:div w:id="249587638">
          <w:marLeft w:val="0"/>
          <w:marRight w:val="0"/>
          <w:marTop w:val="168"/>
          <w:marBottom w:val="0"/>
          <w:divBdr>
            <w:top w:val="none" w:sz="0" w:space="0" w:color="auto"/>
            <w:left w:val="none" w:sz="0" w:space="0" w:color="auto"/>
            <w:bottom w:val="none" w:sz="0" w:space="0" w:color="auto"/>
            <w:right w:val="none" w:sz="0" w:space="0" w:color="auto"/>
          </w:divBdr>
          <w:divsChild>
            <w:div w:id="249587438">
              <w:marLeft w:val="0"/>
              <w:marRight w:val="0"/>
              <w:marTop w:val="0"/>
              <w:marBottom w:val="0"/>
              <w:divBdr>
                <w:top w:val="none" w:sz="0" w:space="0" w:color="auto"/>
                <w:left w:val="none" w:sz="0" w:space="0" w:color="auto"/>
                <w:bottom w:val="none" w:sz="0" w:space="0" w:color="auto"/>
                <w:right w:val="none" w:sz="0" w:space="0" w:color="auto"/>
              </w:divBdr>
            </w:div>
            <w:div w:id="24958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20">
      <w:marLeft w:val="0"/>
      <w:marRight w:val="0"/>
      <w:marTop w:val="0"/>
      <w:marBottom w:val="0"/>
      <w:divBdr>
        <w:top w:val="none" w:sz="0" w:space="0" w:color="auto"/>
        <w:left w:val="none" w:sz="0" w:space="0" w:color="auto"/>
        <w:bottom w:val="none" w:sz="0" w:space="0" w:color="auto"/>
        <w:right w:val="none" w:sz="0" w:space="0" w:color="auto"/>
      </w:divBdr>
      <w:divsChild>
        <w:div w:id="249587613">
          <w:marLeft w:val="0"/>
          <w:marRight w:val="0"/>
          <w:marTop w:val="100"/>
          <w:marBottom w:val="100"/>
          <w:divBdr>
            <w:top w:val="none" w:sz="0" w:space="0" w:color="auto"/>
            <w:left w:val="none" w:sz="0" w:space="0" w:color="auto"/>
            <w:bottom w:val="none" w:sz="0" w:space="0" w:color="auto"/>
            <w:right w:val="none" w:sz="0" w:space="0" w:color="auto"/>
          </w:divBdr>
          <w:divsChild>
            <w:div w:id="249587286">
              <w:marLeft w:val="0"/>
              <w:marRight w:val="0"/>
              <w:marTop w:val="0"/>
              <w:marBottom w:val="0"/>
              <w:divBdr>
                <w:top w:val="none" w:sz="0" w:space="0" w:color="auto"/>
                <w:left w:val="none" w:sz="0" w:space="0" w:color="auto"/>
                <w:bottom w:val="none" w:sz="0" w:space="0" w:color="auto"/>
                <w:right w:val="none" w:sz="0" w:space="0" w:color="auto"/>
              </w:divBdr>
              <w:divsChild>
                <w:div w:id="249587516">
                  <w:marLeft w:val="0"/>
                  <w:marRight w:val="0"/>
                  <w:marTop w:val="0"/>
                  <w:marBottom w:val="0"/>
                  <w:divBdr>
                    <w:top w:val="none" w:sz="0" w:space="0" w:color="auto"/>
                    <w:left w:val="none" w:sz="0" w:space="0" w:color="auto"/>
                    <w:bottom w:val="none" w:sz="0" w:space="0" w:color="auto"/>
                    <w:right w:val="none" w:sz="0" w:space="0" w:color="auto"/>
                  </w:divBdr>
                  <w:divsChild>
                    <w:div w:id="249587365">
                      <w:marLeft w:val="0"/>
                      <w:marRight w:val="0"/>
                      <w:marTop w:val="0"/>
                      <w:marBottom w:val="0"/>
                      <w:divBdr>
                        <w:top w:val="none" w:sz="0" w:space="0" w:color="auto"/>
                        <w:left w:val="none" w:sz="0" w:space="0" w:color="auto"/>
                        <w:bottom w:val="none" w:sz="0" w:space="0" w:color="auto"/>
                        <w:right w:val="none" w:sz="0" w:space="0" w:color="auto"/>
                      </w:divBdr>
                      <w:divsChild>
                        <w:div w:id="249587606">
                          <w:marLeft w:val="0"/>
                          <w:marRight w:val="0"/>
                          <w:marTop w:val="0"/>
                          <w:marBottom w:val="0"/>
                          <w:divBdr>
                            <w:top w:val="none" w:sz="0" w:space="0" w:color="auto"/>
                            <w:left w:val="none" w:sz="0" w:space="0" w:color="auto"/>
                            <w:bottom w:val="none" w:sz="0" w:space="0" w:color="auto"/>
                            <w:right w:val="none" w:sz="0" w:space="0" w:color="auto"/>
                          </w:divBdr>
                          <w:divsChild>
                            <w:div w:id="249587405">
                              <w:marLeft w:val="0"/>
                              <w:marRight w:val="0"/>
                              <w:marTop w:val="0"/>
                              <w:marBottom w:val="0"/>
                              <w:divBdr>
                                <w:top w:val="none" w:sz="0" w:space="0" w:color="auto"/>
                                <w:left w:val="none" w:sz="0" w:space="0" w:color="auto"/>
                                <w:bottom w:val="none" w:sz="0" w:space="0" w:color="auto"/>
                                <w:right w:val="none" w:sz="0" w:space="0" w:color="auto"/>
                              </w:divBdr>
                              <w:divsChild>
                                <w:div w:id="249587277">
                                  <w:marLeft w:val="0"/>
                                  <w:marRight w:val="0"/>
                                  <w:marTop w:val="0"/>
                                  <w:marBottom w:val="0"/>
                                  <w:divBdr>
                                    <w:top w:val="none" w:sz="0" w:space="0" w:color="auto"/>
                                    <w:left w:val="none" w:sz="0" w:space="0" w:color="auto"/>
                                    <w:bottom w:val="none" w:sz="0" w:space="0" w:color="auto"/>
                                    <w:right w:val="none" w:sz="0" w:space="0" w:color="auto"/>
                                  </w:divBdr>
                                  <w:divsChild>
                                    <w:div w:id="249587622">
                                      <w:marLeft w:val="0"/>
                                      <w:marRight w:val="0"/>
                                      <w:marTop w:val="0"/>
                                      <w:marBottom w:val="0"/>
                                      <w:divBdr>
                                        <w:top w:val="none" w:sz="0" w:space="0" w:color="auto"/>
                                        <w:left w:val="none" w:sz="0" w:space="0" w:color="auto"/>
                                        <w:bottom w:val="none" w:sz="0" w:space="0" w:color="auto"/>
                                        <w:right w:val="none" w:sz="0" w:space="0" w:color="auto"/>
                                      </w:divBdr>
                                      <w:divsChild>
                                        <w:div w:id="249587582">
                                          <w:marLeft w:val="0"/>
                                          <w:marRight w:val="0"/>
                                          <w:marTop w:val="0"/>
                                          <w:marBottom w:val="0"/>
                                          <w:divBdr>
                                            <w:top w:val="none" w:sz="0" w:space="0" w:color="auto"/>
                                            <w:left w:val="none" w:sz="0" w:space="0" w:color="auto"/>
                                            <w:bottom w:val="none" w:sz="0" w:space="0" w:color="auto"/>
                                            <w:right w:val="none" w:sz="0" w:space="0" w:color="auto"/>
                                          </w:divBdr>
                                          <w:divsChild>
                                            <w:div w:id="249587607">
                                              <w:marLeft w:val="0"/>
                                              <w:marRight w:val="0"/>
                                              <w:marTop w:val="0"/>
                                              <w:marBottom w:val="0"/>
                                              <w:divBdr>
                                                <w:top w:val="none" w:sz="0" w:space="0" w:color="auto"/>
                                                <w:left w:val="none" w:sz="0" w:space="0" w:color="auto"/>
                                                <w:bottom w:val="none" w:sz="0" w:space="0" w:color="auto"/>
                                                <w:right w:val="none" w:sz="0" w:space="0" w:color="auto"/>
                                              </w:divBdr>
                                              <w:divsChild>
                                                <w:div w:id="249587307">
                                                  <w:marLeft w:val="0"/>
                                                  <w:marRight w:val="0"/>
                                                  <w:marTop w:val="0"/>
                                                  <w:marBottom w:val="0"/>
                                                  <w:divBdr>
                                                    <w:top w:val="none" w:sz="0" w:space="0" w:color="auto"/>
                                                    <w:left w:val="none" w:sz="0" w:space="0" w:color="auto"/>
                                                    <w:bottom w:val="none" w:sz="0" w:space="0" w:color="auto"/>
                                                    <w:right w:val="none" w:sz="0" w:space="0" w:color="auto"/>
                                                  </w:divBdr>
                                                  <w:divsChild>
                                                    <w:div w:id="249587335">
                                                      <w:marLeft w:val="0"/>
                                                      <w:marRight w:val="0"/>
                                                      <w:marTop w:val="0"/>
                                                      <w:marBottom w:val="0"/>
                                                      <w:divBdr>
                                                        <w:top w:val="none" w:sz="0" w:space="0" w:color="auto"/>
                                                        <w:left w:val="none" w:sz="0" w:space="0" w:color="auto"/>
                                                        <w:bottom w:val="none" w:sz="0" w:space="0" w:color="auto"/>
                                                        <w:right w:val="none" w:sz="0" w:space="0" w:color="auto"/>
                                                      </w:divBdr>
                                                      <w:divsChild>
                                                        <w:div w:id="249587338">
                                                          <w:marLeft w:val="0"/>
                                                          <w:marRight w:val="0"/>
                                                          <w:marTop w:val="0"/>
                                                          <w:marBottom w:val="0"/>
                                                          <w:divBdr>
                                                            <w:top w:val="none" w:sz="0" w:space="0" w:color="auto"/>
                                                            <w:left w:val="none" w:sz="0" w:space="0" w:color="auto"/>
                                                            <w:bottom w:val="none" w:sz="0" w:space="0" w:color="auto"/>
                                                            <w:right w:val="none" w:sz="0" w:space="0" w:color="auto"/>
                                                          </w:divBdr>
                                                          <w:divsChild>
                                                            <w:div w:id="249587340">
                                                              <w:marLeft w:val="0"/>
                                                              <w:marRight w:val="0"/>
                                                              <w:marTop w:val="0"/>
                                                              <w:marBottom w:val="0"/>
                                                              <w:divBdr>
                                                                <w:top w:val="none" w:sz="0" w:space="0" w:color="auto"/>
                                                                <w:left w:val="none" w:sz="0" w:space="0" w:color="auto"/>
                                                                <w:bottom w:val="none" w:sz="0" w:space="0" w:color="auto"/>
                                                                <w:right w:val="none" w:sz="0" w:space="0" w:color="auto"/>
                                                              </w:divBdr>
                                                              <w:divsChild>
                                                                <w:div w:id="249587345">
                                                                  <w:marLeft w:val="0"/>
                                                                  <w:marRight w:val="0"/>
                                                                  <w:marTop w:val="0"/>
                                                                  <w:marBottom w:val="0"/>
                                                                  <w:divBdr>
                                                                    <w:top w:val="none" w:sz="0" w:space="0" w:color="auto"/>
                                                                    <w:left w:val="none" w:sz="0" w:space="0" w:color="auto"/>
                                                                    <w:bottom w:val="none" w:sz="0" w:space="0" w:color="auto"/>
                                                                    <w:right w:val="none" w:sz="0" w:space="0" w:color="auto"/>
                                                                  </w:divBdr>
                                                                  <w:divsChild>
                                                                    <w:div w:id="249587433">
                                                                      <w:marLeft w:val="0"/>
                                                                      <w:marRight w:val="0"/>
                                                                      <w:marTop w:val="0"/>
                                                                      <w:marBottom w:val="0"/>
                                                                      <w:divBdr>
                                                                        <w:top w:val="none" w:sz="0" w:space="0" w:color="auto"/>
                                                                        <w:left w:val="none" w:sz="0" w:space="0" w:color="auto"/>
                                                                        <w:bottom w:val="none" w:sz="0" w:space="0" w:color="auto"/>
                                                                        <w:right w:val="none" w:sz="0" w:space="0" w:color="auto"/>
                                                                      </w:divBdr>
                                                                      <w:divsChild>
                                                                        <w:div w:id="249587320">
                                                                          <w:marLeft w:val="0"/>
                                                                          <w:marRight w:val="0"/>
                                                                          <w:marTop w:val="0"/>
                                                                          <w:marBottom w:val="0"/>
                                                                          <w:divBdr>
                                                                            <w:top w:val="none" w:sz="0" w:space="0" w:color="auto"/>
                                                                            <w:left w:val="none" w:sz="0" w:space="0" w:color="auto"/>
                                                                            <w:bottom w:val="none" w:sz="0" w:space="0" w:color="auto"/>
                                                                            <w:right w:val="none" w:sz="0" w:space="0" w:color="auto"/>
                                                                          </w:divBdr>
                                                                          <w:divsChild>
                                                                            <w:div w:id="249587308">
                                                                              <w:marLeft w:val="0"/>
                                                                              <w:marRight w:val="0"/>
                                                                              <w:marTop w:val="0"/>
                                                                              <w:marBottom w:val="0"/>
                                                                              <w:divBdr>
                                                                                <w:top w:val="none" w:sz="0" w:space="0" w:color="auto"/>
                                                                                <w:left w:val="none" w:sz="0" w:space="0" w:color="auto"/>
                                                                                <w:bottom w:val="none" w:sz="0" w:space="0" w:color="auto"/>
                                                                                <w:right w:val="none" w:sz="0" w:space="0" w:color="auto"/>
                                                                              </w:divBdr>
                                                                              <w:divsChild>
                                                                                <w:div w:id="249587358">
                                                                                  <w:marLeft w:val="0"/>
                                                                                  <w:marRight w:val="0"/>
                                                                                  <w:marTop w:val="0"/>
                                                                                  <w:marBottom w:val="0"/>
                                                                                  <w:divBdr>
                                                                                    <w:top w:val="none" w:sz="0" w:space="0" w:color="auto"/>
                                                                                    <w:left w:val="none" w:sz="0" w:space="0" w:color="auto"/>
                                                                                    <w:bottom w:val="none" w:sz="0" w:space="0" w:color="auto"/>
                                                                                    <w:right w:val="none" w:sz="0" w:space="0" w:color="auto"/>
                                                                                  </w:divBdr>
                                                                                  <w:divsChild>
                                                                                    <w:div w:id="249587454">
                                                                                      <w:marLeft w:val="0"/>
                                                                                      <w:marRight w:val="0"/>
                                                                                      <w:marTop w:val="0"/>
                                                                                      <w:marBottom w:val="0"/>
                                                                                      <w:divBdr>
                                                                                        <w:top w:val="none" w:sz="0" w:space="0" w:color="auto"/>
                                                                                        <w:left w:val="none" w:sz="0" w:space="0" w:color="auto"/>
                                                                                        <w:bottom w:val="none" w:sz="0" w:space="0" w:color="auto"/>
                                                                                        <w:right w:val="none" w:sz="0" w:space="0" w:color="auto"/>
                                                                                      </w:divBdr>
                                                                                    </w:div>
                                                                                    <w:div w:id="249587482">
                                                                                      <w:marLeft w:val="0"/>
                                                                                      <w:marRight w:val="0"/>
                                                                                      <w:marTop w:val="0"/>
                                                                                      <w:marBottom w:val="0"/>
                                                                                      <w:divBdr>
                                                                                        <w:top w:val="none" w:sz="0" w:space="0" w:color="auto"/>
                                                                                        <w:left w:val="none" w:sz="0" w:space="0" w:color="auto"/>
                                                                                        <w:bottom w:val="none" w:sz="0" w:space="0" w:color="auto"/>
                                                                                        <w:right w:val="none" w:sz="0" w:space="0" w:color="auto"/>
                                                                                      </w:divBdr>
                                                                                      <w:divsChild>
                                                                                        <w:div w:id="249587291">
                                                                                          <w:marLeft w:val="0"/>
                                                                                          <w:marRight w:val="0"/>
                                                                                          <w:marTop w:val="0"/>
                                                                                          <w:marBottom w:val="0"/>
                                                                                          <w:divBdr>
                                                                                            <w:top w:val="none" w:sz="0" w:space="0" w:color="auto"/>
                                                                                            <w:left w:val="none" w:sz="0" w:space="0" w:color="auto"/>
                                                                                            <w:bottom w:val="none" w:sz="0" w:space="0" w:color="auto"/>
                                                                                            <w:right w:val="none" w:sz="0" w:space="0" w:color="auto"/>
                                                                                          </w:divBdr>
                                                                                          <w:divsChild>
                                                                                            <w:div w:id="249587310">
                                                                                              <w:marLeft w:val="0"/>
                                                                                              <w:marRight w:val="0"/>
                                                                                              <w:marTop w:val="0"/>
                                                                                              <w:marBottom w:val="0"/>
                                                                                              <w:divBdr>
                                                                                                <w:top w:val="none" w:sz="0" w:space="0" w:color="auto"/>
                                                                                                <w:left w:val="none" w:sz="0" w:space="0" w:color="auto"/>
                                                                                                <w:bottom w:val="none" w:sz="0" w:space="0" w:color="auto"/>
                                                                                                <w:right w:val="none" w:sz="0" w:space="0" w:color="auto"/>
                                                                                              </w:divBdr>
                                                                                              <w:divsChild>
                                                                                                <w:div w:id="249587390">
                                                                                                  <w:marLeft w:val="0"/>
                                                                                                  <w:marRight w:val="0"/>
                                                                                                  <w:marTop w:val="0"/>
                                                                                                  <w:marBottom w:val="0"/>
                                                                                                  <w:divBdr>
                                                                                                    <w:top w:val="none" w:sz="0" w:space="0" w:color="auto"/>
                                                                                                    <w:left w:val="none" w:sz="0" w:space="0" w:color="auto"/>
                                                                                                    <w:bottom w:val="none" w:sz="0" w:space="0" w:color="auto"/>
                                                                                                    <w:right w:val="none" w:sz="0" w:space="0" w:color="auto"/>
                                                                                                  </w:divBdr>
                                                                                                </w:div>
                                                                                                <w:div w:id="24958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391">
                                                                                          <w:marLeft w:val="0"/>
                                                                                          <w:marRight w:val="0"/>
                                                                                          <w:marTop w:val="0"/>
                                                                                          <w:marBottom w:val="0"/>
                                                                                          <w:divBdr>
                                                                                            <w:top w:val="none" w:sz="0" w:space="0" w:color="auto"/>
                                                                                            <w:left w:val="none" w:sz="0" w:space="0" w:color="auto"/>
                                                                                            <w:bottom w:val="none" w:sz="0" w:space="0" w:color="auto"/>
                                                                                            <w:right w:val="none" w:sz="0" w:space="0" w:color="auto"/>
                                                                                          </w:divBdr>
                                                                                          <w:divsChild>
                                                                                            <w:div w:id="249587314">
                                                                                              <w:marLeft w:val="0"/>
                                                                                              <w:marRight w:val="0"/>
                                                                                              <w:marTop w:val="0"/>
                                                                                              <w:marBottom w:val="0"/>
                                                                                              <w:divBdr>
                                                                                                <w:top w:val="none" w:sz="0" w:space="0" w:color="auto"/>
                                                                                                <w:left w:val="none" w:sz="0" w:space="0" w:color="auto"/>
                                                                                                <w:bottom w:val="none" w:sz="0" w:space="0" w:color="auto"/>
                                                                                                <w:right w:val="none" w:sz="0" w:space="0" w:color="auto"/>
                                                                                              </w:divBdr>
                                                                                              <w:divsChild>
                                                                                                <w:div w:id="249587476">
                                                                                                  <w:marLeft w:val="0"/>
                                                                                                  <w:marRight w:val="0"/>
                                                                                                  <w:marTop w:val="0"/>
                                                                                                  <w:marBottom w:val="0"/>
                                                                                                  <w:divBdr>
                                                                                                    <w:top w:val="none" w:sz="0" w:space="0" w:color="auto"/>
                                                                                                    <w:left w:val="none" w:sz="0" w:space="0" w:color="auto"/>
                                                                                                    <w:bottom w:val="none" w:sz="0" w:space="0" w:color="auto"/>
                                                                                                    <w:right w:val="none" w:sz="0" w:space="0" w:color="auto"/>
                                                                                                  </w:divBdr>
                                                                                                </w:div>
                                                                                                <w:div w:id="249587492">
                                                                                                  <w:marLeft w:val="0"/>
                                                                                                  <w:marRight w:val="0"/>
                                                                                                  <w:marTop w:val="0"/>
                                                                                                  <w:marBottom w:val="0"/>
                                                                                                  <w:divBdr>
                                                                                                    <w:top w:val="none" w:sz="0" w:space="0" w:color="auto"/>
                                                                                                    <w:left w:val="none" w:sz="0" w:space="0" w:color="auto"/>
                                                                                                    <w:bottom w:val="none" w:sz="0" w:space="0" w:color="auto"/>
                                                                                                    <w:right w:val="none" w:sz="0" w:space="0" w:color="auto"/>
                                                                                                  </w:divBdr>
                                                                                                </w:div>
                                                                                              </w:divsChild>
                                                                                            </w:div>
                                                                                            <w:div w:id="249587446">
                                                                                              <w:marLeft w:val="0"/>
                                                                                              <w:marRight w:val="0"/>
                                                                                              <w:marTop w:val="0"/>
                                                                                              <w:marBottom w:val="0"/>
                                                                                              <w:divBdr>
                                                                                                <w:top w:val="none" w:sz="0" w:space="0" w:color="auto"/>
                                                                                                <w:left w:val="none" w:sz="0" w:space="0" w:color="auto"/>
                                                                                                <w:bottom w:val="none" w:sz="0" w:space="0" w:color="auto"/>
                                                                                                <w:right w:val="none" w:sz="0" w:space="0" w:color="auto"/>
                                                                                              </w:divBdr>
                                                                                              <w:divsChild>
                                                                                                <w:div w:id="249587408">
                                                                                                  <w:marLeft w:val="0"/>
                                                                                                  <w:marRight w:val="0"/>
                                                                                                  <w:marTop w:val="0"/>
                                                                                                  <w:marBottom w:val="0"/>
                                                                                                  <w:divBdr>
                                                                                                    <w:top w:val="none" w:sz="0" w:space="0" w:color="auto"/>
                                                                                                    <w:left w:val="none" w:sz="0" w:space="0" w:color="auto"/>
                                                                                                    <w:bottom w:val="none" w:sz="0" w:space="0" w:color="auto"/>
                                                                                                    <w:right w:val="none" w:sz="0" w:space="0" w:color="auto"/>
                                                                                                  </w:divBdr>
                                                                                                </w:div>
                                                                                                <w:div w:id="24958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15">
                                                                                          <w:marLeft w:val="0"/>
                                                                                          <w:marRight w:val="0"/>
                                                                                          <w:marTop w:val="0"/>
                                                                                          <w:marBottom w:val="0"/>
                                                                                          <w:divBdr>
                                                                                            <w:top w:val="none" w:sz="0" w:space="0" w:color="auto"/>
                                                                                            <w:left w:val="none" w:sz="0" w:space="0" w:color="auto"/>
                                                                                            <w:bottom w:val="none" w:sz="0" w:space="0" w:color="auto"/>
                                                                                            <w:right w:val="none" w:sz="0" w:space="0" w:color="auto"/>
                                                                                          </w:divBdr>
                                                                                          <w:divsChild>
                                                                                            <w:div w:id="249587624">
                                                                                              <w:marLeft w:val="0"/>
                                                                                              <w:marRight w:val="0"/>
                                                                                              <w:marTop w:val="0"/>
                                                                                              <w:marBottom w:val="0"/>
                                                                                              <w:divBdr>
                                                                                                <w:top w:val="none" w:sz="0" w:space="0" w:color="auto"/>
                                                                                                <w:left w:val="none" w:sz="0" w:space="0" w:color="auto"/>
                                                                                                <w:bottom w:val="none" w:sz="0" w:space="0" w:color="auto"/>
                                                                                                <w:right w:val="none" w:sz="0" w:space="0" w:color="auto"/>
                                                                                              </w:divBdr>
                                                                                              <w:divsChild>
                                                                                                <w:div w:id="249587357">
                                                                                                  <w:marLeft w:val="0"/>
                                                                                                  <w:marRight w:val="0"/>
                                                                                                  <w:marTop w:val="0"/>
                                                                                                  <w:marBottom w:val="0"/>
                                                                                                  <w:divBdr>
                                                                                                    <w:top w:val="none" w:sz="0" w:space="0" w:color="auto"/>
                                                                                                    <w:left w:val="none" w:sz="0" w:space="0" w:color="auto"/>
                                                                                                    <w:bottom w:val="none" w:sz="0" w:space="0" w:color="auto"/>
                                                                                                    <w:right w:val="none" w:sz="0" w:space="0" w:color="auto"/>
                                                                                                  </w:divBdr>
                                                                                                </w:div>
                                                                                                <w:div w:id="24958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59">
                                                                                          <w:marLeft w:val="0"/>
                                                                                          <w:marRight w:val="0"/>
                                                                                          <w:marTop w:val="0"/>
                                                                                          <w:marBottom w:val="0"/>
                                                                                          <w:divBdr>
                                                                                            <w:top w:val="none" w:sz="0" w:space="0" w:color="auto"/>
                                                                                            <w:left w:val="none" w:sz="0" w:space="0" w:color="auto"/>
                                                                                            <w:bottom w:val="none" w:sz="0" w:space="0" w:color="auto"/>
                                                                                            <w:right w:val="none" w:sz="0" w:space="0" w:color="auto"/>
                                                                                          </w:divBdr>
                                                                                          <w:divsChild>
                                                                                            <w:div w:id="249587437">
                                                                                              <w:marLeft w:val="0"/>
                                                                                              <w:marRight w:val="0"/>
                                                                                              <w:marTop w:val="0"/>
                                                                                              <w:marBottom w:val="0"/>
                                                                                              <w:divBdr>
                                                                                                <w:top w:val="none" w:sz="0" w:space="0" w:color="auto"/>
                                                                                                <w:left w:val="none" w:sz="0" w:space="0" w:color="auto"/>
                                                                                                <w:bottom w:val="none" w:sz="0" w:space="0" w:color="auto"/>
                                                                                                <w:right w:val="none" w:sz="0" w:space="0" w:color="auto"/>
                                                                                              </w:divBdr>
                                                                                              <w:divsChild>
                                                                                                <w:div w:id="249587504">
                                                                                                  <w:marLeft w:val="0"/>
                                                                                                  <w:marRight w:val="0"/>
                                                                                                  <w:marTop w:val="0"/>
                                                                                                  <w:marBottom w:val="0"/>
                                                                                                  <w:divBdr>
                                                                                                    <w:top w:val="none" w:sz="0" w:space="0" w:color="auto"/>
                                                                                                    <w:left w:val="none" w:sz="0" w:space="0" w:color="auto"/>
                                                                                                    <w:bottom w:val="none" w:sz="0" w:space="0" w:color="auto"/>
                                                                                                    <w:right w:val="none" w:sz="0" w:space="0" w:color="auto"/>
                                                                                                  </w:divBdr>
                                                                                                </w:div>
                                                                                                <w:div w:id="2495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70">
                                                                                          <w:marLeft w:val="0"/>
                                                                                          <w:marRight w:val="0"/>
                                                                                          <w:marTop w:val="0"/>
                                                                                          <w:marBottom w:val="0"/>
                                                                                          <w:divBdr>
                                                                                            <w:top w:val="none" w:sz="0" w:space="0" w:color="auto"/>
                                                                                            <w:left w:val="none" w:sz="0" w:space="0" w:color="auto"/>
                                                                                            <w:bottom w:val="none" w:sz="0" w:space="0" w:color="auto"/>
                                                                                            <w:right w:val="none" w:sz="0" w:space="0" w:color="auto"/>
                                                                                          </w:divBdr>
                                                                                          <w:divsChild>
                                                                                            <w:div w:id="249587586">
                                                                                              <w:marLeft w:val="0"/>
                                                                                              <w:marRight w:val="0"/>
                                                                                              <w:marTop w:val="0"/>
                                                                                              <w:marBottom w:val="0"/>
                                                                                              <w:divBdr>
                                                                                                <w:top w:val="none" w:sz="0" w:space="0" w:color="auto"/>
                                                                                                <w:left w:val="none" w:sz="0" w:space="0" w:color="auto"/>
                                                                                                <w:bottom w:val="none" w:sz="0" w:space="0" w:color="auto"/>
                                                                                                <w:right w:val="none" w:sz="0" w:space="0" w:color="auto"/>
                                                                                              </w:divBdr>
                                                                                              <w:divsChild>
                                                                                                <w:div w:id="249587312">
                                                                                                  <w:marLeft w:val="0"/>
                                                                                                  <w:marRight w:val="0"/>
                                                                                                  <w:marTop w:val="0"/>
                                                                                                  <w:marBottom w:val="0"/>
                                                                                                  <w:divBdr>
                                                                                                    <w:top w:val="none" w:sz="0" w:space="0" w:color="auto"/>
                                                                                                    <w:left w:val="none" w:sz="0" w:space="0" w:color="auto"/>
                                                                                                    <w:bottom w:val="none" w:sz="0" w:space="0" w:color="auto"/>
                                                                                                    <w:right w:val="none" w:sz="0" w:space="0" w:color="auto"/>
                                                                                                  </w:divBdr>
                                                                                                </w:div>
                                                                                                <w:div w:id="24958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7593">
                                                                                      <w:marLeft w:val="0"/>
                                                                                      <w:marRight w:val="0"/>
                                                                                      <w:marTop w:val="0"/>
                                                                                      <w:marBottom w:val="0"/>
                                                                                      <w:divBdr>
                                                                                        <w:top w:val="none" w:sz="0" w:space="0" w:color="auto"/>
                                                                                        <w:left w:val="none" w:sz="0" w:space="0" w:color="auto"/>
                                                                                        <w:bottom w:val="none" w:sz="0" w:space="0" w:color="auto"/>
                                                                                        <w:right w:val="none" w:sz="0" w:space="0" w:color="auto"/>
                                                                                      </w:divBdr>
                                                                                    </w:div>
                                                                                    <w:div w:id="249587660">
                                                                                      <w:marLeft w:val="0"/>
                                                                                      <w:marRight w:val="0"/>
                                                                                      <w:marTop w:val="75"/>
                                                                                      <w:marBottom w:val="0"/>
                                                                                      <w:divBdr>
                                                                                        <w:top w:val="single" w:sz="6" w:space="6" w:color="808080"/>
                                                                                        <w:left w:val="none" w:sz="0" w:space="0" w:color="auto"/>
                                                                                        <w:bottom w:val="none" w:sz="0" w:space="0" w:color="auto"/>
                                                                                        <w:right w:val="none" w:sz="0" w:space="0" w:color="auto"/>
                                                                                      </w:divBdr>
                                                                                      <w:divsChild>
                                                                                        <w:div w:id="24958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7513">
                                                                              <w:marLeft w:val="0"/>
                                                                              <w:marRight w:val="0"/>
                                                                              <w:marTop w:val="0"/>
                                                                              <w:marBottom w:val="0"/>
                                                                              <w:divBdr>
                                                                                <w:top w:val="none" w:sz="0" w:space="0" w:color="auto"/>
                                                                                <w:left w:val="none" w:sz="0" w:space="0" w:color="auto"/>
                                                                                <w:bottom w:val="none" w:sz="0" w:space="0" w:color="auto"/>
                                                                                <w:right w:val="none" w:sz="0" w:space="0" w:color="auto"/>
                                                                              </w:divBdr>
                                                                              <w:divsChild>
                                                                                <w:div w:id="249587514">
                                                                                  <w:marLeft w:val="0"/>
                                                                                  <w:marRight w:val="0"/>
                                                                                  <w:marTop w:val="0"/>
                                                                                  <w:marBottom w:val="0"/>
                                                                                  <w:divBdr>
                                                                                    <w:top w:val="none" w:sz="0" w:space="0" w:color="auto"/>
                                                                                    <w:left w:val="none" w:sz="0" w:space="0" w:color="auto"/>
                                                                                    <w:bottom w:val="none" w:sz="0" w:space="0" w:color="auto"/>
                                                                                    <w:right w:val="none" w:sz="0" w:space="0" w:color="auto"/>
                                                                                  </w:divBdr>
                                                                                  <w:divsChild>
                                                                                    <w:div w:id="249587369">
                                                                                      <w:marLeft w:val="0"/>
                                                                                      <w:marRight w:val="0"/>
                                                                                      <w:marTop w:val="0"/>
                                                                                      <w:marBottom w:val="0"/>
                                                                                      <w:divBdr>
                                                                                        <w:top w:val="none" w:sz="0" w:space="0" w:color="auto"/>
                                                                                        <w:left w:val="none" w:sz="0" w:space="0" w:color="auto"/>
                                                                                        <w:bottom w:val="none" w:sz="0" w:space="0" w:color="auto"/>
                                                                                        <w:right w:val="none" w:sz="0" w:space="0" w:color="auto"/>
                                                                                      </w:divBdr>
                                                                                    </w:div>
                                                                                    <w:div w:id="249587448">
                                                                                      <w:marLeft w:val="0"/>
                                                                                      <w:marRight w:val="0"/>
                                                                                      <w:marTop w:val="0"/>
                                                                                      <w:marBottom w:val="0"/>
                                                                                      <w:divBdr>
                                                                                        <w:top w:val="none" w:sz="0" w:space="0" w:color="auto"/>
                                                                                        <w:left w:val="none" w:sz="0" w:space="0" w:color="auto"/>
                                                                                        <w:bottom w:val="none" w:sz="0" w:space="0" w:color="auto"/>
                                                                                        <w:right w:val="none" w:sz="0" w:space="0" w:color="auto"/>
                                                                                      </w:divBdr>
                                                                                      <w:divsChild>
                                                                                        <w:div w:id="249587502">
                                                                                          <w:marLeft w:val="0"/>
                                                                                          <w:marRight w:val="0"/>
                                                                                          <w:marTop w:val="0"/>
                                                                                          <w:marBottom w:val="0"/>
                                                                                          <w:divBdr>
                                                                                            <w:top w:val="none" w:sz="0" w:space="0" w:color="auto"/>
                                                                                            <w:left w:val="none" w:sz="0" w:space="0" w:color="auto"/>
                                                                                            <w:bottom w:val="none" w:sz="0" w:space="0" w:color="auto"/>
                                                                                            <w:right w:val="none" w:sz="0" w:space="0" w:color="auto"/>
                                                                                          </w:divBdr>
                                                                                          <w:divsChild>
                                                                                            <w:div w:id="249587290">
                                                                                              <w:marLeft w:val="0"/>
                                                                                              <w:marRight w:val="0"/>
                                                                                              <w:marTop w:val="0"/>
                                                                                              <w:marBottom w:val="0"/>
                                                                                              <w:divBdr>
                                                                                                <w:top w:val="none" w:sz="0" w:space="0" w:color="auto"/>
                                                                                                <w:left w:val="none" w:sz="0" w:space="0" w:color="auto"/>
                                                                                                <w:bottom w:val="none" w:sz="0" w:space="0" w:color="auto"/>
                                                                                                <w:right w:val="none" w:sz="0" w:space="0" w:color="auto"/>
                                                                                              </w:divBdr>
                                                                                            </w:div>
                                                                                            <w:div w:id="249587364">
                                                                                              <w:marLeft w:val="0"/>
                                                                                              <w:marRight w:val="0"/>
                                                                                              <w:marTop w:val="0"/>
                                                                                              <w:marBottom w:val="0"/>
                                                                                              <w:divBdr>
                                                                                                <w:top w:val="none" w:sz="0" w:space="0" w:color="auto"/>
                                                                                                <w:left w:val="none" w:sz="0" w:space="0" w:color="auto"/>
                                                                                                <w:bottom w:val="none" w:sz="0" w:space="0" w:color="auto"/>
                                                                                                <w:right w:val="none" w:sz="0" w:space="0" w:color="auto"/>
                                                                                              </w:divBdr>
                                                                                            </w:div>
                                                                                          </w:divsChild>
                                                                                        </w:div>
                                                                                        <w:div w:id="249587671">
                                                                                          <w:marLeft w:val="0"/>
                                                                                          <w:marRight w:val="0"/>
                                                                                          <w:marTop w:val="0"/>
                                                                                          <w:marBottom w:val="0"/>
                                                                                          <w:divBdr>
                                                                                            <w:top w:val="none" w:sz="0" w:space="0" w:color="auto"/>
                                                                                            <w:left w:val="none" w:sz="0" w:space="0" w:color="auto"/>
                                                                                            <w:bottom w:val="none" w:sz="0" w:space="0" w:color="auto"/>
                                                                                            <w:right w:val="none" w:sz="0" w:space="0" w:color="auto"/>
                                                                                          </w:divBdr>
                                                                                          <w:divsChild>
                                                                                            <w:div w:id="249587488">
                                                                                              <w:marLeft w:val="0"/>
                                                                                              <w:marRight w:val="0"/>
                                                                                              <w:marTop w:val="0"/>
                                                                                              <w:marBottom w:val="0"/>
                                                                                              <w:divBdr>
                                                                                                <w:top w:val="none" w:sz="0" w:space="0" w:color="auto"/>
                                                                                                <w:left w:val="none" w:sz="0" w:space="0" w:color="auto"/>
                                                                                                <w:bottom w:val="none" w:sz="0" w:space="0" w:color="auto"/>
                                                                                                <w:right w:val="none" w:sz="0" w:space="0" w:color="auto"/>
                                                                                              </w:divBdr>
                                                                                            </w:div>
                                                                                            <w:div w:id="2495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587625">
      <w:marLeft w:val="0"/>
      <w:marRight w:val="0"/>
      <w:marTop w:val="0"/>
      <w:marBottom w:val="0"/>
      <w:divBdr>
        <w:top w:val="none" w:sz="0" w:space="0" w:color="auto"/>
        <w:left w:val="none" w:sz="0" w:space="0" w:color="auto"/>
        <w:bottom w:val="none" w:sz="0" w:space="0" w:color="auto"/>
        <w:right w:val="none" w:sz="0" w:space="0" w:color="auto"/>
      </w:divBdr>
    </w:div>
    <w:div w:id="249587627">
      <w:marLeft w:val="0"/>
      <w:marRight w:val="0"/>
      <w:marTop w:val="0"/>
      <w:marBottom w:val="0"/>
      <w:divBdr>
        <w:top w:val="none" w:sz="0" w:space="0" w:color="auto"/>
        <w:left w:val="none" w:sz="0" w:space="0" w:color="auto"/>
        <w:bottom w:val="none" w:sz="0" w:space="0" w:color="auto"/>
        <w:right w:val="none" w:sz="0" w:space="0" w:color="auto"/>
      </w:divBdr>
    </w:div>
    <w:div w:id="249587629">
      <w:marLeft w:val="0"/>
      <w:marRight w:val="0"/>
      <w:marTop w:val="0"/>
      <w:marBottom w:val="0"/>
      <w:divBdr>
        <w:top w:val="none" w:sz="0" w:space="0" w:color="auto"/>
        <w:left w:val="none" w:sz="0" w:space="0" w:color="auto"/>
        <w:bottom w:val="none" w:sz="0" w:space="0" w:color="auto"/>
        <w:right w:val="none" w:sz="0" w:space="0" w:color="auto"/>
      </w:divBdr>
    </w:div>
    <w:div w:id="249587639">
      <w:marLeft w:val="0"/>
      <w:marRight w:val="0"/>
      <w:marTop w:val="0"/>
      <w:marBottom w:val="0"/>
      <w:divBdr>
        <w:top w:val="none" w:sz="0" w:space="0" w:color="auto"/>
        <w:left w:val="none" w:sz="0" w:space="0" w:color="auto"/>
        <w:bottom w:val="none" w:sz="0" w:space="0" w:color="auto"/>
        <w:right w:val="none" w:sz="0" w:space="0" w:color="auto"/>
      </w:divBdr>
    </w:div>
    <w:div w:id="249587664">
      <w:marLeft w:val="0"/>
      <w:marRight w:val="0"/>
      <w:marTop w:val="0"/>
      <w:marBottom w:val="0"/>
      <w:divBdr>
        <w:top w:val="none" w:sz="0" w:space="0" w:color="auto"/>
        <w:left w:val="none" w:sz="0" w:space="0" w:color="auto"/>
        <w:bottom w:val="none" w:sz="0" w:space="0" w:color="auto"/>
        <w:right w:val="none" w:sz="0" w:space="0" w:color="auto"/>
      </w:divBdr>
      <w:divsChild>
        <w:div w:id="249587681">
          <w:marLeft w:val="0"/>
          <w:marRight w:val="0"/>
          <w:marTop w:val="120"/>
          <w:marBottom w:val="360"/>
          <w:divBdr>
            <w:top w:val="none" w:sz="0" w:space="0" w:color="auto"/>
            <w:left w:val="none" w:sz="0" w:space="0" w:color="auto"/>
            <w:bottom w:val="none" w:sz="0" w:space="0" w:color="auto"/>
            <w:right w:val="none" w:sz="0" w:space="0" w:color="auto"/>
          </w:divBdr>
          <w:divsChild>
            <w:div w:id="249587595">
              <w:marLeft w:val="0"/>
              <w:marRight w:val="0"/>
              <w:marTop w:val="240"/>
              <w:marBottom w:val="100"/>
              <w:divBdr>
                <w:top w:val="none" w:sz="0" w:space="0" w:color="auto"/>
                <w:left w:val="none" w:sz="0" w:space="0" w:color="auto"/>
                <w:bottom w:val="none" w:sz="0" w:space="0" w:color="auto"/>
                <w:right w:val="none" w:sz="0" w:space="0" w:color="auto"/>
              </w:divBdr>
            </w:div>
            <w:div w:id="249587641">
              <w:marLeft w:val="0"/>
              <w:marRight w:val="0"/>
              <w:marTop w:val="0"/>
              <w:marBottom w:val="0"/>
              <w:divBdr>
                <w:top w:val="none" w:sz="0" w:space="0" w:color="auto"/>
                <w:left w:val="none" w:sz="0" w:space="0" w:color="auto"/>
                <w:bottom w:val="none" w:sz="0" w:space="0" w:color="auto"/>
                <w:right w:val="none" w:sz="0" w:space="0" w:color="auto"/>
              </w:divBdr>
            </w:div>
            <w:div w:id="24958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7683">
      <w:marLeft w:val="0"/>
      <w:marRight w:val="0"/>
      <w:marTop w:val="0"/>
      <w:marBottom w:val="0"/>
      <w:divBdr>
        <w:top w:val="none" w:sz="0" w:space="0" w:color="auto"/>
        <w:left w:val="none" w:sz="0" w:space="0" w:color="auto"/>
        <w:bottom w:val="none" w:sz="0" w:space="0" w:color="auto"/>
        <w:right w:val="none" w:sz="0" w:space="0" w:color="auto"/>
      </w:divBdr>
    </w:div>
    <w:div w:id="249587690">
      <w:marLeft w:val="0"/>
      <w:marRight w:val="0"/>
      <w:marTop w:val="0"/>
      <w:marBottom w:val="0"/>
      <w:divBdr>
        <w:top w:val="none" w:sz="0" w:space="0" w:color="auto"/>
        <w:left w:val="none" w:sz="0" w:space="0" w:color="auto"/>
        <w:bottom w:val="none" w:sz="0" w:space="0" w:color="auto"/>
        <w:right w:val="none" w:sz="0" w:space="0" w:color="auto"/>
      </w:divBdr>
    </w:div>
    <w:div w:id="249587694">
      <w:marLeft w:val="0"/>
      <w:marRight w:val="0"/>
      <w:marTop w:val="0"/>
      <w:marBottom w:val="0"/>
      <w:divBdr>
        <w:top w:val="none" w:sz="0" w:space="0" w:color="auto"/>
        <w:left w:val="none" w:sz="0" w:space="0" w:color="auto"/>
        <w:bottom w:val="none" w:sz="0" w:space="0" w:color="auto"/>
        <w:right w:val="none" w:sz="0" w:space="0" w:color="auto"/>
      </w:divBdr>
    </w:div>
    <w:div w:id="1472937392">
      <w:bodyDiv w:val="1"/>
      <w:marLeft w:val="0"/>
      <w:marRight w:val="0"/>
      <w:marTop w:val="0"/>
      <w:marBottom w:val="0"/>
      <w:divBdr>
        <w:top w:val="none" w:sz="0" w:space="0" w:color="auto"/>
        <w:left w:val="none" w:sz="0" w:space="0" w:color="auto"/>
        <w:bottom w:val="none" w:sz="0" w:space="0" w:color="auto"/>
        <w:right w:val="none" w:sz="0" w:space="0" w:color="auto"/>
      </w:divBdr>
      <w:divsChild>
        <w:div w:id="730345918">
          <w:marLeft w:val="0"/>
          <w:marRight w:val="0"/>
          <w:marTop w:val="0"/>
          <w:marBottom w:val="0"/>
          <w:divBdr>
            <w:top w:val="none" w:sz="0" w:space="0" w:color="auto"/>
            <w:left w:val="none" w:sz="0" w:space="0" w:color="auto"/>
            <w:bottom w:val="none" w:sz="0" w:space="0" w:color="auto"/>
            <w:right w:val="none" w:sz="0" w:space="0" w:color="auto"/>
          </w:divBdr>
          <w:divsChild>
            <w:div w:id="1401750666">
              <w:marLeft w:val="0"/>
              <w:marRight w:val="0"/>
              <w:marTop w:val="0"/>
              <w:marBottom w:val="0"/>
              <w:divBdr>
                <w:top w:val="none" w:sz="0" w:space="0" w:color="auto"/>
                <w:left w:val="none" w:sz="0" w:space="0" w:color="auto"/>
                <w:bottom w:val="none" w:sz="0" w:space="0" w:color="auto"/>
                <w:right w:val="none" w:sz="0" w:space="0" w:color="auto"/>
              </w:divBdr>
              <w:divsChild>
                <w:div w:id="786242794">
                  <w:marLeft w:val="0"/>
                  <w:marRight w:val="0"/>
                  <w:marTop w:val="0"/>
                  <w:marBottom w:val="0"/>
                  <w:divBdr>
                    <w:top w:val="none" w:sz="0" w:space="0" w:color="auto"/>
                    <w:left w:val="none" w:sz="0" w:space="0" w:color="auto"/>
                    <w:bottom w:val="none" w:sz="0" w:space="0" w:color="auto"/>
                    <w:right w:val="none" w:sz="0" w:space="0" w:color="auto"/>
                  </w:divBdr>
                  <w:divsChild>
                    <w:div w:id="1793590003">
                      <w:marLeft w:val="0"/>
                      <w:marRight w:val="0"/>
                      <w:marTop w:val="0"/>
                      <w:marBottom w:val="0"/>
                      <w:divBdr>
                        <w:top w:val="none" w:sz="0" w:space="0" w:color="auto"/>
                        <w:left w:val="none" w:sz="0" w:space="0" w:color="auto"/>
                        <w:bottom w:val="none" w:sz="0" w:space="0" w:color="auto"/>
                        <w:right w:val="none" w:sz="0" w:space="0" w:color="auto"/>
                      </w:divBdr>
                      <w:divsChild>
                        <w:div w:id="181670122">
                          <w:marLeft w:val="0"/>
                          <w:marRight w:val="0"/>
                          <w:marTop w:val="0"/>
                          <w:marBottom w:val="0"/>
                          <w:divBdr>
                            <w:top w:val="none" w:sz="0" w:space="0" w:color="auto"/>
                            <w:left w:val="none" w:sz="0" w:space="0" w:color="auto"/>
                            <w:bottom w:val="none" w:sz="0" w:space="0" w:color="auto"/>
                            <w:right w:val="none" w:sz="0" w:space="0" w:color="auto"/>
                          </w:divBdr>
                          <w:divsChild>
                            <w:div w:id="10506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List_aplikace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List_aplikace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List_aplikace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List_aplikace_Microsoft_Office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List_aplikace_Microsoft_Office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9.1972528433945711E-2"/>
          <c:y val="0.10053610319986588"/>
          <c:w val="0.79519023536692068"/>
          <c:h val="0.75688700834103961"/>
        </c:manualLayout>
      </c:layout>
      <c:stockChart>
        <c:ser>
          <c:idx val="0"/>
          <c:order val="0"/>
          <c:tx>
            <c:strRef>
              <c:f>List1!$B$1</c:f>
              <c:strCache>
                <c:ptCount val="1"/>
                <c:pt idx="0">
                  <c:v>Otevření</c:v>
                </c:pt>
              </c:strCache>
            </c:strRef>
          </c:tx>
          <c:spPr>
            <a:ln w="28588">
              <a:noFill/>
            </a:ln>
          </c:spPr>
          <c:marker>
            <c:symbol val="none"/>
          </c:marker>
          <c:cat>
            <c:strRef>
              <c:f>List1!$A$2:$A$3</c:f>
              <c:strCache>
                <c:ptCount val="2"/>
                <c:pt idx="0">
                  <c:v>VVI /R</c:v>
                </c:pt>
                <c:pt idx="1">
                  <c:v>DDD/R</c:v>
                </c:pt>
              </c:strCache>
            </c:strRef>
          </c:cat>
          <c:val>
            <c:numRef>
              <c:f>List1!$B$2:$B$3</c:f>
              <c:numCache>
                <c:formatCode>General</c:formatCode>
                <c:ptCount val="2"/>
                <c:pt idx="0">
                  <c:v>47.8</c:v>
                </c:pt>
                <c:pt idx="1">
                  <c:v>67.3</c:v>
                </c:pt>
              </c:numCache>
            </c:numRef>
          </c:val>
        </c:ser>
        <c:ser>
          <c:idx val="1"/>
          <c:order val="1"/>
          <c:tx>
            <c:strRef>
              <c:f>List1!$C$1</c:f>
              <c:strCache>
                <c:ptCount val="1"/>
                <c:pt idx="0">
                  <c:v>Nejvyšší</c:v>
                </c:pt>
              </c:strCache>
            </c:strRef>
          </c:tx>
          <c:spPr>
            <a:ln w="28588">
              <a:noFill/>
            </a:ln>
          </c:spPr>
          <c:marker>
            <c:symbol val="none"/>
          </c:marker>
          <c:cat>
            <c:strRef>
              <c:f>List1!$A$2:$A$3</c:f>
              <c:strCache>
                <c:ptCount val="2"/>
                <c:pt idx="0">
                  <c:v>VVI /R</c:v>
                </c:pt>
                <c:pt idx="1">
                  <c:v>DDD/R</c:v>
                </c:pt>
              </c:strCache>
            </c:strRef>
          </c:cat>
          <c:val>
            <c:numRef>
              <c:f>List1!$C$2:$C$3</c:f>
              <c:numCache>
                <c:formatCode>General</c:formatCode>
                <c:ptCount val="2"/>
                <c:pt idx="0">
                  <c:v>110.6</c:v>
                </c:pt>
                <c:pt idx="1">
                  <c:v>149.30000000000001</c:v>
                </c:pt>
              </c:numCache>
            </c:numRef>
          </c:val>
        </c:ser>
        <c:ser>
          <c:idx val="2"/>
          <c:order val="2"/>
          <c:tx>
            <c:strRef>
              <c:f>List1!$D$1</c:f>
              <c:strCache>
                <c:ptCount val="1"/>
                <c:pt idx="0">
                  <c:v>Nejnižší</c:v>
                </c:pt>
              </c:strCache>
            </c:strRef>
          </c:tx>
          <c:spPr>
            <a:ln w="28588">
              <a:noFill/>
            </a:ln>
          </c:spPr>
          <c:marker>
            <c:symbol val="none"/>
          </c:marker>
          <c:cat>
            <c:strRef>
              <c:f>List1!$A$2:$A$3</c:f>
              <c:strCache>
                <c:ptCount val="2"/>
                <c:pt idx="0">
                  <c:v>VVI /R</c:v>
                </c:pt>
                <c:pt idx="1">
                  <c:v>DDD/R</c:v>
                </c:pt>
              </c:strCache>
            </c:strRef>
          </c:cat>
          <c:val>
            <c:numRef>
              <c:f>List1!$D$2:$D$3</c:f>
              <c:numCache>
                <c:formatCode>General</c:formatCode>
                <c:ptCount val="2"/>
                <c:pt idx="0">
                  <c:v>10.5</c:v>
                </c:pt>
                <c:pt idx="1">
                  <c:v>9.2000000000000011</c:v>
                </c:pt>
              </c:numCache>
            </c:numRef>
          </c:val>
        </c:ser>
        <c:ser>
          <c:idx val="3"/>
          <c:order val="3"/>
          <c:tx>
            <c:strRef>
              <c:f>List1!$E$1</c:f>
              <c:strCache>
                <c:ptCount val="1"/>
                <c:pt idx="0">
                  <c:v>Závěr</c:v>
                </c:pt>
              </c:strCache>
            </c:strRef>
          </c:tx>
          <c:spPr>
            <a:ln w="28588">
              <a:noFill/>
            </a:ln>
          </c:spPr>
          <c:marker>
            <c:symbol val="none"/>
          </c:marker>
          <c:cat>
            <c:strRef>
              <c:f>List1!$A$2:$A$3</c:f>
              <c:strCache>
                <c:ptCount val="2"/>
                <c:pt idx="0">
                  <c:v>VVI /R</c:v>
                </c:pt>
                <c:pt idx="1">
                  <c:v>DDD/R</c:v>
                </c:pt>
              </c:strCache>
            </c:strRef>
          </c:cat>
          <c:val>
            <c:numRef>
              <c:f>List1!$E$2:$E$3</c:f>
              <c:numCache>
                <c:formatCode>General</c:formatCode>
                <c:ptCount val="2"/>
                <c:pt idx="0">
                  <c:v>11.2</c:v>
                </c:pt>
                <c:pt idx="1">
                  <c:v>23.1</c:v>
                </c:pt>
              </c:numCache>
            </c:numRef>
          </c:val>
        </c:ser>
        <c:hiLowLines/>
        <c:upDownBars>
          <c:gapWidth val="150"/>
          <c:upBars/>
          <c:downBars>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downBars>
        </c:upDownBars>
        <c:axId val="5548288"/>
        <c:axId val="81534976"/>
      </c:stockChart>
      <c:catAx>
        <c:axId val="5548288"/>
        <c:scaling>
          <c:orientation val="minMax"/>
        </c:scaling>
        <c:axPos val="b"/>
        <c:numFmt formatCode="d/m/yyyy" sourceLinked="1"/>
        <c:tickLblPos val="nextTo"/>
        <c:crossAx val="81534976"/>
        <c:crosses val="autoZero"/>
        <c:auto val="1"/>
        <c:lblAlgn val="ctr"/>
        <c:lblOffset val="100"/>
      </c:catAx>
      <c:valAx>
        <c:axId val="81534976"/>
        <c:scaling>
          <c:orientation val="minMax"/>
        </c:scaling>
        <c:axPos val="l"/>
        <c:majorGridlines/>
        <c:numFmt formatCode="General" sourceLinked="1"/>
        <c:tickLblPos val="nextTo"/>
        <c:crossAx val="5548288"/>
        <c:crosses val="autoZero"/>
        <c:crossBetween val="between"/>
      </c:valAx>
    </c:plotArea>
    <c:plotVisOnly val="1"/>
    <c:dispBlanksAs val="gap"/>
  </c:chart>
  <c:externalData r:id="rId2"/>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8.5615339749198244E-2"/>
          <c:y val="6.3898887639045193E-2"/>
          <c:w val="0.58418908573927486"/>
          <c:h val="0.80809867516560463"/>
        </c:manualLayout>
      </c:layout>
      <c:barChart>
        <c:barDir val="col"/>
        <c:grouping val="clustered"/>
        <c:ser>
          <c:idx val="0"/>
          <c:order val="0"/>
          <c:tx>
            <c:strRef>
              <c:f>List1!$B$1</c:f>
              <c:strCache>
                <c:ptCount val="1"/>
                <c:pt idx="0">
                  <c:v>celkový počet pacientů</c:v>
                </c:pt>
              </c:strCache>
            </c:strRef>
          </c:tx>
          <c:dLbls>
            <c:dLbl>
              <c:idx val="0"/>
              <c:spPr>
                <a:noFill/>
                <a:ln w="25402">
                  <a:noFill/>
                </a:ln>
              </c:spPr>
              <c:txPr>
                <a:bodyPr/>
                <a:lstStyle/>
                <a:p>
                  <a:pPr>
                    <a:defRPr/>
                  </a:pPr>
                  <a:endParaRPr lang="cs-CZ"/>
                </a:p>
              </c:txPr>
              <c:showVal val="1"/>
            </c:dLbl>
            <c:delete val="1"/>
          </c:dLbls>
          <c:cat>
            <c:strRef>
              <c:f>List1!$A$2:$A$5</c:f>
              <c:strCache>
                <c:ptCount val="4"/>
                <c:pt idx="0">
                  <c:v> </c:v>
                </c:pt>
                <c:pt idx="1">
                  <c:v>pacienti s negat.Tn I</c:v>
                </c:pt>
                <c:pt idx="2">
                  <c:v>pacienti s posit. TnI</c:v>
                </c:pt>
                <c:pt idx="3">
                  <c:v> </c:v>
                </c:pt>
              </c:strCache>
            </c:strRef>
          </c:cat>
          <c:val>
            <c:numRef>
              <c:f>List1!$B$2:$B$5</c:f>
              <c:numCache>
                <c:formatCode>General</c:formatCode>
                <c:ptCount val="4"/>
                <c:pt idx="0">
                  <c:v>230</c:v>
                </c:pt>
                <c:pt idx="1">
                  <c:v>0</c:v>
                </c:pt>
                <c:pt idx="2">
                  <c:v>0</c:v>
                </c:pt>
                <c:pt idx="3">
                  <c:v>0</c:v>
                </c:pt>
              </c:numCache>
            </c:numRef>
          </c:val>
        </c:ser>
        <c:ser>
          <c:idx val="1"/>
          <c:order val="1"/>
          <c:tx>
            <c:strRef>
              <c:f>List1!$C$1</c:f>
              <c:strCache>
                <c:ptCount val="1"/>
                <c:pt idx="0">
                  <c:v>pacienti s renální insuficincí</c:v>
                </c:pt>
              </c:strCache>
            </c:strRef>
          </c:tx>
          <c:dLbls>
            <c:dLbl>
              <c:idx val="0"/>
              <c:tx>
                <c:rich>
                  <a:bodyPr/>
                  <a:lstStyle/>
                  <a:p>
                    <a:pPr>
                      <a:defRPr/>
                    </a:pPr>
                    <a:r>
                      <a:rPr lang="cs-CZ"/>
                      <a:t>  </a:t>
                    </a:r>
                    <a:endParaRPr lang="en-US"/>
                  </a:p>
                </c:rich>
              </c:tx>
              <c:spPr>
                <a:noFill/>
                <a:ln w="25402">
                  <a:noFill/>
                </a:ln>
              </c:spPr>
            </c:dLbl>
            <c:dLbl>
              <c:idx val="3"/>
              <c:tx>
                <c:rich>
                  <a:bodyPr/>
                  <a:lstStyle/>
                  <a:p>
                    <a:pPr>
                      <a:defRPr/>
                    </a:pPr>
                    <a:r>
                      <a:rPr lang="cs-CZ"/>
                      <a:t> </a:t>
                    </a:r>
                    <a:endParaRPr lang="en-US"/>
                  </a:p>
                </c:rich>
              </c:tx>
              <c:spPr>
                <a:noFill/>
                <a:ln w="25402">
                  <a:noFill/>
                </a:ln>
              </c:spPr>
            </c:dLbl>
            <c:spPr>
              <a:noFill/>
              <a:ln w="25402">
                <a:noFill/>
              </a:ln>
            </c:spPr>
            <c:showVal val="1"/>
          </c:dLbls>
          <c:cat>
            <c:strRef>
              <c:f>List1!$A$2:$A$5</c:f>
              <c:strCache>
                <c:ptCount val="4"/>
                <c:pt idx="0">
                  <c:v> </c:v>
                </c:pt>
                <c:pt idx="1">
                  <c:v>pacienti s negat.Tn I</c:v>
                </c:pt>
                <c:pt idx="2">
                  <c:v>pacienti s posit. TnI</c:v>
                </c:pt>
                <c:pt idx="3">
                  <c:v> </c:v>
                </c:pt>
              </c:strCache>
            </c:strRef>
          </c:cat>
          <c:val>
            <c:numRef>
              <c:f>List1!$C$2:$C$5</c:f>
              <c:numCache>
                <c:formatCode>General</c:formatCode>
                <c:ptCount val="4"/>
                <c:pt idx="0">
                  <c:v>0</c:v>
                </c:pt>
                <c:pt idx="1">
                  <c:v>43</c:v>
                </c:pt>
                <c:pt idx="2">
                  <c:v>5</c:v>
                </c:pt>
                <c:pt idx="3">
                  <c:v>0</c:v>
                </c:pt>
              </c:numCache>
            </c:numRef>
          </c:val>
        </c:ser>
        <c:ser>
          <c:idx val="2"/>
          <c:order val="2"/>
          <c:tx>
            <c:strRef>
              <c:f>List1!$D$1</c:f>
              <c:strCache>
                <c:ptCount val="1"/>
                <c:pt idx="0">
                  <c:v>pacienti s positivním TnI bez ren. insuficience</c:v>
                </c:pt>
              </c:strCache>
            </c:strRef>
          </c:tx>
          <c:dLbls>
            <c:dLbl>
              <c:idx val="0"/>
              <c:tx>
                <c:rich>
                  <a:bodyPr/>
                  <a:lstStyle/>
                  <a:p>
                    <a:pPr>
                      <a:defRPr/>
                    </a:pPr>
                    <a:r>
                      <a:rPr lang="cs-CZ"/>
                      <a:t> </a:t>
                    </a:r>
                    <a:endParaRPr lang="en-US"/>
                  </a:p>
                </c:rich>
              </c:tx>
              <c:spPr>
                <a:noFill/>
                <a:ln w="25402">
                  <a:noFill/>
                </a:ln>
              </c:spPr>
            </c:dLbl>
            <c:dLbl>
              <c:idx val="1"/>
              <c:tx>
                <c:rich>
                  <a:bodyPr/>
                  <a:lstStyle/>
                  <a:p>
                    <a:pPr>
                      <a:defRPr/>
                    </a:pPr>
                    <a:r>
                      <a:rPr lang="cs-CZ"/>
                      <a:t> </a:t>
                    </a:r>
                    <a:endParaRPr lang="en-US"/>
                  </a:p>
                </c:rich>
              </c:tx>
              <c:spPr>
                <a:noFill/>
                <a:ln w="25402">
                  <a:noFill/>
                </a:ln>
              </c:spPr>
            </c:dLbl>
            <c:dLbl>
              <c:idx val="2"/>
              <c:tx>
                <c:rich>
                  <a:bodyPr/>
                  <a:lstStyle/>
                  <a:p>
                    <a:pPr>
                      <a:defRPr/>
                    </a:pPr>
                    <a:r>
                      <a:rPr lang="cs-CZ"/>
                      <a:t> </a:t>
                    </a:r>
                    <a:endParaRPr lang="en-US"/>
                  </a:p>
                </c:rich>
              </c:tx>
              <c:spPr>
                <a:noFill/>
                <a:ln w="25402">
                  <a:noFill/>
                </a:ln>
              </c:spPr>
            </c:dLbl>
            <c:spPr>
              <a:noFill/>
              <a:ln w="25402">
                <a:noFill/>
              </a:ln>
            </c:spPr>
            <c:showVal val="1"/>
          </c:dLbls>
          <c:cat>
            <c:strRef>
              <c:f>List1!$A$2:$A$5</c:f>
              <c:strCache>
                <c:ptCount val="4"/>
                <c:pt idx="0">
                  <c:v> </c:v>
                </c:pt>
                <c:pt idx="1">
                  <c:v>pacienti s negat.Tn I</c:v>
                </c:pt>
                <c:pt idx="2">
                  <c:v>pacienti s posit. TnI</c:v>
                </c:pt>
                <c:pt idx="3">
                  <c:v> </c:v>
                </c:pt>
              </c:strCache>
            </c:strRef>
          </c:cat>
          <c:val>
            <c:numRef>
              <c:f>List1!$D$2:$D$5</c:f>
              <c:numCache>
                <c:formatCode>General</c:formatCode>
                <c:ptCount val="4"/>
                <c:pt idx="0">
                  <c:v>0</c:v>
                </c:pt>
                <c:pt idx="1">
                  <c:v>0</c:v>
                </c:pt>
                <c:pt idx="2">
                  <c:v>0</c:v>
                </c:pt>
                <c:pt idx="3">
                  <c:v>10</c:v>
                </c:pt>
              </c:numCache>
            </c:numRef>
          </c:val>
        </c:ser>
        <c:axId val="81565184"/>
        <c:axId val="81566720"/>
      </c:barChart>
      <c:catAx>
        <c:axId val="81565184"/>
        <c:scaling>
          <c:orientation val="minMax"/>
        </c:scaling>
        <c:axPos val="b"/>
        <c:numFmt formatCode="General" sourceLinked="1"/>
        <c:tickLblPos val="nextTo"/>
        <c:txPr>
          <a:bodyPr/>
          <a:lstStyle/>
          <a:p>
            <a:pPr>
              <a:defRPr sz="800"/>
            </a:pPr>
            <a:endParaRPr lang="cs-CZ"/>
          </a:p>
        </c:txPr>
        <c:crossAx val="81566720"/>
        <c:crosses val="autoZero"/>
        <c:auto val="1"/>
        <c:lblAlgn val="ctr"/>
        <c:lblOffset val="100"/>
      </c:catAx>
      <c:valAx>
        <c:axId val="81566720"/>
        <c:scaling>
          <c:orientation val="minMax"/>
        </c:scaling>
        <c:axPos val="l"/>
        <c:majorGridlines/>
        <c:numFmt formatCode="General" sourceLinked="1"/>
        <c:tickLblPos val="nextTo"/>
        <c:crossAx val="81565184"/>
        <c:crosses val="autoZero"/>
        <c:crossBetween val="between"/>
      </c:valAx>
    </c:plotArea>
    <c:legend>
      <c:legendPos val="r"/>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0.13049208009838092"/>
          <c:y val="5.1994125734283213E-2"/>
          <c:w val="0.86950791990162057"/>
          <c:h val="0.71253155855518691"/>
        </c:manualLayout>
      </c:layout>
      <c:barChart>
        <c:barDir val="col"/>
        <c:grouping val="clustered"/>
        <c:ser>
          <c:idx val="0"/>
          <c:order val="0"/>
          <c:tx>
            <c:strRef>
              <c:f>List1!$B$1</c:f>
              <c:strCache>
                <c:ptCount val="1"/>
                <c:pt idx="0">
                  <c:v>fibrilace síní</c:v>
                </c:pt>
              </c:strCache>
            </c:strRef>
          </c:tx>
          <c:dLbls>
            <c:spPr>
              <a:noFill/>
              <a:ln w="25414">
                <a:noFill/>
              </a:ln>
            </c:spPr>
            <c:showVal val="1"/>
          </c:dLbls>
          <c:cat>
            <c:strRef>
              <c:f>List1!$A$2:$A$3</c:f>
              <c:strCache>
                <c:ptCount val="2"/>
                <c:pt idx="0">
                  <c:v>jednodutinová stimulace</c:v>
                </c:pt>
                <c:pt idx="1">
                  <c:v>dvoudutinová stimulace</c:v>
                </c:pt>
              </c:strCache>
            </c:strRef>
          </c:cat>
          <c:val>
            <c:numRef>
              <c:f>List1!$B$2:$B$3</c:f>
              <c:numCache>
                <c:formatCode>General</c:formatCode>
                <c:ptCount val="2"/>
                <c:pt idx="0">
                  <c:v>82</c:v>
                </c:pt>
                <c:pt idx="1">
                  <c:v>1</c:v>
                </c:pt>
              </c:numCache>
            </c:numRef>
          </c:val>
        </c:ser>
        <c:ser>
          <c:idx val="1"/>
          <c:order val="1"/>
          <c:tx>
            <c:strRef>
              <c:f>List1!$C$1</c:f>
              <c:strCache>
                <c:ptCount val="1"/>
                <c:pt idx="0">
                  <c:v>sinusový rytmus</c:v>
                </c:pt>
              </c:strCache>
            </c:strRef>
          </c:tx>
          <c:dLbls>
            <c:spPr>
              <a:noFill/>
              <a:ln w="25414">
                <a:noFill/>
              </a:ln>
            </c:spPr>
            <c:showVal val="1"/>
          </c:dLbls>
          <c:cat>
            <c:strRef>
              <c:f>List1!$A$2:$A$3</c:f>
              <c:strCache>
                <c:ptCount val="2"/>
                <c:pt idx="0">
                  <c:v>jednodutinová stimulace</c:v>
                </c:pt>
                <c:pt idx="1">
                  <c:v>dvoudutinová stimulace</c:v>
                </c:pt>
              </c:strCache>
            </c:strRef>
          </c:cat>
          <c:val>
            <c:numRef>
              <c:f>List1!$C$2:$C$3</c:f>
              <c:numCache>
                <c:formatCode>General</c:formatCode>
                <c:ptCount val="2"/>
                <c:pt idx="0">
                  <c:v>12</c:v>
                </c:pt>
                <c:pt idx="1">
                  <c:v>135</c:v>
                </c:pt>
              </c:numCache>
            </c:numRef>
          </c:val>
        </c:ser>
        <c:ser>
          <c:idx val="2"/>
          <c:order val="2"/>
          <c:tx>
            <c:strRef>
              <c:f>List1!$D$1</c:f>
              <c:strCache>
                <c:ptCount val="1"/>
                <c:pt idx="0">
                  <c:v> 2</c:v>
                </c:pt>
              </c:strCache>
            </c:strRef>
          </c:tx>
          <c:dLbls>
            <c:delete val="1"/>
          </c:dLbls>
          <c:cat>
            <c:strRef>
              <c:f>List1!$A$2:$A$3</c:f>
              <c:strCache>
                <c:ptCount val="2"/>
                <c:pt idx="0">
                  <c:v>jednodutinová stimulace</c:v>
                </c:pt>
                <c:pt idx="1">
                  <c:v>dvoudutinová stimulace</c:v>
                </c:pt>
              </c:strCache>
            </c:strRef>
          </c:cat>
          <c:val>
            <c:numRef>
              <c:f>List1!$D$2:$D$3</c:f>
              <c:numCache>
                <c:formatCode>General</c:formatCode>
                <c:ptCount val="2"/>
                <c:pt idx="0">
                  <c:v>0</c:v>
                </c:pt>
                <c:pt idx="1">
                  <c:v>0</c:v>
                </c:pt>
              </c:numCache>
            </c:numRef>
          </c:val>
        </c:ser>
        <c:dLbls>
          <c:showVal val="1"/>
        </c:dLbls>
        <c:gapWidth val="75"/>
        <c:axId val="82898304"/>
        <c:axId val="89031808"/>
      </c:barChart>
      <c:catAx>
        <c:axId val="82898304"/>
        <c:scaling>
          <c:orientation val="minMax"/>
        </c:scaling>
        <c:axPos val="b"/>
        <c:numFmt formatCode="General" sourceLinked="1"/>
        <c:majorTickMark val="none"/>
        <c:tickLblPos val="nextTo"/>
        <c:crossAx val="89031808"/>
        <c:crosses val="autoZero"/>
        <c:auto val="1"/>
        <c:lblAlgn val="ctr"/>
        <c:lblOffset val="100"/>
      </c:catAx>
      <c:valAx>
        <c:axId val="89031808"/>
        <c:scaling>
          <c:orientation val="minMax"/>
        </c:scaling>
        <c:axPos val="l"/>
        <c:numFmt formatCode="General" sourceLinked="1"/>
        <c:majorTickMark val="none"/>
        <c:tickLblPos val="nextTo"/>
        <c:crossAx val="82898304"/>
        <c:crosses val="autoZero"/>
        <c:crossBetween val="between"/>
      </c:valAx>
    </c:plotArea>
    <c:legend>
      <c:legendPos val="b"/>
      <c:legendEntry>
        <c:idx val="2"/>
        <c:delete val="1"/>
      </c:legendEntry>
    </c:legend>
    <c:plotVisOnly val="1"/>
    <c:dispBlanksAs val="gap"/>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cs-CZ"/>
  <c:chart>
    <c:title>
      <c:spPr>
        <a:noFill/>
        <a:ln w="25403">
          <a:noFill/>
        </a:ln>
      </c:spPr>
    </c:title>
    <c:plotArea>
      <c:layout/>
      <c:barChart>
        <c:barDir val="col"/>
        <c:grouping val="clustered"/>
        <c:ser>
          <c:idx val="0"/>
          <c:order val="0"/>
          <c:tx>
            <c:strRef>
              <c:f>List1!$B$1</c:f>
              <c:strCache>
                <c:ptCount val="1"/>
                <c:pt idx="0">
                  <c:v>počet fixací</c:v>
                </c:pt>
              </c:strCache>
            </c:strRef>
          </c:tx>
          <c:dLbls>
            <c:spPr>
              <a:noFill/>
              <a:ln w="25403">
                <a:noFill/>
              </a:ln>
            </c:spPr>
            <c:showVal val="1"/>
          </c:dLbls>
          <c:cat>
            <c:strRef>
              <c:f>List1!$A$2:$A$8</c:f>
              <c:strCache>
                <c:ptCount val="7"/>
                <c:pt idx="0">
                  <c:v>1 fixace</c:v>
                </c:pt>
                <c:pt idx="1">
                  <c:v>2 fixace</c:v>
                </c:pt>
                <c:pt idx="2">
                  <c:v>3 fixace</c:v>
                </c:pt>
                <c:pt idx="3">
                  <c:v>4 fixace</c:v>
                </c:pt>
                <c:pt idx="4">
                  <c:v>5 fixací</c:v>
                </c:pt>
                <c:pt idx="5">
                  <c:v>6 fixací</c:v>
                </c:pt>
                <c:pt idx="6">
                  <c:v>7 fixací</c:v>
                </c:pt>
              </c:strCache>
            </c:strRef>
          </c:cat>
          <c:val>
            <c:numRef>
              <c:f>List1!$B$2:$B$8</c:f>
              <c:numCache>
                <c:formatCode>General</c:formatCode>
                <c:ptCount val="7"/>
                <c:pt idx="0">
                  <c:v>189</c:v>
                </c:pt>
                <c:pt idx="1">
                  <c:v>30</c:v>
                </c:pt>
                <c:pt idx="2">
                  <c:v>6</c:v>
                </c:pt>
                <c:pt idx="3">
                  <c:v>2</c:v>
                </c:pt>
                <c:pt idx="4">
                  <c:v>2</c:v>
                </c:pt>
                <c:pt idx="5">
                  <c:v>0</c:v>
                </c:pt>
                <c:pt idx="6">
                  <c:v>1</c:v>
                </c:pt>
              </c:numCache>
            </c:numRef>
          </c:val>
        </c:ser>
        <c:axId val="89011328"/>
        <c:axId val="89012864"/>
      </c:barChart>
      <c:catAx>
        <c:axId val="89011328"/>
        <c:scaling>
          <c:orientation val="minMax"/>
        </c:scaling>
        <c:axPos val="b"/>
        <c:numFmt formatCode="General" sourceLinked="1"/>
        <c:tickLblPos val="nextTo"/>
        <c:crossAx val="89012864"/>
        <c:crosses val="autoZero"/>
        <c:auto val="1"/>
        <c:lblAlgn val="ctr"/>
        <c:lblOffset val="100"/>
      </c:catAx>
      <c:valAx>
        <c:axId val="89012864"/>
        <c:scaling>
          <c:orientation val="minMax"/>
        </c:scaling>
        <c:axPos val="l"/>
        <c:majorGridlines/>
        <c:numFmt formatCode="General" sourceLinked="1"/>
        <c:tickLblPos val="nextTo"/>
        <c:crossAx val="89011328"/>
        <c:crosses val="autoZero"/>
        <c:crossBetween val="between"/>
      </c:valAx>
    </c:plotArea>
    <c:legend>
      <c:legendPos val="r"/>
    </c:legend>
    <c:plotVisOnly val="1"/>
    <c:dispBlanksAs val="gap"/>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cs-CZ"/>
  <c:chart>
    <c:plotArea>
      <c:layout/>
      <c:barChart>
        <c:barDir val="col"/>
        <c:grouping val="clustered"/>
        <c:ser>
          <c:idx val="0"/>
          <c:order val="0"/>
          <c:tx>
            <c:strRef>
              <c:f>List1!$B$1</c:f>
              <c:strCache>
                <c:ptCount val="1"/>
                <c:pt idx="0">
                  <c:v>celkový počet pacientů </c:v>
                </c:pt>
              </c:strCache>
            </c:strRef>
          </c:tx>
          <c:dLbls>
            <c:dLbl>
              <c:idx val="1"/>
              <c:delete val="1"/>
            </c:dLbl>
            <c:dLbl>
              <c:idx val="2"/>
              <c:delete val="1"/>
            </c:dLbl>
            <c:dLbl>
              <c:idx val="3"/>
              <c:delete val="1"/>
            </c:dLbl>
            <c:spPr>
              <a:noFill/>
              <a:ln w="25396">
                <a:noFill/>
              </a:ln>
            </c:spPr>
            <c:showVal val="1"/>
          </c:dLbls>
          <c:cat>
            <c:strRef>
              <c:f>List1!$A$2:$A$5</c:f>
              <c:strCache>
                <c:ptCount val="4"/>
                <c:pt idx="0">
                  <c:v>Kategorie 1</c:v>
                </c:pt>
                <c:pt idx="1">
                  <c:v>Kategorie 2</c:v>
                </c:pt>
                <c:pt idx="2">
                  <c:v>Kategorie 3</c:v>
                </c:pt>
                <c:pt idx="3">
                  <c:v>Kategorie 4</c:v>
                </c:pt>
              </c:strCache>
            </c:strRef>
          </c:cat>
          <c:val>
            <c:numRef>
              <c:f>List1!$B$2:$B$5</c:f>
              <c:numCache>
                <c:formatCode>General</c:formatCode>
                <c:ptCount val="4"/>
                <c:pt idx="0">
                  <c:v>230</c:v>
                </c:pt>
                <c:pt idx="1">
                  <c:v>0</c:v>
                </c:pt>
                <c:pt idx="2">
                  <c:v>0</c:v>
                </c:pt>
                <c:pt idx="3">
                  <c:v>0</c:v>
                </c:pt>
              </c:numCache>
            </c:numRef>
          </c:val>
        </c:ser>
        <c:ser>
          <c:idx val="1"/>
          <c:order val="1"/>
          <c:tx>
            <c:strRef>
              <c:f>List1!$C$1</c:f>
              <c:strCache>
                <c:ptCount val="1"/>
                <c:pt idx="0">
                  <c:v>troponin I vstupně+</c:v>
                </c:pt>
              </c:strCache>
            </c:strRef>
          </c:tx>
          <c:dLbls>
            <c:dLbl>
              <c:idx val="0"/>
              <c:delete val="1"/>
            </c:dLbl>
            <c:dLbl>
              <c:idx val="2"/>
              <c:delete val="1"/>
            </c:dLbl>
            <c:dLbl>
              <c:idx val="3"/>
              <c:delete val="1"/>
            </c:dLbl>
            <c:spPr>
              <a:noFill/>
              <a:ln w="25396">
                <a:noFill/>
              </a:ln>
            </c:spPr>
            <c:showVal val="1"/>
          </c:dLbls>
          <c:cat>
            <c:strRef>
              <c:f>List1!$A$2:$A$5</c:f>
              <c:strCache>
                <c:ptCount val="4"/>
                <c:pt idx="0">
                  <c:v>Kategorie 1</c:v>
                </c:pt>
                <c:pt idx="1">
                  <c:v>Kategorie 2</c:v>
                </c:pt>
                <c:pt idx="2">
                  <c:v>Kategorie 3</c:v>
                </c:pt>
                <c:pt idx="3">
                  <c:v>Kategorie 4</c:v>
                </c:pt>
              </c:strCache>
            </c:strRef>
          </c:cat>
          <c:val>
            <c:numRef>
              <c:f>List1!$C$2:$C$5</c:f>
              <c:numCache>
                <c:formatCode>General</c:formatCode>
                <c:ptCount val="4"/>
                <c:pt idx="0">
                  <c:v>0</c:v>
                </c:pt>
                <c:pt idx="1">
                  <c:v>15</c:v>
                </c:pt>
                <c:pt idx="2">
                  <c:v>0</c:v>
                </c:pt>
                <c:pt idx="3">
                  <c:v>0</c:v>
                </c:pt>
              </c:numCache>
            </c:numRef>
          </c:val>
        </c:ser>
        <c:ser>
          <c:idx val="2"/>
          <c:order val="2"/>
          <c:tx>
            <c:strRef>
              <c:f>List1!$D$1</c:f>
              <c:strCache>
                <c:ptCount val="1"/>
                <c:pt idx="0">
                  <c:v>troponin I posit. za 6h.</c:v>
                </c:pt>
              </c:strCache>
            </c:strRef>
          </c:tx>
          <c:dLbls>
            <c:dLbl>
              <c:idx val="0"/>
              <c:delete val="1"/>
            </c:dLbl>
            <c:dLbl>
              <c:idx val="1"/>
              <c:delete val="1"/>
            </c:dLbl>
            <c:dLbl>
              <c:idx val="3"/>
              <c:delete val="1"/>
            </c:dLbl>
            <c:spPr>
              <a:noFill/>
              <a:ln w="25396">
                <a:noFill/>
              </a:ln>
            </c:spPr>
            <c:showVal val="1"/>
          </c:dLbls>
          <c:cat>
            <c:strRef>
              <c:f>List1!$A$2:$A$5</c:f>
              <c:strCache>
                <c:ptCount val="4"/>
                <c:pt idx="0">
                  <c:v>Kategorie 1</c:v>
                </c:pt>
                <c:pt idx="1">
                  <c:v>Kategorie 2</c:v>
                </c:pt>
                <c:pt idx="2">
                  <c:v>Kategorie 3</c:v>
                </c:pt>
                <c:pt idx="3">
                  <c:v>Kategorie 4</c:v>
                </c:pt>
              </c:strCache>
            </c:strRef>
          </c:cat>
          <c:val>
            <c:numRef>
              <c:f>List1!$D$2:$D$5</c:f>
              <c:numCache>
                <c:formatCode>General</c:formatCode>
                <c:ptCount val="4"/>
                <c:pt idx="0">
                  <c:v>0</c:v>
                </c:pt>
                <c:pt idx="1">
                  <c:v>0</c:v>
                </c:pt>
                <c:pt idx="2">
                  <c:v>167</c:v>
                </c:pt>
                <c:pt idx="3">
                  <c:v>0</c:v>
                </c:pt>
              </c:numCache>
            </c:numRef>
          </c:val>
        </c:ser>
        <c:ser>
          <c:idx val="3"/>
          <c:order val="3"/>
          <c:tx>
            <c:strRef>
              <c:f>List1!$E$1</c:f>
              <c:strCache>
                <c:ptCount val="1"/>
                <c:pt idx="0">
                  <c:v>troponin I posit. za 18h.</c:v>
                </c:pt>
              </c:strCache>
            </c:strRef>
          </c:tx>
          <c:dLbls>
            <c:spPr>
              <a:noFill/>
              <a:ln w="25396">
                <a:noFill/>
              </a:ln>
            </c:spPr>
            <c:showVal val="1"/>
          </c:dLbls>
          <c:cat>
            <c:strRef>
              <c:f>List1!$A$2:$A$5</c:f>
              <c:strCache>
                <c:ptCount val="4"/>
                <c:pt idx="0">
                  <c:v>Kategorie 1</c:v>
                </c:pt>
                <c:pt idx="1">
                  <c:v>Kategorie 2</c:v>
                </c:pt>
                <c:pt idx="2">
                  <c:v>Kategorie 3</c:v>
                </c:pt>
                <c:pt idx="3">
                  <c:v>Kategorie 4</c:v>
                </c:pt>
              </c:strCache>
            </c:strRef>
          </c:cat>
          <c:val>
            <c:numRef>
              <c:f>List1!$E$2:$E$5</c:f>
              <c:numCache>
                <c:formatCode>General</c:formatCode>
                <c:ptCount val="4"/>
                <c:pt idx="3">
                  <c:v>88</c:v>
                </c:pt>
              </c:numCache>
            </c:numRef>
          </c:val>
        </c:ser>
        <c:axId val="89463040"/>
        <c:axId val="89477120"/>
      </c:barChart>
      <c:catAx>
        <c:axId val="89463040"/>
        <c:scaling>
          <c:orientation val="minMax"/>
        </c:scaling>
        <c:delete val="1"/>
        <c:axPos val="b"/>
        <c:tickLblPos val="none"/>
        <c:crossAx val="89477120"/>
        <c:crosses val="autoZero"/>
        <c:auto val="1"/>
        <c:lblAlgn val="ctr"/>
        <c:lblOffset val="100"/>
      </c:catAx>
      <c:valAx>
        <c:axId val="89477120"/>
        <c:scaling>
          <c:orientation val="minMax"/>
        </c:scaling>
        <c:axPos val="l"/>
        <c:majorGridlines/>
        <c:numFmt formatCode="General" sourceLinked="1"/>
        <c:tickLblPos val="nextTo"/>
        <c:crossAx val="89463040"/>
        <c:crosses val="autoZero"/>
        <c:crossBetween val="between"/>
      </c:valAx>
    </c:plotArea>
    <c:legend>
      <c:legendPos val="r"/>
    </c:legend>
    <c:plotVisOnly val="1"/>
    <c:dispBlanksAs val="gap"/>
  </c:chart>
  <c:externalData r:id="rId2"/>
</c:chartSpace>
</file>

<file path=word/drawings/drawing1.xml><?xml version="1.0" encoding="utf-8"?>
<c:userShapes xmlns:c="http://schemas.openxmlformats.org/drawingml/2006/chart">
  <cdr:relSizeAnchor xmlns:cdr="http://schemas.openxmlformats.org/drawingml/2006/chartDrawing">
    <cdr:from>
      <cdr:x>0.77891</cdr:x>
      <cdr:y>0.39146</cdr:y>
    </cdr:from>
    <cdr:to>
      <cdr:x>0.93226</cdr:x>
      <cdr:y>0.59431</cdr:y>
    </cdr:to>
    <cdr:sp macro="" textlink="">
      <cdr:nvSpPr>
        <cdr:cNvPr id="2" name="TextovéPole 1"/>
        <cdr:cNvSpPr txBox="1"/>
      </cdr:nvSpPr>
      <cdr:spPr>
        <a:xfrm xmlns:a="http://schemas.openxmlformats.org/drawingml/2006/main">
          <a:off x="4562779" y="1047750"/>
          <a:ext cx="898288" cy="54292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cs-CZ" sz="1100">
              <a:latin typeface="+mn-lt"/>
              <a:ea typeface="+mn-ea"/>
              <a:cs typeface="+mn-cs"/>
            </a:rPr>
            <a:t>45,2 </a:t>
          </a:r>
          <a:r>
            <a:rPr lang="en-US" sz="1100">
              <a:latin typeface="+mn-lt"/>
              <a:ea typeface="+mn-ea"/>
              <a:cs typeface="+mn-cs"/>
            </a:rPr>
            <a:t>±</a:t>
          </a:r>
          <a:r>
            <a:rPr lang="cs-CZ" sz="1100">
              <a:latin typeface="+mn-lt"/>
              <a:ea typeface="+mn-ea"/>
              <a:cs typeface="+mn-cs"/>
            </a:rPr>
            <a:t>22,1 </a:t>
          </a:r>
          <a:br>
            <a:rPr lang="cs-CZ" sz="1100">
              <a:latin typeface="+mn-lt"/>
              <a:ea typeface="+mn-ea"/>
              <a:cs typeface="+mn-cs"/>
            </a:rPr>
          </a:br>
          <a:r>
            <a:rPr lang="cs-CZ" sz="1100">
              <a:latin typeface="+mn-lt"/>
              <a:ea typeface="+mn-ea"/>
              <a:cs typeface="+mn-cs"/>
            </a:rPr>
            <a:t>(medián 39,1)</a:t>
          </a:r>
          <a:endParaRPr lang="cs-CZ" sz="1100"/>
        </a:p>
      </cdr:txBody>
    </cdr:sp>
  </cdr:relSizeAnchor>
  <cdr:relSizeAnchor xmlns:cdr="http://schemas.openxmlformats.org/drawingml/2006/chartDrawing">
    <cdr:from>
      <cdr:x>0.32813</cdr:x>
      <cdr:y>0.59524</cdr:y>
    </cdr:from>
    <cdr:to>
      <cdr:x>0.59896</cdr:x>
      <cdr:y>0.66964</cdr:y>
    </cdr:to>
    <cdr:sp macro="" textlink="">
      <cdr:nvSpPr>
        <cdr:cNvPr id="4" name="TextovéPole 3"/>
        <cdr:cNvSpPr txBox="1"/>
      </cdr:nvSpPr>
      <cdr:spPr>
        <a:xfrm xmlns:a="http://schemas.openxmlformats.org/drawingml/2006/main">
          <a:off x="1800225" y="1905000"/>
          <a:ext cx="1485900" cy="23812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cs-CZ" sz="1100">
              <a:latin typeface="+mn-lt"/>
              <a:ea typeface="+mn-ea"/>
              <a:cs typeface="+mn-cs"/>
            </a:rPr>
            <a:t>29,5</a:t>
          </a:r>
          <a:r>
            <a:rPr lang="en-US" sz="1100">
              <a:latin typeface="+mn-lt"/>
              <a:ea typeface="+mn-ea"/>
              <a:cs typeface="+mn-cs"/>
            </a:rPr>
            <a:t>±18</a:t>
          </a:r>
          <a:r>
            <a:rPr lang="cs-CZ" sz="1100">
              <a:latin typeface="+mn-lt"/>
              <a:ea typeface="+mn-ea"/>
              <a:cs typeface="+mn-cs"/>
            </a:rPr>
            <a:t>,3 (medián 23,9)</a:t>
          </a:r>
          <a:endParaRPr lang="cs-CZ" sz="1100"/>
        </a:p>
      </cdr:txBody>
    </cdr:sp>
  </cdr:relSizeAnchor>
  <cdr:relSizeAnchor xmlns:cdr="http://schemas.openxmlformats.org/drawingml/2006/chartDrawing">
    <cdr:from>
      <cdr:x>0.60861</cdr:x>
      <cdr:y>0.68085</cdr:y>
    </cdr:from>
    <cdr:to>
      <cdr:x>0.76667</cdr:x>
      <cdr:y>0.68238</cdr:y>
    </cdr:to>
    <cdr:sp macro="" textlink="">
      <cdr:nvSpPr>
        <cdr:cNvPr id="6" name="Přímá spojovací čára 5"/>
        <cdr:cNvSpPr/>
      </cdr:nvSpPr>
      <cdr:spPr>
        <a:xfrm xmlns:a="http://schemas.openxmlformats.org/drawingml/2006/main" flipV="1">
          <a:off x="3478188" y="1828800"/>
          <a:ext cx="903312" cy="4107"/>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cs-CZ"/>
        </a:p>
      </cdr:txBody>
    </cdr:sp>
  </cdr:relSizeAnchor>
  <cdr:relSizeAnchor xmlns:cdr="http://schemas.openxmlformats.org/drawingml/2006/chartDrawing">
    <cdr:from>
      <cdr:x>0.67479</cdr:x>
      <cdr:y>0.14387</cdr:y>
    </cdr:from>
    <cdr:to>
      <cdr:x>0.70257</cdr:x>
      <cdr:y>0.14387</cdr:y>
    </cdr:to>
    <cdr:sp macro="" textlink="">
      <cdr:nvSpPr>
        <cdr:cNvPr id="8" name="Přímá spojovací čára 7"/>
        <cdr:cNvSpPr/>
      </cdr:nvSpPr>
      <cdr:spPr>
        <a:xfrm xmlns:a="http://schemas.openxmlformats.org/drawingml/2006/main">
          <a:off x="3856425" y="386436"/>
          <a:ext cx="158763"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cs-CZ"/>
        </a:p>
      </cdr:txBody>
    </cdr:sp>
  </cdr:relSizeAnchor>
  <cdr:relSizeAnchor xmlns:cdr="http://schemas.openxmlformats.org/drawingml/2006/chartDrawing">
    <cdr:from>
      <cdr:x>0.67646</cdr:x>
      <cdr:y>0.81174</cdr:y>
    </cdr:from>
    <cdr:to>
      <cdr:x>0.70598</cdr:x>
      <cdr:y>0.81174</cdr:y>
    </cdr:to>
    <cdr:sp macro="" textlink="">
      <cdr:nvSpPr>
        <cdr:cNvPr id="10" name="Přímá spojovací čára 9"/>
        <cdr:cNvSpPr/>
      </cdr:nvSpPr>
      <cdr:spPr>
        <a:xfrm xmlns:a="http://schemas.openxmlformats.org/drawingml/2006/main">
          <a:off x="3865969" y="2180368"/>
          <a:ext cx="168707"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cs-CZ"/>
        </a:p>
      </cdr:txBody>
    </cdr:sp>
  </cdr:relSizeAnchor>
  <cdr:relSizeAnchor xmlns:cdr="http://schemas.openxmlformats.org/drawingml/2006/chartDrawing">
    <cdr:from>
      <cdr:x>0.27507</cdr:x>
      <cdr:y>0.81642</cdr:y>
    </cdr:from>
    <cdr:to>
      <cdr:x>0.30632</cdr:x>
      <cdr:y>0.81642</cdr:y>
    </cdr:to>
    <cdr:sp macro="" textlink="">
      <cdr:nvSpPr>
        <cdr:cNvPr id="12" name="Přímá spojovací čára 11"/>
        <cdr:cNvSpPr/>
      </cdr:nvSpPr>
      <cdr:spPr>
        <a:xfrm xmlns:a="http://schemas.openxmlformats.org/drawingml/2006/main">
          <a:off x="1572006" y="2192957"/>
          <a:ext cx="178594"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cs-CZ"/>
        </a:p>
      </cdr:txBody>
    </cdr:sp>
  </cdr:relSizeAnchor>
  <cdr:relSizeAnchor xmlns:cdr="http://schemas.openxmlformats.org/drawingml/2006/chartDrawing">
    <cdr:from>
      <cdr:x>0.215</cdr:x>
      <cdr:y>0.73759</cdr:y>
    </cdr:from>
    <cdr:to>
      <cdr:x>0.36667</cdr:x>
      <cdr:y>0.74113</cdr:y>
    </cdr:to>
    <cdr:sp macro="" textlink="">
      <cdr:nvSpPr>
        <cdr:cNvPr id="11" name="Přímá spojovací čára 10"/>
        <cdr:cNvSpPr/>
      </cdr:nvSpPr>
      <cdr:spPr>
        <a:xfrm xmlns:a="http://schemas.openxmlformats.org/drawingml/2006/main" flipV="1">
          <a:off x="1228725" y="1981200"/>
          <a:ext cx="866775" cy="9512"/>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cs-CZ"/>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E2F708-1044-474F-87DA-743A3649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87</Pages>
  <Words>19536</Words>
  <Characters>125580</Characters>
  <Application>Microsoft Office Word</Application>
  <DocSecurity>0</DocSecurity>
  <Lines>1046</Lines>
  <Paragraphs>289</Paragraphs>
  <ScaleCrop>false</ScaleCrop>
  <HeadingPairs>
    <vt:vector size="2" baseType="variant">
      <vt:variant>
        <vt:lpstr>Název</vt:lpstr>
      </vt:variant>
      <vt:variant>
        <vt:i4>1</vt:i4>
      </vt:variant>
    </vt:vector>
  </HeadingPairs>
  <TitlesOfParts>
    <vt:vector size="1" baseType="lpstr">
      <vt:lpstr>Lékařská fakulta Univerzity Palackého v Olomouci</vt:lpstr>
    </vt:vector>
  </TitlesOfParts>
  <Company>Microsoft</Company>
  <LinksUpToDate>false</LinksUpToDate>
  <CharactersWithSpaces>144827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Lékařská fakulta Univerzity Palackého v Olomouci</dc:title>
  <dc:creator>Tomáš Hnátek</dc:creator>
  <cp:lastModifiedBy>hnatetom</cp:lastModifiedBy>
  <cp:revision>2</cp:revision>
  <cp:lastPrinted>2015-07-24T07:37:00Z</cp:lastPrinted>
  <dcterms:created xsi:type="dcterms:W3CDTF">2016-01-04T09:27:00Z</dcterms:created>
  <dcterms:modified xsi:type="dcterms:W3CDTF">2016-01-04T09:27:00Z</dcterms:modified>
</cp:coreProperties>
</file>