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7A1" w:rsidRPr="00CE1C7A" w:rsidRDefault="00C547A1" w:rsidP="00041683"/>
    <w:p w:rsidR="00C547A1" w:rsidRPr="00E46345" w:rsidRDefault="00C547A1" w:rsidP="00041683">
      <w:pPr>
        <w:pStyle w:val="Heading3"/>
        <w:jc w:val="center"/>
        <w:rPr>
          <w:rFonts w:ascii="Times New Roman" w:hAnsi="Times New Roman" w:cs="Times New Roman"/>
          <w:sz w:val="44"/>
          <w:szCs w:val="44"/>
        </w:rPr>
      </w:pPr>
      <w:r w:rsidRPr="00E46345">
        <w:rPr>
          <w:rFonts w:ascii="Times New Roman" w:hAnsi="Times New Roman" w:cs="Times New Roman"/>
          <w:sz w:val="44"/>
          <w:szCs w:val="44"/>
        </w:rPr>
        <w:t xml:space="preserve">Posudek </w:t>
      </w:r>
      <w:r w:rsidRPr="0095487E">
        <w:rPr>
          <w:rFonts w:ascii="Times New Roman" w:hAnsi="Times New Roman" w:cs="Times New Roman"/>
          <w:sz w:val="44"/>
          <w:szCs w:val="44"/>
          <w:highlight w:val="yellow"/>
        </w:rPr>
        <w:t>bakalářské</w:t>
      </w:r>
      <w:r w:rsidRPr="00E46345">
        <w:rPr>
          <w:rFonts w:ascii="Times New Roman" w:hAnsi="Times New Roman" w:cs="Times New Roman"/>
          <w:sz w:val="44"/>
          <w:szCs w:val="44"/>
        </w:rPr>
        <w:t xml:space="preserve"> diplomové práce</w:t>
      </w:r>
    </w:p>
    <w:p w:rsidR="00C547A1" w:rsidRPr="00E46345" w:rsidRDefault="00C547A1" w:rsidP="00041683"/>
    <w:p w:rsidR="00C547A1" w:rsidRPr="00E46345" w:rsidRDefault="00C547A1" w:rsidP="00041683">
      <w:pPr>
        <w:rPr>
          <w:b/>
          <w:bCs/>
        </w:rPr>
      </w:pPr>
    </w:p>
    <w:p w:rsidR="00C547A1" w:rsidRPr="009A0C00" w:rsidRDefault="00C547A1" w:rsidP="00041683">
      <w:r w:rsidRPr="00E46345">
        <w:rPr>
          <w:b/>
          <w:bCs/>
        </w:rPr>
        <w:t>Autor:</w:t>
      </w:r>
      <w:r>
        <w:rPr>
          <w:b/>
          <w:bCs/>
        </w:rPr>
        <w:tab/>
        <w:t xml:space="preserve">    </w:t>
      </w:r>
      <w:r>
        <w:t>Veronika Glassová</w:t>
      </w:r>
    </w:p>
    <w:p w:rsidR="00C547A1" w:rsidRPr="00E46345" w:rsidRDefault="00C547A1" w:rsidP="00041683">
      <w:pPr>
        <w:rPr>
          <w:b/>
          <w:bCs/>
        </w:rPr>
      </w:pPr>
    </w:p>
    <w:p w:rsidR="00C547A1" w:rsidRPr="009A0C00" w:rsidRDefault="00C547A1" w:rsidP="00041683">
      <w:pPr>
        <w:ind w:left="851" w:hanging="851"/>
      </w:pPr>
      <w:r w:rsidRPr="00E46345">
        <w:rPr>
          <w:b/>
          <w:bCs/>
        </w:rPr>
        <w:t>Titul:</w:t>
      </w:r>
      <w:r>
        <w:rPr>
          <w:b/>
          <w:bCs/>
        </w:rPr>
        <w:tab/>
      </w:r>
      <w:r w:rsidRPr="009A0C00">
        <w:t>Aplikovanie Freudovej psychoanalytickej teórie na homosexualitu v diele Spoveď masky od Jukia Mišimu</w:t>
      </w:r>
    </w:p>
    <w:p w:rsidR="00C547A1" w:rsidRPr="00041683" w:rsidRDefault="00C547A1" w:rsidP="00041683">
      <w:pPr>
        <w:ind w:left="851" w:hanging="851"/>
      </w:pPr>
      <w:r w:rsidRPr="00041683">
        <w:tab/>
      </w:r>
      <w:r w:rsidRPr="00041683">
        <w:tab/>
      </w:r>
    </w:p>
    <w:p w:rsidR="00C547A1" w:rsidRPr="00E46345" w:rsidRDefault="00C547A1" w:rsidP="00041683">
      <w:r w:rsidRPr="00E46345">
        <w:tab/>
      </w:r>
    </w:p>
    <w:p w:rsidR="00C547A1" w:rsidRPr="009A0C00" w:rsidRDefault="00C547A1" w:rsidP="00041683">
      <w:pPr>
        <w:ind w:left="851" w:hanging="851"/>
      </w:pPr>
      <w:r w:rsidRPr="00E46345">
        <w:rPr>
          <w:b/>
          <w:bCs/>
        </w:rPr>
        <w:t>Oponent:</w:t>
      </w:r>
      <w:r>
        <w:rPr>
          <w:b/>
          <w:bCs/>
        </w:rPr>
        <w:tab/>
      </w:r>
      <w:r>
        <w:rPr>
          <w:b/>
          <w:bCs/>
        </w:rPr>
        <w:tab/>
      </w:r>
      <w:r>
        <w:t>Dita Nymburská</w:t>
      </w:r>
    </w:p>
    <w:p w:rsidR="00C547A1" w:rsidRPr="00E46345" w:rsidRDefault="00C547A1" w:rsidP="00041683">
      <w:pPr>
        <w:rPr>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gridCol w:w="2693"/>
      </w:tblGrid>
      <w:tr w:rsidR="00C547A1" w:rsidRPr="00E46345">
        <w:tc>
          <w:tcPr>
            <w:tcW w:w="5920" w:type="dxa"/>
          </w:tcPr>
          <w:p w:rsidR="00C547A1" w:rsidRPr="00A464B6" w:rsidRDefault="00C547A1" w:rsidP="00A464B6">
            <w:pPr>
              <w:suppressAutoHyphens/>
              <w:rPr>
                <w:rFonts w:eastAsia="Times New Roman"/>
                <w:b/>
                <w:bCs/>
              </w:rPr>
            </w:pPr>
          </w:p>
          <w:p w:rsidR="00C547A1" w:rsidRPr="00A464B6" w:rsidRDefault="00C547A1" w:rsidP="00A464B6">
            <w:pPr>
              <w:suppressAutoHyphens/>
              <w:jc w:val="center"/>
              <w:rPr>
                <w:rFonts w:eastAsia="Times New Roman"/>
                <w:b/>
                <w:bCs/>
              </w:rPr>
            </w:pPr>
            <w:r w:rsidRPr="00A464B6">
              <w:rPr>
                <w:rFonts w:eastAsia="Times New Roman"/>
                <w:b/>
                <w:bCs/>
              </w:rPr>
              <w:t>Hodnotící kritéria:</w:t>
            </w:r>
          </w:p>
          <w:p w:rsidR="00C547A1" w:rsidRPr="00A464B6" w:rsidRDefault="00C547A1" w:rsidP="00A464B6">
            <w:pPr>
              <w:suppressAutoHyphens/>
              <w:rPr>
                <w:rFonts w:eastAsia="Times New Roman"/>
                <w:b/>
                <w:bCs/>
              </w:rPr>
            </w:pPr>
          </w:p>
        </w:tc>
        <w:tc>
          <w:tcPr>
            <w:tcW w:w="2693" w:type="dxa"/>
          </w:tcPr>
          <w:p w:rsidR="00C547A1" w:rsidRPr="00A464B6" w:rsidRDefault="00C547A1" w:rsidP="00A464B6">
            <w:pPr>
              <w:suppressAutoHyphens/>
              <w:rPr>
                <w:rFonts w:eastAsia="Times New Roman"/>
                <w:b/>
                <w:bCs/>
              </w:rPr>
            </w:pPr>
          </w:p>
          <w:p w:rsidR="00C547A1" w:rsidRPr="00A464B6" w:rsidRDefault="00C547A1" w:rsidP="00A464B6">
            <w:pPr>
              <w:suppressAutoHyphens/>
              <w:jc w:val="center"/>
              <w:rPr>
                <w:rFonts w:eastAsia="Times New Roman"/>
                <w:b/>
                <w:bCs/>
              </w:rPr>
            </w:pPr>
            <w:r w:rsidRPr="00A464B6">
              <w:rPr>
                <w:rFonts w:eastAsia="Times New Roman"/>
                <w:b/>
                <w:bCs/>
              </w:rPr>
              <w:t>Známka:</w:t>
            </w:r>
          </w:p>
        </w:tc>
      </w:tr>
      <w:tr w:rsidR="00C547A1" w:rsidRPr="00E46345">
        <w:tc>
          <w:tcPr>
            <w:tcW w:w="5920" w:type="dxa"/>
          </w:tcPr>
          <w:p w:rsidR="00C547A1" w:rsidRPr="00A464B6" w:rsidRDefault="00C547A1" w:rsidP="00A464B6">
            <w:pPr>
              <w:suppressAutoHyphens/>
              <w:rPr>
                <w:rFonts w:eastAsia="Times New Roman"/>
              </w:rPr>
            </w:pPr>
          </w:p>
          <w:p w:rsidR="00C547A1" w:rsidRPr="00A464B6" w:rsidRDefault="00C547A1" w:rsidP="00A464B6">
            <w:pPr>
              <w:suppressAutoHyphens/>
              <w:rPr>
                <w:rFonts w:eastAsia="Times New Roman"/>
                <w:b/>
                <w:bCs/>
              </w:rPr>
            </w:pPr>
            <w:r w:rsidRPr="00A464B6">
              <w:rPr>
                <w:b/>
                <w:bCs/>
              </w:rPr>
              <w:t>Stanovení cílů práce a jejich dosažení</w:t>
            </w:r>
          </w:p>
          <w:p w:rsidR="00C547A1" w:rsidRPr="00A464B6" w:rsidRDefault="00C547A1" w:rsidP="00A464B6">
            <w:pPr>
              <w:suppressAutoHyphens/>
              <w:rPr>
                <w:rFonts w:eastAsia="Times New Roman"/>
              </w:rPr>
            </w:pPr>
          </w:p>
        </w:tc>
        <w:tc>
          <w:tcPr>
            <w:tcW w:w="2693" w:type="dxa"/>
          </w:tcPr>
          <w:p w:rsidR="00C547A1" w:rsidRPr="00A464B6" w:rsidRDefault="00C547A1" w:rsidP="00A464B6">
            <w:pPr>
              <w:suppressAutoHyphens/>
              <w:rPr>
                <w:rFonts w:eastAsia="Times New Roman"/>
                <w:b/>
                <w:bCs/>
              </w:rPr>
            </w:pPr>
          </w:p>
          <w:p w:rsidR="00C547A1" w:rsidRPr="00A464B6" w:rsidRDefault="00C547A1" w:rsidP="00A464B6">
            <w:pPr>
              <w:suppressAutoHyphens/>
              <w:jc w:val="center"/>
              <w:rPr>
                <w:rFonts w:eastAsia="Times New Roman"/>
                <w:b/>
                <w:bCs/>
              </w:rPr>
            </w:pPr>
            <w:r w:rsidRPr="00A464B6">
              <w:rPr>
                <w:rFonts w:eastAsia="Times New Roman"/>
                <w:b/>
                <w:bCs/>
              </w:rPr>
              <w:t>3</w:t>
            </w:r>
          </w:p>
        </w:tc>
      </w:tr>
      <w:tr w:rsidR="00C547A1" w:rsidRPr="00E46345">
        <w:tc>
          <w:tcPr>
            <w:tcW w:w="8613" w:type="dxa"/>
            <w:gridSpan w:val="2"/>
          </w:tcPr>
          <w:p w:rsidR="00C547A1" w:rsidRPr="00A464B6" w:rsidRDefault="00C547A1" w:rsidP="00A464B6">
            <w:pPr>
              <w:suppressAutoHyphens/>
              <w:spacing w:before="120"/>
              <w:jc w:val="both"/>
              <w:rPr>
                <w:rFonts w:eastAsia="Times New Roman"/>
              </w:rPr>
            </w:pPr>
          </w:p>
        </w:tc>
      </w:tr>
      <w:tr w:rsidR="00C547A1" w:rsidRPr="00E46345">
        <w:tc>
          <w:tcPr>
            <w:tcW w:w="5920" w:type="dxa"/>
          </w:tcPr>
          <w:p w:rsidR="00C547A1" w:rsidRPr="00A464B6" w:rsidRDefault="00C547A1" w:rsidP="00A464B6">
            <w:pPr>
              <w:suppressAutoHyphens/>
              <w:rPr>
                <w:rFonts w:eastAsia="Times New Roman"/>
                <w:b/>
                <w:bCs/>
              </w:rPr>
            </w:pPr>
          </w:p>
          <w:p w:rsidR="00C547A1" w:rsidRPr="00A464B6" w:rsidRDefault="00C547A1" w:rsidP="00A464B6">
            <w:pPr>
              <w:suppressAutoHyphens/>
              <w:rPr>
                <w:rFonts w:eastAsia="Times New Roman"/>
                <w:b/>
                <w:bCs/>
              </w:rPr>
            </w:pPr>
            <w:r w:rsidRPr="00A464B6">
              <w:rPr>
                <w:rFonts w:eastAsia="Times New Roman"/>
                <w:b/>
                <w:bCs/>
              </w:rPr>
              <w:t>Struktura, metodologie a argumentace</w:t>
            </w:r>
          </w:p>
          <w:p w:rsidR="00C547A1" w:rsidRPr="00A464B6" w:rsidRDefault="00C547A1" w:rsidP="00A464B6">
            <w:pPr>
              <w:suppressAutoHyphens/>
              <w:rPr>
                <w:rFonts w:eastAsia="Times New Roman"/>
                <w:b/>
                <w:bCs/>
              </w:rPr>
            </w:pPr>
          </w:p>
        </w:tc>
        <w:tc>
          <w:tcPr>
            <w:tcW w:w="2693" w:type="dxa"/>
          </w:tcPr>
          <w:p w:rsidR="00C547A1" w:rsidRPr="00A464B6" w:rsidRDefault="00C547A1" w:rsidP="00A464B6">
            <w:pPr>
              <w:suppressAutoHyphens/>
              <w:rPr>
                <w:rFonts w:eastAsia="Times New Roman"/>
                <w:b/>
                <w:bCs/>
              </w:rPr>
            </w:pPr>
          </w:p>
          <w:p w:rsidR="00C547A1" w:rsidRPr="00A464B6" w:rsidRDefault="00C547A1" w:rsidP="00A464B6">
            <w:pPr>
              <w:suppressAutoHyphens/>
              <w:jc w:val="center"/>
              <w:rPr>
                <w:rFonts w:eastAsia="Times New Roman"/>
                <w:b/>
                <w:bCs/>
              </w:rPr>
            </w:pPr>
            <w:r w:rsidRPr="00A464B6">
              <w:rPr>
                <w:rFonts w:eastAsia="Times New Roman"/>
                <w:b/>
                <w:bCs/>
              </w:rPr>
              <w:t>3</w:t>
            </w:r>
          </w:p>
        </w:tc>
      </w:tr>
      <w:tr w:rsidR="00C547A1" w:rsidRPr="00E46345">
        <w:tc>
          <w:tcPr>
            <w:tcW w:w="8613" w:type="dxa"/>
            <w:gridSpan w:val="2"/>
          </w:tcPr>
          <w:p w:rsidR="00C547A1" w:rsidRPr="00A464B6" w:rsidRDefault="00C547A1" w:rsidP="00A464B6">
            <w:pPr>
              <w:suppressAutoHyphens/>
              <w:jc w:val="both"/>
              <w:rPr>
                <w:rFonts w:eastAsia="Times New Roman"/>
              </w:rPr>
            </w:pPr>
          </w:p>
        </w:tc>
      </w:tr>
      <w:tr w:rsidR="00C547A1" w:rsidRPr="00E46345">
        <w:tc>
          <w:tcPr>
            <w:tcW w:w="5920" w:type="dxa"/>
          </w:tcPr>
          <w:p w:rsidR="00C547A1" w:rsidRPr="00A464B6" w:rsidRDefault="00C547A1" w:rsidP="00A464B6">
            <w:pPr>
              <w:suppressAutoHyphens/>
              <w:rPr>
                <w:rFonts w:eastAsia="Times New Roman"/>
                <w:b/>
                <w:bCs/>
              </w:rPr>
            </w:pPr>
          </w:p>
          <w:p w:rsidR="00C547A1" w:rsidRPr="00A464B6" w:rsidRDefault="00C547A1" w:rsidP="00A464B6">
            <w:pPr>
              <w:suppressAutoHyphens/>
              <w:rPr>
                <w:rFonts w:eastAsia="Times New Roman"/>
                <w:b/>
                <w:bCs/>
              </w:rPr>
            </w:pPr>
            <w:r w:rsidRPr="00A464B6">
              <w:rPr>
                <w:rFonts w:eastAsia="Times New Roman"/>
                <w:b/>
                <w:bCs/>
              </w:rPr>
              <w:t>Jazyk, stylistika</w:t>
            </w:r>
          </w:p>
          <w:p w:rsidR="00C547A1" w:rsidRPr="00A464B6" w:rsidRDefault="00C547A1" w:rsidP="00A464B6">
            <w:pPr>
              <w:suppressAutoHyphens/>
              <w:rPr>
                <w:rFonts w:eastAsia="Times New Roman"/>
                <w:b/>
                <w:bCs/>
              </w:rPr>
            </w:pPr>
          </w:p>
        </w:tc>
        <w:tc>
          <w:tcPr>
            <w:tcW w:w="2693" w:type="dxa"/>
          </w:tcPr>
          <w:p w:rsidR="00C547A1" w:rsidRPr="00A464B6" w:rsidRDefault="00C547A1" w:rsidP="00A464B6">
            <w:pPr>
              <w:suppressAutoHyphens/>
              <w:rPr>
                <w:rFonts w:eastAsia="Times New Roman"/>
              </w:rPr>
            </w:pPr>
          </w:p>
          <w:p w:rsidR="00C547A1" w:rsidRPr="00A464B6" w:rsidRDefault="00C547A1" w:rsidP="00A464B6">
            <w:pPr>
              <w:suppressAutoHyphens/>
              <w:jc w:val="center"/>
              <w:rPr>
                <w:rFonts w:eastAsia="Times New Roman"/>
                <w:b/>
                <w:bCs/>
              </w:rPr>
            </w:pPr>
            <w:r w:rsidRPr="00A464B6">
              <w:rPr>
                <w:rFonts w:eastAsia="Times New Roman"/>
                <w:b/>
                <w:bCs/>
              </w:rPr>
              <w:t>2</w:t>
            </w:r>
          </w:p>
        </w:tc>
      </w:tr>
      <w:tr w:rsidR="00C547A1" w:rsidRPr="00E46345">
        <w:tc>
          <w:tcPr>
            <w:tcW w:w="8613" w:type="dxa"/>
            <w:gridSpan w:val="2"/>
          </w:tcPr>
          <w:p w:rsidR="00C547A1" w:rsidRPr="00A464B6" w:rsidRDefault="00C547A1" w:rsidP="00A464B6">
            <w:pPr>
              <w:suppressAutoHyphens/>
              <w:spacing w:before="120"/>
              <w:jc w:val="both"/>
              <w:rPr>
                <w:rFonts w:eastAsia="Times New Roman"/>
              </w:rPr>
            </w:pPr>
          </w:p>
          <w:p w:rsidR="00C547A1" w:rsidRPr="00A464B6" w:rsidRDefault="00C547A1" w:rsidP="00A464B6">
            <w:pPr>
              <w:suppressAutoHyphens/>
              <w:spacing w:after="120"/>
              <w:rPr>
                <w:rFonts w:eastAsia="Times New Roman"/>
              </w:rPr>
            </w:pPr>
          </w:p>
        </w:tc>
      </w:tr>
      <w:tr w:rsidR="00C547A1" w:rsidRPr="00E46345">
        <w:tc>
          <w:tcPr>
            <w:tcW w:w="5920" w:type="dxa"/>
          </w:tcPr>
          <w:p w:rsidR="00C547A1" w:rsidRPr="00A464B6" w:rsidRDefault="00C547A1" w:rsidP="00A464B6">
            <w:pPr>
              <w:suppressAutoHyphens/>
              <w:rPr>
                <w:rFonts w:eastAsia="Times New Roman"/>
                <w:b/>
                <w:bCs/>
              </w:rPr>
            </w:pPr>
          </w:p>
          <w:p w:rsidR="00C547A1" w:rsidRPr="00A464B6" w:rsidRDefault="00C547A1" w:rsidP="00A464B6">
            <w:pPr>
              <w:suppressAutoHyphens/>
              <w:rPr>
                <w:rFonts w:eastAsia="Times New Roman"/>
                <w:b/>
                <w:bCs/>
              </w:rPr>
            </w:pPr>
            <w:r w:rsidRPr="00A464B6">
              <w:rPr>
                <w:rFonts w:eastAsia="Times New Roman"/>
                <w:b/>
                <w:bCs/>
              </w:rPr>
              <w:t>Formální náležitosti, odborná literatura, bibliografický aparát</w:t>
            </w:r>
          </w:p>
          <w:p w:rsidR="00C547A1" w:rsidRPr="00A464B6" w:rsidRDefault="00C547A1" w:rsidP="00A464B6">
            <w:pPr>
              <w:suppressAutoHyphens/>
              <w:rPr>
                <w:rFonts w:eastAsia="Times New Roman"/>
                <w:b/>
                <w:bCs/>
              </w:rPr>
            </w:pPr>
          </w:p>
        </w:tc>
        <w:tc>
          <w:tcPr>
            <w:tcW w:w="2693" w:type="dxa"/>
          </w:tcPr>
          <w:p w:rsidR="00C547A1" w:rsidRPr="00A464B6" w:rsidRDefault="00C547A1" w:rsidP="00A464B6">
            <w:pPr>
              <w:suppressAutoHyphens/>
              <w:rPr>
                <w:rFonts w:eastAsia="Times New Roman"/>
                <w:b/>
                <w:bCs/>
              </w:rPr>
            </w:pPr>
          </w:p>
          <w:p w:rsidR="00C547A1" w:rsidRPr="00A464B6" w:rsidRDefault="00C547A1" w:rsidP="00A464B6">
            <w:pPr>
              <w:suppressAutoHyphens/>
              <w:jc w:val="center"/>
              <w:rPr>
                <w:rFonts w:eastAsia="Times New Roman"/>
                <w:b/>
                <w:bCs/>
              </w:rPr>
            </w:pPr>
            <w:r w:rsidRPr="00A464B6">
              <w:rPr>
                <w:rFonts w:eastAsia="Times New Roman"/>
                <w:b/>
                <w:bCs/>
              </w:rPr>
              <w:t>3</w:t>
            </w:r>
          </w:p>
        </w:tc>
      </w:tr>
      <w:tr w:rsidR="00C547A1" w:rsidRPr="00E46345">
        <w:tc>
          <w:tcPr>
            <w:tcW w:w="8613" w:type="dxa"/>
            <w:gridSpan w:val="2"/>
          </w:tcPr>
          <w:p w:rsidR="00C547A1" w:rsidRPr="00A464B6" w:rsidRDefault="00C547A1" w:rsidP="00A464B6">
            <w:pPr>
              <w:suppressAutoHyphens/>
              <w:rPr>
                <w:rFonts w:eastAsia="Times New Roman"/>
              </w:rPr>
            </w:pPr>
          </w:p>
          <w:p w:rsidR="00C547A1" w:rsidRPr="00A464B6" w:rsidRDefault="00C547A1" w:rsidP="00A464B6">
            <w:pPr>
              <w:suppressAutoHyphens/>
              <w:jc w:val="both"/>
              <w:rPr>
                <w:rFonts w:eastAsia="Times New Roman"/>
              </w:rPr>
            </w:pPr>
          </w:p>
          <w:p w:rsidR="00C547A1" w:rsidRPr="00A464B6" w:rsidRDefault="00C547A1" w:rsidP="00A464B6">
            <w:pPr>
              <w:suppressAutoHyphens/>
              <w:rPr>
                <w:rFonts w:eastAsia="Times New Roman"/>
              </w:rPr>
            </w:pPr>
          </w:p>
        </w:tc>
      </w:tr>
      <w:tr w:rsidR="00C547A1" w:rsidRPr="00E46345">
        <w:tc>
          <w:tcPr>
            <w:tcW w:w="5920" w:type="dxa"/>
          </w:tcPr>
          <w:p w:rsidR="00C547A1" w:rsidRPr="00A464B6" w:rsidRDefault="00C547A1" w:rsidP="00A464B6">
            <w:pPr>
              <w:suppressAutoHyphens/>
              <w:rPr>
                <w:rFonts w:eastAsia="Times New Roman"/>
                <w:b/>
                <w:bCs/>
              </w:rPr>
            </w:pPr>
          </w:p>
          <w:p w:rsidR="00C547A1" w:rsidRPr="00A464B6" w:rsidRDefault="00C547A1" w:rsidP="00A464B6">
            <w:pPr>
              <w:suppressAutoHyphens/>
              <w:rPr>
                <w:rFonts w:eastAsia="Times New Roman"/>
                <w:b/>
                <w:bCs/>
              </w:rPr>
            </w:pPr>
            <w:r w:rsidRPr="00A464B6">
              <w:rPr>
                <w:rFonts w:eastAsia="Times New Roman"/>
                <w:b/>
                <w:bCs/>
              </w:rPr>
              <w:t>Navrhované celkové hodnocení</w:t>
            </w:r>
          </w:p>
          <w:p w:rsidR="00C547A1" w:rsidRPr="00A464B6" w:rsidRDefault="00C547A1" w:rsidP="00A464B6">
            <w:pPr>
              <w:suppressAutoHyphens/>
              <w:rPr>
                <w:rFonts w:eastAsia="Times New Roman"/>
                <w:b/>
                <w:bCs/>
              </w:rPr>
            </w:pPr>
          </w:p>
        </w:tc>
        <w:tc>
          <w:tcPr>
            <w:tcW w:w="2693" w:type="dxa"/>
          </w:tcPr>
          <w:p w:rsidR="00C547A1" w:rsidRPr="00A464B6" w:rsidRDefault="00C547A1" w:rsidP="00A464B6">
            <w:pPr>
              <w:suppressAutoHyphens/>
              <w:rPr>
                <w:rFonts w:eastAsia="Times New Roman"/>
                <w:b/>
                <w:bCs/>
              </w:rPr>
            </w:pPr>
          </w:p>
          <w:p w:rsidR="00C547A1" w:rsidRPr="00A464B6" w:rsidRDefault="00C547A1" w:rsidP="00A464B6">
            <w:pPr>
              <w:suppressAutoHyphens/>
              <w:jc w:val="center"/>
              <w:rPr>
                <w:rFonts w:eastAsia="Times New Roman"/>
                <w:b/>
                <w:bCs/>
              </w:rPr>
            </w:pPr>
            <w:r w:rsidRPr="00A464B6">
              <w:rPr>
                <w:rFonts w:eastAsia="Times New Roman"/>
                <w:b/>
                <w:bCs/>
              </w:rPr>
              <w:t>3</w:t>
            </w:r>
          </w:p>
        </w:tc>
      </w:tr>
    </w:tbl>
    <w:p w:rsidR="00C547A1" w:rsidRPr="00E46345" w:rsidRDefault="00C547A1" w:rsidP="00041683">
      <w:pPr>
        <w:rPr>
          <w:b/>
          <w:bCs/>
        </w:rPr>
      </w:pPr>
    </w:p>
    <w:p w:rsidR="00C547A1" w:rsidRDefault="00C547A1" w:rsidP="00041683">
      <w:pPr>
        <w:rPr>
          <w:b/>
          <w:bCs/>
        </w:rPr>
      </w:pPr>
    </w:p>
    <w:p w:rsidR="00C547A1" w:rsidRDefault="00C547A1" w:rsidP="00691D96">
      <w:pPr>
        <w:spacing w:after="120"/>
      </w:pPr>
      <w:r>
        <w:t xml:space="preserve">Cílem, který si Veronika Glassová stanovila pro svou magisterskou práci věnovanou Mišimovi Jukiovi a jeho prvnímu významnému románu, bylo „pomocí aplikované Freudovy psychoanalýzy přispět k pochopení hlavní postavy díla </w:t>
      </w:r>
      <w:r>
        <w:rPr>
          <w:i/>
          <w:iCs/>
        </w:rPr>
        <w:t>Zpověď masky</w:t>
      </w:r>
      <w:r>
        <w:t xml:space="preserve"> a následně i autora“, základem práce, který měl tuto aplikaci umožnit, měl být podle autorky (str. 4 a str. 12) detailní rozbor Mišimova románu; vzhledem k tomu, že V. Glassová skutečně detailní rozbor </w:t>
      </w:r>
      <w:r>
        <w:rPr>
          <w:i/>
          <w:iCs/>
        </w:rPr>
        <w:t>Zpovědi masky</w:t>
      </w:r>
      <w:r>
        <w:t xml:space="preserve"> ale ve své práci neprovedla, nepodařilo se jí zamýšleného cíle dosáhnout. Kromě tohoto základního pochybení lze práci vytknout ještě celou řadu menších i větších nedostatků.</w:t>
      </w:r>
    </w:p>
    <w:p w:rsidR="00C547A1" w:rsidRPr="003C571F" w:rsidRDefault="00C547A1" w:rsidP="00691D96">
      <w:pPr>
        <w:spacing w:after="120"/>
      </w:pPr>
      <w:r>
        <w:t xml:space="preserve">V první části práce (str. 13–33) seznamuje autorka čtenáře populární formou s osobností Sigmunda Freuda a jeho psychoanalýzou, zaměřuje se především na Freudovo vnímání homosexuality, které podle jejího výkladu bylo z velké části ovlivněno psychiatrovou vlastní latentní homosexualitou. V. Glassová v této části shrnuje obecně známé skutečnosti o Freudovi a jeho nauce, svá tvrzení podkládá i přímými citacemi Freudových textů, celá kapitola ale zůstává pouhou kompilací známých poznatků a žádné nové postřehy či názory nepředkládá. V některých částech teoretických výkladů o Freudovi autorka odporuje sama sobě; na několika místech své práce např. opakuje tvrzení, že Freud se přiklání k teorii vrozenosti homosexuality (str. 20 či str. 21), v části věnované autorovi románu ale vyslovuje domněnku, že Mišima při psaní </w:t>
      </w:r>
      <w:r>
        <w:rPr>
          <w:i/>
          <w:iCs/>
        </w:rPr>
        <w:t>Zpovědi masky</w:t>
      </w:r>
      <w:r>
        <w:t xml:space="preserve"> vycházel z teorií Hirschfelda a ne z učení Freuda proto, že Freud „nevěřil v existenci vrozené homosexuality“. Poněkud zmateným dojmem působí např. i to, když autorka na str. 20 tvrdí, že „většina homosexuálů byla v dětství navázána na ženu, převážně na matku“ a toto tvrzení pak dále rozvíjí na str. 56, kde vysvětluje, že homosexualitu protagonisty </w:t>
      </w:r>
      <w:r>
        <w:rPr>
          <w:i/>
          <w:iCs/>
        </w:rPr>
        <w:t>Zpovědi masky</w:t>
      </w:r>
      <w:r>
        <w:t xml:space="preserve"> ovlivnil nedostatek mužského vlivu, ale na str. 24 nám sděluje, že „k výběru sexuálního objektu stejného pohlaví dochází u mužů v případě, že v době dětství byli vychováváni výlučně otcem nebo osobou mužského pohlaví“.</w:t>
      </w:r>
    </w:p>
    <w:p w:rsidR="00C547A1" w:rsidRDefault="00C547A1" w:rsidP="00691D96">
      <w:pPr>
        <w:spacing w:after="120"/>
      </w:pPr>
      <w:r>
        <w:t xml:space="preserve">V druhé části práce (str. 34–57) autorka analyzuje </w:t>
      </w:r>
      <w:r>
        <w:rPr>
          <w:i/>
          <w:iCs/>
        </w:rPr>
        <w:t>Zpověď masky</w:t>
      </w:r>
      <w:r>
        <w:t xml:space="preserve"> aplikováním nastíněné psychoanalytické teorie. Práci založené na snaze pochopit protagonistu románu a následně i Mišimu Jukia pouze na základě aplikace Freudovy psychoanalýzy lze vytknout základní nedostatek, který viděl ve Freudově přístupu již Carl Gustav Jung – snaha vysvětlit člověka pouze na základě sexuality nutně vede k velmi omezenému pohledu na hloubku lidského duševního života, na základě analýzy skryté i viditelné sexuality tak stěží můžeme skutečně pochopit osobnost fiktivního hrdiny, natož pak osobnost autora románu. V. Glassová navíc Freudovy teorie přijímá bez jakékoli snahy o jejich kritickou reflexi, nesnaží se je nikterak korigovat na základě poznatků, k nimž psychiatrie a psychologie dospěla za více než sedmdesát let od Freudovy smrti, a v potaz nebere ani vývoj teorií v rámci samotné psychoanalýzy; lze tedy pochybovat, že by autorka dospěla ke skutečně relevantním závěrům i v případě, že by skutečně provedla deklarovanou poctivou a důkladnou analýzu Mišimova díla z hlediska Freudovy nauky. Stěžejní části své práce, analýze </w:t>
      </w:r>
      <w:r>
        <w:rPr>
          <w:i/>
          <w:iCs/>
        </w:rPr>
        <w:t>Zpovědi masky</w:t>
      </w:r>
      <w:r>
        <w:t>, ovšem Veronika Glassová věnovala pouze 23 stran své diplomové práce (tedy jen o tři strany více než části, v níž seznamuje čtenáře se Sigmundem Freudem a jeho pohledem na homosexualitu), již vzhledem k omezenému rozsahu tak nelze hovořit o důkladné analýze; skutečnost, že autorka poměrně účelově využívá pasáže, které dokládají její „závěry“, a ignoruje vše, co by mohlo její teorii narušit, svědčí o tom, že analýza nebyla provedena ani příliš poctivě.</w:t>
      </w:r>
    </w:p>
    <w:p w:rsidR="00C547A1" w:rsidRDefault="00C547A1" w:rsidP="00691D96">
      <w:pPr>
        <w:spacing w:after="120"/>
      </w:pPr>
      <w:r>
        <w:t xml:space="preserve">V. Glassová se např. podrobně zabývá okouzlením, které hlavní postava románu pociťuje vůči staršímu spolužákovi Ómimu, a nachází v tomto vztahu freudovská vysvětlení, náklonnosti protagonisty příběhu Kóčana k dívce Sonoko, které Mišima ve svém románu věnuje více prostoru než chlapcově „lásce“ k Ómimu, ale autorka věnuje velmi málo pozornosti a v podstatě ji odbude závěrem, že do tohoto pro Kóčana nepřirozeného vztahu jej nutí pouze davová psychologie. Zcela tak ignoruje to, že na rozdíl od chlapeckých objektů, které v mladíkovi sice vyvolávají sadomasochistické vzrušení, ale ne touhu po partnerství, se Sonoko stává pro Kóčana partnerkou, s níž tráví svůj volný čas, a že myšlenky na dívku mladík nedokáže ze své mysli zapudit, ani když se o to vědomě snaží. Veronika Glassová si nevšímá faktu, že Mišima ve </w:t>
      </w:r>
      <w:r>
        <w:rPr>
          <w:i/>
          <w:iCs/>
        </w:rPr>
        <w:t>Zpovědi masky</w:t>
      </w:r>
      <w:r>
        <w:t xml:space="preserve"> nepředkládá obraz „klasické“ homosexuální orientace, ale pečlivě maluje portrét chlapce, v němž mladí muži sice budí sadomasochistické představy, které vyvolávají sexuální vzrušení, ale nestávají se pro něho objektem skutečného partnerského zájmu. Kóčan netouží po partnerském a vlastně ani sexuálním svazku s mladíky, obsahem jeho sexuálních fantazií je mučení a zničení objektů své touhy. Na druhé straně ženské tělo v chlapci sice nevyvolává sexuální vzrušení, přesto jej ale k Sonoko váže hluboký cit, který se zdráhá nazvat láskou pouze proto, že lásku ve svých myšlenkách spojuje nezbytně nutně se sexuálním vzrušením.</w:t>
      </w:r>
    </w:p>
    <w:p w:rsidR="00C547A1" w:rsidRPr="00817A4D" w:rsidRDefault="00C547A1" w:rsidP="00691D96">
      <w:pPr>
        <w:spacing w:after="120"/>
      </w:pPr>
      <w:r>
        <w:t xml:space="preserve">I na dětské vzpomínky hlavního protagonisty aplikuje V. Glassová Freudovy teorie o bisexualitě poněkud násilně, když ji dokládá tvrzením, že Kóčan „se identifikuje s osobami i mužského i ženského pohlaví“ (str. 36). Autorka naprosto přehlíží zcela odlišnou podstatu „identifikace“ s mužskými a se ženskými postavami, kterou Mišima ústy svého vypravěče zachycuje: Mladí muži, kteří v malém chlapci vyvolávají představu tragického života, dítě vzrušují a vyvolávají jeho silnou touhu stát se v budoucnosti ve svém skutečném životě jedním z nich. Na rozdíl od těchto „tragických“ mladých mužů ale žádná z obou žen, za něž se převléká, v Kóčanovi nevzbuzuje zájem jako lidské bytost, chlapec je pouze fascinován jejich pompézními kostýmy, které působí na jeho estetickou představivost, a svým převlekem se v tyto dámy mění pouze na chvíli v rámci dětské hry, nijak netouží po tom, být jim podobný i ve svém skutečném životě. Stavět tyto dvě naprosto odlišné formy „identifikace“ na stejnou úroveň je tedy zcela nepatřičné. </w:t>
      </w:r>
    </w:p>
    <w:p w:rsidR="00C547A1" w:rsidRDefault="00C547A1" w:rsidP="00691D96">
      <w:pPr>
        <w:spacing w:after="120"/>
      </w:pPr>
      <w:r>
        <w:t>Autorka v celé své analýze naprosto opomíjí skutečnost, že příběh není psán z hlediska autora, tedy jakési „nadřazené“ osoby, která čtenáři poskytuje určitý „objektivní“ pohled, ale je subjektivní zpovědí mladíka, který se zoufale snaží porozumět sám sobě a při této snaze o nalezení vlastní identity naráží na hradbu společenských imperativů, které jeho vnímání vlastního já ovlivňují natolik, že často neví, co v jeho životě je skutečné a co je pouhým sebepřelstíváním. V Kóčanově výpovědi tak vnímavý čtenář nalézá řadu rozporů, pokud chce nitru chlapce porozumět, musí se tedy soustředit také na indicie, jichž si samotný protagonista není vědom či z nichž nedokáže vyvodit objektivní závěry, V. Glassová bohužel ale takovýto analytický přístup k textu nezvolila.</w:t>
      </w:r>
    </w:p>
    <w:p w:rsidR="00C547A1" w:rsidRDefault="00C547A1" w:rsidP="00232D43">
      <w:pPr>
        <w:spacing w:after="120"/>
      </w:pPr>
      <w:r>
        <w:t xml:space="preserve">Závěrečná část práce, v níž se autorka snaží aplikovat Freudovu psychoanalýzu i na samotného Mišimu Jukia, prozrazuje, že autorka nedokáže zaujmout kritický postoj ani k sekundární literatuře. Autorka na str. 56 sice prohlašuje, že „podle známých faktů o Mišimovi je </w:t>
      </w:r>
      <w:r>
        <w:rPr>
          <w:i/>
          <w:iCs/>
        </w:rPr>
        <w:t>Zpověď masky</w:t>
      </w:r>
      <w:r>
        <w:t xml:space="preserve"> považována za autobiografické dílo“, jak ale vzápětí vychází najevo, těmito „známými fakty“ jsou tvrzení obsažená v Mišimově populárním životopisu sepsaném Johnem Nathanem, který celou svou knihu založil na předpokladu, že informace o životě fiktivního Kóčana jsou ve skutečnosti zaručenými informacemi o životě samotného autora, a „fakta“ o Mišimově dětství a dospívání, které v knize předkládá, jsou tedy z románu </w:t>
      </w:r>
      <w:r>
        <w:rPr>
          <w:i/>
          <w:iCs/>
        </w:rPr>
        <w:t>Zpověď masky</w:t>
      </w:r>
      <w:r>
        <w:t xml:space="preserve"> v podstatě opsány. Nathan se s Mišimou osobně stýkal pouze několik let v závěrečném desetiletí autorova života a jeho informace o spisovatelově osobním životě tak byly velmi omezené, ze samotné knihy vyplývá, že Mišimova rodina nebyla příliš sdílná, navíc i spisovatelovi rodiče, s nimiž Nathan hovořil, věděli velmi málo o duševním a milostném životě svého syna. Autor životopisu, který se stal pro V. Glassovou hlavním zdrojem „faktů“ o Mišimově životě, přitom sám nepopírá, že mnohé z toho, co uvádí, jsou informace získané z doslechu, a v doslovu, který napsal k pozdějším vydáním své práce, explicitně přiznává, že Mišimův životopis byl ovlivněn dobou svého vzniku a jeho vlastní snahou dokázat, že Mišimova smrt byla ‚erotická‘. Použít zcela nekriticky tento zdroj pro odbornou práci je tedy nevhodné.</w:t>
      </w:r>
    </w:p>
    <w:p w:rsidR="00C547A1" w:rsidRPr="007B2D52" w:rsidRDefault="00C547A1" w:rsidP="00232D43">
      <w:pPr>
        <w:spacing w:after="120"/>
        <w:rPr>
          <w:b/>
          <w:bCs/>
        </w:rPr>
      </w:pPr>
      <w:r>
        <w:t xml:space="preserve">Celá závěrečná část práce působí dojmem, že autorka činí závěry, aniž by měla hlubší znalosti problematiky, k níž se snaží vyjadřovat.  Na str. 68 např. vysvětluje spisovatelovo </w:t>
      </w:r>
      <w:r>
        <w:rPr>
          <w:i/>
          <w:iCs/>
        </w:rPr>
        <w:t>seppuku</w:t>
      </w:r>
      <w:r>
        <w:t xml:space="preserve"> jako vyvrcholení jeho sadomasochismu, který se projevil již ve </w:t>
      </w:r>
      <w:r>
        <w:rPr>
          <w:i/>
          <w:iCs/>
        </w:rPr>
        <w:t>Zpovědi masky</w:t>
      </w:r>
      <w:r>
        <w:t xml:space="preserve">; tato velmi omezená interpretace zřetelně ukazuje, že se V. Glassová ani nepokoušela seznámit s problematikou sebevražednosti a nechápe složitost procesu, který k závěrečnému sebevražednému činu vede, a z toho důvodu ve svém „výkladu“ zcela ignoruje celou řadu indicií naznačujících naprosto odlišné důvody, které lze nalézt v Mišimově tvorbě i jeho činech. O tom, že autorka si neujasnila ani japonskou terminologii vztahující se k dobrovolné smrti, svědčí její spekulace, že spisovatelova sebevražda, stejně jako sebevražda manželského páru v povídce </w:t>
      </w:r>
      <w:r>
        <w:rPr>
          <w:i/>
          <w:iCs/>
        </w:rPr>
        <w:t>Láska k vlasti</w:t>
      </w:r>
      <w:r>
        <w:t xml:space="preserve">, byla </w:t>
      </w:r>
      <w:r>
        <w:rPr>
          <w:i/>
          <w:iCs/>
        </w:rPr>
        <w:t>šindžú</w:t>
      </w:r>
      <w:r>
        <w:t xml:space="preserve">. Mluvit v souvislosti s Mišimovou sebevraždou, stejně jako se sebevraždou zachycenou ve zmiňované povídce, o </w:t>
      </w:r>
      <w:r>
        <w:rPr>
          <w:i/>
          <w:iCs/>
        </w:rPr>
        <w:t>šindžú</w:t>
      </w:r>
      <w:r>
        <w:t xml:space="preserve"> je přitom zcela nevhodné; v obou případech šlo o tzv. </w:t>
      </w:r>
      <w:r>
        <w:rPr>
          <w:i/>
          <w:iCs/>
        </w:rPr>
        <w:t>kanši</w:t>
      </w:r>
      <w:r>
        <w:t xml:space="preserve">, tedy typ sebevraždy, jenž je zřetelným protipólem ‚milenecké sebevraždy‘ </w:t>
      </w:r>
      <w:r>
        <w:rPr>
          <w:i/>
          <w:iCs/>
        </w:rPr>
        <w:t>šindžú</w:t>
      </w:r>
      <w:r>
        <w:t>, kterou ostatně samotný Mišima opovrhoval a považoval ji za slabošský čin.</w:t>
      </w:r>
    </w:p>
    <w:p w:rsidR="00C547A1" w:rsidRDefault="00C547A1" w:rsidP="00691D96">
      <w:pPr>
        <w:spacing w:after="120"/>
      </w:pPr>
      <w:r>
        <w:t>Z metodologického hlediska je zarážející, že Veronika Glassová ve své diplomové práci neprokázala schopnost pracovat s japonskými texty. Přestože se autorka rozhodla pro analýzu jediného beletristického díla, v celé své práci vůbec nepřihlížela k originálnímu japonskému textu Mišimova románu a jako výchozí pracovní text si zvolila německý překlad anglického překladu japonského originálu. V seznamu literatury V. Glassová uvádí dva japonské zdroje, způsob použití japonsky psaných prací ale vyvolává pochybnosti, zda z nich autorka skutečně vycházela. První z odkazů na knihu Fudžity Micua a Mišimy Jóko odkazuje pouze k obecně známému datu narození Mišimy Jukia, druhý odkaz je použit v souvislosti s několika autobiografickými údaji, které jsou ale všechny obsaženy i v obou anglických životopisech autora, z nichž V. Glassová hojně čerpala. Dva odkazy na knihu Okuna Takea (</w:t>
      </w:r>
      <w:r>
        <w:rPr>
          <w:rFonts w:cs="MS Mincho" w:hint="eastAsia"/>
          <w:lang w:eastAsia="ja-JP"/>
        </w:rPr>
        <w:t>奥野健男</w:t>
      </w:r>
      <w:r>
        <w:t>) zahrnují dohromady pouhé čtyři strany z „citovaného“ díla, skutečnost, že v odkazech i v seznamu bibliografie je jméno autora nesprávně uvedeno jako Ókuno, ale vzbuzuje podezření, že V. Glasová neviděla jméno autora napsané ve znacích a zřejmě tak nepoužívala přímo knihu Okuna Takea, ale vycházela spíše z některé z anglicky psaných knih o Mišimovi, v nichž je zmiňované dílo hojně citováno.</w:t>
      </w:r>
    </w:p>
    <w:p w:rsidR="00C547A1" w:rsidRDefault="00C547A1" w:rsidP="00691D96">
      <w:pPr>
        <w:spacing w:after="120"/>
      </w:pPr>
      <w:r>
        <w:t xml:space="preserve">V práci se nachází velká řada různých nepřesností a nepodložených tvrzení. Některá pochybení, která přímo ovlivňují možnosti analýzy románu, lze přičíst skutečnosti, že autorka nepracovala s původním japonským textem; na str. 35 nás např. Veronika Glassová informuje o podivné chorobě s názvem „autointoxikace“, kterou trpěl protagonista románu, a na str. 59 se dozvídáme, že chlapcova babička trpěla „neuralgií ischiasu“. Pokud by autorka nahlédla do původního textu, zjistila by, že v prvním případě se jedná o nemoc dobře známou i v českém kontextu jako acetonemické zvracení a jistě by nepřehlédla silné psychologické implikace tohoto onemocnění, onemocnění kraniálních nervů, jímž trpěla chlapcova babička, by zase mohlo napomoci k pochopení osobnosti této ženy i k porozumění některých aspektů jejího zacházení se svým vnukem. Vhodné by bylo také to, aby si autorka ověřila alespoň správné znění jmen postav, k nimž ve své práci odkazuje nejčastěji – uvádět na několika desítkách míst jméno „Omi“ místo správného znění Ómi nepůsobí u budoucí japanoložky příliš profesionálním dojmem. Mnoho chyb, kterých se V. Glassová dopouští, pramení ale také z toho, že s prameny a literaturou nepracuje příliš pečlivě a informace si neověřuje. Např. povídka </w:t>
      </w:r>
      <w:r>
        <w:rPr>
          <w:i/>
          <w:iCs/>
        </w:rPr>
        <w:t>Láska k vlasti</w:t>
      </w:r>
      <w:r>
        <w:t xml:space="preserve"> (V. Glassová ji uvádí pod názvem </w:t>
      </w:r>
      <w:r>
        <w:rPr>
          <w:i/>
          <w:iCs/>
        </w:rPr>
        <w:t>Patriotismus</w:t>
      </w:r>
      <w:r>
        <w:t xml:space="preserve">) nebyla vydána až v roce 1966, jak uvádí autorka na str. 66, ale již v lednu roku 1961, filmová verze této povídky také nebyla vytvořena v roce 1966 (str. 66), ale již v roce 1965, film nebyl natočen pod názvem </w:t>
      </w:r>
      <w:r>
        <w:rPr>
          <w:i/>
          <w:iCs/>
        </w:rPr>
        <w:t>Obřad lásky a smrti</w:t>
      </w:r>
      <w:r>
        <w:t xml:space="preserve"> (str. 66), ale pod názvem </w:t>
      </w:r>
      <w:r>
        <w:rPr>
          <w:i/>
          <w:iCs/>
        </w:rPr>
        <w:t>Láska k vlasti</w:t>
      </w:r>
      <w:r>
        <w:t xml:space="preserve"> (</w:t>
      </w:r>
      <w:r>
        <w:rPr>
          <w:i/>
          <w:iCs/>
        </w:rPr>
        <w:t>Júkoku</w:t>
      </w:r>
      <w:r>
        <w:t xml:space="preserve">), název, který uvádí autorka, byl určen pro anglickou verzi krátkého filmu, rozsáhlá autobiografická esej </w:t>
      </w:r>
      <w:r>
        <w:rPr>
          <w:i/>
          <w:iCs/>
        </w:rPr>
        <w:t>Slunce a ocel</w:t>
      </w:r>
      <w:r>
        <w:t xml:space="preserve"> nevznikla v roce 1970 (str. 66), ale byla uveřejňována na pokračování časopisecky již od roku 1965 a v knižní podobě se objevila v roce 1968, úmysl „přetvořit se v silného a mužného Mišimu“ nepojal autor po napsání </w:t>
      </w:r>
      <w:r>
        <w:rPr>
          <w:i/>
          <w:iCs/>
        </w:rPr>
        <w:t>Zpovědi masky</w:t>
      </w:r>
      <w:r>
        <w:t xml:space="preserve"> (str. 66), ale až o šest let později, Mišimův sňatek se neuskutečnil „po delším hledání nevěsty“ (str. 65), ale mezi rozhodnutím oženit se a samotnou svatbou uplynuly necelé čtyři měsíce, během nichž stačil spisovatel vhodnou nevěstu nejenom najít, ale i zařídit všechny formality včetně svatby, mladí chlapci, k nimž se postupně přenášel Kóčanův zájem, nebyli ve věku, v němž se hlavní protagonista „zamiloval“ do Ómiho (str. 45), ale ve věku, v němž byl v oné době Ómi, vzpomínku na fascinaci obrázkem Johanky z Arku Kóčan neumisťuje do třetího roku svého života (str. 37), ale do doby, kdy mu bylo „asi pět“, protagonista románu se nenarodil 4. ledna (str. 58), ale 14. ledna, datum jeho narození se tak ve skutečnosti shoduje s datem narození Mišimy atp.</w:t>
      </w:r>
    </w:p>
    <w:p w:rsidR="00C547A1" w:rsidRPr="005B3FB7" w:rsidRDefault="00C547A1" w:rsidP="00691D96">
      <w:pPr>
        <w:spacing w:after="120"/>
        <w:rPr>
          <w:b/>
          <w:bCs/>
        </w:rPr>
      </w:pPr>
      <w:r>
        <w:t xml:space="preserve">Veronice Glassové se nepodařilo dosáhnout cíle, který si sama vytkla, a celá práce působí povrchním dojmem, který vyplývá ze skutečnosti, že autorka před skutečnou snahou o analýzu a porozumění textu dala přednost pouhému opakování populárních stereotypních tvrzení o Mišimovi Jukiovi a jeho románu. Veronika Glassová tak neprokázala schopnost pracovat kriticky s literaturou a prameny, ve své práci se neopírala o originální japonský text </w:t>
      </w:r>
      <w:r>
        <w:rPr>
          <w:i/>
          <w:iCs/>
        </w:rPr>
        <w:t>Zpovědi masky</w:t>
      </w:r>
      <w:r>
        <w:t xml:space="preserve"> a pravděpodobně ani o další japonské texty, v práci se navíc nachází celá řada faktických chyb. Ze všech těchto důvodů navrhuji hodnotit předkládanou práci známkou </w:t>
      </w:r>
      <w:r>
        <w:rPr>
          <w:u w:val="single"/>
        </w:rPr>
        <w:t>dobře</w:t>
      </w:r>
      <w:r>
        <w:t>.</w:t>
      </w: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Default="00C547A1" w:rsidP="00041683">
      <w:pPr>
        <w:rPr>
          <w:b/>
          <w:bCs/>
        </w:rPr>
      </w:pPr>
    </w:p>
    <w:p w:rsidR="00C547A1" w:rsidRPr="00E46345" w:rsidRDefault="00C547A1" w:rsidP="00041683">
      <w:pPr>
        <w:rPr>
          <w:b/>
          <w:bCs/>
        </w:rPr>
      </w:pPr>
      <w:r w:rsidRPr="00E46345">
        <w:rPr>
          <w:b/>
          <w:bCs/>
        </w:rPr>
        <w:t>Témata pro obhajobu, připomínky a doplňující otázky:</w:t>
      </w:r>
    </w:p>
    <w:p w:rsidR="00C547A1" w:rsidRPr="00E46345" w:rsidRDefault="00C547A1" w:rsidP="00041683"/>
    <w:p w:rsidR="00C547A1" w:rsidRDefault="00C547A1" w:rsidP="00041683">
      <w:r>
        <w:t xml:space="preserve">1) Ve své práci opakovaně označujete </w:t>
      </w:r>
      <w:r w:rsidRPr="001F06E1">
        <w:rPr>
          <w:i/>
          <w:iCs/>
        </w:rPr>
        <w:t>Zpověď masky</w:t>
      </w:r>
      <w:r>
        <w:t xml:space="preserve"> za autobiografický román; v době, kdy bylo dílo vydáno, bylo přijato jako román s autobiografickými prvky, za tento typ práce jej označoval i samotný autor. Vysvětlete, jaký je rozdíl mezi autobiografickým románem a románem s autobiografickými prvky, a odůvodněte, proč vy, na rozdíl od Mišimy Jukia, řadíte román </w:t>
      </w:r>
      <w:r>
        <w:rPr>
          <w:i/>
          <w:iCs/>
        </w:rPr>
        <w:t>Zpověď masky</w:t>
      </w:r>
      <w:r>
        <w:t xml:space="preserve"> do první z těchto kategorií.</w:t>
      </w:r>
    </w:p>
    <w:p w:rsidR="00C547A1" w:rsidRDefault="00C547A1" w:rsidP="00041683"/>
    <w:p w:rsidR="00C547A1" w:rsidRPr="00140018" w:rsidRDefault="00C547A1" w:rsidP="00041683">
      <w:r>
        <w:t>2) Vysvětlete, proč autor, jenž označoval v Japonsku oblíbený žánr „</w:t>
      </w:r>
      <w:r>
        <w:rPr>
          <w:i/>
          <w:iCs/>
        </w:rPr>
        <w:t>šišósecu</w:t>
      </w:r>
      <w:r>
        <w:t>“ za úpadkovou formu literatury a odsuzoval např. Dazaie Osamua za to, že tuto „pokleslou“ formu používá, zvolil pro své stěžejní dílo, jímž zamýšlel proniknout do literárního světa, formu „zpovědi“, jež je typická pro jím zavrhovaný žánr.</w:t>
      </w:r>
    </w:p>
    <w:p w:rsidR="00C547A1" w:rsidRDefault="00C547A1" w:rsidP="00041683"/>
    <w:p w:rsidR="00C547A1" w:rsidRDefault="00C547A1" w:rsidP="00041683">
      <w:r>
        <w:t xml:space="preserve">3) Na str. 39 spojujete s vývojem Kóčanovy homosexuality skutečnost, že malý chlapec v předškolním věku projevoval velký zájem o vojáky vracející se ze cvičiště a o procesí mladíků nesoucích přenosnou svatyni </w:t>
      </w:r>
      <w:r w:rsidRPr="00C6620A">
        <w:rPr>
          <w:i/>
          <w:iCs/>
        </w:rPr>
        <w:t>mikoši</w:t>
      </w:r>
      <w:r>
        <w:t>. Sám protagonista románu v textu podotýká, že vojáci „fascinují každé dítě“, bujará náboženská procesí, která se v Japonsku konají, zaujmou nejen děti, ale i většinu dospělých bez ohledu na jejich sexuální orientaci. Uveďte, v čem bylo Kóčanovo zaujetí těmito jevy „zvláštní“.</w:t>
      </w:r>
    </w:p>
    <w:p w:rsidR="00C547A1" w:rsidRDefault="00C547A1" w:rsidP="00041683"/>
    <w:p w:rsidR="00C547A1" w:rsidRDefault="00C547A1" w:rsidP="00041683">
      <w:r>
        <w:t xml:space="preserve">4) Ve své práci opakovaně tvrdíte, že </w:t>
      </w:r>
      <w:r>
        <w:rPr>
          <w:i/>
          <w:iCs/>
        </w:rPr>
        <w:t>Zpověď masky</w:t>
      </w:r>
      <w:r>
        <w:t xml:space="preserve"> byla Mišimovou osobní zpovědí, v níž se přiznával ke svým homosexuálním fantaziím, Mišima se ale nikdy ke své údajné homosexuální orientaci veřejně nepřihlásil a na veřejnosti vždy vystupoval jako heterosexuálně orientovaný muž. Vysvětlete, proč se domníváte, že autor, který zamýšlel své dílo jako veřejnou zpověď a přiznání k homosexuální orientaci, po zveřejnění díla svou sexuální orientaci popíral. Ve svém výkladu zohledněte i skutečnost, že Mišima Jukio velkou část svého veřejného života založil na prezentaci své odlišnosti od většinové společnosti a zvláště v posledním desetiletí svého života své obecenstvo několikrát šokoval činy, které byly pro soudobé Japonce mnohem méně přijatelné než by bylo jeho přiznání k homosexuální orientaci.</w:t>
      </w:r>
    </w:p>
    <w:p w:rsidR="00C547A1" w:rsidRDefault="00C547A1" w:rsidP="00041683"/>
    <w:p w:rsidR="00C547A1" w:rsidRDefault="00C547A1" w:rsidP="00041683"/>
    <w:p w:rsidR="00C547A1" w:rsidRDefault="00C547A1" w:rsidP="00041683"/>
    <w:p w:rsidR="00C547A1" w:rsidRDefault="00C547A1" w:rsidP="00041683"/>
    <w:p w:rsidR="00C547A1" w:rsidRDefault="00C547A1" w:rsidP="00041683"/>
    <w:p w:rsidR="00C547A1" w:rsidRDefault="00C547A1" w:rsidP="00041683"/>
    <w:p w:rsidR="00C547A1" w:rsidRDefault="00C547A1" w:rsidP="00041683"/>
    <w:p w:rsidR="00C547A1" w:rsidRDefault="00C547A1" w:rsidP="00041683"/>
    <w:p w:rsidR="00C547A1" w:rsidRDefault="00C547A1" w:rsidP="00041683"/>
    <w:p w:rsidR="00C547A1" w:rsidRDefault="00C547A1" w:rsidP="00041683">
      <w:r>
        <w:t>V Praze dne 22. 5. 2011.</w:t>
      </w:r>
    </w:p>
    <w:p w:rsidR="00C547A1" w:rsidRDefault="00C547A1" w:rsidP="00041683"/>
    <w:p w:rsidR="00C547A1" w:rsidRDefault="00C547A1" w:rsidP="00041683"/>
    <w:p w:rsidR="00C547A1" w:rsidRDefault="00C547A1" w:rsidP="00041683"/>
    <w:p w:rsidR="00C547A1" w:rsidRDefault="00C547A1" w:rsidP="00041683"/>
    <w:p w:rsidR="00C547A1" w:rsidRPr="00D05F98" w:rsidRDefault="00C547A1" w:rsidP="008839F6">
      <w:pPr>
        <w:jc w:val="right"/>
      </w:pPr>
      <w:r>
        <w:t>Dita Nymburská</w:t>
      </w:r>
    </w:p>
    <w:sectPr w:rsidR="00C547A1" w:rsidRPr="00D05F98" w:rsidSect="00A81C1D">
      <w:headerReference w:type="default" r:id="rId6"/>
      <w:pgSz w:w="11907" w:h="16840" w:code="9"/>
      <w:pgMar w:top="1134" w:right="1134" w:bottom="1134" w:left="1134" w:header="708" w:footer="708" w:gutter="0"/>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47A1" w:rsidRDefault="00C547A1">
      <w:r>
        <w:separator/>
      </w:r>
    </w:p>
  </w:endnote>
  <w:endnote w:type="continuationSeparator" w:id="1">
    <w:p w:rsidR="00C547A1" w:rsidRDefault="00C547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MS Mincho">
    <w:altName w:val="?l?r ??fc"/>
    <w:panose1 w:val="02020609040205080304"/>
    <w:charset w:val="80"/>
    <w:family w:val="modern"/>
    <w:pitch w:val="fixed"/>
    <w:sig w:usb0="A00002BF" w:usb1="68C7FCFB" w:usb2="00000010" w:usb3="00000000" w:csb0="0002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A00002BF" w:usb1="68C7FCFB" w:usb2="00000010" w:usb3="00000000" w:csb0="0002009F" w:csb1="00000000"/>
  </w:font>
  <w:font w:name="ZurichCE BT">
    <w:panose1 w:val="00000000000000000000"/>
    <w:charset w:val="EE"/>
    <w:family w:val="decorative"/>
    <w:notTrueType/>
    <w:pitch w:val="default"/>
    <w:sig w:usb0="00000005" w:usb1="00000000" w:usb2="00000000" w:usb3="00000000" w:csb0="00000002"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47A1" w:rsidRDefault="00C547A1">
      <w:r>
        <w:separator/>
      </w:r>
    </w:p>
  </w:footnote>
  <w:footnote w:type="continuationSeparator" w:id="1">
    <w:p w:rsidR="00C547A1" w:rsidRDefault="00C547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7A1" w:rsidRDefault="00C547A1">
    <w:pPr>
      <w:widowControl w:val="0"/>
      <w:jc w:val="center"/>
      <w:outlineLvl w:val="0"/>
      <w:rPr>
        <w:snapToGrid w:val="0"/>
      </w:rPr>
    </w:pPr>
    <w:r>
      <w:rPr>
        <w:noProof/>
        <w:lang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s2049" type="#_x0000_t75" alt="Znak UP" style="position:absolute;left:0;text-align:left;margin-left:222.5pt;margin-top:-4.75pt;width:37.15pt;height:37.35pt;z-index:251660288;visibility:visible">
          <v:imagedata r:id="rId1" o:title=""/>
          <w10:wrap type="topAndBottom"/>
        </v:shape>
      </w:pict>
    </w:r>
  </w:p>
  <w:p w:rsidR="00C547A1" w:rsidRDefault="00C547A1">
    <w:pPr>
      <w:widowControl w:val="0"/>
      <w:jc w:val="center"/>
      <w:outlineLvl w:val="0"/>
      <w:rPr>
        <w:snapToGrid w:val="0"/>
      </w:rPr>
    </w:pPr>
  </w:p>
  <w:p w:rsidR="00C547A1" w:rsidRDefault="00C547A1">
    <w:pPr>
      <w:widowControl w:val="0"/>
      <w:jc w:val="center"/>
      <w:outlineLvl w:val="0"/>
      <w:rPr>
        <w:b/>
        <w:bCs/>
        <w:snapToGrid w:val="0"/>
      </w:rPr>
    </w:pPr>
  </w:p>
  <w:p w:rsidR="00C547A1" w:rsidRDefault="00C547A1">
    <w:pPr>
      <w:widowControl w:val="0"/>
      <w:jc w:val="center"/>
      <w:outlineLvl w:val="0"/>
      <w:rPr>
        <w:b/>
        <w:bCs/>
        <w:snapToGrid w:val="0"/>
      </w:rPr>
    </w:pPr>
    <w:r>
      <w:rPr>
        <w:b/>
        <w:bCs/>
        <w:snapToGrid w:val="0"/>
      </w:rPr>
      <w:t>UNIVERZITA PALACKÉHO V OLOMOUCI</w:t>
    </w:r>
  </w:p>
  <w:p w:rsidR="00C547A1" w:rsidRDefault="00C547A1" w:rsidP="00041683">
    <w:pPr>
      <w:widowControl w:val="0"/>
      <w:spacing w:before="60"/>
      <w:jc w:val="center"/>
      <w:outlineLvl w:val="0"/>
      <w:rPr>
        <w:b/>
        <w:bCs/>
        <w:snapToGrid w:val="0"/>
      </w:rPr>
    </w:pPr>
    <w:r>
      <w:rPr>
        <w:b/>
        <w:bCs/>
        <w:snapToGrid w:val="0"/>
      </w:rPr>
      <w:t>KATEDRA ASIJSKÝCH STUDIÍ</w:t>
    </w:r>
  </w:p>
  <w:p w:rsidR="00C547A1" w:rsidRPr="00041683" w:rsidRDefault="00C547A1" w:rsidP="00041683">
    <w:pPr>
      <w:widowControl w:val="0"/>
      <w:spacing w:before="60"/>
      <w:jc w:val="center"/>
      <w:outlineLvl w:val="0"/>
      <w:rPr>
        <w:snapToGrid w:val="0"/>
        <w:sz w:val="16"/>
        <w:szCs w:val="16"/>
      </w:rPr>
    </w:pPr>
    <w:r>
      <w:rPr>
        <w:snapToGrid w:val="0"/>
        <w:sz w:val="16"/>
        <w:szCs w:val="16"/>
      </w:rPr>
      <w:t>Křížkovského 8, 771 80 Olomouc</w:t>
    </w:r>
  </w:p>
  <w:p w:rsidR="00C547A1" w:rsidRDefault="00C547A1">
    <w:pPr>
      <w:widowControl w:val="0"/>
      <w:jc w:val="center"/>
      <w:outlineLvl w:v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68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C6875"/>
    <w:rsid w:val="00010FEE"/>
    <w:rsid w:val="0001302D"/>
    <w:rsid w:val="000237C0"/>
    <w:rsid w:val="0003325C"/>
    <w:rsid w:val="00041683"/>
    <w:rsid w:val="000A0509"/>
    <w:rsid w:val="000A08C2"/>
    <w:rsid w:val="000D2408"/>
    <w:rsid w:val="00110D4D"/>
    <w:rsid w:val="00122BFB"/>
    <w:rsid w:val="00140018"/>
    <w:rsid w:val="0015057A"/>
    <w:rsid w:val="00191CB5"/>
    <w:rsid w:val="001A5FE0"/>
    <w:rsid w:val="001E1733"/>
    <w:rsid w:val="001F06E1"/>
    <w:rsid w:val="002126BD"/>
    <w:rsid w:val="00232D43"/>
    <w:rsid w:val="00260723"/>
    <w:rsid w:val="0026104A"/>
    <w:rsid w:val="002C3AA0"/>
    <w:rsid w:val="002C47E0"/>
    <w:rsid w:val="002F5030"/>
    <w:rsid w:val="00301B4F"/>
    <w:rsid w:val="00347715"/>
    <w:rsid w:val="00354323"/>
    <w:rsid w:val="00362843"/>
    <w:rsid w:val="00373869"/>
    <w:rsid w:val="003C571F"/>
    <w:rsid w:val="003D5BE8"/>
    <w:rsid w:val="00434C8F"/>
    <w:rsid w:val="004567C7"/>
    <w:rsid w:val="00471758"/>
    <w:rsid w:val="00492179"/>
    <w:rsid w:val="004A35E6"/>
    <w:rsid w:val="004C6875"/>
    <w:rsid w:val="004F7FBA"/>
    <w:rsid w:val="00517FC8"/>
    <w:rsid w:val="00534D3E"/>
    <w:rsid w:val="00595572"/>
    <w:rsid w:val="005B3C75"/>
    <w:rsid w:val="005B3FB7"/>
    <w:rsid w:val="005E428E"/>
    <w:rsid w:val="005F08A3"/>
    <w:rsid w:val="00605E86"/>
    <w:rsid w:val="00611A19"/>
    <w:rsid w:val="00632ED6"/>
    <w:rsid w:val="006447FE"/>
    <w:rsid w:val="00675D32"/>
    <w:rsid w:val="00691D96"/>
    <w:rsid w:val="00721A9A"/>
    <w:rsid w:val="007642C9"/>
    <w:rsid w:val="00774495"/>
    <w:rsid w:val="00785609"/>
    <w:rsid w:val="007B2D52"/>
    <w:rsid w:val="007C1D3E"/>
    <w:rsid w:val="007C62FF"/>
    <w:rsid w:val="007C67CB"/>
    <w:rsid w:val="007D037E"/>
    <w:rsid w:val="007E20B6"/>
    <w:rsid w:val="00802801"/>
    <w:rsid w:val="00817A4D"/>
    <w:rsid w:val="008839F6"/>
    <w:rsid w:val="008A5AA0"/>
    <w:rsid w:val="008C6E21"/>
    <w:rsid w:val="008E2C3D"/>
    <w:rsid w:val="008F0FC8"/>
    <w:rsid w:val="0090711C"/>
    <w:rsid w:val="0092335A"/>
    <w:rsid w:val="00951422"/>
    <w:rsid w:val="0095487E"/>
    <w:rsid w:val="00960514"/>
    <w:rsid w:val="00982A92"/>
    <w:rsid w:val="009A0C00"/>
    <w:rsid w:val="009A5862"/>
    <w:rsid w:val="009A5D4B"/>
    <w:rsid w:val="009B3E35"/>
    <w:rsid w:val="009F2C63"/>
    <w:rsid w:val="00A25081"/>
    <w:rsid w:val="00A464B6"/>
    <w:rsid w:val="00A66494"/>
    <w:rsid w:val="00A761EC"/>
    <w:rsid w:val="00A81C1D"/>
    <w:rsid w:val="00A86C14"/>
    <w:rsid w:val="00AA7EE7"/>
    <w:rsid w:val="00AD5E94"/>
    <w:rsid w:val="00AF3AC7"/>
    <w:rsid w:val="00B172B7"/>
    <w:rsid w:val="00B527CE"/>
    <w:rsid w:val="00B57360"/>
    <w:rsid w:val="00BA3697"/>
    <w:rsid w:val="00BB1A9F"/>
    <w:rsid w:val="00BF27F2"/>
    <w:rsid w:val="00C0451C"/>
    <w:rsid w:val="00C2112F"/>
    <w:rsid w:val="00C51C41"/>
    <w:rsid w:val="00C547A1"/>
    <w:rsid w:val="00C6620A"/>
    <w:rsid w:val="00CD5227"/>
    <w:rsid w:val="00CE1C7A"/>
    <w:rsid w:val="00D02F79"/>
    <w:rsid w:val="00D05F98"/>
    <w:rsid w:val="00D31CC7"/>
    <w:rsid w:val="00D33680"/>
    <w:rsid w:val="00D80CED"/>
    <w:rsid w:val="00D96093"/>
    <w:rsid w:val="00DA2B11"/>
    <w:rsid w:val="00DF16FE"/>
    <w:rsid w:val="00E27738"/>
    <w:rsid w:val="00E40DEC"/>
    <w:rsid w:val="00E46345"/>
    <w:rsid w:val="00E53895"/>
    <w:rsid w:val="00E6457D"/>
    <w:rsid w:val="00EA0A12"/>
    <w:rsid w:val="00EA1B11"/>
    <w:rsid w:val="00EC0E3A"/>
    <w:rsid w:val="00EC6C78"/>
    <w:rsid w:val="00ED00F7"/>
    <w:rsid w:val="00ED03B9"/>
    <w:rsid w:val="00F538B2"/>
    <w:rsid w:val="00F5775C"/>
    <w:rsid w:val="00F6401F"/>
    <w:rsid w:val="00F64FCE"/>
    <w:rsid w:val="00FA5946"/>
    <w:rsid w:val="00FB5B42"/>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2"/>
        <w:szCs w:val="22"/>
        <w:lang w:val="cs-CZ"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C1D"/>
    <w:rPr>
      <w:sz w:val="20"/>
      <w:szCs w:val="20"/>
      <w:lang w:eastAsia="cs-CZ"/>
    </w:rPr>
  </w:style>
  <w:style w:type="paragraph" w:styleId="Heading1">
    <w:name w:val="heading 1"/>
    <w:basedOn w:val="Normal"/>
    <w:next w:val="Normal"/>
    <w:link w:val="Heading1Char"/>
    <w:uiPriority w:val="99"/>
    <w:qFormat/>
    <w:rsid w:val="00A81C1D"/>
    <w:pPr>
      <w:keepNext/>
      <w:widowControl w:val="0"/>
      <w:jc w:val="center"/>
      <w:outlineLvl w:val="0"/>
    </w:pPr>
    <w:rPr>
      <w:rFonts w:ascii="Arial" w:hAnsi="Arial" w:cs="Arial"/>
      <w:sz w:val="12"/>
      <w:szCs w:val="12"/>
    </w:rPr>
  </w:style>
  <w:style w:type="paragraph" w:styleId="Heading2">
    <w:name w:val="heading 2"/>
    <w:basedOn w:val="Normal"/>
    <w:next w:val="Normal"/>
    <w:link w:val="Heading2Char"/>
    <w:uiPriority w:val="99"/>
    <w:qFormat/>
    <w:rsid w:val="00A81C1D"/>
    <w:pPr>
      <w:keepNext/>
      <w:widowControl w:val="0"/>
      <w:outlineLvl w:val="1"/>
    </w:pPr>
  </w:style>
  <w:style w:type="paragraph" w:styleId="Heading3">
    <w:name w:val="heading 3"/>
    <w:basedOn w:val="Normal"/>
    <w:next w:val="Normal"/>
    <w:link w:val="Heading3Char"/>
    <w:uiPriority w:val="99"/>
    <w:qFormat/>
    <w:rsid w:val="00041683"/>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B82"/>
    <w:rPr>
      <w:rFonts w:asciiTheme="majorHAnsi" w:eastAsiaTheme="majorEastAsia" w:hAnsiTheme="majorHAnsi" w:cstheme="majorBidi"/>
      <w:b/>
      <w:bCs/>
      <w:kern w:val="32"/>
      <w:sz w:val="32"/>
      <w:szCs w:val="32"/>
      <w:lang w:eastAsia="cs-CZ"/>
    </w:rPr>
  </w:style>
  <w:style w:type="character" w:customStyle="1" w:styleId="Heading2Char">
    <w:name w:val="Heading 2 Char"/>
    <w:basedOn w:val="DefaultParagraphFont"/>
    <w:link w:val="Heading2"/>
    <w:uiPriority w:val="9"/>
    <w:semiHidden/>
    <w:rsid w:val="00D16B82"/>
    <w:rPr>
      <w:rFonts w:asciiTheme="majorHAnsi" w:eastAsiaTheme="majorEastAsia" w:hAnsiTheme="majorHAnsi" w:cstheme="majorBidi"/>
      <w:b/>
      <w:bCs/>
      <w:i/>
      <w:iCs/>
      <w:sz w:val="28"/>
      <w:szCs w:val="28"/>
      <w:lang w:eastAsia="cs-CZ"/>
    </w:rPr>
  </w:style>
  <w:style w:type="character" w:customStyle="1" w:styleId="Heading3Char">
    <w:name w:val="Heading 3 Char"/>
    <w:basedOn w:val="DefaultParagraphFont"/>
    <w:link w:val="Heading3"/>
    <w:uiPriority w:val="9"/>
    <w:semiHidden/>
    <w:rsid w:val="00D16B82"/>
    <w:rPr>
      <w:rFonts w:asciiTheme="majorHAnsi" w:eastAsiaTheme="majorEastAsia" w:hAnsiTheme="majorHAnsi" w:cstheme="majorBidi"/>
      <w:b/>
      <w:bCs/>
      <w:sz w:val="26"/>
      <w:szCs w:val="26"/>
      <w:lang w:eastAsia="cs-CZ"/>
    </w:rPr>
  </w:style>
  <w:style w:type="paragraph" w:customStyle="1" w:styleId="C1">
    <w:name w:val="C1"/>
    <w:basedOn w:val="cesky"/>
    <w:uiPriority w:val="99"/>
    <w:rsid w:val="00A81C1D"/>
    <w:pPr>
      <w:spacing w:after="57"/>
    </w:pPr>
  </w:style>
  <w:style w:type="paragraph" w:customStyle="1" w:styleId="C2">
    <w:name w:val="C2"/>
    <w:basedOn w:val="C3"/>
    <w:uiPriority w:val="99"/>
    <w:rsid w:val="00A81C1D"/>
    <w:pPr>
      <w:tabs>
        <w:tab w:val="clear" w:pos="2835"/>
        <w:tab w:val="clear" w:pos="5669"/>
        <w:tab w:val="left" w:pos="5102"/>
      </w:tabs>
    </w:pPr>
  </w:style>
  <w:style w:type="paragraph" w:customStyle="1" w:styleId="E2">
    <w:name w:val="E2"/>
    <w:basedOn w:val="E3"/>
    <w:uiPriority w:val="99"/>
    <w:rsid w:val="00A81C1D"/>
    <w:pPr>
      <w:tabs>
        <w:tab w:val="clear" w:pos="2835"/>
        <w:tab w:val="clear" w:pos="5669"/>
        <w:tab w:val="left" w:leader="dot" w:pos="5102"/>
      </w:tabs>
    </w:pPr>
  </w:style>
  <w:style w:type="paragraph" w:customStyle="1" w:styleId="C3">
    <w:name w:val="C3"/>
    <w:basedOn w:val="cesky"/>
    <w:uiPriority w:val="99"/>
    <w:rsid w:val="00A81C1D"/>
    <w:pPr>
      <w:tabs>
        <w:tab w:val="left" w:pos="2835"/>
        <w:tab w:val="left" w:pos="5669"/>
      </w:tabs>
      <w:spacing w:after="57"/>
    </w:pPr>
  </w:style>
  <w:style w:type="paragraph" w:customStyle="1" w:styleId="E3">
    <w:name w:val="E3"/>
    <w:basedOn w:val="E1"/>
    <w:uiPriority w:val="99"/>
    <w:rsid w:val="00A81C1D"/>
    <w:pPr>
      <w:tabs>
        <w:tab w:val="left" w:leader="dot" w:pos="2835"/>
        <w:tab w:val="left" w:leader="dot" w:pos="5669"/>
      </w:tabs>
    </w:pPr>
  </w:style>
  <w:style w:type="paragraph" w:customStyle="1" w:styleId="E1">
    <w:name w:val="E1"/>
    <w:basedOn w:val="English"/>
    <w:uiPriority w:val="99"/>
    <w:rsid w:val="00A81C1D"/>
    <w:pPr>
      <w:tabs>
        <w:tab w:val="left" w:leader="dot" w:pos="9241"/>
      </w:tabs>
    </w:pPr>
    <w:rPr>
      <w:color w:val="auto"/>
    </w:rPr>
  </w:style>
  <w:style w:type="paragraph" w:customStyle="1" w:styleId="cesky">
    <w:name w:val="cesky"/>
    <w:uiPriority w:val="99"/>
    <w:rsid w:val="00A81C1D"/>
    <w:pPr>
      <w:widowControl w:val="0"/>
    </w:pPr>
    <w:rPr>
      <w:rFonts w:ascii="ZurichCE BT" w:hAnsi="ZurichCE BT" w:cs="ZurichCE BT"/>
      <w:i/>
      <w:iCs/>
      <w:sz w:val="12"/>
      <w:szCs w:val="12"/>
      <w:lang w:eastAsia="cs-CZ"/>
    </w:rPr>
  </w:style>
  <w:style w:type="paragraph" w:customStyle="1" w:styleId="English">
    <w:name w:val="English"/>
    <w:uiPriority w:val="99"/>
    <w:rsid w:val="00A81C1D"/>
    <w:pPr>
      <w:widowControl w:val="0"/>
    </w:pPr>
    <w:rPr>
      <w:rFonts w:ascii="ZurichCE BT" w:hAnsi="ZurichCE BT" w:cs="ZurichCE BT"/>
      <w:color w:val="000000"/>
      <w:sz w:val="16"/>
      <w:szCs w:val="16"/>
      <w:lang w:eastAsia="cs-CZ"/>
    </w:rPr>
  </w:style>
  <w:style w:type="paragraph" w:styleId="BodyText">
    <w:name w:val="Body Text"/>
    <w:basedOn w:val="Normal"/>
    <w:link w:val="BodyTextChar"/>
    <w:uiPriority w:val="99"/>
    <w:rsid w:val="00A81C1D"/>
    <w:pPr>
      <w:widowControl w:val="0"/>
      <w:jc w:val="center"/>
    </w:pPr>
    <w:rPr>
      <w:rFonts w:ascii="Arial" w:hAnsi="Arial" w:cs="Arial"/>
      <w:sz w:val="16"/>
      <w:szCs w:val="16"/>
    </w:rPr>
  </w:style>
  <w:style w:type="character" w:customStyle="1" w:styleId="BodyTextChar">
    <w:name w:val="Body Text Char"/>
    <w:basedOn w:val="DefaultParagraphFont"/>
    <w:link w:val="BodyText"/>
    <w:uiPriority w:val="99"/>
    <w:semiHidden/>
    <w:rsid w:val="00D16B82"/>
    <w:rPr>
      <w:sz w:val="20"/>
      <w:szCs w:val="20"/>
      <w:lang w:eastAsia="cs-CZ"/>
    </w:rPr>
  </w:style>
  <w:style w:type="paragraph" w:styleId="DocumentMap">
    <w:name w:val="Document Map"/>
    <w:basedOn w:val="Normal"/>
    <w:link w:val="DocumentMapChar"/>
    <w:uiPriority w:val="99"/>
    <w:semiHidden/>
    <w:rsid w:val="00A81C1D"/>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D16B82"/>
    <w:rPr>
      <w:sz w:val="0"/>
      <w:szCs w:val="0"/>
      <w:lang w:eastAsia="cs-CZ"/>
    </w:rPr>
  </w:style>
  <w:style w:type="paragraph" w:styleId="Header">
    <w:name w:val="header"/>
    <w:basedOn w:val="Normal"/>
    <w:link w:val="HeaderChar"/>
    <w:uiPriority w:val="99"/>
    <w:rsid w:val="00A81C1D"/>
    <w:pPr>
      <w:tabs>
        <w:tab w:val="center" w:pos="4536"/>
        <w:tab w:val="right" w:pos="9072"/>
      </w:tabs>
    </w:pPr>
  </w:style>
  <w:style w:type="character" w:customStyle="1" w:styleId="HeaderChar">
    <w:name w:val="Header Char"/>
    <w:basedOn w:val="DefaultParagraphFont"/>
    <w:link w:val="Header"/>
    <w:uiPriority w:val="99"/>
    <w:semiHidden/>
    <w:rsid w:val="00D16B82"/>
    <w:rPr>
      <w:sz w:val="20"/>
      <w:szCs w:val="20"/>
      <w:lang w:eastAsia="cs-CZ"/>
    </w:rPr>
  </w:style>
  <w:style w:type="paragraph" w:styleId="Footer">
    <w:name w:val="footer"/>
    <w:basedOn w:val="Normal"/>
    <w:link w:val="FooterChar"/>
    <w:uiPriority w:val="99"/>
    <w:rsid w:val="00A81C1D"/>
    <w:pPr>
      <w:tabs>
        <w:tab w:val="center" w:pos="4536"/>
        <w:tab w:val="right" w:pos="9072"/>
      </w:tabs>
    </w:pPr>
  </w:style>
  <w:style w:type="character" w:customStyle="1" w:styleId="FooterChar">
    <w:name w:val="Footer Char"/>
    <w:basedOn w:val="DefaultParagraphFont"/>
    <w:link w:val="Footer"/>
    <w:uiPriority w:val="99"/>
    <w:semiHidden/>
    <w:rsid w:val="00D16B82"/>
    <w:rPr>
      <w:sz w:val="20"/>
      <w:szCs w:val="20"/>
      <w:lang w:eastAsia="cs-CZ"/>
    </w:rPr>
  </w:style>
  <w:style w:type="paragraph" w:styleId="BalloonText">
    <w:name w:val="Balloon Text"/>
    <w:basedOn w:val="Normal"/>
    <w:link w:val="BalloonTextChar"/>
    <w:uiPriority w:val="99"/>
    <w:semiHidden/>
    <w:rsid w:val="00C0451C"/>
    <w:rPr>
      <w:rFonts w:ascii="Tahoma" w:hAnsi="Tahoma" w:cs="Tahoma"/>
      <w:sz w:val="16"/>
      <w:szCs w:val="16"/>
    </w:rPr>
  </w:style>
  <w:style w:type="character" w:customStyle="1" w:styleId="BalloonTextChar">
    <w:name w:val="Balloon Text Char"/>
    <w:basedOn w:val="DefaultParagraphFont"/>
    <w:link w:val="BalloonText"/>
    <w:uiPriority w:val="99"/>
    <w:semiHidden/>
    <w:rsid w:val="00D16B82"/>
    <w:rPr>
      <w:sz w:val="0"/>
      <w:szCs w:val="0"/>
      <w:lang w:eastAsia="cs-CZ"/>
    </w:rPr>
  </w:style>
  <w:style w:type="table" w:styleId="TableGrid">
    <w:name w:val="Table Grid"/>
    <w:basedOn w:val="TableNormal"/>
    <w:uiPriority w:val="99"/>
    <w:rsid w:val="00041683"/>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781</TotalTime>
  <Pages>4</Pages>
  <Words>2431</Words>
  <Characters>14349</Characters>
  <Application>Microsoft Office Outlook</Application>
  <DocSecurity>0</DocSecurity>
  <Lines>0</Lines>
  <Paragraphs>0</Paragraphs>
  <ScaleCrop>false</ScaleCrop>
  <Company>AVC UP Olomouc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UNIVERZITA PALACKÉHO V OLOMOUCI</dc:title>
  <dc:subject/>
  <dc:creator>PeGroup1002</dc:creator>
  <cp:keywords/>
  <dc:description>generated by an Adobe application</dc:description>
  <cp:lastModifiedBy>KAU</cp:lastModifiedBy>
  <cp:revision>15</cp:revision>
  <cp:lastPrinted>2007-11-20T08:14:00Z</cp:lastPrinted>
  <dcterms:created xsi:type="dcterms:W3CDTF">2011-05-20T09:14:00Z</dcterms:created>
  <dcterms:modified xsi:type="dcterms:W3CDTF">2011-06-09T10:51:00Z</dcterms:modified>
</cp:coreProperties>
</file>