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B6C" w:rsidRPr="00256C1E" w:rsidRDefault="009E4B6C" w:rsidP="009E4B6C">
      <w:pPr>
        <w:jc w:val="center"/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  <w:r w:rsidRPr="00256C1E">
        <w:rPr>
          <w:rFonts w:ascii="Calibri" w:hAnsi="Calibri" w:cs="Arial"/>
          <w:b/>
          <w:sz w:val="22"/>
          <w:szCs w:val="22"/>
        </w:rPr>
        <w:t>KATEDRA HISTORIE</w:t>
      </w:r>
    </w:p>
    <w:p w:rsidR="009E4B6C" w:rsidRPr="00256C1E" w:rsidRDefault="009E4B6C" w:rsidP="009E4B6C">
      <w:pPr>
        <w:jc w:val="center"/>
        <w:rPr>
          <w:rFonts w:ascii="Calibri" w:hAnsi="Calibri" w:cs="Arial"/>
          <w:b/>
          <w:sz w:val="22"/>
          <w:szCs w:val="22"/>
        </w:rPr>
      </w:pPr>
    </w:p>
    <w:p w:rsidR="009E4B6C" w:rsidRPr="009E4B6C" w:rsidRDefault="009E4B6C" w:rsidP="009E4B6C">
      <w:pPr>
        <w:jc w:val="center"/>
        <w:rPr>
          <w:rFonts w:asciiTheme="minorHAnsi" w:hAnsiTheme="minorHAnsi" w:cs="Arial"/>
          <w:sz w:val="22"/>
          <w:szCs w:val="22"/>
        </w:rPr>
      </w:pPr>
      <w:r w:rsidRPr="009E4B6C">
        <w:rPr>
          <w:rFonts w:asciiTheme="minorHAnsi" w:hAnsiTheme="minorHAnsi" w:cs="Arial"/>
          <w:sz w:val="22"/>
          <w:szCs w:val="22"/>
        </w:rPr>
        <w:t>POSUDEK NA DIPLOMOVOU PRÁCI</w:t>
      </w:r>
    </w:p>
    <w:p w:rsidR="009E4B6C" w:rsidRPr="009E4B6C" w:rsidRDefault="009E4B6C" w:rsidP="009E4B6C">
      <w:pPr>
        <w:rPr>
          <w:rFonts w:asciiTheme="minorHAnsi" w:hAnsiTheme="minorHAnsi" w:cs="Arial"/>
          <w:sz w:val="22"/>
          <w:szCs w:val="22"/>
        </w:rPr>
      </w:pPr>
    </w:p>
    <w:p w:rsidR="009E4B6C" w:rsidRPr="009E4B6C" w:rsidRDefault="009E4B6C" w:rsidP="009E4B6C">
      <w:pPr>
        <w:rPr>
          <w:rFonts w:asciiTheme="minorHAnsi" w:hAnsiTheme="minorHAnsi" w:cs="Arial"/>
          <w:sz w:val="22"/>
          <w:szCs w:val="22"/>
        </w:rPr>
      </w:pPr>
    </w:p>
    <w:p w:rsidR="009E4B6C" w:rsidRPr="009E4B6C" w:rsidRDefault="009E4B6C" w:rsidP="009E4B6C">
      <w:pPr>
        <w:rPr>
          <w:rFonts w:asciiTheme="minorHAnsi" w:hAnsiTheme="minorHAnsi" w:cs="Arial"/>
          <w:sz w:val="22"/>
          <w:szCs w:val="22"/>
        </w:rPr>
      </w:pPr>
      <w:r w:rsidRPr="009E4B6C">
        <w:rPr>
          <w:rFonts w:asciiTheme="minorHAnsi" w:hAnsiTheme="minorHAnsi" w:cs="Arial"/>
          <w:b/>
          <w:sz w:val="22"/>
          <w:szCs w:val="22"/>
        </w:rPr>
        <w:t xml:space="preserve">Autor: </w:t>
      </w:r>
      <w:r w:rsidRPr="009E4B6C">
        <w:rPr>
          <w:rFonts w:asciiTheme="minorHAnsi" w:hAnsiTheme="minorHAnsi" w:cs="Arial"/>
          <w:b/>
          <w:sz w:val="22"/>
          <w:szCs w:val="22"/>
        </w:rPr>
        <w:tab/>
        <w:t>Marek Polach</w:t>
      </w:r>
    </w:p>
    <w:p w:rsidR="009E4B6C" w:rsidRPr="009E4B6C" w:rsidRDefault="009E4B6C" w:rsidP="009E4B6C">
      <w:pPr>
        <w:rPr>
          <w:rFonts w:asciiTheme="minorHAnsi" w:hAnsiTheme="minorHAnsi" w:cs="Arial"/>
          <w:sz w:val="22"/>
          <w:szCs w:val="22"/>
        </w:rPr>
      </w:pPr>
    </w:p>
    <w:p w:rsidR="009E4B6C" w:rsidRPr="009E4B6C" w:rsidRDefault="009E4B6C" w:rsidP="009E4B6C">
      <w:pPr>
        <w:tabs>
          <w:tab w:val="left" w:pos="2925"/>
        </w:tabs>
        <w:rPr>
          <w:rFonts w:asciiTheme="minorHAnsi" w:hAnsiTheme="minorHAnsi" w:cs="Arial"/>
          <w:b/>
          <w:sz w:val="22"/>
          <w:szCs w:val="22"/>
        </w:rPr>
      </w:pPr>
      <w:r w:rsidRPr="009E4B6C">
        <w:rPr>
          <w:rFonts w:asciiTheme="minorHAnsi" w:hAnsiTheme="minorHAnsi" w:cs="Arial"/>
          <w:b/>
          <w:sz w:val="22"/>
          <w:szCs w:val="22"/>
        </w:rPr>
        <w:t>Titul:    Smrt v díle Emanuela Swedenborga</w:t>
      </w:r>
    </w:p>
    <w:p w:rsidR="009E4B6C" w:rsidRPr="009E4B6C" w:rsidRDefault="009E4B6C" w:rsidP="009E4B6C">
      <w:pPr>
        <w:tabs>
          <w:tab w:val="left" w:pos="2925"/>
        </w:tabs>
        <w:rPr>
          <w:rFonts w:asciiTheme="minorHAnsi" w:hAnsiTheme="minorHAnsi" w:cs="Arial"/>
          <w:b/>
          <w:sz w:val="22"/>
          <w:szCs w:val="22"/>
        </w:rPr>
      </w:pPr>
    </w:p>
    <w:p w:rsidR="009E4B6C" w:rsidRPr="009E4B6C" w:rsidRDefault="009E4B6C" w:rsidP="009E4B6C">
      <w:pPr>
        <w:rPr>
          <w:rFonts w:asciiTheme="minorHAnsi" w:hAnsiTheme="minorHAnsi" w:cs="Arial"/>
          <w:b/>
          <w:sz w:val="22"/>
          <w:szCs w:val="22"/>
        </w:rPr>
      </w:pPr>
      <w:r w:rsidRPr="009E4B6C">
        <w:rPr>
          <w:rFonts w:asciiTheme="minorHAnsi" w:hAnsiTheme="minorHAnsi" w:cs="Arial"/>
          <w:b/>
          <w:sz w:val="22"/>
          <w:szCs w:val="22"/>
        </w:rPr>
        <w:t xml:space="preserve">Rok: </w:t>
      </w:r>
      <w:r w:rsidRPr="009E4B6C">
        <w:rPr>
          <w:rFonts w:asciiTheme="minorHAnsi" w:hAnsiTheme="minorHAnsi" w:cs="Arial"/>
          <w:b/>
          <w:sz w:val="22"/>
          <w:szCs w:val="22"/>
        </w:rPr>
        <w:tab/>
        <w:t>2015</w:t>
      </w:r>
    </w:p>
    <w:p w:rsidR="009E4B6C" w:rsidRPr="009E4B6C" w:rsidRDefault="009E4B6C" w:rsidP="009E4B6C">
      <w:pPr>
        <w:rPr>
          <w:rFonts w:asciiTheme="minorHAnsi" w:hAnsiTheme="minorHAnsi" w:cs="Arial"/>
          <w:b/>
          <w:sz w:val="22"/>
          <w:szCs w:val="22"/>
        </w:rPr>
      </w:pPr>
    </w:p>
    <w:p w:rsidR="009E4B6C" w:rsidRPr="009E4B6C" w:rsidRDefault="009E4B6C" w:rsidP="009E4B6C">
      <w:pPr>
        <w:rPr>
          <w:rFonts w:asciiTheme="minorHAnsi" w:hAnsiTheme="minorHAnsi" w:cs="Arial"/>
          <w:b/>
          <w:sz w:val="22"/>
          <w:szCs w:val="22"/>
        </w:rPr>
      </w:pPr>
      <w:r w:rsidRPr="009E4B6C">
        <w:rPr>
          <w:rFonts w:asciiTheme="minorHAnsi" w:hAnsiTheme="minorHAnsi" w:cs="Arial"/>
          <w:b/>
          <w:sz w:val="22"/>
          <w:szCs w:val="22"/>
        </w:rPr>
        <w:t>Počet stran (příloh):   84</w:t>
      </w:r>
    </w:p>
    <w:p w:rsidR="009E4B6C" w:rsidRPr="009E4B6C" w:rsidRDefault="009E4B6C" w:rsidP="009E4B6C">
      <w:pPr>
        <w:rPr>
          <w:rFonts w:asciiTheme="minorHAnsi" w:hAnsiTheme="minorHAnsi" w:cs="Arial"/>
          <w:sz w:val="22"/>
          <w:szCs w:val="22"/>
        </w:rPr>
      </w:pPr>
    </w:p>
    <w:p w:rsidR="009E4B6C" w:rsidRPr="009E4B6C" w:rsidRDefault="009E4B6C" w:rsidP="009E4B6C">
      <w:pPr>
        <w:rPr>
          <w:rFonts w:asciiTheme="minorHAnsi" w:hAnsiTheme="minorHAnsi" w:cs="Arial"/>
          <w:sz w:val="22"/>
          <w:szCs w:val="22"/>
        </w:rPr>
      </w:pPr>
      <w:r w:rsidRPr="009E4B6C">
        <w:rPr>
          <w:rFonts w:asciiTheme="minorHAnsi" w:hAnsiTheme="minorHAnsi" w:cs="Arial"/>
          <w:b/>
          <w:sz w:val="22"/>
          <w:szCs w:val="22"/>
        </w:rPr>
        <w:t>Vedoucí práce: Martin Elbel, Ph.D.</w:t>
      </w:r>
    </w:p>
    <w:p w:rsidR="009E4B6C" w:rsidRPr="009E4B6C" w:rsidRDefault="009E4B6C" w:rsidP="009E4B6C">
      <w:pPr>
        <w:rPr>
          <w:rFonts w:asciiTheme="minorHAnsi" w:hAnsiTheme="minorHAnsi" w:cs="Arial"/>
          <w:sz w:val="22"/>
          <w:szCs w:val="22"/>
        </w:rPr>
      </w:pPr>
    </w:p>
    <w:p w:rsidR="009E4B6C" w:rsidRPr="009E4B6C" w:rsidRDefault="009E4B6C" w:rsidP="009E4B6C">
      <w:pPr>
        <w:rPr>
          <w:rFonts w:asciiTheme="minorHAnsi" w:hAnsiTheme="minorHAnsi" w:cs="Arial"/>
          <w:sz w:val="22"/>
          <w:szCs w:val="22"/>
        </w:rPr>
      </w:pPr>
      <w:r w:rsidRPr="009E4B6C">
        <w:rPr>
          <w:rFonts w:asciiTheme="minorHAnsi" w:hAnsiTheme="minorHAnsi" w:cs="Arial"/>
          <w:b/>
          <w:sz w:val="22"/>
          <w:szCs w:val="22"/>
        </w:rPr>
        <w:t>Oponent:</w:t>
      </w:r>
      <w:r w:rsidRPr="009E4B6C">
        <w:rPr>
          <w:rFonts w:asciiTheme="minorHAnsi" w:hAnsiTheme="minorHAnsi" w:cs="Arial"/>
          <w:b/>
          <w:sz w:val="22"/>
          <w:szCs w:val="22"/>
        </w:rPr>
        <w:tab/>
        <w:t xml:space="preserve">doc. Radmila </w:t>
      </w:r>
      <w:r w:rsidR="00E80C65">
        <w:rPr>
          <w:rFonts w:asciiTheme="minorHAnsi" w:hAnsiTheme="minorHAnsi" w:cs="Arial"/>
          <w:b/>
          <w:sz w:val="22"/>
          <w:szCs w:val="22"/>
        </w:rPr>
        <w:t xml:space="preserve">Prchal </w:t>
      </w:r>
      <w:r w:rsidRPr="009E4B6C">
        <w:rPr>
          <w:rFonts w:asciiTheme="minorHAnsi" w:hAnsiTheme="minorHAnsi" w:cs="Arial"/>
          <w:b/>
          <w:sz w:val="22"/>
          <w:szCs w:val="22"/>
        </w:rPr>
        <w:t>Pavlíčková, Ph.D.</w:t>
      </w:r>
    </w:p>
    <w:p w:rsidR="00AD75E1" w:rsidRPr="009E4B6C" w:rsidRDefault="00AD75E1">
      <w:pPr>
        <w:rPr>
          <w:rFonts w:asciiTheme="minorHAnsi" w:hAnsiTheme="minorHAnsi"/>
        </w:rPr>
      </w:pPr>
    </w:p>
    <w:p w:rsidR="009E4B6C" w:rsidRPr="009E4B6C" w:rsidRDefault="009E4B6C">
      <w:pPr>
        <w:rPr>
          <w:rFonts w:asciiTheme="minorHAnsi" w:hAnsiTheme="minorHAnsi"/>
        </w:rPr>
      </w:pPr>
    </w:p>
    <w:p w:rsidR="009E4B6C" w:rsidRPr="009E4B6C" w:rsidRDefault="009E4B6C">
      <w:pPr>
        <w:rPr>
          <w:rFonts w:asciiTheme="minorHAnsi" w:hAnsiTheme="minorHAnsi"/>
          <w:sz w:val="22"/>
          <w:szCs w:val="22"/>
        </w:rPr>
      </w:pPr>
    </w:p>
    <w:p w:rsidR="009E4B6C" w:rsidRDefault="009E4B6C" w:rsidP="00021E5C">
      <w:pPr>
        <w:spacing w:after="240"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 úvod posudku je třeba říci, že obsah předložené diplomové</w:t>
      </w:r>
      <w:r w:rsidRPr="009E4B6C">
        <w:rPr>
          <w:rFonts w:asciiTheme="minorHAnsi" w:hAnsiTheme="minorHAnsi"/>
          <w:sz w:val="22"/>
          <w:szCs w:val="22"/>
        </w:rPr>
        <w:t xml:space="preserve"> práce </w:t>
      </w:r>
      <w:r>
        <w:rPr>
          <w:rFonts w:asciiTheme="minorHAnsi" w:hAnsiTheme="minorHAnsi"/>
          <w:sz w:val="22"/>
          <w:szCs w:val="22"/>
        </w:rPr>
        <w:t>neodpovídá jejímu názvu. Lze předpokládat, že teprve v průběhu zpracování tématu došlo k výraznému posunu – autor se nezabývá smrtí v díle E. Swedenborga, ale snaží se jeho působení zasadit do kontextu vývoje vědy od poloviny 17. století na straně jedné a vývoje spiritualismu od druhé poloviny 19. století na straně druhé. Původnímu zadání neodpovídají ani v úvodní kapitole formulované badatelské cíle, ani struktura a obsah diplomové práce. Bylo by vhodnější, kdyby autor zvolil nový název práce a nechal si jej schválit.</w:t>
      </w:r>
    </w:p>
    <w:p w:rsidR="00B24D8B" w:rsidRDefault="009E4B6C" w:rsidP="00021E5C">
      <w:pPr>
        <w:spacing w:after="240"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V úvodu autor uvádí, že jedním z cílů jeho práce je </w:t>
      </w:r>
      <w:r w:rsidR="00B24D8B">
        <w:rPr>
          <w:rFonts w:asciiTheme="minorHAnsi" w:hAnsiTheme="minorHAnsi"/>
          <w:sz w:val="22"/>
          <w:szCs w:val="22"/>
        </w:rPr>
        <w:t>vymezit Swedenborgovi „místo mezi dalšími významnými postavami dějin“ (s. 4), což lze chápat jako určitý pokus o jeho rehabilitaci v kontextu dějin vědy. V práci je skutečně patrný jistý apologetický tón a autorovo silné osobní zaujetí pro obhajobu Swedenborgovy kariéry, zejména v její druhé, mystické části. Za další své cíle považuje verifikaci údajů starší literatury a zodpovězení otázky, zda existuje vztah jeho vizemi a mladší spiritistickou tradicí.</w:t>
      </w:r>
      <w:r w:rsidR="003358F2">
        <w:rPr>
          <w:rFonts w:asciiTheme="minorHAnsi" w:hAnsiTheme="minorHAnsi"/>
          <w:sz w:val="22"/>
          <w:szCs w:val="22"/>
        </w:rPr>
        <w:t xml:space="preserve"> </w:t>
      </w:r>
      <w:r w:rsidR="004D56C9">
        <w:rPr>
          <w:rFonts w:asciiTheme="minorHAnsi" w:hAnsiTheme="minorHAnsi"/>
          <w:sz w:val="22"/>
          <w:szCs w:val="22"/>
        </w:rPr>
        <w:t>Tyto cíle jsou smysluplné, bohužel jejich realizace trpí řadou nedostatků.</w:t>
      </w:r>
    </w:p>
    <w:p w:rsidR="009E4B6C" w:rsidRDefault="00B24D8B" w:rsidP="00021E5C">
      <w:pPr>
        <w:spacing w:after="240"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 úvodní části chybí jakékoli shrnutí starší literatury k tématu, např. alespoň dosavadní historiografické zpracování života a díla E. Swedenborga a shrnutí dosavadních názorů na jeho působení. To představuje vážný nedostatek, stejně jako</w:t>
      </w:r>
      <w:r w:rsidR="00E80C65">
        <w:rPr>
          <w:rFonts w:asciiTheme="minorHAnsi" w:hAnsiTheme="minorHAnsi"/>
          <w:sz w:val="22"/>
          <w:szCs w:val="22"/>
        </w:rPr>
        <w:t xml:space="preserve"> naprostá</w:t>
      </w:r>
      <w:r>
        <w:rPr>
          <w:rFonts w:asciiTheme="minorHAnsi" w:hAnsiTheme="minorHAnsi"/>
          <w:sz w:val="22"/>
          <w:szCs w:val="22"/>
        </w:rPr>
        <w:t xml:space="preserve"> absence charakteristiky souboru pramenů, z nichž </w:t>
      </w:r>
      <w:r w:rsidR="004D1542">
        <w:rPr>
          <w:rFonts w:asciiTheme="minorHAnsi" w:hAnsiTheme="minorHAnsi"/>
          <w:sz w:val="22"/>
          <w:szCs w:val="22"/>
        </w:rPr>
        <w:t>chce autor vycházet.</w:t>
      </w:r>
      <w:r w:rsidR="00021E5C">
        <w:rPr>
          <w:rFonts w:asciiTheme="minorHAnsi" w:hAnsiTheme="minorHAnsi"/>
          <w:sz w:val="22"/>
          <w:szCs w:val="22"/>
        </w:rPr>
        <w:t xml:space="preserve"> Není tak naprosto zřejmé, z čeho vychází, nač navazuje a vůči čemu se vymezuje.</w:t>
      </w:r>
      <w:r w:rsidR="00E80C65">
        <w:rPr>
          <w:rFonts w:asciiTheme="minorHAnsi" w:hAnsiTheme="minorHAnsi"/>
          <w:sz w:val="22"/>
          <w:szCs w:val="22"/>
        </w:rPr>
        <w:t xml:space="preserve"> </w:t>
      </w:r>
    </w:p>
    <w:p w:rsidR="0098673D" w:rsidRDefault="004D1542" w:rsidP="00021E5C">
      <w:pPr>
        <w:spacing w:after="240"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Další nesoulad se týká struktury práce. Její značná část se zabývá kompilativním popisem náboženské situace v Evropě v 17. století a popisem stavu vědy v 17. a 18. století (po s. 46), který má patrně sloužit pro vykreslení kontextu Swedenborgova působení. Tato část však není argumentačně nijak provázána s vlastním tématem, tvoří v podstatě samostatnou část, již lze číst jako rozsáhlý úvod. </w:t>
      </w:r>
      <w:r w:rsidR="0098673D">
        <w:rPr>
          <w:rFonts w:asciiTheme="minorHAnsi" w:hAnsiTheme="minorHAnsi"/>
          <w:sz w:val="22"/>
          <w:szCs w:val="22"/>
        </w:rPr>
        <w:t xml:space="preserve">Z toho důvodu není zcela </w:t>
      </w:r>
      <w:r>
        <w:rPr>
          <w:rFonts w:asciiTheme="minorHAnsi" w:hAnsiTheme="minorHAnsi"/>
          <w:sz w:val="22"/>
          <w:szCs w:val="22"/>
        </w:rPr>
        <w:t>zřejmé, proč se</w:t>
      </w:r>
      <w:r w:rsidR="000F1573">
        <w:rPr>
          <w:rFonts w:asciiTheme="minorHAnsi" w:hAnsiTheme="minorHAnsi"/>
          <w:sz w:val="22"/>
          <w:szCs w:val="22"/>
        </w:rPr>
        <w:t xml:space="preserve"> zde</w:t>
      </w:r>
      <w:r>
        <w:rPr>
          <w:rFonts w:asciiTheme="minorHAnsi" w:hAnsiTheme="minorHAnsi"/>
          <w:sz w:val="22"/>
          <w:szCs w:val="22"/>
        </w:rPr>
        <w:t xml:space="preserve"> autor zabývá</w:t>
      </w:r>
      <w:r w:rsidR="000F1573">
        <w:rPr>
          <w:rFonts w:asciiTheme="minorHAnsi" w:hAnsiTheme="minorHAnsi"/>
          <w:sz w:val="22"/>
          <w:szCs w:val="22"/>
        </w:rPr>
        <w:t xml:space="preserve"> např.</w:t>
      </w:r>
      <w:r>
        <w:rPr>
          <w:rFonts w:asciiTheme="minorHAnsi" w:hAnsiTheme="minorHAnsi"/>
          <w:sz w:val="22"/>
          <w:szCs w:val="22"/>
        </w:rPr>
        <w:t xml:space="preserve"> otázkou vztahu církve a státu</w:t>
      </w:r>
      <w:r w:rsidR="000F1573">
        <w:rPr>
          <w:rFonts w:asciiTheme="minorHAnsi" w:hAnsiTheme="minorHAnsi"/>
          <w:sz w:val="22"/>
          <w:szCs w:val="22"/>
        </w:rPr>
        <w:t>, postavením evangelických pastorů ve společnosti, pojmem baroko a jeho chronologií,</w:t>
      </w:r>
      <w:r w:rsidR="0098673D">
        <w:rPr>
          <w:rFonts w:asciiTheme="minorHAnsi" w:hAnsiTheme="minorHAnsi"/>
          <w:sz w:val="22"/>
          <w:szCs w:val="22"/>
        </w:rPr>
        <w:t xml:space="preserve"> zcela neorganicky zde pak působí kapitola věnovaná zásvětním představám. Některá témata se zde objevují opakovaně (H. Francke). Celá pasáž (polovina práce) dělá dojem, jako by byl autor ovlivněn </w:t>
      </w:r>
      <w:r w:rsidR="0098673D">
        <w:rPr>
          <w:rFonts w:asciiTheme="minorHAnsi" w:hAnsiTheme="minorHAnsi"/>
          <w:sz w:val="22"/>
          <w:szCs w:val="22"/>
        </w:rPr>
        <w:lastRenderedPageBreak/>
        <w:t>strukturou a tématy právě konzultované zahraniční literatury.</w:t>
      </w:r>
      <w:r w:rsidR="00C01BED">
        <w:rPr>
          <w:rFonts w:asciiTheme="minorHAnsi" w:hAnsiTheme="minorHAnsi"/>
          <w:sz w:val="22"/>
          <w:szCs w:val="22"/>
        </w:rPr>
        <w:t xml:space="preserve"> Podobně nevyrovnaná je i druhá část práce, v níž autor používá příliš rozsáhlé citace z pramenů (i několik stran</w:t>
      </w:r>
      <w:r w:rsidR="00E80C65">
        <w:rPr>
          <w:rFonts w:asciiTheme="minorHAnsi" w:hAnsiTheme="minorHAnsi"/>
          <w:sz w:val="22"/>
          <w:szCs w:val="22"/>
        </w:rPr>
        <w:t>, navíc je cituje střídavě anglicky i česky</w:t>
      </w:r>
      <w:r w:rsidR="00C01BED">
        <w:rPr>
          <w:rFonts w:asciiTheme="minorHAnsi" w:hAnsiTheme="minorHAnsi"/>
          <w:sz w:val="22"/>
          <w:szCs w:val="22"/>
        </w:rPr>
        <w:t xml:space="preserve">), </w:t>
      </w:r>
      <w:r w:rsidR="00657ADD">
        <w:rPr>
          <w:rFonts w:asciiTheme="minorHAnsi" w:hAnsiTheme="minorHAnsi"/>
          <w:sz w:val="22"/>
          <w:szCs w:val="22"/>
        </w:rPr>
        <w:t xml:space="preserve">které slouží </w:t>
      </w:r>
      <w:r w:rsidR="00384C5B">
        <w:rPr>
          <w:rFonts w:asciiTheme="minorHAnsi" w:hAnsiTheme="minorHAnsi"/>
          <w:sz w:val="22"/>
          <w:szCs w:val="22"/>
        </w:rPr>
        <w:t>spíše jako pří</w:t>
      </w:r>
      <w:r w:rsidR="00E80C65">
        <w:rPr>
          <w:rFonts w:asciiTheme="minorHAnsi" w:hAnsiTheme="minorHAnsi"/>
          <w:sz w:val="22"/>
          <w:szCs w:val="22"/>
        </w:rPr>
        <w:t>klady, než materiál pro analýzu</w:t>
      </w:r>
      <w:r w:rsidR="00C01BED">
        <w:rPr>
          <w:rFonts w:asciiTheme="minorHAnsi" w:hAnsiTheme="minorHAnsi"/>
          <w:sz w:val="22"/>
          <w:szCs w:val="22"/>
        </w:rPr>
        <w:t>.</w:t>
      </w:r>
    </w:p>
    <w:p w:rsidR="004D1542" w:rsidRDefault="0098673D" w:rsidP="00021E5C">
      <w:pPr>
        <w:spacing w:after="240"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Dalším problémem práce je její jazyková úroveň, pominu-li množství hrubek, pak zejména četnost nejasných, </w:t>
      </w:r>
      <w:r w:rsidR="00021E5C">
        <w:rPr>
          <w:rFonts w:asciiTheme="minorHAnsi" w:hAnsiTheme="minorHAnsi"/>
          <w:sz w:val="22"/>
          <w:szCs w:val="22"/>
        </w:rPr>
        <w:t xml:space="preserve">stylisticky neobratných a </w:t>
      </w:r>
      <w:r>
        <w:rPr>
          <w:rFonts w:asciiTheme="minorHAnsi" w:hAnsiTheme="minorHAnsi"/>
          <w:sz w:val="22"/>
          <w:szCs w:val="22"/>
        </w:rPr>
        <w:t xml:space="preserve">někdy i nesmyslných formulací, </w:t>
      </w:r>
      <w:r w:rsidR="00021E5C">
        <w:rPr>
          <w:rFonts w:asciiTheme="minorHAnsi" w:hAnsiTheme="minorHAnsi"/>
          <w:sz w:val="22"/>
          <w:szCs w:val="22"/>
        </w:rPr>
        <w:t xml:space="preserve">časté je </w:t>
      </w:r>
      <w:r>
        <w:rPr>
          <w:rFonts w:asciiTheme="minorHAnsi" w:hAnsiTheme="minorHAnsi"/>
          <w:sz w:val="22"/>
          <w:szCs w:val="22"/>
        </w:rPr>
        <w:t xml:space="preserve">vychýlení z vazby, chybějící text na konci stran, chybějící slovesa ve větách apod. To celkově znesnadňuje čtení a rozhodně nesplňuje požadavky kladené na vědecký text. Zvláštní je rovněž autorovo (ovšem nedůsledné) lpění na archaickém, případně </w:t>
      </w:r>
      <w:r w:rsidR="00021E5C">
        <w:rPr>
          <w:rFonts w:asciiTheme="minorHAnsi" w:hAnsiTheme="minorHAnsi"/>
          <w:sz w:val="22"/>
          <w:szCs w:val="22"/>
        </w:rPr>
        <w:t>nečeském</w:t>
      </w:r>
      <w:r>
        <w:rPr>
          <w:rFonts w:asciiTheme="minorHAnsi" w:hAnsiTheme="minorHAnsi"/>
          <w:sz w:val="22"/>
          <w:szCs w:val="22"/>
        </w:rPr>
        <w:t xml:space="preserve"> psaní</w:t>
      </w:r>
      <w:r w:rsidR="00021E5C">
        <w:rPr>
          <w:rFonts w:asciiTheme="minorHAnsi" w:hAnsiTheme="minorHAnsi"/>
          <w:sz w:val="22"/>
          <w:szCs w:val="22"/>
        </w:rPr>
        <w:t xml:space="preserve"> řady</w:t>
      </w:r>
      <w:r>
        <w:rPr>
          <w:rFonts w:asciiTheme="minorHAnsi" w:hAnsiTheme="minorHAnsi"/>
          <w:sz w:val="22"/>
          <w:szCs w:val="22"/>
        </w:rPr>
        <w:t xml:space="preserve"> slov: lutheranismus, </w:t>
      </w:r>
      <w:r w:rsidR="00021E5C">
        <w:rPr>
          <w:rFonts w:asciiTheme="minorHAnsi" w:hAnsiTheme="minorHAnsi"/>
          <w:sz w:val="22"/>
          <w:szCs w:val="22"/>
        </w:rPr>
        <w:t>theologie, atheismus, jinde naopak správně teologie atd.</w:t>
      </w:r>
    </w:p>
    <w:p w:rsidR="009E4B6C" w:rsidRDefault="00E80C65" w:rsidP="00021E5C">
      <w:pPr>
        <w:spacing w:after="240"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Práce si klade zajímavé cíle a vychází především ze zahraniční literatury. Všechny její ostatní aspekty jsou však na samé hranici úrovně, očekávané od kvalifikační práce. Z těchto důvodů práci hodnotím známkou E.</w:t>
      </w:r>
    </w:p>
    <w:p w:rsidR="00E80C65" w:rsidRDefault="00E80C65" w:rsidP="00021E5C">
      <w:pPr>
        <w:spacing w:after="240" w:line="276" w:lineRule="auto"/>
        <w:jc w:val="both"/>
        <w:rPr>
          <w:rFonts w:asciiTheme="minorHAnsi" w:hAnsiTheme="minorHAnsi"/>
          <w:sz w:val="22"/>
          <w:szCs w:val="22"/>
        </w:rPr>
      </w:pPr>
    </w:p>
    <w:p w:rsidR="00E80C65" w:rsidRDefault="00E80C65" w:rsidP="00021E5C">
      <w:pPr>
        <w:spacing w:after="240"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Radmila Prchal Pavlíčková</w:t>
      </w:r>
    </w:p>
    <w:p w:rsidR="00E80C65" w:rsidRPr="009E4B6C" w:rsidRDefault="00E80C65" w:rsidP="00021E5C">
      <w:pPr>
        <w:spacing w:after="240"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17. 1. 2016</w:t>
      </w:r>
    </w:p>
    <w:sectPr w:rsidR="00E80C65" w:rsidRPr="009E4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10B"/>
    <w:rsid w:val="00021E5C"/>
    <w:rsid w:val="000F1573"/>
    <w:rsid w:val="003358F2"/>
    <w:rsid w:val="00384C5B"/>
    <w:rsid w:val="004D1542"/>
    <w:rsid w:val="004D56C9"/>
    <w:rsid w:val="005161BA"/>
    <w:rsid w:val="00657ADD"/>
    <w:rsid w:val="0082310B"/>
    <w:rsid w:val="0098673D"/>
    <w:rsid w:val="009E4B6C"/>
    <w:rsid w:val="00AD75E1"/>
    <w:rsid w:val="00B24D8B"/>
    <w:rsid w:val="00C01BED"/>
    <w:rsid w:val="00E8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4B6C"/>
    <w:pPr>
      <w:spacing w:after="0" w:line="240" w:lineRule="auto"/>
    </w:pPr>
    <w:rPr>
      <w:rFonts w:ascii="Garamond" w:eastAsia="Times New Roman" w:hAnsi="Garamond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4B6C"/>
    <w:pPr>
      <w:spacing w:after="0" w:line="240" w:lineRule="auto"/>
    </w:pPr>
    <w:rPr>
      <w:rFonts w:ascii="Garamond" w:eastAsia="Times New Roman" w:hAnsi="Garamond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526</Words>
  <Characters>3104</Characters>
  <Application>Microsoft Office Word</Application>
  <DocSecurity>4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Zenbook</dc:creator>
  <cp:lastModifiedBy>Markéta Peřinová</cp:lastModifiedBy>
  <cp:revision>2</cp:revision>
  <dcterms:created xsi:type="dcterms:W3CDTF">2016-01-18T10:27:00Z</dcterms:created>
  <dcterms:modified xsi:type="dcterms:W3CDTF">2016-01-18T10:27:00Z</dcterms:modified>
</cp:coreProperties>
</file>