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F29" w:rsidRDefault="009D1F29">
      <w:pPr>
        <w:spacing w:after="178" w:line="259" w:lineRule="auto"/>
        <w:ind w:left="0" w:right="0" w:firstLine="0"/>
        <w:jc w:val="left"/>
      </w:pPr>
      <w:r>
        <w:t xml:space="preserve"> </w:t>
      </w:r>
    </w:p>
    <w:p w:rsidR="009D1F29" w:rsidRDefault="009D1F29">
      <w:pPr>
        <w:spacing w:after="298" w:line="259" w:lineRule="auto"/>
        <w:ind w:left="0" w:right="0" w:firstLine="0"/>
        <w:jc w:val="left"/>
      </w:pPr>
      <w:r>
        <w:t xml:space="preserve"> </w:t>
      </w:r>
    </w:p>
    <w:p w:rsidR="009D1F29" w:rsidRDefault="009D1F29">
      <w:pPr>
        <w:spacing w:after="195" w:line="259" w:lineRule="auto"/>
        <w:ind w:left="2247" w:right="0" w:firstLine="0"/>
        <w:jc w:val="left"/>
      </w:pPr>
      <w:r>
        <w:rPr>
          <w:b/>
          <w:sz w:val="32"/>
        </w:rPr>
        <w:t xml:space="preserve">Univerzita Palackého v Olomouci </w:t>
      </w:r>
    </w:p>
    <w:p w:rsidR="009D1F29" w:rsidRDefault="009D1F29">
      <w:pPr>
        <w:spacing w:after="54" w:line="259" w:lineRule="auto"/>
        <w:ind w:right="10"/>
        <w:jc w:val="center"/>
      </w:pPr>
      <w:r>
        <w:rPr>
          <w:b/>
          <w:sz w:val="32"/>
        </w:rPr>
        <w:t xml:space="preserve">Právnická fakulta </w:t>
      </w:r>
    </w:p>
    <w:p w:rsidR="009D1F29" w:rsidRDefault="009D1F29">
      <w:pPr>
        <w:spacing w:after="177" w:line="259" w:lineRule="auto"/>
        <w:ind w:left="0" w:right="0" w:firstLine="0"/>
        <w:jc w:val="left"/>
      </w:pPr>
      <w:r>
        <w:t xml:space="preserve"> </w:t>
      </w:r>
    </w:p>
    <w:p w:rsidR="009D1F29" w:rsidRDefault="009D1F29">
      <w:pPr>
        <w:spacing w:after="175"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8"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300" w:line="259" w:lineRule="auto"/>
        <w:ind w:left="0" w:right="0" w:firstLine="0"/>
        <w:jc w:val="left"/>
      </w:pPr>
      <w:r>
        <w:t xml:space="preserve"> </w:t>
      </w:r>
    </w:p>
    <w:p w:rsidR="009D1F29" w:rsidRDefault="009D1F29">
      <w:pPr>
        <w:spacing w:after="109" w:line="259" w:lineRule="auto"/>
        <w:ind w:right="10"/>
        <w:jc w:val="center"/>
      </w:pPr>
      <w:r>
        <w:rPr>
          <w:b/>
          <w:sz w:val="32"/>
        </w:rPr>
        <w:t xml:space="preserve">Mgr. Marek Matěna </w:t>
      </w:r>
    </w:p>
    <w:p w:rsidR="009D1F29" w:rsidRDefault="009D1F29">
      <w:pPr>
        <w:spacing w:after="303" w:line="259" w:lineRule="auto"/>
        <w:ind w:left="0" w:right="0" w:firstLine="0"/>
        <w:jc w:val="left"/>
      </w:pPr>
      <w:r>
        <w:t xml:space="preserve"> </w:t>
      </w:r>
    </w:p>
    <w:p w:rsidR="009D1F29" w:rsidRDefault="009D1F29">
      <w:pPr>
        <w:spacing w:after="184" w:line="259" w:lineRule="auto"/>
        <w:ind w:left="0" w:right="1108" w:firstLine="0"/>
        <w:jc w:val="right"/>
      </w:pPr>
      <w:r>
        <w:rPr>
          <w:b/>
          <w:sz w:val="32"/>
        </w:rPr>
        <w:t xml:space="preserve">Ochrana vlastnictví v českých zemích ve 20. století </w:t>
      </w:r>
    </w:p>
    <w:p w:rsidR="009D1F29" w:rsidRDefault="009D1F29">
      <w:pPr>
        <w:spacing w:after="250" w:line="259" w:lineRule="auto"/>
        <w:ind w:left="73" w:right="0" w:firstLine="0"/>
        <w:jc w:val="center"/>
      </w:pPr>
      <w:r>
        <w:rPr>
          <w:b/>
          <w:sz w:val="32"/>
        </w:rPr>
        <w:t xml:space="preserve"> </w:t>
      </w:r>
    </w:p>
    <w:p w:rsidR="009D1F29" w:rsidRDefault="009D1F29">
      <w:pPr>
        <w:spacing w:after="184" w:line="259" w:lineRule="auto"/>
        <w:ind w:right="13"/>
        <w:jc w:val="center"/>
      </w:pPr>
      <w:r>
        <w:rPr>
          <w:b/>
          <w:sz w:val="32"/>
        </w:rPr>
        <w:t xml:space="preserve">Rigorózní práce </w:t>
      </w:r>
    </w:p>
    <w:p w:rsidR="009D1F29" w:rsidRDefault="009D1F29">
      <w:pPr>
        <w:spacing w:after="109" w:line="259" w:lineRule="auto"/>
        <w:ind w:left="73" w:right="0" w:firstLine="0"/>
        <w:jc w:val="center"/>
      </w:pPr>
      <w:r>
        <w:rPr>
          <w:b/>
          <w:sz w:val="32"/>
        </w:rP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5" w:line="259" w:lineRule="auto"/>
        <w:ind w:left="0" w:right="0" w:firstLine="0"/>
        <w:jc w:val="left"/>
      </w:pPr>
      <w:r>
        <w:t xml:space="preserve"> </w:t>
      </w:r>
    </w:p>
    <w:p w:rsidR="009D1F29" w:rsidRDefault="009D1F29">
      <w:pPr>
        <w:spacing w:after="178"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252" w:line="259" w:lineRule="auto"/>
        <w:ind w:left="0" w:right="0" w:firstLine="0"/>
        <w:jc w:val="left"/>
      </w:pPr>
      <w:r>
        <w:t xml:space="preserve"> </w:t>
      </w:r>
    </w:p>
    <w:p w:rsidR="009D1F29" w:rsidRDefault="009D1F29">
      <w:pPr>
        <w:spacing w:after="0" w:line="259" w:lineRule="auto"/>
        <w:ind w:right="12"/>
        <w:jc w:val="center"/>
      </w:pPr>
      <w:r>
        <w:rPr>
          <w:b/>
          <w:sz w:val="32"/>
        </w:rPr>
        <w:t>Olomouc 2018</w:t>
      </w:r>
    </w:p>
    <w:p w:rsidR="009D1F29" w:rsidRDefault="009D1F29">
      <w:pPr>
        <w:spacing w:after="0" w:line="259" w:lineRule="auto"/>
        <w:ind w:left="53" w:right="0" w:firstLine="0"/>
        <w:jc w:val="center"/>
      </w:pPr>
      <w:r>
        <w:t xml:space="preserve"> </w:t>
      </w:r>
    </w:p>
    <w:p w:rsidR="009D1F29" w:rsidRDefault="009D1F29">
      <w:pPr>
        <w:spacing w:after="0" w:line="259" w:lineRule="auto"/>
        <w:ind w:left="0" w:right="0" w:firstLine="0"/>
        <w:jc w:val="left"/>
      </w:pPr>
      <w:r>
        <w:t xml:space="preserve"> </w:t>
      </w:r>
    </w:p>
    <w:p w:rsidR="009D1F29" w:rsidRDefault="009D1F29">
      <w:pPr>
        <w:spacing w:after="110" w:line="259" w:lineRule="auto"/>
        <w:ind w:left="73" w:right="0" w:firstLine="0"/>
        <w:jc w:val="center"/>
      </w:pPr>
      <w:r>
        <w:rPr>
          <w:b/>
          <w:sz w:val="32"/>
        </w:rP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5"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8"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5" w:line="259" w:lineRule="auto"/>
        <w:ind w:left="0" w:right="0" w:firstLine="0"/>
        <w:jc w:val="left"/>
      </w:pPr>
      <w:r>
        <w:t xml:space="preserve"> </w:t>
      </w:r>
    </w:p>
    <w:p w:rsidR="009D1F29" w:rsidRDefault="009D1F29">
      <w:pPr>
        <w:spacing w:after="178"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pPr>
        <w:spacing w:after="177" w:line="259" w:lineRule="auto"/>
        <w:ind w:left="0" w:right="0" w:firstLine="0"/>
        <w:jc w:val="left"/>
      </w:pPr>
      <w:r>
        <w:t xml:space="preserve"> </w:t>
      </w:r>
    </w:p>
    <w:p w:rsidR="009D1F29" w:rsidRDefault="009D1F29" w:rsidP="006E1B1B">
      <w:pPr>
        <w:spacing w:after="178" w:line="259" w:lineRule="auto"/>
        <w:ind w:left="0" w:right="0" w:firstLine="0"/>
        <w:jc w:val="left"/>
      </w:pPr>
      <w:r>
        <w:t xml:space="preserve"> </w:t>
      </w:r>
    </w:p>
    <w:p w:rsidR="009D1F29" w:rsidRDefault="009D1F29">
      <w:pPr>
        <w:spacing w:after="212" w:line="259" w:lineRule="auto"/>
        <w:ind w:left="0" w:right="0" w:firstLine="0"/>
        <w:jc w:val="left"/>
      </w:pPr>
      <w:r>
        <w:t xml:space="preserve"> </w:t>
      </w:r>
    </w:p>
    <w:p w:rsidR="009D1F29" w:rsidRDefault="009D1F29" w:rsidP="004730E1">
      <w:pPr>
        <w:spacing w:after="63" w:line="259" w:lineRule="auto"/>
        <w:ind w:right="-7"/>
        <w:jc w:val="center"/>
      </w:pPr>
      <w:r>
        <w:t xml:space="preserve">Prohlašuji, že jsem rigorózní práci na téma </w:t>
      </w:r>
      <w:r>
        <w:rPr>
          <w:i/>
        </w:rPr>
        <w:t xml:space="preserve">Ochrana vlastnictví v českých zemích ve  </w:t>
      </w:r>
    </w:p>
    <w:p w:rsidR="009D1F29" w:rsidRDefault="009D1F29">
      <w:pPr>
        <w:spacing w:after="177" w:line="259" w:lineRule="auto"/>
        <w:ind w:left="-5" w:right="4"/>
      </w:pPr>
      <w:r>
        <w:rPr>
          <w:i/>
        </w:rPr>
        <w:t xml:space="preserve">20. století </w:t>
      </w:r>
      <w:r>
        <w:t xml:space="preserve">vypracoval samostatně a citoval všechny použité zdroje. </w:t>
      </w:r>
    </w:p>
    <w:p w:rsidR="009D1F29" w:rsidRDefault="009D1F29">
      <w:pPr>
        <w:spacing w:after="201" w:line="259" w:lineRule="auto"/>
        <w:ind w:left="0" w:right="0" w:firstLine="0"/>
        <w:jc w:val="left"/>
      </w:pPr>
      <w:r>
        <w:t xml:space="preserve"> </w:t>
      </w:r>
    </w:p>
    <w:p w:rsidR="009D1F29" w:rsidRDefault="009D1F29">
      <w:pPr>
        <w:tabs>
          <w:tab w:val="center" w:pos="3541"/>
          <w:tab w:val="center" w:pos="4249"/>
          <w:tab w:val="center" w:pos="6457"/>
        </w:tabs>
        <w:spacing w:after="48" w:line="259" w:lineRule="auto"/>
        <w:ind w:left="-15" w:right="0" w:firstLine="0"/>
        <w:jc w:val="left"/>
      </w:pPr>
      <w:r>
        <w:t xml:space="preserve">V Olomouci dne 2. 5. 2018  </w:t>
      </w:r>
      <w:r>
        <w:tab/>
        <w:t xml:space="preserve"> </w:t>
      </w:r>
      <w:r>
        <w:tab/>
        <w:t xml:space="preserve"> </w:t>
      </w:r>
      <w:r>
        <w:tab/>
        <w:t xml:space="preserve">..……………………………… </w:t>
      </w:r>
    </w:p>
    <w:p w:rsidR="009D1F29" w:rsidRDefault="009D1F29">
      <w:pPr>
        <w:tabs>
          <w:tab w:val="center" w:pos="708"/>
          <w:tab w:val="center" w:pos="1416"/>
          <w:tab w:val="center" w:pos="2125"/>
          <w:tab w:val="center" w:pos="2833"/>
          <w:tab w:val="center" w:pos="3541"/>
          <w:tab w:val="center" w:pos="4249"/>
          <w:tab w:val="center" w:pos="4957"/>
          <w:tab w:val="center" w:pos="6634"/>
        </w:tabs>
        <w:spacing w:line="259" w:lineRule="auto"/>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Mgr. Marek Matěna </w:t>
      </w:r>
    </w:p>
    <w:p w:rsidR="009D1F29" w:rsidRDefault="009D1F29" w:rsidP="00A11852">
      <w:pPr>
        <w:spacing w:after="12" w:line="360" w:lineRule="auto"/>
        <w:ind w:left="-5" w:right="0"/>
        <w:jc w:val="left"/>
        <w:rPr>
          <w:b/>
          <w:color w:val="auto"/>
          <w:sz w:val="32"/>
        </w:rPr>
      </w:pPr>
      <w:r w:rsidRPr="004730E1">
        <w:rPr>
          <w:b/>
          <w:color w:val="auto"/>
          <w:sz w:val="32"/>
        </w:rPr>
        <w:t xml:space="preserve">Obsah </w:t>
      </w:r>
    </w:p>
    <w:p w:rsidR="009D1F29" w:rsidRPr="007436D5" w:rsidRDefault="009D1F29">
      <w:pPr>
        <w:pStyle w:val="TOC1"/>
        <w:tabs>
          <w:tab w:val="right" w:leader="dot" w:pos="9061"/>
        </w:tabs>
        <w:rPr>
          <w:b w:val="0"/>
          <w:noProof/>
          <w:color w:val="auto"/>
        </w:rPr>
      </w:pPr>
      <w:r w:rsidRPr="007436D5">
        <w:rPr>
          <w:b w:val="0"/>
          <w:color w:val="auto"/>
        </w:rPr>
        <w:fldChar w:fldCharType="begin"/>
      </w:r>
      <w:r w:rsidRPr="007436D5">
        <w:rPr>
          <w:b w:val="0"/>
          <w:color w:val="auto"/>
        </w:rPr>
        <w:instrText xml:space="preserve"> TOC \o "1-4" \h \z \u </w:instrText>
      </w:r>
      <w:r w:rsidRPr="007436D5">
        <w:rPr>
          <w:b w:val="0"/>
          <w:color w:val="auto"/>
        </w:rPr>
        <w:fldChar w:fldCharType="separate"/>
      </w:r>
      <w:hyperlink w:anchor="_Toc512979803" w:history="1">
        <w:r w:rsidRPr="007436D5">
          <w:rPr>
            <w:rStyle w:val="Hyperlink"/>
            <w:noProof/>
          </w:rPr>
          <w:t>Seznam použitých zkratek</w:t>
        </w:r>
        <w:r w:rsidRPr="007436D5">
          <w:rPr>
            <w:noProof/>
            <w:webHidden/>
          </w:rPr>
          <w:tab/>
        </w:r>
        <w:r>
          <w:rPr>
            <w:noProof/>
            <w:webHidden/>
          </w:rPr>
          <w:t>4</w:t>
        </w:r>
      </w:hyperlink>
    </w:p>
    <w:p w:rsidR="009D1F29" w:rsidRPr="007436D5" w:rsidRDefault="009D1F29">
      <w:pPr>
        <w:pStyle w:val="TOC1"/>
        <w:tabs>
          <w:tab w:val="right" w:leader="dot" w:pos="9061"/>
        </w:tabs>
        <w:rPr>
          <w:b w:val="0"/>
          <w:noProof/>
          <w:color w:val="auto"/>
        </w:rPr>
      </w:pPr>
      <w:hyperlink w:anchor="_Toc512979804" w:history="1">
        <w:r w:rsidRPr="007436D5">
          <w:rPr>
            <w:rStyle w:val="Hyperlink"/>
            <w:noProof/>
          </w:rPr>
          <w:t>Úvod</w:t>
        </w:r>
        <w:r w:rsidRPr="007436D5">
          <w:rPr>
            <w:noProof/>
            <w:webHidden/>
          </w:rPr>
          <w:tab/>
        </w:r>
        <w:r>
          <w:rPr>
            <w:noProof/>
            <w:webHidden/>
          </w:rPr>
          <w:t>5</w:t>
        </w:r>
      </w:hyperlink>
    </w:p>
    <w:p w:rsidR="009D1F29" w:rsidRPr="007436D5" w:rsidRDefault="009D1F29">
      <w:pPr>
        <w:pStyle w:val="TOC1"/>
        <w:tabs>
          <w:tab w:val="left" w:pos="505"/>
          <w:tab w:val="right" w:leader="dot" w:pos="9061"/>
        </w:tabs>
        <w:rPr>
          <w:b w:val="0"/>
          <w:noProof/>
          <w:color w:val="auto"/>
        </w:rPr>
      </w:pPr>
      <w:hyperlink w:anchor="_Toc512979805" w:history="1">
        <w:r w:rsidRPr="007436D5">
          <w:rPr>
            <w:rStyle w:val="Hyperlink"/>
            <w:bCs/>
            <w:noProof/>
            <w:u w:color="000000"/>
          </w:rPr>
          <w:t>1</w:t>
        </w:r>
        <w:r w:rsidRPr="007436D5">
          <w:rPr>
            <w:b w:val="0"/>
            <w:noProof/>
            <w:color w:val="auto"/>
          </w:rPr>
          <w:tab/>
        </w:r>
        <w:r w:rsidRPr="007436D5">
          <w:rPr>
            <w:rStyle w:val="Hyperlink"/>
            <w:noProof/>
          </w:rPr>
          <w:t>Proměny chápaní vlastnictví</w:t>
        </w:r>
        <w:r w:rsidRPr="007436D5">
          <w:rPr>
            <w:noProof/>
            <w:webHidden/>
          </w:rPr>
          <w:tab/>
        </w:r>
        <w:r>
          <w:rPr>
            <w:noProof/>
            <w:webHidden/>
          </w:rPr>
          <w:t>8</w:t>
        </w:r>
      </w:hyperlink>
    </w:p>
    <w:p w:rsidR="009D1F29" w:rsidRPr="007436D5" w:rsidRDefault="009D1F29">
      <w:pPr>
        <w:pStyle w:val="TOC2"/>
        <w:tabs>
          <w:tab w:val="left" w:pos="960"/>
          <w:tab w:val="right" w:leader="dot" w:pos="9061"/>
        </w:tabs>
        <w:rPr>
          <w:noProof/>
          <w:color w:val="auto"/>
          <w:sz w:val="22"/>
        </w:rPr>
      </w:pPr>
      <w:hyperlink w:anchor="_Toc512979806" w:history="1">
        <w:r w:rsidRPr="007436D5">
          <w:rPr>
            <w:rStyle w:val="Hyperlink"/>
            <w:bCs/>
            <w:noProof/>
            <w:sz w:val="22"/>
            <w:u w:color="000000"/>
          </w:rPr>
          <w:t>1.1</w:t>
        </w:r>
        <w:r w:rsidRPr="007436D5">
          <w:rPr>
            <w:noProof/>
            <w:color w:val="auto"/>
            <w:sz w:val="22"/>
          </w:rPr>
          <w:tab/>
        </w:r>
        <w:r w:rsidRPr="007436D5">
          <w:rPr>
            <w:rStyle w:val="Hyperlink"/>
            <w:noProof/>
            <w:sz w:val="22"/>
          </w:rPr>
          <w:t>Pojem vlastnictví</w:t>
        </w:r>
        <w:r w:rsidRPr="007436D5">
          <w:rPr>
            <w:noProof/>
            <w:webHidden/>
            <w:sz w:val="22"/>
          </w:rPr>
          <w:tab/>
        </w:r>
        <w:r>
          <w:rPr>
            <w:noProof/>
            <w:webHidden/>
            <w:sz w:val="22"/>
          </w:rPr>
          <w:t>8</w:t>
        </w:r>
      </w:hyperlink>
    </w:p>
    <w:p w:rsidR="009D1F29" w:rsidRPr="007436D5" w:rsidRDefault="009D1F29">
      <w:pPr>
        <w:pStyle w:val="TOC2"/>
        <w:tabs>
          <w:tab w:val="left" w:pos="960"/>
          <w:tab w:val="right" w:leader="dot" w:pos="9061"/>
        </w:tabs>
        <w:rPr>
          <w:noProof/>
          <w:color w:val="auto"/>
          <w:sz w:val="22"/>
        </w:rPr>
      </w:pPr>
      <w:hyperlink w:anchor="_Toc512979807" w:history="1">
        <w:r w:rsidRPr="007436D5">
          <w:rPr>
            <w:rStyle w:val="Hyperlink"/>
            <w:bCs/>
            <w:noProof/>
            <w:sz w:val="22"/>
            <w:u w:color="000000"/>
          </w:rPr>
          <w:t>1.2</w:t>
        </w:r>
        <w:r w:rsidRPr="007436D5">
          <w:rPr>
            <w:noProof/>
            <w:color w:val="auto"/>
            <w:sz w:val="22"/>
          </w:rPr>
          <w:tab/>
        </w:r>
        <w:r w:rsidRPr="007436D5">
          <w:rPr>
            <w:rStyle w:val="Hyperlink"/>
            <w:noProof/>
            <w:sz w:val="22"/>
          </w:rPr>
          <w:t>Předmět vlastnictví</w:t>
        </w:r>
        <w:r w:rsidRPr="007436D5">
          <w:rPr>
            <w:noProof/>
            <w:webHidden/>
            <w:sz w:val="22"/>
          </w:rPr>
          <w:tab/>
        </w:r>
        <w:r>
          <w:rPr>
            <w:noProof/>
            <w:webHidden/>
            <w:sz w:val="22"/>
          </w:rPr>
          <w:t>14</w:t>
        </w:r>
      </w:hyperlink>
    </w:p>
    <w:p w:rsidR="009D1F29" w:rsidRPr="007436D5" w:rsidRDefault="009D1F29">
      <w:pPr>
        <w:pStyle w:val="TOC2"/>
        <w:tabs>
          <w:tab w:val="left" w:pos="960"/>
          <w:tab w:val="right" w:leader="dot" w:pos="9061"/>
        </w:tabs>
        <w:rPr>
          <w:noProof/>
          <w:color w:val="auto"/>
          <w:sz w:val="22"/>
        </w:rPr>
      </w:pPr>
      <w:hyperlink w:anchor="_Toc512979808" w:history="1">
        <w:r w:rsidRPr="007436D5">
          <w:rPr>
            <w:rStyle w:val="Hyperlink"/>
            <w:bCs/>
            <w:noProof/>
            <w:sz w:val="22"/>
            <w:u w:color="000000"/>
          </w:rPr>
          <w:t>1.3</w:t>
        </w:r>
        <w:r w:rsidRPr="007436D5">
          <w:rPr>
            <w:noProof/>
            <w:color w:val="auto"/>
            <w:sz w:val="22"/>
          </w:rPr>
          <w:tab/>
        </w:r>
        <w:r w:rsidRPr="007436D5">
          <w:rPr>
            <w:rStyle w:val="Hyperlink"/>
            <w:noProof/>
            <w:sz w:val="22"/>
          </w:rPr>
          <w:t>Základní přístupy k vlastnictví</w:t>
        </w:r>
        <w:r w:rsidRPr="007436D5">
          <w:rPr>
            <w:noProof/>
            <w:webHidden/>
            <w:sz w:val="22"/>
          </w:rPr>
          <w:tab/>
        </w:r>
        <w:r>
          <w:rPr>
            <w:noProof/>
            <w:webHidden/>
            <w:sz w:val="22"/>
          </w:rPr>
          <w:t>18</w:t>
        </w:r>
      </w:hyperlink>
    </w:p>
    <w:p w:rsidR="009D1F29" w:rsidRPr="007436D5" w:rsidRDefault="009D1F29">
      <w:pPr>
        <w:pStyle w:val="TOC1"/>
        <w:tabs>
          <w:tab w:val="left" w:pos="505"/>
          <w:tab w:val="right" w:leader="dot" w:pos="9061"/>
        </w:tabs>
        <w:rPr>
          <w:b w:val="0"/>
          <w:noProof/>
          <w:color w:val="auto"/>
        </w:rPr>
      </w:pPr>
      <w:hyperlink w:anchor="_Toc512979809" w:history="1">
        <w:r w:rsidRPr="007436D5">
          <w:rPr>
            <w:rStyle w:val="Hyperlink"/>
            <w:bCs/>
            <w:noProof/>
            <w:u w:color="000000"/>
          </w:rPr>
          <w:t>2</w:t>
        </w:r>
        <w:r w:rsidRPr="007436D5">
          <w:rPr>
            <w:b w:val="0"/>
            <w:noProof/>
            <w:color w:val="auto"/>
          </w:rPr>
          <w:tab/>
        </w:r>
        <w:r w:rsidRPr="007436D5">
          <w:rPr>
            <w:rStyle w:val="Hyperlink"/>
            <w:noProof/>
          </w:rPr>
          <w:t>Ústavněprávní ochrana vlastnictví</w:t>
        </w:r>
        <w:r w:rsidRPr="007436D5">
          <w:rPr>
            <w:noProof/>
            <w:webHidden/>
          </w:rPr>
          <w:tab/>
        </w:r>
        <w:r>
          <w:rPr>
            <w:noProof/>
            <w:webHidden/>
          </w:rPr>
          <w:t>21</w:t>
        </w:r>
      </w:hyperlink>
    </w:p>
    <w:p w:rsidR="009D1F29" w:rsidRPr="007436D5" w:rsidRDefault="009D1F29">
      <w:pPr>
        <w:pStyle w:val="TOC2"/>
        <w:tabs>
          <w:tab w:val="left" w:pos="960"/>
          <w:tab w:val="right" w:leader="dot" w:pos="9061"/>
        </w:tabs>
        <w:rPr>
          <w:noProof/>
          <w:color w:val="auto"/>
          <w:sz w:val="22"/>
        </w:rPr>
      </w:pPr>
      <w:hyperlink w:anchor="_Toc512979810" w:history="1">
        <w:r w:rsidRPr="007436D5">
          <w:rPr>
            <w:rStyle w:val="Hyperlink"/>
            <w:bCs/>
            <w:noProof/>
            <w:sz w:val="22"/>
            <w:u w:color="000000"/>
          </w:rPr>
          <w:t>2.1</w:t>
        </w:r>
        <w:r w:rsidRPr="007436D5">
          <w:rPr>
            <w:noProof/>
            <w:color w:val="auto"/>
            <w:sz w:val="22"/>
          </w:rPr>
          <w:tab/>
        </w:r>
        <w:r w:rsidRPr="007436D5">
          <w:rPr>
            <w:rStyle w:val="Hyperlink"/>
            <w:noProof/>
            <w:sz w:val="22"/>
          </w:rPr>
          <w:t>Úprava vlastnického práva v Ústavě z roku 1920</w:t>
        </w:r>
        <w:r w:rsidRPr="007436D5">
          <w:rPr>
            <w:noProof/>
            <w:webHidden/>
            <w:sz w:val="22"/>
          </w:rPr>
          <w:tab/>
        </w:r>
        <w:r>
          <w:rPr>
            <w:noProof/>
            <w:webHidden/>
            <w:sz w:val="22"/>
          </w:rPr>
          <w:t>22</w:t>
        </w:r>
      </w:hyperlink>
    </w:p>
    <w:p w:rsidR="009D1F29" w:rsidRPr="007436D5" w:rsidRDefault="009D1F29">
      <w:pPr>
        <w:pStyle w:val="TOC2"/>
        <w:tabs>
          <w:tab w:val="left" w:pos="960"/>
          <w:tab w:val="right" w:leader="dot" w:pos="9061"/>
        </w:tabs>
        <w:rPr>
          <w:noProof/>
          <w:color w:val="auto"/>
          <w:sz w:val="22"/>
        </w:rPr>
      </w:pPr>
      <w:hyperlink w:anchor="_Toc512979811" w:history="1">
        <w:r w:rsidRPr="007436D5">
          <w:rPr>
            <w:rStyle w:val="Hyperlink"/>
            <w:bCs/>
            <w:noProof/>
            <w:sz w:val="22"/>
            <w:u w:color="000000"/>
          </w:rPr>
          <w:t>2.2</w:t>
        </w:r>
        <w:r w:rsidRPr="007436D5">
          <w:rPr>
            <w:noProof/>
            <w:color w:val="auto"/>
            <w:sz w:val="22"/>
          </w:rPr>
          <w:tab/>
        </w:r>
        <w:r w:rsidRPr="007436D5">
          <w:rPr>
            <w:rStyle w:val="Hyperlink"/>
            <w:noProof/>
            <w:sz w:val="22"/>
          </w:rPr>
          <w:t>Úprava vlastnického práva v Ústavě z roku 1948</w:t>
        </w:r>
        <w:r w:rsidRPr="007436D5">
          <w:rPr>
            <w:noProof/>
            <w:webHidden/>
            <w:sz w:val="22"/>
          </w:rPr>
          <w:tab/>
        </w:r>
        <w:r>
          <w:rPr>
            <w:noProof/>
            <w:webHidden/>
            <w:sz w:val="22"/>
          </w:rPr>
          <w:t>28</w:t>
        </w:r>
      </w:hyperlink>
    </w:p>
    <w:p w:rsidR="009D1F29" w:rsidRPr="007436D5" w:rsidRDefault="009D1F29">
      <w:pPr>
        <w:pStyle w:val="TOC2"/>
        <w:tabs>
          <w:tab w:val="left" w:pos="960"/>
          <w:tab w:val="right" w:leader="dot" w:pos="9061"/>
        </w:tabs>
        <w:rPr>
          <w:noProof/>
          <w:color w:val="auto"/>
          <w:sz w:val="22"/>
        </w:rPr>
      </w:pPr>
      <w:hyperlink w:anchor="_Toc512979812" w:history="1">
        <w:r w:rsidRPr="007436D5">
          <w:rPr>
            <w:rStyle w:val="Hyperlink"/>
            <w:bCs/>
            <w:noProof/>
            <w:sz w:val="22"/>
            <w:u w:color="000000"/>
          </w:rPr>
          <w:t>2.3</w:t>
        </w:r>
        <w:r w:rsidRPr="007436D5">
          <w:rPr>
            <w:noProof/>
            <w:color w:val="auto"/>
            <w:sz w:val="22"/>
          </w:rPr>
          <w:tab/>
        </w:r>
        <w:r w:rsidRPr="007436D5">
          <w:rPr>
            <w:rStyle w:val="Hyperlink"/>
            <w:noProof/>
            <w:sz w:val="22"/>
          </w:rPr>
          <w:t>Úprava vlastnického práva v Ústavě z roku 1960</w:t>
        </w:r>
        <w:r w:rsidRPr="007436D5">
          <w:rPr>
            <w:noProof/>
            <w:webHidden/>
            <w:sz w:val="22"/>
          </w:rPr>
          <w:tab/>
        </w:r>
        <w:r>
          <w:rPr>
            <w:noProof/>
            <w:webHidden/>
            <w:sz w:val="22"/>
          </w:rPr>
          <w:t>36</w:t>
        </w:r>
      </w:hyperlink>
    </w:p>
    <w:p w:rsidR="009D1F29" w:rsidRPr="007436D5" w:rsidRDefault="009D1F29">
      <w:pPr>
        <w:pStyle w:val="TOC2"/>
        <w:tabs>
          <w:tab w:val="left" w:pos="960"/>
          <w:tab w:val="right" w:leader="dot" w:pos="9061"/>
        </w:tabs>
        <w:rPr>
          <w:noProof/>
          <w:color w:val="auto"/>
          <w:sz w:val="22"/>
        </w:rPr>
      </w:pPr>
      <w:hyperlink w:anchor="_Toc512979813" w:history="1">
        <w:r w:rsidRPr="007436D5">
          <w:rPr>
            <w:rStyle w:val="Hyperlink"/>
            <w:bCs/>
            <w:noProof/>
            <w:sz w:val="22"/>
            <w:u w:color="000000"/>
          </w:rPr>
          <w:t>2.4</w:t>
        </w:r>
        <w:r w:rsidRPr="007436D5">
          <w:rPr>
            <w:noProof/>
            <w:color w:val="auto"/>
            <w:sz w:val="22"/>
          </w:rPr>
          <w:tab/>
        </w:r>
        <w:r w:rsidRPr="007436D5">
          <w:rPr>
            <w:rStyle w:val="Hyperlink"/>
            <w:noProof/>
            <w:sz w:val="22"/>
          </w:rPr>
          <w:t>Úprava vlastnického práva v Listině základních práv a svobod</w:t>
        </w:r>
        <w:r w:rsidRPr="007436D5">
          <w:rPr>
            <w:noProof/>
            <w:webHidden/>
            <w:sz w:val="22"/>
          </w:rPr>
          <w:tab/>
        </w:r>
        <w:r>
          <w:rPr>
            <w:noProof/>
            <w:webHidden/>
            <w:sz w:val="22"/>
          </w:rPr>
          <w:t>43</w:t>
        </w:r>
      </w:hyperlink>
    </w:p>
    <w:p w:rsidR="009D1F29" w:rsidRPr="007436D5" w:rsidRDefault="009D1F29">
      <w:pPr>
        <w:pStyle w:val="TOC2"/>
        <w:tabs>
          <w:tab w:val="left" w:pos="960"/>
          <w:tab w:val="right" w:leader="dot" w:pos="9061"/>
        </w:tabs>
        <w:rPr>
          <w:noProof/>
          <w:color w:val="auto"/>
          <w:sz w:val="22"/>
        </w:rPr>
      </w:pPr>
      <w:hyperlink w:anchor="_Toc512979814" w:history="1">
        <w:r w:rsidRPr="007436D5">
          <w:rPr>
            <w:rStyle w:val="Hyperlink"/>
            <w:bCs/>
            <w:noProof/>
            <w:sz w:val="22"/>
            <w:u w:color="000000"/>
          </w:rPr>
          <w:t>2.5</w:t>
        </w:r>
        <w:r w:rsidRPr="007436D5">
          <w:rPr>
            <w:noProof/>
            <w:color w:val="auto"/>
            <w:sz w:val="22"/>
          </w:rPr>
          <w:tab/>
        </w:r>
        <w:r w:rsidRPr="007436D5">
          <w:rPr>
            <w:rStyle w:val="Hyperlink"/>
            <w:noProof/>
            <w:sz w:val="22"/>
          </w:rPr>
          <w:t>Závěry z ústavněprávní ochrany vlastnictví</w:t>
        </w:r>
        <w:r w:rsidRPr="007436D5">
          <w:rPr>
            <w:noProof/>
            <w:webHidden/>
            <w:sz w:val="22"/>
          </w:rPr>
          <w:tab/>
        </w:r>
        <w:r>
          <w:rPr>
            <w:noProof/>
            <w:webHidden/>
            <w:sz w:val="22"/>
          </w:rPr>
          <w:t>50</w:t>
        </w:r>
      </w:hyperlink>
    </w:p>
    <w:p w:rsidR="009D1F29" w:rsidRPr="007436D5" w:rsidRDefault="009D1F29">
      <w:pPr>
        <w:pStyle w:val="TOC1"/>
        <w:tabs>
          <w:tab w:val="left" w:pos="505"/>
          <w:tab w:val="right" w:leader="dot" w:pos="9061"/>
        </w:tabs>
        <w:rPr>
          <w:b w:val="0"/>
          <w:noProof/>
          <w:color w:val="auto"/>
        </w:rPr>
      </w:pPr>
      <w:hyperlink w:anchor="_Toc512979815" w:history="1">
        <w:r w:rsidRPr="007436D5">
          <w:rPr>
            <w:rStyle w:val="Hyperlink"/>
            <w:bCs/>
            <w:noProof/>
            <w:u w:color="000000"/>
          </w:rPr>
          <w:t>3</w:t>
        </w:r>
        <w:r w:rsidRPr="007436D5">
          <w:rPr>
            <w:b w:val="0"/>
            <w:noProof/>
            <w:color w:val="auto"/>
          </w:rPr>
          <w:tab/>
        </w:r>
        <w:r w:rsidRPr="007436D5">
          <w:rPr>
            <w:rStyle w:val="Hyperlink"/>
            <w:noProof/>
          </w:rPr>
          <w:t>Občanskoprávní ochrana vlastnictví</w:t>
        </w:r>
        <w:r w:rsidRPr="007436D5">
          <w:rPr>
            <w:noProof/>
            <w:webHidden/>
          </w:rPr>
          <w:tab/>
        </w:r>
        <w:r>
          <w:rPr>
            <w:noProof/>
            <w:webHidden/>
          </w:rPr>
          <w:t>59</w:t>
        </w:r>
      </w:hyperlink>
    </w:p>
    <w:p w:rsidR="009D1F29" w:rsidRPr="007436D5" w:rsidRDefault="009D1F29">
      <w:pPr>
        <w:pStyle w:val="TOC2"/>
        <w:tabs>
          <w:tab w:val="left" w:pos="960"/>
          <w:tab w:val="right" w:leader="dot" w:pos="9061"/>
        </w:tabs>
        <w:rPr>
          <w:noProof/>
          <w:color w:val="auto"/>
          <w:sz w:val="22"/>
        </w:rPr>
      </w:pPr>
      <w:hyperlink w:anchor="_Toc512979816" w:history="1">
        <w:r w:rsidRPr="007436D5">
          <w:rPr>
            <w:rStyle w:val="Hyperlink"/>
            <w:bCs/>
            <w:noProof/>
            <w:sz w:val="22"/>
            <w:u w:color="000000"/>
          </w:rPr>
          <w:t>3.1</w:t>
        </w:r>
        <w:r w:rsidRPr="007436D5">
          <w:rPr>
            <w:noProof/>
            <w:color w:val="auto"/>
            <w:sz w:val="22"/>
          </w:rPr>
          <w:tab/>
        </w:r>
        <w:r w:rsidRPr="007436D5">
          <w:rPr>
            <w:rStyle w:val="Hyperlink"/>
            <w:noProof/>
            <w:sz w:val="22"/>
          </w:rPr>
          <w:t>Vydržení</w:t>
        </w:r>
        <w:r w:rsidRPr="007436D5">
          <w:rPr>
            <w:noProof/>
            <w:webHidden/>
            <w:sz w:val="22"/>
          </w:rPr>
          <w:tab/>
        </w:r>
        <w:r>
          <w:rPr>
            <w:noProof/>
            <w:webHidden/>
            <w:sz w:val="22"/>
          </w:rPr>
          <w:t>61</w:t>
        </w:r>
      </w:hyperlink>
    </w:p>
    <w:p w:rsidR="009D1F29" w:rsidRPr="007436D5" w:rsidRDefault="009D1F29">
      <w:pPr>
        <w:pStyle w:val="TOC3"/>
        <w:tabs>
          <w:tab w:val="left" w:pos="1440"/>
          <w:tab w:val="right" w:leader="dot" w:pos="9061"/>
        </w:tabs>
        <w:rPr>
          <w:noProof/>
          <w:color w:val="auto"/>
          <w:sz w:val="22"/>
        </w:rPr>
      </w:pPr>
      <w:hyperlink w:anchor="_Toc512979817" w:history="1">
        <w:r w:rsidRPr="007436D5">
          <w:rPr>
            <w:rStyle w:val="Hyperlink"/>
            <w:bCs/>
            <w:noProof/>
            <w:sz w:val="22"/>
            <w:u w:color="000000"/>
          </w:rPr>
          <w:t>3.1.1</w:t>
        </w:r>
        <w:r w:rsidRPr="007436D5">
          <w:rPr>
            <w:noProof/>
            <w:color w:val="auto"/>
            <w:sz w:val="22"/>
          </w:rPr>
          <w:tab/>
        </w:r>
        <w:r w:rsidRPr="007436D5">
          <w:rPr>
            <w:rStyle w:val="Hyperlink"/>
            <w:noProof/>
            <w:sz w:val="22"/>
          </w:rPr>
          <w:t>Vydržení v občanském zákoníku z roku 1811</w:t>
        </w:r>
        <w:r w:rsidRPr="007436D5">
          <w:rPr>
            <w:noProof/>
            <w:webHidden/>
            <w:sz w:val="22"/>
          </w:rPr>
          <w:tab/>
        </w:r>
        <w:r>
          <w:rPr>
            <w:noProof/>
            <w:webHidden/>
            <w:sz w:val="22"/>
          </w:rPr>
          <w:t>62</w:t>
        </w:r>
      </w:hyperlink>
    </w:p>
    <w:p w:rsidR="009D1F29" w:rsidRPr="007436D5" w:rsidRDefault="009D1F29">
      <w:pPr>
        <w:pStyle w:val="TOC3"/>
        <w:tabs>
          <w:tab w:val="left" w:pos="1440"/>
          <w:tab w:val="right" w:leader="dot" w:pos="9061"/>
        </w:tabs>
        <w:rPr>
          <w:noProof/>
          <w:color w:val="auto"/>
          <w:sz w:val="22"/>
        </w:rPr>
      </w:pPr>
      <w:hyperlink w:anchor="_Toc512979818" w:history="1">
        <w:r w:rsidRPr="007436D5">
          <w:rPr>
            <w:rStyle w:val="Hyperlink"/>
            <w:bCs/>
            <w:noProof/>
            <w:sz w:val="22"/>
            <w:u w:color="000000"/>
          </w:rPr>
          <w:t>3.1.2</w:t>
        </w:r>
        <w:r w:rsidRPr="007436D5">
          <w:rPr>
            <w:noProof/>
            <w:color w:val="auto"/>
            <w:sz w:val="22"/>
          </w:rPr>
          <w:tab/>
        </w:r>
        <w:r w:rsidRPr="007436D5">
          <w:rPr>
            <w:rStyle w:val="Hyperlink"/>
            <w:noProof/>
            <w:sz w:val="22"/>
          </w:rPr>
          <w:t>Vydržení v občanském zákoníku z roku 1950</w:t>
        </w:r>
        <w:r w:rsidRPr="007436D5">
          <w:rPr>
            <w:noProof/>
            <w:webHidden/>
            <w:sz w:val="22"/>
          </w:rPr>
          <w:tab/>
        </w:r>
        <w:r>
          <w:rPr>
            <w:noProof/>
            <w:webHidden/>
            <w:sz w:val="22"/>
          </w:rPr>
          <w:t>64</w:t>
        </w:r>
      </w:hyperlink>
    </w:p>
    <w:p w:rsidR="009D1F29" w:rsidRPr="007436D5" w:rsidRDefault="009D1F29">
      <w:pPr>
        <w:pStyle w:val="TOC3"/>
        <w:tabs>
          <w:tab w:val="left" w:pos="1440"/>
          <w:tab w:val="right" w:leader="dot" w:pos="9061"/>
        </w:tabs>
        <w:rPr>
          <w:noProof/>
          <w:color w:val="auto"/>
          <w:sz w:val="22"/>
        </w:rPr>
      </w:pPr>
      <w:hyperlink w:anchor="_Toc512979819" w:history="1">
        <w:r w:rsidRPr="007436D5">
          <w:rPr>
            <w:rStyle w:val="Hyperlink"/>
            <w:bCs/>
            <w:noProof/>
            <w:sz w:val="22"/>
            <w:u w:color="000000"/>
          </w:rPr>
          <w:t>3.1.3</w:t>
        </w:r>
        <w:r w:rsidRPr="007436D5">
          <w:rPr>
            <w:noProof/>
            <w:color w:val="auto"/>
            <w:sz w:val="22"/>
          </w:rPr>
          <w:tab/>
        </w:r>
        <w:r w:rsidRPr="007436D5">
          <w:rPr>
            <w:rStyle w:val="Hyperlink"/>
            <w:noProof/>
            <w:sz w:val="22"/>
          </w:rPr>
          <w:t>Vydržení v občanském zákoníku z roku 1964</w:t>
        </w:r>
        <w:r w:rsidRPr="007436D5">
          <w:rPr>
            <w:noProof/>
            <w:webHidden/>
            <w:sz w:val="22"/>
          </w:rPr>
          <w:tab/>
        </w:r>
        <w:r>
          <w:rPr>
            <w:noProof/>
            <w:webHidden/>
            <w:sz w:val="22"/>
          </w:rPr>
          <w:t>66</w:t>
        </w:r>
      </w:hyperlink>
    </w:p>
    <w:p w:rsidR="009D1F29" w:rsidRPr="007436D5" w:rsidRDefault="009D1F29">
      <w:pPr>
        <w:pStyle w:val="TOC3"/>
        <w:tabs>
          <w:tab w:val="left" w:pos="1440"/>
          <w:tab w:val="right" w:leader="dot" w:pos="9061"/>
        </w:tabs>
        <w:rPr>
          <w:noProof/>
          <w:color w:val="auto"/>
          <w:sz w:val="22"/>
        </w:rPr>
      </w:pPr>
      <w:hyperlink w:anchor="_Toc512979820" w:history="1">
        <w:r w:rsidRPr="007436D5">
          <w:rPr>
            <w:rStyle w:val="Hyperlink"/>
            <w:bCs/>
            <w:noProof/>
            <w:sz w:val="22"/>
            <w:u w:color="000000"/>
          </w:rPr>
          <w:t>3.1.4</w:t>
        </w:r>
        <w:r w:rsidRPr="007436D5">
          <w:rPr>
            <w:noProof/>
            <w:color w:val="auto"/>
            <w:sz w:val="22"/>
          </w:rPr>
          <w:tab/>
        </w:r>
        <w:r w:rsidRPr="007436D5">
          <w:rPr>
            <w:rStyle w:val="Hyperlink"/>
            <w:noProof/>
            <w:sz w:val="22"/>
          </w:rPr>
          <w:t>Vydržení v občanském zákoníku</w:t>
        </w:r>
        <w:r w:rsidRPr="007436D5">
          <w:rPr>
            <w:noProof/>
            <w:webHidden/>
            <w:sz w:val="22"/>
          </w:rPr>
          <w:tab/>
        </w:r>
        <w:r>
          <w:rPr>
            <w:noProof/>
            <w:webHidden/>
            <w:sz w:val="22"/>
          </w:rPr>
          <w:t>68</w:t>
        </w:r>
      </w:hyperlink>
    </w:p>
    <w:p w:rsidR="009D1F29" w:rsidRPr="007436D5" w:rsidRDefault="009D1F29">
      <w:pPr>
        <w:pStyle w:val="TOC2"/>
        <w:tabs>
          <w:tab w:val="left" w:pos="960"/>
          <w:tab w:val="right" w:leader="dot" w:pos="9061"/>
        </w:tabs>
        <w:rPr>
          <w:noProof/>
          <w:color w:val="auto"/>
          <w:sz w:val="22"/>
        </w:rPr>
      </w:pPr>
      <w:hyperlink w:anchor="_Toc512979821" w:history="1">
        <w:r w:rsidRPr="007436D5">
          <w:rPr>
            <w:rStyle w:val="Hyperlink"/>
            <w:bCs/>
            <w:noProof/>
            <w:sz w:val="22"/>
            <w:u w:color="000000"/>
          </w:rPr>
          <w:t>3.2</w:t>
        </w:r>
        <w:r w:rsidRPr="007436D5">
          <w:rPr>
            <w:noProof/>
            <w:color w:val="auto"/>
            <w:sz w:val="22"/>
          </w:rPr>
          <w:tab/>
        </w:r>
        <w:r w:rsidRPr="007436D5">
          <w:rPr>
            <w:rStyle w:val="Hyperlink"/>
            <w:noProof/>
            <w:sz w:val="22"/>
          </w:rPr>
          <w:t>Nabytí vlastnického práva od neoprávněného</w:t>
        </w:r>
        <w:r w:rsidRPr="007436D5">
          <w:rPr>
            <w:noProof/>
            <w:webHidden/>
            <w:sz w:val="22"/>
          </w:rPr>
          <w:tab/>
        </w:r>
        <w:r>
          <w:rPr>
            <w:noProof/>
            <w:webHidden/>
            <w:sz w:val="22"/>
          </w:rPr>
          <w:t>69</w:t>
        </w:r>
      </w:hyperlink>
    </w:p>
    <w:p w:rsidR="009D1F29" w:rsidRPr="007436D5" w:rsidRDefault="009D1F29">
      <w:pPr>
        <w:pStyle w:val="TOC3"/>
        <w:tabs>
          <w:tab w:val="left" w:pos="1440"/>
          <w:tab w:val="right" w:leader="dot" w:pos="9061"/>
        </w:tabs>
        <w:rPr>
          <w:noProof/>
          <w:color w:val="auto"/>
          <w:sz w:val="22"/>
        </w:rPr>
      </w:pPr>
      <w:hyperlink w:anchor="_Toc512979822" w:history="1">
        <w:r w:rsidRPr="007436D5">
          <w:rPr>
            <w:rStyle w:val="Hyperlink"/>
            <w:bCs/>
            <w:noProof/>
            <w:sz w:val="22"/>
            <w:u w:color="000000"/>
          </w:rPr>
          <w:t>3.2.1</w:t>
        </w:r>
        <w:r w:rsidRPr="007436D5">
          <w:rPr>
            <w:noProof/>
            <w:color w:val="auto"/>
            <w:sz w:val="22"/>
          </w:rPr>
          <w:tab/>
        </w:r>
        <w:r w:rsidRPr="007436D5">
          <w:rPr>
            <w:rStyle w:val="Hyperlink"/>
            <w:noProof/>
            <w:sz w:val="22"/>
          </w:rPr>
          <w:t>Nabytí od neoprávněného v občanském zákoníku z roku 1811</w:t>
        </w:r>
        <w:r w:rsidRPr="007436D5">
          <w:rPr>
            <w:noProof/>
            <w:webHidden/>
            <w:sz w:val="22"/>
          </w:rPr>
          <w:tab/>
        </w:r>
        <w:r>
          <w:rPr>
            <w:noProof/>
            <w:webHidden/>
            <w:sz w:val="22"/>
          </w:rPr>
          <w:t>71</w:t>
        </w:r>
      </w:hyperlink>
    </w:p>
    <w:p w:rsidR="009D1F29" w:rsidRPr="007436D5" w:rsidRDefault="009D1F29">
      <w:pPr>
        <w:pStyle w:val="TOC3"/>
        <w:tabs>
          <w:tab w:val="left" w:pos="1440"/>
          <w:tab w:val="right" w:leader="dot" w:pos="9061"/>
        </w:tabs>
        <w:rPr>
          <w:noProof/>
          <w:color w:val="auto"/>
          <w:sz w:val="22"/>
        </w:rPr>
      </w:pPr>
      <w:hyperlink w:anchor="_Toc512979823" w:history="1">
        <w:r w:rsidRPr="007436D5">
          <w:rPr>
            <w:rStyle w:val="Hyperlink"/>
            <w:bCs/>
            <w:noProof/>
            <w:sz w:val="22"/>
            <w:u w:color="000000"/>
          </w:rPr>
          <w:t>3.2.2</w:t>
        </w:r>
        <w:r w:rsidRPr="007436D5">
          <w:rPr>
            <w:noProof/>
            <w:color w:val="auto"/>
            <w:sz w:val="22"/>
          </w:rPr>
          <w:tab/>
        </w:r>
        <w:r w:rsidRPr="007436D5">
          <w:rPr>
            <w:rStyle w:val="Hyperlink"/>
            <w:noProof/>
            <w:sz w:val="22"/>
          </w:rPr>
          <w:t>Nabytí od neoprávněného v občanském zákoníku z roku 1950</w:t>
        </w:r>
        <w:r w:rsidRPr="007436D5">
          <w:rPr>
            <w:noProof/>
            <w:webHidden/>
            <w:sz w:val="22"/>
          </w:rPr>
          <w:tab/>
        </w:r>
        <w:r>
          <w:rPr>
            <w:noProof/>
            <w:webHidden/>
            <w:sz w:val="22"/>
          </w:rPr>
          <w:t>73</w:t>
        </w:r>
      </w:hyperlink>
    </w:p>
    <w:p w:rsidR="009D1F29" w:rsidRPr="007436D5" w:rsidRDefault="009D1F29">
      <w:pPr>
        <w:pStyle w:val="TOC3"/>
        <w:tabs>
          <w:tab w:val="left" w:pos="1440"/>
          <w:tab w:val="right" w:leader="dot" w:pos="9061"/>
        </w:tabs>
        <w:rPr>
          <w:noProof/>
          <w:color w:val="auto"/>
          <w:sz w:val="22"/>
        </w:rPr>
      </w:pPr>
      <w:hyperlink w:anchor="_Toc512979824" w:history="1">
        <w:r w:rsidRPr="007436D5">
          <w:rPr>
            <w:rStyle w:val="Hyperlink"/>
            <w:bCs/>
            <w:noProof/>
            <w:sz w:val="22"/>
            <w:u w:color="000000"/>
          </w:rPr>
          <w:t>3.2.3</w:t>
        </w:r>
        <w:r w:rsidRPr="007436D5">
          <w:rPr>
            <w:noProof/>
            <w:color w:val="auto"/>
            <w:sz w:val="22"/>
          </w:rPr>
          <w:tab/>
        </w:r>
        <w:r w:rsidRPr="007436D5">
          <w:rPr>
            <w:rStyle w:val="Hyperlink"/>
            <w:noProof/>
            <w:sz w:val="22"/>
          </w:rPr>
          <w:t>Nabytí od neoprávněného v občanském zákoníku z roku 1964</w:t>
        </w:r>
        <w:r w:rsidRPr="007436D5">
          <w:rPr>
            <w:noProof/>
            <w:webHidden/>
            <w:sz w:val="22"/>
          </w:rPr>
          <w:tab/>
        </w:r>
        <w:r>
          <w:rPr>
            <w:noProof/>
            <w:webHidden/>
            <w:sz w:val="22"/>
          </w:rPr>
          <w:t>74</w:t>
        </w:r>
      </w:hyperlink>
    </w:p>
    <w:p w:rsidR="009D1F29" w:rsidRPr="007436D5" w:rsidRDefault="009D1F29">
      <w:pPr>
        <w:pStyle w:val="TOC3"/>
        <w:tabs>
          <w:tab w:val="left" w:pos="1440"/>
          <w:tab w:val="right" w:leader="dot" w:pos="9061"/>
        </w:tabs>
        <w:rPr>
          <w:noProof/>
          <w:color w:val="auto"/>
          <w:sz w:val="22"/>
        </w:rPr>
      </w:pPr>
      <w:hyperlink w:anchor="_Toc512979825" w:history="1">
        <w:r w:rsidRPr="007436D5">
          <w:rPr>
            <w:rStyle w:val="Hyperlink"/>
            <w:bCs/>
            <w:noProof/>
            <w:sz w:val="22"/>
            <w:u w:color="000000"/>
          </w:rPr>
          <w:t>3.2.4</w:t>
        </w:r>
        <w:r w:rsidRPr="007436D5">
          <w:rPr>
            <w:noProof/>
            <w:color w:val="auto"/>
            <w:sz w:val="22"/>
          </w:rPr>
          <w:tab/>
        </w:r>
        <w:r w:rsidRPr="007436D5">
          <w:rPr>
            <w:rStyle w:val="Hyperlink"/>
            <w:noProof/>
            <w:sz w:val="22"/>
          </w:rPr>
          <w:t>Nabytí od neoprávněného v občanském zákoníku</w:t>
        </w:r>
        <w:r w:rsidRPr="007436D5">
          <w:rPr>
            <w:noProof/>
            <w:webHidden/>
            <w:sz w:val="22"/>
          </w:rPr>
          <w:tab/>
        </w:r>
        <w:r>
          <w:rPr>
            <w:noProof/>
            <w:webHidden/>
            <w:sz w:val="22"/>
          </w:rPr>
          <w:t>77</w:t>
        </w:r>
      </w:hyperlink>
    </w:p>
    <w:p w:rsidR="009D1F29" w:rsidRPr="007436D5" w:rsidRDefault="009D1F29">
      <w:pPr>
        <w:pStyle w:val="TOC2"/>
        <w:tabs>
          <w:tab w:val="left" w:pos="960"/>
          <w:tab w:val="right" w:leader="dot" w:pos="9061"/>
        </w:tabs>
        <w:rPr>
          <w:noProof/>
          <w:color w:val="auto"/>
          <w:sz w:val="22"/>
        </w:rPr>
      </w:pPr>
      <w:hyperlink w:anchor="_Toc512979826" w:history="1">
        <w:r w:rsidRPr="007436D5">
          <w:rPr>
            <w:rStyle w:val="Hyperlink"/>
            <w:bCs/>
            <w:noProof/>
            <w:sz w:val="22"/>
            <w:u w:color="000000"/>
          </w:rPr>
          <w:t>3.3</w:t>
        </w:r>
        <w:r w:rsidRPr="007436D5">
          <w:rPr>
            <w:noProof/>
            <w:color w:val="auto"/>
            <w:sz w:val="22"/>
          </w:rPr>
          <w:tab/>
        </w:r>
        <w:r w:rsidRPr="007436D5">
          <w:rPr>
            <w:rStyle w:val="Hyperlink"/>
            <w:noProof/>
            <w:sz w:val="22"/>
          </w:rPr>
          <w:t>Podmínky a příkazy u poslední vůle</w:t>
        </w:r>
        <w:r w:rsidRPr="007436D5">
          <w:rPr>
            <w:noProof/>
            <w:webHidden/>
            <w:sz w:val="22"/>
          </w:rPr>
          <w:tab/>
        </w:r>
        <w:r>
          <w:rPr>
            <w:noProof/>
            <w:webHidden/>
            <w:sz w:val="22"/>
          </w:rPr>
          <w:t>79</w:t>
        </w:r>
      </w:hyperlink>
    </w:p>
    <w:p w:rsidR="009D1F29" w:rsidRPr="007436D5" w:rsidRDefault="009D1F29">
      <w:pPr>
        <w:pStyle w:val="TOC3"/>
        <w:tabs>
          <w:tab w:val="left" w:pos="1440"/>
          <w:tab w:val="right" w:leader="dot" w:pos="9061"/>
        </w:tabs>
        <w:rPr>
          <w:noProof/>
          <w:color w:val="auto"/>
          <w:sz w:val="22"/>
        </w:rPr>
      </w:pPr>
      <w:hyperlink w:anchor="_Toc512979827" w:history="1">
        <w:r w:rsidRPr="007436D5">
          <w:rPr>
            <w:rStyle w:val="Hyperlink"/>
            <w:bCs/>
            <w:noProof/>
            <w:sz w:val="22"/>
            <w:u w:color="000000"/>
          </w:rPr>
          <w:t>3.3.1</w:t>
        </w:r>
        <w:r w:rsidRPr="007436D5">
          <w:rPr>
            <w:noProof/>
            <w:color w:val="auto"/>
            <w:sz w:val="22"/>
          </w:rPr>
          <w:tab/>
        </w:r>
        <w:r w:rsidRPr="007436D5">
          <w:rPr>
            <w:rStyle w:val="Hyperlink"/>
            <w:noProof/>
            <w:sz w:val="22"/>
          </w:rPr>
          <w:t>Podmínky a příkazy u poslední vůle v občanském zákoníku z roku 1811</w:t>
        </w:r>
        <w:r w:rsidRPr="007436D5">
          <w:rPr>
            <w:noProof/>
            <w:webHidden/>
            <w:sz w:val="22"/>
          </w:rPr>
          <w:tab/>
        </w:r>
        <w:r>
          <w:rPr>
            <w:noProof/>
            <w:webHidden/>
            <w:sz w:val="22"/>
          </w:rPr>
          <w:t>80</w:t>
        </w:r>
      </w:hyperlink>
    </w:p>
    <w:p w:rsidR="009D1F29" w:rsidRPr="007436D5" w:rsidRDefault="009D1F29">
      <w:pPr>
        <w:pStyle w:val="TOC3"/>
        <w:tabs>
          <w:tab w:val="left" w:pos="1440"/>
          <w:tab w:val="right" w:leader="dot" w:pos="9061"/>
        </w:tabs>
        <w:rPr>
          <w:noProof/>
          <w:color w:val="auto"/>
          <w:sz w:val="22"/>
        </w:rPr>
      </w:pPr>
      <w:hyperlink w:anchor="_Toc512979828" w:history="1">
        <w:r w:rsidRPr="007436D5">
          <w:rPr>
            <w:rStyle w:val="Hyperlink"/>
            <w:bCs/>
            <w:noProof/>
            <w:sz w:val="22"/>
            <w:u w:color="000000"/>
          </w:rPr>
          <w:t>3.3.2</w:t>
        </w:r>
        <w:r w:rsidRPr="007436D5">
          <w:rPr>
            <w:noProof/>
            <w:color w:val="auto"/>
            <w:sz w:val="22"/>
          </w:rPr>
          <w:tab/>
        </w:r>
        <w:r w:rsidRPr="007436D5">
          <w:rPr>
            <w:rStyle w:val="Hyperlink"/>
            <w:noProof/>
            <w:sz w:val="22"/>
          </w:rPr>
          <w:t>Podmínky a příkazy u poslední vůle v občanském zákoníku z roku 1950</w:t>
        </w:r>
        <w:r w:rsidRPr="007436D5">
          <w:rPr>
            <w:noProof/>
            <w:webHidden/>
            <w:sz w:val="22"/>
          </w:rPr>
          <w:tab/>
        </w:r>
        <w:r>
          <w:rPr>
            <w:noProof/>
            <w:webHidden/>
            <w:sz w:val="22"/>
          </w:rPr>
          <w:t>82</w:t>
        </w:r>
      </w:hyperlink>
    </w:p>
    <w:p w:rsidR="009D1F29" w:rsidRPr="007436D5" w:rsidRDefault="009D1F29">
      <w:pPr>
        <w:pStyle w:val="TOC3"/>
        <w:tabs>
          <w:tab w:val="left" w:pos="1440"/>
          <w:tab w:val="right" w:leader="dot" w:pos="9061"/>
        </w:tabs>
        <w:rPr>
          <w:noProof/>
          <w:color w:val="auto"/>
          <w:sz w:val="22"/>
        </w:rPr>
      </w:pPr>
      <w:hyperlink w:anchor="_Toc512979829" w:history="1">
        <w:r w:rsidRPr="007436D5">
          <w:rPr>
            <w:rStyle w:val="Hyperlink"/>
            <w:bCs/>
            <w:noProof/>
            <w:sz w:val="22"/>
            <w:u w:color="000000"/>
          </w:rPr>
          <w:t>3.3.3</w:t>
        </w:r>
        <w:r w:rsidRPr="007436D5">
          <w:rPr>
            <w:noProof/>
            <w:color w:val="auto"/>
            <w:sz w:val="22"/>
          </w:rPr>
          <w:tab/>
        </w:r>
        <w:r w:rsidRPr="007436D5">
          <w:rPr>
            <w:rStyle w:val="Hyperlink"/>
            <w:noProof/>
            <w:sz w:val="22"/>
          </w:rPr>
          <w:t>Podmínky a příkazy u poslední vůle v občanském zákoníku z roku 1964</w:t>
        </w:r>
        <w:r w:rsidRPr="007436D5">
          <w:rPr>
            <w:noProof/>
            <w:webHidden/>
            <w:sz w:val="22"/>
          </w:rPr>
          <w:tab/>
        </w:r>
        <w:r>
          <w:rPr>
            <w:noProof/>
            <w:webHidden/>
            <w:sz w:val="22"/>
          </w:rPr>
          <w:t>84</w:t>
        </w:r>
      </w:hyperlink>
    </w:p>
    <w:p w:rsidR="009D1F29" w:rsidRPr="007436D5" w:rsidRDefault="009D1F29">
      <w:pPr>
        <w:pStyle w:val="TOC3"/>
        <w:tabs>
          <w:tab w:val="left" w:pos="1440"/>
          <w:tab w:val="right" w:leader="dot" w:pos="9061"/>
        </w:tabs>
        <w:rPr>
          <w:noProof/>
          <w:color w:val="auto"/>
          <w:sz w:val="22"/>
        </w:rPr>
      </w:pPr>
      <w:hyperlink w:anchor="_Toc512979830" w:history="1">
        <w:r w:rsidRPr="007436D5">
          <w:rPr>
            <w:rStyle w:val="Hyperlink"/>
            <w:bCs/>
            <w:noProof/>
            <w:sz w:val="22"/>
            <w:u w:color="000000"/>
          </w:rPr>
          <w:t>3.3.4</w:t>
        </w:r>
        <w:r w:rsidRPr="007436D5">
          <w:rPr>
            <w:noProof/>
            <w:color w:val="auto"/>
            <w:sz w:val="22"/>
          </w:rPr>
          <w:tab/>
        </w:r>
        <w:r w:rsidRPr="007436D5">
          <w:rPr>
            <w:rStyle w:val="Hyperlink"/>
            <w:noProof/>
            <w:sz w:val="22"/>
          </w:rPr>
          <w:t>Podmínky a příkazy u poslední vůle v občanském zákoníku</w:t>
        </w:r>
        <w:r w:rsidRPr="007436D5">
          <w:rPr>
            <w:noProof/>
            <w:webHidden/>
            <w:sz w:val="22"/>
          </w:rPr>
          <w:tab/>
        </w:r>
        <w:r>
          <w:rPr>
            <w:noProof/>
            <w:webHidden/>
            <w:sz w:val="22"/>
          </w:rPr>
          <w:t>86</w:t>
        </w:r>
      </w:hyperlink>
    </w:p>
    <w:p w:rsidR="009D1F29" w:rsidRPr="007436D5" w:rsidRDefault="009D1F29">
      <w:pPr>
        <w:pStyle w:val="TOC1"/>
        <w:tabs>
          <w:tab w:val="right" w:leader="dot" w:pos="9061"/>
        </w:tabs>
        <w:rPr>
          <w:b w:val="0"/>
          <w:noProof/>
          <w:color w:val="auto"/>
        </w:rPr>
      </w:pPr>
      <w:hyperlink w:anchor="_Toc512979831" w:history="1">
        <w:r w:rsidRPr="007436D5">
          <w:rPr>
            <w:rStyle w:val="Hyperlink"/>
            <w:noProof/>
          </w:rPr>
          <w:t>Závěr</w:t>
        </w:r>
        <w:r w:rsidRPr="007436D5">
          <w:rPr>
            <w:noProof/>
            <w:webHidden/>
          </w:rPr>
          <w:tab/>
        </w:r>
        <w:r>
          <w:rPr>
            <w:noProof/>
            <w:webHidden/>
          </w:rPr>
          <w:t>90</w:t>
        </w:r>
      </w:hyperlink>
    </w:p>
    <w:p w:rsidR="009D1F29" w:rsidRPr="007436D5" w:rsidRDefault="009D1F29">
      <w:pPr>
        <w:pStyle w:val="TOC1"/>
        <w:tabs>
          <w:tab w:val="right" w:leader="dot" w:pos="9061"/>
        </w:tabs>
        <w:rPr>
          <w:b w:val="0"/>
          <w:noProof/>
          <w:color w:val="auto"/>
        </w:rPr>
      </w:pPr>
      <w:hyperlink w:anchor="_Toc512979832" w:history="1">
        <w:r w:rsidRPr="007436D5">
          <w:rPr>
            <w:rStyle w:val="Hyperlink"/>
            <w:noProof/>
          </w:rPr>
          <w:t>Seznam použitých zdrojů</w:t>
        </w:r>
        <w:r w:rsidRPr="007436D5">
          <w:rPr>
            <w:noProof/>
            <w:webHidden/>
          </w:rPr>
          <w:tab/>
        </w:r>
        <w:r>
          <w:rPr>
            <w:noProof/>
            <w:webHidden/>
          </w:rPr>
          <w:t>94</w:t>
        </w:r>
      </w:hyperlink>
    </w:p>
    <w:p w:rsidR="009D1F29" w:rsidRPr="007436D5" w:rsidRDefault="009D1F29">
      <w:pPr>
        <w:pStyle w:val="TOC1"/>
        <w:tabs>
          <w:tab w:val="right" w:leader="dot" w:pos="9061"/>
        </w:tabs>
        <w:rPr>
          <w:b w:val="0"/>
          <w:noProof/>
          <w:color w:val="auto"/>
        </w:rPr>
      </w:pPr>
      <w:hyperlink w:anchor="_Toc512979833" w:history="1">
        <w:r w:rsidRPr="007436D5">
          <w:rPr>
            <w:rStyle w:val="Hyperlink"/>
            <w:noProof/>
          </w:rPr>
          <w:t>Shrnutí</w:t>
        </w:r>
        <w:r w:rsidRPr="007436D5">
          <w:rPr>
            <w:noProof/>
            <w:webHidden/>
          </w:rPr>
          <w:tab/>
        </w:r>
        <w:r>
          <w:rPr>
            <w:noProof/>
            <w:webHidden/>
          </w:rPr>
          <w:t>109</w:t>
        </w:r>
      </w:hyperlink>
    </w:p>
    <w:p w:rsidR="009D1F29" w:rsidRPr="007436D5" w:rsidRDefault="009D1F29">
      <w:pPr>
        <w:pStyle w:val="TOC1"/>
        <w:tabs>
          <w:tab w:val="right" w:leader="dot" w:pos="9061"/>
        </w:tabs>
        <w:rPr>
          <w:b w:val="0"/>
          <w:noProof/>
          <w:color w:val="auto"/>
        </w:rPr>
      </w:pPr>
      <w:hyperlink w:anchor="_Toc512979834" w:history="1">
        <w:r w:rsidRPr="007436D5">
          <w:rPr>
            <w:rStyle w:val="Hyperlink"/>
            <w:noProof/>
          </w:rPr>
          <w:t>Summary</w:t>
        </w:r>
        <w:r w:rsidRPr="007436D5">
          <w:rPr>
            <w:noProof/>
            <w:webHidden/>
          </w:rPr>
          <w:tab/>
        </w:r>
        <w:r>
          <w:rPr>
            <w:noProof/>
            <w:webHidden/>
          </w:rPr>
          <w:t>110</w:t>
        </w:r>
      </w:hyperlink>
    </w:p>
    <w:p w:rsidR="009D1F29" w:rsidRPr="007436D5" w:rsidRDefault="009D1F29">
      <w:pPr>
        <w:pStyle w:val="TOC1"/>
        <w:tabs>
          <w:tab w:val="right" w:leader="dot" w:pos="9061"/>
        </w:tabs>
        <w:rPr>
          <w:b w:val="0"/>
          <w:noProof/>
          <w:color w:val="auto"/>
        </w:rPr>
      </w:pPr>
      <w:hyperlink w:anchor="_Toc512979835" w:history="1">
        <w:r w:rsidRPr="007436D5">
          <w:rPr>
            <w:rStyle w:val="Hyperlink"/>
            <w:noProof/>
          </w:rPr>
          <w:t>Klíčová slova</w:t>
        </w:r>
        <w:r w:rsidRPr="007436D5">
          <w:rPr>
            <w:noProof/>
            <w:webHidden/>
          </w:rPr>
          <w:tab/>
        </w:r>
        <w:r>
          <w:rPr>
            <w:noProof/>
            <w:webHidden/>
          </w:rPr>
          <w:t>111</w:t>
        </w:r>
      </w:hyperlink>
    </w:p>
    <w:p w:rsidR="009D1F29" w:rsidRPr="007436D5" w:rsidRDefault="009D1F29">
      <w:pPr>
        <w:pStyle w:val="TOC1"/>
        <w:tabs>
          <w:tab w:val="right" w:leader="dot" w:pos="9061"/>
        </w:tabs>
        <w:rPr>
          <w:b w:val="0"/>
          <w:noProof/>
          <w:color w:val="auto"/>
        </w:rPr>
      </w:pPr>
      <w:hyperlink w:anchor="_Toc512979836" w:history="1">
        <w:r w:rsidRPr="007436D5">
          <w:rPr>
            <w:rStyle w:val="Hyperlink"/>
            <w:noProof/>
          </w:rPr>
          <w:t>Key words</w:t>
        </w:r>
        <w:r w:rsidRPr="007436D5">
          <w:rPr>
            <w:noProof/>
            <w:webHidden/>
          </w:rPr>
          <w:tab/>
        </w:r>
        <w:r>
          <w:rPr>
            <w:noProof/>
            <w:webHidden/>
          </w:rPr>
          <w:t>112</w:t>
        </w:r>
      </w:hyperlink>
    </w:p>
    <w:p w:rsidR="009D1F29" w:rsidRPr="004730E1" w:rsidRDefault="009D1F29" w:rsidP="00A11852">
      <w:pPr>
        <w:spacing w:after="12" w:line="360" w:lineRule="auto"/>
        <w:ind w:left="-5" w:right="0"/>
        <w:jc w:val="left"/>
        <w:rPr>
          <w:color w:val="auto"/>
        </w:rPr>
      </w:pPr>
      <w:r w:rsidRPr="007436D5">
        <w:rPr>
          <w:b/>
          <w:color w:val="auto"/>
        </w:rPr>
        <w:fldChar w:fldCharType="end"/>
      </w:r>
    </w:p>
    <w:p w:rsidR="009D1F29" w:rsidRPr="00A53446" w:rsidRDefault="009D1F29" w:rsidP="00E06353">
      <w:pPr>
        <w:pStyle w:val="Heading1"/>
        <w:numPr>
          <w:ilvl w:val="0"/>
          <w:numId w:val="0"/>
        </w:numPr>
        <w:spacing w:line="240" w:lineRule="auto"/>
        <w:jc w:val="both"/>
        <w:rPr>
          <w:sz w:val="22"/>
        </w:rPr>
      </w:pPr>
      <w:bookmarkStart w:id="0" w:name="_GoBack"/>
      <w:bookmarkStart w:id="1" w:name="_Toc512979297"/>
      <w:bookmarkStart w:id="2" w:name="_Toc512979803"/>
      <w:bookmarkEnd w:id="0"/>
      <w:r w:rsidRPr="007E7EA7">
        <w:rPr>
          <w:color w:val="auto"/>
        </w:rPr>
        <w:t>Seznam použitých zkratek</w:t>
      </w:r>
      <w:bookmarkEnd w:id="1"/>
      <w:bookmarkEnd w:id="2"/>
      <w:r w:rsidRPr="007E7EA7">
        <w:rPr>
          <w:color w:val="auto"/>
        </w:rPr>
        <w:t xml:space="preserve"> </w:t>
      </w:r>
    </w:p>
    <w:p w:rsidR="009D1F29" w:rsidRDefault="009D1F29">
      <w:pPr>
        <w:spacing w:after="213" w:line="259" w:lineRule="auto"/>
        <w:ind w:left="0" w:right="0" w:firstLine="0"/>
        <w:jc w:val="left"/>
      </w:pPr>
      <w:r>
        <w:t xml:space="preserve"> </w:t>
      </w:r>
    </w:p>
    <w:p w:rsidR="009D1F29" w:rsidRDefault="009D1F29">
      <w:pPr>
        <w:spacing w:after="220" w:line="259" w:lineRule="auto"/>
        <w:ind w:left="-5" w:right="4"/>
      </w:pPr>
      <w:r>
        <w:t xml:space="preserve">BGB - Bürgerliches Gesetzbuch, německý občanský zákoník z roku 1896 </w:t>
      </w:r>
    </w:p>
    <w:p w:rsidR="009D1F29" w:rsidRDefault="009D1F29">
      <w:pPr>
        <w:spacing w:after="222" w:line="259" w:lineRule="auto"/>
        <w:ind w:left="-5" w:right="4"/>
      </w:pPr>
      <w:r>
        <w:t xml:space="preserve">ČR - Česká republika </w:t>
      </w:r>
    </w:p>
    <w:p w:rsidR="009D1F29" w:rsidRDefault="009D1F29">
      <w:pPr>
        <w:spacing w:after="223" w:line="259" w:lineRule="auto"/>
        <w:ind w:left="-5" w:right="4"/>
      </w:pPr>
      <w:r>
        <w:t xml:space="preserve">ČSR - Československá republika </w:t>
      </w:r>
    </w:p>
    <w:p w:rsidR="009D1F29" w:rsidRDefault="009D1F29">
      <w:pPr>
        <w:spacing w:after="211" w:line="259" w:lineRule="auto"/>
        <w:ind w:left="-5" w:right="4"/>
      </w:pPr>
      <w:r>
        <w:t xml:space="preserve">ČSSR - Československá socialistická republika </w:t>
      </w:r>
    </w:p>
    <w:p w:rsidR="009D1F29" w:rsidRDefault="009D1F29">
      <w:pPr>
        <w:spacing w:after="215" w:line="259" w:lineRule="auto"/>
        <w:ind w:left="-5" w:right="4"/>
      </w:pPr>
      <w:r>
        <w:t xml:space="preserve">EU - Evropská unie </w:t>
      </w:r>
    </w:p>
    <w:p w:rsidR="009D1F29" w:rsidRDefault="009D1F29">
      <w:pPr>
        <w:spacing w:after="221" w:line="259" w:lineRule="auto"/>
        <w:ind w:left="-5" w:right="4"/>
      </w:pPr>
      <w:r>
        <w:t xml:space="preserve">JZD -  Jednotné zemědělské družstvo </w:t>
      </w:r>
    </w:p>
    <w:p w:rsidR="009D1F29" w:rsidRDefault="009D1F29">
      <w:pPr>
        <w:spacing w:after="220" w:line="259" w:lineRule="auto"/>
        <w:ind w:left="-5" w:right="4"/>
      </w:pPr>
      <w:r>
        <w:t xml:space="preserve">KSČ - Komunistická strana Československa </w:t>
      </w:r>
    </w:p>
    <w:p w:rsidR="009D1F29" w:rsidRDefault="009D1F29">
      <w:pPr>
        <w:spacing w:after="145" w:line="316" w:lineRule="auto"/>
        <w:ind w:left="-5" w:right="4"/>
      </w:pPr>
      <w:r>
        <w:t xml:space="preserve">LZPS - Usnesení předsednictva České národní rady č. 2/1993 Sb., o vyhlášení Listiny základních práv a svobod jakou součásti ústavního pořádku, ve znění pozdějších předpisů </w:t>
      </w:r>
    </w:p>
    <w:p w:rsidR="009D1F29" w:rsidRDefault="009D1F29">
      <w:pPr>
        <w:spacing w:after="211" w:line="259" w:lineRule="auto"/>
        <w:ind w:left="-5" w:right="4"/>
      </w:pPr>
      <w:r>
        <w:t xml:space="preserve">NS - Nejvyšší soud </w:t>
      </w:r>
    </w:p>
    <w:p w:rsidR="009D1F29" w:rsidRDefault="009D1F29">
      <w:pPr>
        <w:spacing w:after="221" w:line="259" w:lineRule="auto"/>
        <w:ind w:left="-5" w:right="4"/>
      </w:pPr>
      <w:r>
        <w:t xml:space="preserve">NSS - Nejvyšší správní soud </w:t>
      </w:r>
    </w:p>
    <w:p w:rsidR="009D1F29" w:rsidRDefault="009D1F29">
      <w:pPr>
        <w:spacing w:after="216" w:line="259" w:lineRule="auto"/>
        <w:ind w:left="-5" w:right="4"/>
      </w:pPr>
      <w:r>
        <w:t xml:space="preserve">OZ - zákon č. 89/2012 Sb., občanský zákoník, ve znění pozdějších předpisů </w:t>
      </w:r>
    </w:p>
    <w:p w:rsidR="009D1F29" w:rsidRDefault="009D1F29">
      <w:pPr>
        <w:spacing w:after="216" w:line="259" w:lineRule="auto"/>
        <w:ind w:left="-5" w:right="4"/>
      </w:pPr>
      <w:r>
        <w:t>OZ/50 - zákon č. 141/1950 Sb., občanský zákoník</w:t>
      </w:r>
    </w:p>
    <w:p w:rsidR="009D1F29" w:rsidRDefault="009D1F29">
      <w:pPr>
        <w:spacing w:after="219" w:line="259" w:lineRule="auto"/>
        <w:ind w:left="-5" w:right="4"/>
      </w:pPr>
      <w:r>
        <w:t xml:space="preserve">OZ/64 - zákon č. 40/1964 Sb., občanský zákoník </w:t>
      </w:r>
    </w:p>
    <w:p w:rsidR="009D1F29" w:rsidRDefault="009D1F29">
      <w:pPr>
        <w:spacing w:after="62"/>
        <w:ind w:left="-5" w:right="4"/>
      </w:pPr>
      <w:r>
        <w:t>OZO - zákon č. 946/1811 Sb. z. s., Obecný (Všeobecný) zákoník občanský (ABGB)</w:t>
      </w:r>
    </w:p>
    <w:p w:rsidR="009D1F29" w:rsidRDefault="009D1F29">
      <w:pPr>
        <w:spacing w:after="209" w:line="259" w:lineRule="auto"/>
        <w:ind w:left="-5" w:right="4"/>
      </w:pPr>
      <w:r>
        <w:t xml:space="preserve">Sb. - Sbírka zákonů </w:t>
      </w:r>
    </w:p>
    <w:p w:rsidR="009D1F29" w:rsidRDefault="009D1F29">
      <w:pPr>
        <w:spacing w:after="208" w:line="259" w:lineRule="auto"/>
        <w:ind w:left="-5" w:right="4"/>
      </w:pPr>
      <w:r>
        <w:t xml:space="preserve">Sb. z. a n. - Sbírka zákonů a nařízení </w:t>
      </w:r>
    </w:p>
    <w:p w:rsidR="009D1F29" w:rsidRDefault="009D1F29">
      <w:pPr>
        <w:spacing w:after="216" w:line="259" w:lineRule="auto"/>
        <w:ind w:left="-5" w:right="4"/>
      </w:pPr>
      <w:r>
        <w:t xml:space="preserve">Sb. z. s. - Sbírka zákonů soudních </w:t>
      </w:r>
    </w:p>
    <w:p w:rsidR="009D1F29" w:rsidRDefault="009D1F29">
      <w:pPr>
        <w:spacing w:after="208" w:line="259" w:lineRule="auto"/>
        <w:ind w:left="-5" w:right="4"/>
      </w:pPr>
      <w:r>
        <w:t xml:space="preserve">SSSR - Svaz sovětských socialistických republik </w:t>
      </w:r>
    </w:p>
    <w:p w:rsidR="009D1F29" w:rsidRDefault="009D1F29">
      <w:pPr>
        <w:spacing w:after="0" w:line="448" w:lineRule="auto"/>
        <w:ind w:left="0" w:right="6908" w:firstLine="0"/>
        <w:jc w:val="left"/>
      </w:pPr>
      <w:r>
        <w:t xml:space="preserve">ÚS - Ústavní soud ÚV - Ústřední výbor zák. č. - zákon číslo </w:t>
      </w:r>
    </w:p>
    <w:p w:rsidR="009D1F29" w:rsidRDefault="009D1F29">
      <w:pPr>
        <w:spacing w:after="276" w:line="259" w:lineRule="auto"/>
        <w:ind w:left="0" w:right="0" w:firstLine="0"/>
        <w:jc w:val="left"/>
      </w:pPr>
      <w:r>
        <w:t xml:space="preserve"> </w:t>
      </w:r>
    </w:p>
    <w:p w:rsidR="009D1F29" w:rsidRDefault="009D1F29">
      <w:pPr>
        <w:spacing w:after="0" w:line="259" w:lineRule="auto"/>
        <w:ind w:left="0" w:right="0" w:firstLine="0"/>
        <w:jc w:val="left"/>
      </w:pPr>
      <w:r>
        <w:t xml:space="preserve"> </w:t>
      </w:r>
    </w:p>
    <w:p w:rsidR="009D1F29" w:rsidRDefault="009D1F29">
      <w:pPr>
        <w:spacing w:after="0" w:line="259" w:lineRule="auto"/>
        <w:ind w:left="0" w:right="0" w:firstLine="0"/>
        <w:jc w:val="left"/>
      </w:pPr>
    </w:p>
    <w:p w:rsidR="009D1F29" w:rsidRPr="004730E1" w:rsidRDefault="009D1F29">
      <w:pPr>
        <w:pStyle w:val="Heading1"/>
        <w:numPr>
          <w:ilvl w:val="0"/>
          <w:numId w:val="0"/>
        </w:numPr>
        <w:spacing w:after="366"/>
        <w:ind w:left="-5"/>
        <w:rPr>
          <w:color w:val="auto"/>
        </w:rPr>
      </w:pPr>
      <w:bookmarkStart w:id="3" w:name="_Toc512979298"/>
      <w:bookmarkStart w:id="4" w:name="_Toc512979804"/>
      <w:r w:rsidRPr="004730E1">
        <w:rPr>
          <w:color w:val="auto"/>
        </w:rPr>
        <w:t>Úvod</w:t>
      </w:r>
      <w:bookmarkEnd w:id="3"/>
      <w:bookmarkEnd w:id="4"/>
      <w:r w:rsidRPr="004730E1">
        <w:rPr>
          <w:color w:val="auto"/>
        </w:rPr>
        <w:t xml:space="preserve"> </w:t>
      </w:r>
    </w:p>
    <w:p w:rsidR="009D1F29" w:rsidRDefault="009D1F29" w:rsidP="00303A88">
      <w:pPr>
        <w:spacing w:line="360" w:lineRule="auto"/>
        <w:ind w:left="-15" w:right="4" w:firstLine="708"/>
      </w:pPr>
      <w:r>
        <w:t xml:space="preserve">Tématem rigorózní práce je institut vlastnictví, přičemž se blíže zaměřuje na jeho ochranu v českých zemích v průběhu 20. století. Jedná se o velmi neklidnou historickou epochu, během které došlo ke dvěma světovým válkám, a v níž se u moci měnily demokratická zřízení s totalitními režimy. Při zkoumání historických právních úprav je nutné si tyto dějinné události uvědomovat, jelikož společenská situace a právní úprava jsou ve vzájemné podmíněnosti.        </w:t>
      </w:r>
    </w:p>
    <w:p w:rsidR="009D1F29" w:rsidRDefault="009D1F29" w:rsidP="00303A88">
      <w:pPr>
        <w:spacing w:line="360" w:lineRule="auto"/>
        <w:ind w:left="-5" w:right="4"/>
      </w:pPr>
      <w:r>
        <w:t xml:space="preserve"> </w:t>
      </w:r>
      <w:r>
        <w:tab/>
        <w:t xml:space="preserve">Ochrana je rozebírána z pohledu ústavního a občanského práva. Pro ústavní právo je důležitým mezníkem rok 1918, kdy vznikl samostatný československý stát, což následně vedlo k vydání nové ústavy v roce 1920, která se v určitých aspektech odkláněla od dosavadní rakouské ústavněprávní tradice. Z pohledu občanskoprávního je důležitým rok 1950, kdy byl vydán OZ/50, který se znatelně odchyloval od OZO. Ten byl při vzniku Československa recipován z rakouského právního řádu a v majetkové oblasti platil po celou dobu první republiky bez větších změn.        </w:t>
      </w:r>
    </w:p>
    <w:p w:rsidR="009D1F29" w:rsidRDefault="009D1F29" w:rsidP="00303A88">
      <w:pPr>
        <w:spacing w:line="360" w:lineRule="auto"/>
        <w:ind w:left="-5" w:right="4"/>
      </w:pPr>
      <w:r>
        <w:t xml:space="preserve"> </w:t>
      </w:r>
      <w:r>
        <w:tab/>
        <w:t xml:space="preserve">Úpravu vlastnictví v obou právních odvětvích je nutné chápat ve vzájemné souvislosti. Jak říká Klíma </w:t>
      </w:r>
      <w:r>
        <w:rPr>
          <w:i/>
        </w:rPr>
        <w:t xml:space="preserve">„ústavní ochrana vlastnického práva představuje most od ústavního práva </w:t>
      </w:r>
      <w:r>
        <w:rPr>
          <w:i/>
        </w:rPr>
        <w:br/>
        <w:t>k základním konceptům soukromého práva“</w:t>
      </w:r>
      <w:r>
        <w:rPr>
          <w:vertAlign w:val="superscript"/>
        </w:rPr>
        <w:footnoteReference w:id="1"/>
      </w:r>
      <w:r>
        <w:t xml:space="preserve">. Úzké spojení obou právních odvětví lze pozorovat již v OZO. Ten dokonce částečně plnil funkci ústavy, která v době jeho vydání absentovala. Kromě toho, že do jisté míry suploval chybějící prvky konstitucionalismu </w:t>
      </w:r>
      <w:r>
        <w:br/>
        <w:t>(např. ustanovení o rovnosti občanů před zákonem a před soudem), tak také jeho odborná příprava a zpracování v podobě komentářů a učebnic přispěly k vybudování oboru pozdějšího ústavního práva.</w:t>
      </w:r>
      <w:r>
        <w:rPr>
          <w:vertAlign w:val="superscript"/>
        </w:rPr>
        <w:footnoteReference w:id="2"/>
      </w:r>
      <w:r>
        <w:t xml:space="preserve"> V období účinnosti ústavy 1960 zase OZ/64 alespoň částečně nahrazoval chybějící ochranu soukromého práva na ústavní úrovni.      </w:t>
      </w:r>
    </w:p>
    <w:p w:rsidR="009D1F29" w:rsidRDefault="009D1F29" w:rsidP="00303A88">
      <w:pPr>
        <w:spacing w:line="360" w:lineRule="auto"/>
        <w:ind w:left="-5" w:right="4"/>
      </w:pPr>
      <w:r>
        <w:t xml:space="preserve"> </w:t>
      </w:r>
      <w:r>
        <w:tab/>
        <w:t xml:space="preserve">Práce je rozdělena do tří kapitol, úvodu a závěru. První kapitola přináší základní náhled na institut vlastnictví, na nepřeberné množství možností a úhlů pohledu, ze kterých lze tento institut zkoumat, přičemž se zabývá vybranými teoretickými problémy vlastnického práva. Kapitola je rozdělena do tří podkapitol a každá z nich samostatně studuje vybranou problematikou. Cílem této kapitoly je nejen vybrané oblasti shrnout, a tím poskytnout dostatečný teoretický základ pro další kapitoly, ale také přinést vlastní názor </w:t>
      </w:r>
      <w:r>
        <w:br/>
        <w:t xml:space="preserve">k problematickým částem a tento názor zdůvodnit. První podkapitola rozebírá uchopení pojmu vlastnictví, a to jak z pohledu právního, tak filozofického. Druhá podkapitola zkoumá předmět vlastnictví, tedy to, zda bychom měli považovat za předmět vlastnictví pouze věc hmotnou, anebo zda pod předmět vlastnictví spadají i věci nehmotné. Třetí podkapitola studuje základní přístupy k vlastnictví, tedy přístupy mocenský se sociálním </w:t>
      </w:r>
      <w:r>
        <w:br/>
        <w:t xml:space="preserve">a analyzuje jejich výhody či nevýhody.  </w:t>
      </w:r>
      <w:r>
        <w:tab/>
      </w:r>
      <w:r>
        <w:tab/>
      </w:r>
      <w:r>
        <w:tab/>
      </w:r>
      <w:r>
        <w:tab/>
      </w:r>
      <w:r>
        <w:tab/>
      </w:r>
      <w:r>
        <w:tab/>
      </w:r>
      <w:r>
        <w:tab/>
      </w:r>
      <w:r>
        <w:tab/>
      </w:r>
      <w:r>
        <w:tab/>
        <w:t xml:space="preserve">Druhá kapitola se zabývá ústavněprávním pojetím vlastnictví, přičemž cílí zejména na jeho ochranu. Je rozdělena do pěti podkapitol. První čtyři se věnují vždy každá samostatně jedné historické ústavě, potažmo současné LZPS. Strukturovány jsou všechny shodně. Nejprve jsou obsaženy údaje o samotných ústavách, poté jsou shrnuty informace o v nich zahrnutých základních lidských právech, a nakonec je podrobně pojednáno o vlastnickém právu. První podkapitola tak pojednává o ústavní listině z roku 1920, druhá o květnové ústavě z roku 1948, třetí o socialistické ústavě z roku </w:t>
      </w:r>
      <w:smartTag w:uri="urn:schemas-microsoft-com:office:smarttags" w:element="metricconverter">
        <w:smartTagPr>
          <w:attr w:name="ProductID" w:val="1960 a"/>
        </w:smartTagPr>
        <w:r>
          <w:t>1960 a</w:t>
        </w:r>
      </w:smartTag>
      <w:r>
        <w:t xml:space="preserve"> konečně čtvrtá o LZPS. Pátá podkapitola pak shrnuje veškeré dosažené závěry, zevrubně hodnotí aktuální i předešlé úpravy, vzájemně je komparuje a stanovuje ideální řešení de lege ferenda.        </w:t>
      </w:r>
    </w:p>
    <w:p w:rsidR="009D1F29" w:rsidRDefault="009D1F29" w:rsidP="009E4BD4">
      <w:pPr>
        <w:spacing w:line="360" w:lineRule="auto"/>
        <w:ind w:left="-5" w:right="4"/>
      </w:pPr>
      <w:r>
        <w:t xml:space="preserve"> </w:t>
      </w:r>
      <w:r>
        <w:tab/>
        <w:t xml:space="preserve">Třetí kapitola se zaměřuje na soukromoprávní pojetí vlastnictví, primárně na jeho ochranu. Tato ochrana však není zkoumána tradičně, analyzováním vlastnických žalob či institutu svépomoci, avšak na základě třech vybraných institutů se snaží odpovědět na provokativní tezi, zda nebyl v určitých případech vlastník věci chráněn lépe podle úpravy </w:t>
      </w:r>
      <w:r>
        <w:br/>
        <w:t xml:space="preserve">v socialistických zákonících, než tomu je dnes (potažmo v OZO). Právě tato teze bude </w:t>
      </w:r>
      <w:r>
        <w:br/>
        <w:t xml:space="preserve">v závěru práce buď potvrzena nebo vyvrácena. Kapitola je rozdělena do tří podkapitol, přičemž každá podkapitola se zabývá samostatně vývojem vybraného institutu od účinnosti OZO do platné právní úpravy. Jedná se v první podkapitole o institut vydržení, ve druhé </w:t>
      </w:r>
      <w:r>
        <w:br/>
        <w:t xml:space="preserve">o nabytí vlastnického práva od neoprávněného a ve třetí o podmínky a příkazy u poslední vůle.      </w:t>
      </w:r>
    </w:p>
    <w:p w:rsidR="009D1F29" w:rsidRDefault="009D1F29" w:rsidP="009E4BD4">
      <w:pPr>
        <w:spacing w:line="360" w:lineRule="auto"/>
        <w:ind w:left="-5" w:right="4" w:firstLine="713"/>
      </w:pPr>
      <w:r>
        <w:t xml:space="preserve"> Co se týče dostupných informací o daném tématu, kromě právních předpisů jsem se snažil vycházet zejména z dobové literatury (monografie, komentáře). A to proto, abych co nejlépe dokázal porozumět tehdejší politické a právní situaci. Kromě literatury dobové jsem čerpal i z literatury současné, která se snaží tehdejší situaci shrnout a interpretovat. Díky časovému odstupu poskytovala mnohem objektivnější pohled na rozebíranou problematiku, </w:t>
      </w:r>
      <w:r>
        <w:br/>
        <w:t xml:space="preserve">a právě skloubení obou typů zdrojů podle mého názoru posloužilo k co nejkomplexnějšímu rozboru.          </w:t>
      </w:r>
    </w:p>
    <w:p w:rsidR="009D1F29" w:rsidRDefault="009D1F29" w:rsidP="009E4BD4">
      <w:pPr>
        <w:spacing w:line="360" w:lineRule="auto"/>
        <w:ind w:left="-5" w:right="4" w:firstLine="713"/>
      </w:pPr>
      <w:r>
        <w:t xml:space="preserve"> K čerpání informací jsem dále využil judikaturu Ústavního soudu ČR, Nejvyššího správního soudu ČSR a ČR, Nejvyššího soudu ČR, respektive ČSR a ČSSR a obecných soudů. Časopisecké a sborníkové články jsem upotřebil zejména k dotváření svých názorů při interpretačních nejasnostech.      </w:t>
      </w:r>
    </w:p>
    <w:p w:rsidR="009D1F29" w:rsidRDefault="009D1F29" w:rsidP="009E4BD4">
      <w:pPr>
        <w:spacing w:line="360" w:lineRule="auto"/>
        <w:ind w:left="-5" w:right="4"/>
      </w:pPr>
      <w:r>
        <w:t xml:space="preserve"> </w:t>
      </w:r>
      <w:r>
        <w:tab/>
        <w:t xml:space="preserve">Při psaní rigorózní práce jsem použil hlavně vědecký popis, komparaci a analýzu. Metodu popisnou jsem aplikoval u obecného úvodu k jednotlivým institutům. Komparační metoda byla upotřebena při porovnávání dřívější a současné úpravy ústavního zakotvení vlastnictví a také jednotlivých soukromoprávních institutů. Na jejím základu jsem zkoumal odlišnost úprav se zaměřením na výhody pro vlastníka. Metoda analýzy se objevuje napříč všemi kapitolami. Nejznatelněji je využita při vyvozování závěrů z informací získaných na základě použití komparační metody.        </w:t>
      </w:r>
    </w:p>
    <w:p w:rsidR="009D1F29" w:rsidRDefault="009D1F29" w:rsidP="009E4BD4">
      <w:pPr>
        <w:spacing w:line="360" w:lineRule="auto"/>
        <w:ind w:left="-5" w:right="4"/>
      </w:pPr>
      <w:r>
        <w:t xml:space="preserve"> </w:t>
      </w:r>
      <w:r>
        <w:tab/>
        <w:t xml:space="preserve">Díla s tématikou vlastnictví jsou v odborné literatuře hojně zastoupena a mohla by tak být diskutována aktuálnost práce. Ovšem institut vlastnictví nabízí nepřeberné množství možností jeho výzkumu. Práce spojené s touto oblastí tedy budou aktuální vždy, za předpokladu inovativního přístupu autora. Zkoumání ochrany vlastníka na základě vybraných institutů, s možností poukazu na lepší ochranu v socialistické úpravě považuji za vcelku originální. </w:t>
      </w:r>
    </w:p>
    <w:p w:rsidR="009D1F29" w:rsidRDefault="009D1F29" w:rsidP="009E4BD4">
      <w:pPr>
        <w:spacing w:after="205" w:line="360" w:lineRule="auto"/>
        <w:ind w:left="-5" w:right="4"/>
      </w:pPr>
      <w:r>
        <w:t xml:space="preserve"> </w:t>
      </w:r>
      <w:r>
        <w:tab/>
        <w:t xml:space="preserve">Pokud bych měl podat návrhy na další výzkum, směřovaly by ke komparaci ochrany vlastnictví v okolních státech, či k jejímu analyzování v oblasti trestního a správního práva. </w:t>
      </w:r>
    </w:p>
    <w:p w:rsidR="009D1F29" w:rsidRDefault="009D1F29">
      <w:pPr>
        <w:spacing w:after="273" w:line="259" w:lineRule="auto"/>
        <w:ind w:left="708" w:right="0" w:firstLine="0"/>
        <w:jc w:val="left"/>
      </w:pPr>
      <w:r>
        <w:t xml:space="preserve"> </w:t>
      </w:r>
    </w:p>
    <w:p w:rsidR="009D1F29" w:rsidRDefault="009D1F29">
      <w:pPr>
        <w:spacing w:after="273" w:line="259" w:lineRule="auto"/>
        <w:ind w:left="708" w:right="0" w:firstLine="0"/>
        <w:jc w:val="left"/>
      </w:pPr>
      <w:r>
        <w:t xml:space="preserve"> </w:t>
      </w:r>
    </w:p>
    <w:p w:rsidR="009D1F29" w:rsidRDefault="009D1F29">
      <w:pPr>
        <w:spacing w:after="274" w:line="259" w:lineRule="auto"/>
        <w:ind w:left="708" w:right="0" w:firstLine="0"/>
        <w:jc w:val="left"/>
      </w:pPr>
      <w:r>
        <w:t xml:space="preserve"> </w:t>
      </w:r>
    </w:p>
    <w:p w:rsidR="009D1F29" w:rsidRDefault="009D1F29">
      <w:pPr>
        <w:spacing w:after="273" w:line="259" w:lineRule="auto"/>
        <w:ind w:left="708" w:right="0" w:firstLine="0"/>
        <w:jc w:val="left"/>
      </w:pPr>
      <w:r>
        <w:t xml:space="preserve"> </w:t>
      </w:r>
    </w:p>
    <w:p w:rsidR="009D1F29" w:rsidRDefault="009D1F29">
      <w:pPr>
        <w:spacing w:after="273" w:line="259" w:lineRule="auto"/>
        <w:ind w:left="708" w:right="0" w:firstLine="0"/>
        <w:jc w:val="left"/>
      </w:pPr>
      <w:r>
        <w:t xml:space="preserve"> </w:t>
      </w:r>
    </w:p>
    <w:p w:rsidR="009D1F29" w:rsidRDefault="009D1F29">
      <w:pPr>
        <w:spacing w:after="276" w:line="259" w:lineRule="auto"/>
        <w:ind w:left="708" w:right="0" w:firstLine="0"/>
        <w:jc w:val="left"/>
      </w:pPr>
      <w:r>
        <w:t xml:space="preserve"> </w:t>
      </w:r>
    </w:p>
    <w:p w:rsidR="009D1F29" w:rsidRDefault="009D1F29" w:rsidP="00CD1691">
      <w:pPr>
        <w:spacing w:after="273" w:line="259" w:lineRule="auto"/>
        <w:ind w:left="708" w:right="0" w:firstLine="0"/>
        <w:jc w:val="left"/>
      </w:pPr>
      <w:r>
        <w:t xml:space="preserve"> </w:t>
      </w:r>
    </w:p>
    <w:p w:rsidR="009D1F29" w:rsidRDefault="009D1F29" w:rsidP="00957F23">
      <w:pPr>
        <w:spacing w:after="273" w:line="259" w:lineRule="auto"/>
        <w:ind w:left="708" w:right="0" w:firstLine="0"/>
        <w:jc w:val="left"/>
      </w:pPr>
    </w:p>
    <w:p w:rsidR="009D1F29" w:rsidRDefault="009D1F29" w:rsidP="00957F23">
      <w:pPr>
        <w:spacing w:after="273" w:line="259" w:lineRule="auto"/>
        <w:ind w:left="708" w:right="0" w:firstLine="0"/>
        <w:jc w:val="left"/>
      </w:pPr>
    </w:p>
    <w:p w:rsidR="009D1F29" w:rsidRDefault="009D1F29" w:rsidP="00957F23">
      <w:pPr>
        <w:spacing w:after="273" w:line="259" w:lineRule="auto"/>
        <w:ind w:left="708" w:right="0" w:firstLine="0"/>
        <w:jc w:val="left"/>
      </w:pPr>
    </w:p>
    <w:p w:rsidR="009D1F29" w:rsidRDefault="009D1F29" w:rsidP="00957F23">
      <w:pPr>
        <w:spacing w:after="273" w:line="259" w:lineRule="auto"/>
        <w:ind w:left="708" w:right="0" w:firstLine="0"/>
        <w:jc w:val="left"/>
      </w:pPr>
      <w:r>
        <w:t xml:space="preserve">   </w:t>
      </w:r>
    </w:p>
    <w:p w:rsidR="009D1F29" w:rsidRPr="004730E1" w:rsidRDefault="009D1F29">
      <w:pPr>
        <w:pStyle w:val="Heading1"/>
        <w:ind w:left="463" w:hanging="478"/>
        <w:rPr>
          <w:color w:val="auto"/>
        </w:rPr>
      </w:pPr>
      <w:bookmarkStart w:id="5" w:name="_Toc512979299"/>
      <w:bookmarkStart w:id="6" w:name="_Toc512979805"/>
      <w:r w:rsidRPr="004730E1">
        <w:rPr>
          <w:color w:val="auto"/>
        </w:rPr>
        <w:t>Proměny chápaní vlastnictví</w:t>
      </w:r>
      <w:bookmarkEnd w:id="5"/>
      <w:bookmarkEnd w:id="6"/>
      <w:r w:rsidRPr="004730E1">
        <w:rPr>
          <w:color w:val="auto"/>
        </w:rPr>
        <w:t xml:space="preserve"> </w:t>
      </w:r>
    </w:p>
    <w:p w:rsidR="009D1F29" w:rsidRDefault="009D1F29">
      <w:pPr>
        <w:spacing w:after="177" w:line="259" w:lineRule="auto"/>
        <w:ind w:left="0" w:right="0" w:firstLine="0"/>
        <w:jc w:val="left"/>
      </w:pPr>
      <w:r>
        <w:t xml:space="preserve"> </w:t>
      </w:r>
    </w:p>
    <w:p w:rsidR="009D1F29" w:rsidRDefault="009D1F29" w:rsidP="009E4BD4">
      <w:pPr>
        <w:spacing w:after="194" w:line="360" w:lineRule="auto"/>
        <w:ind w:left="-15" w:right="4" w:firstLine="708"/>
      </w:pPr>
      <w:r>
        <w:t xml:space="preserve">Obecně lze říci, že vlastnické právo je absolutní věcné právo nejsilnější </w:t>
      </w:r>
      <w:r>
        <w:br/>
        <w:t>a nejrozsáhlejší povahy, sloužící jak k zajištění fungování každé společnosti, tak každého jednotlivce.</w:t>
      </w:r>
      <w:r>
        <w:rPr>
          <w:vertAlign w:val="superscript"/>
        </w:rPr>
        <w:footnoteReference w:id="3"/>
      </w:r>
      <w:r>
        <w:t xml:space="preserve"> Z vlastnického práva vlastníku vyplývají práva, tedy užitky, pro něž se obvykle stal vlastníkem, a povinnosti, např. odpovědnost za škodu způsobenou předmětem vlastnictví či placení daní. Vlastnického práva se vždy dotýkala různá omezení jak soukromoprávní tak veřejnoprávní povahy. Rozsah omezení se odvíjí buď od vůle vlastníka, nebo od vůle zákonodárce. Počet omezení lze také sledovat v souvislosti s technickým pokrokem společnosti, kdy se vzrůstajícím pokrokem se zároveň zvyšuje počet veřejnoprávních omezení vyplývajících zejména ze stavebního práva či práva životního prostředí. Některá omezení lze oprávněně pokládat za legitimní, vycházející z logiky věci, ochrany přírody nebo ochrany společnosti. Např. nelze vlastnit morálně závadná díla, drogy, kupovat si lidské orgány či některé přírodní zdroje. Ovšem historie nám dává i příklady nehodné následování, kdy některé skupiny obyvatelstva byly cíleně ve vlastnictví omezovány, a to na základě nelegitimních kritérií jakými jsou rasa, náboženství, politické přesvědčení nebo společenská vrstva. </w:t>
      </w:r>
      <w:r>
        <w:br/>
        <w:t xml:space="preserve">O nesporné důležitosti tohoto institutu svědčí i to, že požívá ochrany různých právních odvětví. Výčtem lze jmenovat právo ústavní, občanské, trestní či správní. Různé formy jeho ochrany ukazují také na to, že se na vlastnictví lze dívat z různých úhlů. Z pohledu ústavního práva jde o pohled na vlastnické právo jakožto na jedno ze základních lidských práv, soukromé právo na něj hledí jako na občanskoprávní kategorii věcných práv, trestní </w:t>
      </w:r>
      <w:r>
        <w:br/>
        <w:t xml:space="preserve">a potažmo správní právo jako na jeden z fragmentárně chráněných objektů.        </w:t>
      </w:r>
    </w:p>
    <w:p w:rsidR="009D1F29" w:rsidRDefault="009D1F29">
      <w:pPr>
        <w:pStyle w:val="Heading2"/>
        <w:ind w:left="693" w:hanging="708"/>
      </w:pPr>
      <w:bookmarkStart w:id="7" w:name="_Toc512979300"/>
      <w:bookmarkStart w:id="8" w:name="_Toc512979806"/>
      <w:r>
        <w:t>Pojem vlastnictví</w:t>
      </w:r>
      <w:bookmarkEnd w:id="7"/>
      <w:bookmarkEnd w:id="8"/>
      <w:r>
        <w:t xml:space="preserve"> </w:t>
      </w:r>
    </w:p>
    <w:p w:rsidR="009D1F29" w:rsidRDefault="009D1F29">
      <w:pPr>
        <w:spacing w:after="175" w:line="259" w:lineRule="auto"/>
        <w:ind w:left="0" w:right="0" w:firstLine="0"/>
        <w:jc w:val="left"/>
      </w:pPr>
      <w:r>
        <w:t xml:space="preserve"> </w:t>
      </w:r>
    </w:p>
    <w:p w:rsidR="009D1F29" w:rsidRDefault="009D1F29" w:rsidP="007E7EA7">
      <w:pPr>
        <w:ind w:left="-15" w:right="4" w:firstLine="708"/>
      </w:pPr>
      <w:r>
        <w:t xml:space="preserve">Při studiu historie si nelze nevšimnout úzké provázanosti vlastnictví se společenským vývojem. Podle názoru či filosofie toho, kdo byl v daný moment u moci, se vyvíjelo také chápání vlastnictví, jelikož každá vládnoucí garnitura měla svůj vlastní pohled na tento institut. </w:t>
      </w:r>
      <w:r>
        <w:tab/>
      </w:r>
      <w:r>
        <w:tab/>
      </w:r>
      <w:r>
        <w:tab/>
      </w:r>
      <w:r>
        <w:tab/>
      </w:r>
      <w:r>
        <w:tab/>
      </w:r>
      <w:r>
        <w:tab/>
      </w:r>
      <w:r>
        <w:tab/>
      </w:r>
      <w:r>
        <w:tab/>
      </w:r>
      <w:r>
        <w:tab/>
      </w:r>
      <w:r>
        <w:tab/>
      </w:r>
      <w:r>
        <w:tab/>
      </w:r>
      <w:r>
        <w:tab/>
      </w:r>
      <w:r>
        <w:tab/>
        <w:t>Ať již na pojem vlastnictví budeme hledět jako na právní institut či na filosofickou instituci, je nutné si uvědomit nepřeberné množství možností, kterými lze tuto myšlenkovou konstrukci uchopit. Napříč historickými epochami se názory a myšlenky týkající se vlastnictví vyvíjely různými směry. Některé názory byly velmi radikální, jiné umírněné, některé vycházely z per filosofů předcházejících svou dobu, další pramenily z aktuálních potřeb dané společnosti.  Platón vlastnictvím zdůvodňoval nevhodnost k vládnutí. Ve svém díle Ústava vychází z toho, že společnost by se měla dělit na třídy pracujících, vojáků a filozofů. Právě filozofové by měli být vládnoucí třídou, avšak nemají mít nárok na soukromé vlastnictví, protože to vede k podlamování morálky, sobectví a upřednostňování vlastních zájmů, což pro vládce není vhodné.</w:t>
      </w:r>
      <w:r>
        <w:rPr>
          <w:vertAlign w:val="superscript"/>
        </w:rPr>
        <w:footnoteReference w:id="4"/>
      </w:r>
      <w:r>
        <w:t xml:space="preserve"> John Locke vlastnictvím zdůvodňoval vznik států. Říkal, že právo na vlastnictví existovalo dávno před vznikem státu a není na státní moci závislé. Stát měl vzniknout jako prostředek ochrany vlastnictví.</w:t>
      </w:r>
      <w:r>
        <w:rPr>
          <w:vertAlign w:val="superscript"/>
        </w:rPr>
        <w:footnoteReference w:id="5"/>
      </w:r>
      <w:r>
        <w:t xml:space="preserve"> Thomas Hobbes naopak tvrdil, že vznik vlastnictví je spojen se vznikem státu. Soukromé vlastnictví viděl jako to, co stát ponechal jedinci. Jean Jacques Rousseau vlastnictvím zdůvodňuje původ nerovnosti mezi lidmi. Ve svém díle kritizuje soukromé vlastnictví, vidí v něm příčinu války všech proti všem. Bohaté lidi považuje za nejvíce ohrožené, protože pouze u nich může existovat obava o ztrátu majetku. Podle jeho názoru byl člověk před vznikem soukromého vlastnictví šťastný </w:t>
      </w:r>
      <w:r>
        <w:br/>
        <w:t>a spokojený.</w:t>
      </w:r>
      <w:r>
        <w:rPr>
          <w:vertAlign w:val="superscript"/>
        </w:rPr>
        <w:footnoteReference w:id="6"/>
      </w:r>
      <w:r>
        <w:t xml:space="preserve"> Georg Wilhelm Friedrich Hegel viděl vlastnictví jako základ občanské společnosti. Tuto myšlenku rozpracoval ve svém díle Filosofie práva. Představa, že každý bude mít stejně je podle něj falešná, protože každý má jinou píli, nadání a rozhodovat může </w:t>
      </w:r>
      <w:r>
        <w:br/>
        <w:t>i náhoda. Důležité však je, aby každý měl nějaké vlastnictví. Již tím má být založena spravedlnost.</w:t>
      </w:r>
      <w:r>
        <w:rPr>
          <w:vertAlign w:val="superscript"/>
        </w:rPr>
        <w:footnoteReference w:id="7"/>
      </w:r>
      <w:r>
        <w:t xml:space="preserve"> Pierre Joseph Proudhon prezentoval vlastnictví jako krádež. Podle jeho názoru je soukromé vlastnictví zločinem, pokud si někdo individuálně přivlastní statek, který byl vytvořen kolektivní prací. Právě práce je podle něj jediným legálním způsobem nabytí vlastnictví.</w:t>
      </w:r>
      <w:r>
        <w:rPr>
          <w:vertAlign w:val="superscript"/>
        </w:rPr>
        <w:footnoteReference w:id="8"/>
      </w:r>
      <w:r>
        <w:t xml:space="preserve"> Ústřední roli hrálo vlastnictví také ve filosofii Karla Marxe a Friedricha Engelse. Ti se inspirovali např. Proudhonovou kritikou soukromého vlastnictví a dále ji rozpracovali. Ve svých názorech byli velmi radikální. Podle jejich názoru je ve společnosti přítomen konflikt mezi ovládanými a vládnoucími. Tento konflikt lze vyřešit pouze zrušením soukromého vlastnictví výrobních prostředků, a to i za cenu použití násilí. Nastolením beztřídní, komunistické společnosti, by měla vzniknout mezi lidmi sociální spravedlnost.</w:t>
      </w:r>
      <w:r>
        <w:rPr>
          <w:vertAlign w:val="superscript"/>
        </w:rPr>
        <w:footnoteReference w:id="9"/>
      </w:r>
      <w:r>
        <w:t xml:space="preserve">  </w:t>
      </w:r>
      <w:r>
        <w:tab/>
        <w:t xml:space="preserve"> </w:t>
      </w:r>
      <w:r>
        <w:tab/>
        <w:t xml:space="preserve"> Filosofické úvahy o vlastnictví si mohly dovolit jistou dávku radikálnosti, teoretičnosti, filosofové mohli naplno využít svou představivost a dojít až k utopickým závěrům. Mohli vyjádřit svůj ideál, přestože jeho naplnění v reálném světě by bylo těžko uskutečnitelné. </w:t>
      </w:r>
    </w:p>
    <w:p w:rsidR="009D1F29" w:rsidRDefault="009D1F29" w:rsidP="007E7EA7">
      <w:pPr>
        <w:ind w:left="-5" w:right="4" w:firstLine="713"/>
      </w:pPr>
      <w:r>
        <w:t xml:space="preserve">Právníci však museli přijít s definicemi využitelnými v běžném každodenním životě. Definice musí být v zákonech, odborné literatuře či judikatuře uchopitelné tak, aby na jejich základě mohly soudy rozhodovat a vlastnictví poskytovat ochranu. Definice jsou důležité také pro ujasnění rozsahu smluv, práv a povinností vyplývajících z vlastnictví a dalších právních kategorií spojených s vlastnictvím. Nutné je však podotknout, že žádná z předkládaných definic vlastnictví není ideální, a vytvořit takovou, je nejspíše ideálem nedosažitelným. Hlavním důvodem je nepřeberné množství různých situací, ve kterých se vlastník může ocitnout. Obsáhnout tedy všechny možné situace i se všemi výjimkami, se jeví jako téměř nemožné, a i pokud by teoreticky byla přeci jen taková definice vytvořena, je otázkou, jaký by pak měla praktický význam. Navíc, jak již bylo zmíněno, vlastnictví je úzce spojeno se společenským vývojem, a tudíž si myslím, že ani jeho univerzální ideální věčná definice není možná. Přesto je zajímavé sledovat rozdílnost či naopak shodnost jednotlivých definic, analyzovat nedostatky a pozorovat jejich proměny v průběhu času.       </w:t>
      </w:r>
    </w:p>
    <w:p w:rsidR="009D1F29" w:rsidRDefault="009D1F29">
      <w:pPr>
        <w:ind w:left="-5" w:right="4"/>
      </w:pPr>
      <w:r>
        <w:t xml:space="preserve"> </w:t>
      </w:r>
      <w:r>
        <w:tab/>
        <w:t>Pokud nahlédneme do právnických slovníků, nalezneme zde velmi stručnou definici typu „</w:t>
      </w:r>
      <w:r>
        <w:rPr>
          <w:i/>
        </w:rPr>
        <w:t>vlastnické právo je právní normou regulovaný vlastnický vztah</w:t>
      </w:r>
      <w:r>
        <w:t xml:space="preserve">“. Taková definice je však téměř nic neříkající a pro vymezení obsahu vlastnického práva nedostatečná. Propracovanější již je </w:t>
      </w:r>
      <w:r>
        <w:rPr>
          <w:i/>
        </w:rPr>
        <w:t xml:space="preserve">„učebnicová“ </w:t>
      </w:r>
      <w:r>
        <w:t>definice „</w:t>
      </w:r>
      <w:r>
        <w:rPr>
          <w:i/>
        </w:rPr>
        <w:t>vlastnické právo je právo věc ovládat, zejména ji držet, užívat, požívat, nakládat s ní, a to svou mocí, to znamená mocí nezávislou na současné existenci moci kohokoli jiného k téže věc“.</w:t>
      </w:r>
      <w:r>
        <w:rPr>
          <w:vertAlign w:val="superscript"/>
        </w:rPr>
        <w:footnoteReference w:id="10"/>
      </w:r>
      <w:r>
        <w:t xml:space="preserve"> Její nevýhodou je, že neplatí vždy, protože vlastníkem může být i osoba, která žádné z uvedených práv nemá. Např. u osob omezených ve svéprávnosti není jejich vůle vždy právně relevantní. Výhody odborná literatura spatřuje v její univerzálnosti a nadčasovosti. Právě nadčasovost lze spatřit při jejím porovnání s římskoprávním pojetí vlastnictví. To vlastnictví chápe jako právní panství nad věcí, které je všeobecné, přímé a výlučné, jehož předmětem jsou věci hmotné.</w:t>
      </w:r>
      <w:r>
        <w:rPr>
          <w:vertAlign w:val="superscript"/>
        </w:rPr>
        <w:footnoteReference w:id="11"/>
      </w:r>
      <w:r>
        <w:t xml:space="preserve"> Pokud si pod pojmem panství představíme hlavní atributy vlastnictví, tedy právo věc držet, užívat, požívat </w:t>
      </w:r>
      <w:r>
        <w:br/>
        <w:t>a nakládat s ní, tkví jediný zřejmý rozdíl v tom, že dnes předmětem vlastnictví jsou i věci nehmotné.</w:t>
      </w:r>
      <w:r>
        <w:rPr>
          <w:rStyle w:val="FootnoteReference"/>
        </w:rPr>
        <w:footnoteReference w:id="12"/>
      </w:r>
    </w:p>
    <w:p w:rsidR="009D1F29" w:rsidRDefault="009D1F29" w:rsidP="00CD3852">
      <w:pPr>
        <w:spacing w:after="28" w:line="368" w:lineRule="auto"/>
        <w:ind w:left="-5" w:right="0" w:firstLine="713"/>
      </w:pPr>
      <w:r>
        <w:t xml:space="preserve">Další definici vlastnictví nabízí OZO, když § 353 říká, že </w:t>
      </w:r>
      <w:r>
        <w:rPr>
          <w:i/>
        </w:rPr>
        <w:t>„vše, co někomu náleží, všechny jeho hmotné a nehmotné věci, slují jeho vlastnictví“.</w:t>
      </w:r>
      <w:r>
        <w:t xml:space="preserve"> Dále § 354 doplňuje, že „</w:t>
      </w:r>
      <w:r>
        <w:rPr>
          <w:i/>
        </w:rPr>
        <w:t>vlastnictví, jako právo posuzováno, jest oprávněním s podstatou a užitky věci podle své vůle nakládati a každého jiného z toho vyloučiti“.</w:t>
      </w:r>
      <w:r>
        <w:t xml:space="preserve"> Ustanovení § 353 tedy charakterizuje předmět vlastnictví, vlastnictví v objektivním smyslu a § 354 charakterizuje souhrn práv a povinností, vlastnictví jako subjektivní právo. K těmto ustanovení se vyjadřuje i komentářová literatura.  </w:t>
      </w:r>
      <w:r>
        <w:br/>
        <w:t xml:space="preserve">Randa: </w:t>
      </w:r>
      <w:r>
        <w:rPr>
          <w:i/>
        </w:rPr>
        <w:t>„Vlastnictví jest bezprostředná a úplná či nejsvrchovanější právní moc nad věcí hmotnou nebo správněji řečeno: pojmová právní možnost přímého a neobmezeného nakládání věcí hmotnou.“</w:t>
      </w:r>
      <w:r>
        <w:rPr>
          <w:vertAlign w:val="superscript"/>
        </w:rPr>
        <w:footnoteReference w:id="13"/>
      </w:r>
      <w:r>
        <w:t xml:space="preserve">  Rouček, Sedláček: </w:t>
      </w:r>
      <w:r>
        <w:rPr>
          <w:i/>
        </w:rPr>
        <w:t>„Vlastnictví je „něco“, co je dáno, jakmile se dovrší podmínky jeho vzniku a pokud se nesplní podmínky jeho zániku.“</w:t>
      </w:r>
      <w:r>
        <w:rPr>
          <w:vertAlign w:val="superscript"/>
        </w:rPr>
        <w:footnoteReference w:id="14"/>
      </w:r>
      <w:r>
        <w:t xml:space="preserve"> Nedostatek takové definice lze spatřovat v tom, že sama o sobě o vlastnictví nic neříká, a musí být dále doplněna charakterizováním obsahu vlastnického práva a jeho vlastnostmi.    </w:t>
      </w:r>
    </w:p>
    <w:p w:rsidR="009D1F29" w:rsidRDefault="009D1F29" w:rsidP="00D77CB5">
      <w:pPr>
        <w:ind w:left="-5" w:right="4"/>
      </w:pPr>
      <w:r>
        <w:t xml:space="preserve"> </w:t>
      </w:r>
      <w:r>
        <w:tab/>
        <w:t xml:space="preserve">U výše zmíněných definic můžeme vidět několik společných znaků. Jejich podstata spočívá v tom, že osoba, jíž daná věc patří, nad ní vykonává svou nezávislou moc. Dále pak může být rozváděno, jaké jsou možnosti vlastníka působit na jeho věc či jaké jsou výjimky </w:t>
      </w:r>
      <w:r>
        <w:br/>
        <w:t xml:space="preserve">z neomezeného panství nad věcí, a mnoho dalších. Oproti chápání pojmu vlastnictví v OZO </w:t>
      </w:r>
      <w:r>
        <w:br/>
        <w:t xml:space="preserve">a OZ, vycházejících z římskoprávní tradice, hledí na definování tohoto institutu odlišně socialistická právní věda, vycházející z filosofie Marxe a Engelse. Ta viděla předchozí definice jako buržoazní a přežité, když na jejich základě mělo docházet k vykořisťování dělníků kapitalisty. Vlastnictví již nebylo viděno jako právní panství nad věcí, ale jako společenský vztah mezi lidmi. OZ/50 vlastnictví sice nedefinoval, ale definice byly tvořeny </w:t>
      </w:r>
      <w:r>
        <w:br/>
        <w:t xml:space="preserve">v dobové literatuře. Za nejideálnější definici vlastnictví byla považována definice Venediktova. Ta zní </w:t>
      </w:r>
      <w:r>
        <w:rPr>
          <w:i/>
        </w:rPr>
        <w:t>„vlastnictví je právo jednotlivce nebo kolektivu používat výrobních prostředků nebo výrobků svou mocí a ve svém zájmu na základě soustavy třídních poměrů, která v dané společnosti existuje, a v souladu s touto soustavou“.</w:t>
      </w:r>
      <w:r w:rsidRPr="00D77CB5">
        <w:rPr>
          <w:rStyle w:val="FootnoteReference"/>
        </w:rPr>
        <w:footnoteReference w:id="15"/>
      </w:r>
      <w:r>
        <w:t xml:space="preserve"> Venediktov do své definice přímo zahrnul možnost spoluvlastnictví v podobě práva kolektivu na věc, tradiční pojem věci nahradil pojmy výrobních prostředků a výrobků a dodal, že vlastnictví je ovlivňováno soustavou třídních poměrů. Vyzdvižení kolektivu a změna tradičního právního názvosloví jsou klasickými prvky socialistického práva. Pojem společenská třída je pak ústředním pojmem Marxova a Engelsova učení. Jak můžeme vidět, jejich vliv na formování práva v socialistických státech byl obrovský.   </w:t>
      </w:r>
      <w:r>
        <w:tab/>
      </w:r>
      <w:r>
        <w:tab/>
      </w:r>
      <w:r>
        <w:tab/>
      </w:r>
      <w:r>
        <w:tab/>
      </w:r>
      <w:r>
        <w:tab/>
      </w:r>
      <w:r>
        <w:tab/>
      </w:r>
      <w:r>
        <w:tab/>
      </w:r>
      <w:r>
        <w:tab/>
        <w:t xml:space="preserve">Pokud se detailněji zaměříme na podstatu definice, je jí znovu to, že vlastník používá věc svou mocí. Pojem </w:t>
      </w:r>
      <w:r>
        <w:rPr>
          <w:i/>
        </w:rPr>
        <w:t xml:space="preserve">„svou moc“ </w:t>
      </w:r>
      <w:r>
        <w:t>dále analyzoval Knapp. Ten říká, že jde o moc, která není závislá na existenci kohokoliv jiného k téže věci v téže době. Příkladem uvádí vlastníka, který když půjčí věc jinému, mají oba jistou dobu nad věcí moc, ale vlastníkova moc nezávisí na existenci moci vypůjčitelovi, naopak vypůjčitel může být vypůjčitelem pouze díky vlastníku. Sám Knapp pak vlastnictví definoval jako „</w:t>
      </w:r>
      <w:r>
        <w:rPr>
          <w:i/>
        </w:rPr>
        <w:t xml:space="preserve">vztah společenský, a to jednak materiální (výrobní poměr), jednak ideologický, tj. vlastnictví jako poměr právní“. </w:t>
      </w:r>
      <w:r>
        <w:t>To je dále rozvedeno, když vysvětluje, že</w:t>
      </w:r>
      <w:r>
        <w:rPr>
          <w:i/>
        </w:rPr>
        <w:t xml:space="preserve"> „vlastnictví jako vztah materiální, je vlastnictví ve smyslu ekonomickém, jakožto přisvojování předmětů přírody v určité společenské formě a skrze ni“. </w:t>
      </w:r>
      <w:r>
        <w:t>A ideologický vztah rozvádí, jako</w:t>
      </w:r>
      <w:r>
        <w:rPr>
          <w:i/>
        </w:rPr>
        <w:t xml:space="preserve"> „vlastnictví ve smyslu právním</w:t>
      </w:r>
      <w:r>
        <w:t>“.</w:t>
      </w:r>
      <w:r>
        <w:rPr>
          <w:vertAlign w:val="superscript"/>
        </w:rPr>
        <w:footnoteReference w:id="16"/>
      </w:r>
      <w:r>
        <w:t xml:space="preserve"> </w:t>
      </w:r>
      <w:r>
        <w:tab/>
        <w:t xml:space="preserve"> </w:t>
      </w:r>
      <w:r>
        <w:tab/>
        <w:t xml:space="preserve"> </w:t>
      </w:r>
      <w:r>
        <w:tab/>
        <w:t xml:space="preserve"> </w:t>
      </w:r>
      <w:r>
        <w:tab/>
        <w:t xml:space="preserve"> </w:t>
      </w:r>
      <w:r>
        <w:tab/>
        <w:t xml:space="preserve"> </w:t>
      </w:r>
    </w:p>
    <w:p w:rsidR="009D1F29" w:rsidRDefault="009D1F29">
      <w:pPr>
        <w:tabs>
          <w:tab w:val="right" w:pos="9080"/>
        </w:tabs>
        <w:spacing w:after="166" w:line="259" w:lineRule="auto"/>
        <w:ind w:left="-15" w:right="0" w:firstLine="0"/>
        <w:jc w:val="left"/>
      </w:pPr>
      <w:r>
        <w:t xml:space="preserve"> </w:t>
      </w:r>
      <w:r>
        <w:tab/>
        <w:t xml:space="preserve">Aby byl výčet kompletní, doplňuji ještě úpravu v OZ/64 a OZ. Úprava v OZ/64 v § 123 </w:t>
      </w:r>
    </w:p>
    <w:p w:rsidR="009D1F29" w:rsidRDefault="009D1F29" w:rsidP="00BB3214">
      <w:pPr>
        <w:ind w:left="-5" w:right="4"/>
      </w:pPr>
      <w:r>
        <w:t xml:space="preserve">říká </w:t>
      </w:r>
      <w:r>
        <w:rPr>
          <w:i/>
        </w:rPr>
        <w:t>„vlastník je v mezích zákona oprávněn předmět svého vlastnictví držet, užívat, požívat jeho plody a užitky a nakládat s ním“</w:t>
      </w:r>
      <w:r>
        <w:t xml:space="preserve">. V souladu s komentářovou literaturou si myslím, že se však nejedná o definici, nýbrž o demonstrativní výčet práv vlastníka. Důležité je také podotknout, že tato práva má vlastník zpravidla, ne však vždy. Úprava v OZ v § 1011 říká, že </w:t>
      </w:r>
      <w:r>
        <w:rPr>
          <w:i/>
        </w:rPr>
        <w:t>„vše, co někomu patří, všechny jeho věci hmotné i nehmotné, je jeho vlastnictvím“.</w:t>
      </w:r>
      <w:r>
        <w:t xml:space="preserve"> I v tomto kodexu sledujeme tendenci vyhýbání se definici vlastnictví. Důvodová zpráva to odůvodňuje nevhodností umísťování definic pojmů tohoto druhu do zákona. Zákonná ustanovení charakterizující vlastnictví zdůrazňují pouze nesporné, obecně akceptovatelné a podstatné rysy vlastnického práva.</w:t>
      </w:r>
      <w:r>
        <w:rPr>
          <w:vertAlign w:val="superscript"/>
        </w:rPr>
        <w:footnoteReference w:id="17"/>
      </w:r>
      <w:r>
        <w:t xml:space="preserve"> </w:t>
      </w:r>
      <w:r>
        <w:tab/>
      </w:r>
      <w:r>
        <w:tab/>
      </w:r>
      <w:r>
        <w:tab/>
      </w:r>
      <w:r>
        <w:tab/>
      </w:r>
      <w:r>
        <w:tab/>
      </w:r>
      <w:r>
        <w:tab/>
      </w:r>
      <w:r>
        <w:tab/>
      </w:r>
      <w:r>
        <w:tab/>
      </w:r>
      <w:r>
        <w:tab/>
      </w:r>
      <w:r>
        <w:tab/>
      </w:r>
      <w:r>
        <w:tab/>
        <w:t xml:space="preserve"> Na závěr úvodní podkapitoly bych se rád ještě krátce vyjádřil k používání pojmů vlastnictví a vlastnické právo, které jsou, nejen v této práci, používány promiscue synonymicky. Nejprve bych shrnul historický vývoj používání obou pojmů a následně vyvodil závěry.           </w:t>
      </w:r>
    </w:p>
    <w:p w:rsidR="009D1F29" w:rsidRDefault="009D1F29">
      <w:pPr>
        <w:ind w:left="-5" w:right="4"/>
      </w:pPr>
      <w:r>
        <w:t xml:space="preserve">  </w:t>
      </w:r>
      <w:r>
        <w:tab/>
        <w:t>OZO mezi oběma pojmy nerozlišoval, s čímž souhlasila i většina tehdejší právních teoretiků. Příkladem lze uvést dobový názor profesora Krčmáře:</w:t>
      </w:r>
      <w:r>
        <w:rPr>
          <w:i/>
        </w:rPr>
        <w:t xml:space="preserve"> „Připomenouti jest, že zákoník užívá promíšeně slov vlastnictví a právo vlastnické a že ani neodpovídá zákonu ani nemá smysl rozlišovati dva pojmy.“</w:t>
      </w:r>
      <w:r>
        <w:rPr>
          <w:vertAlign w:val="superscript"/>
        </w:rPr>
        <w:footnoteReference w:id="18"/>
      </w:r>
      <w:r>
        <w:t xml:space="preserve"> Mezi pojmy nerozlišoval ani OZ/50, což jasně vyplývá již z pojmenování systematiky zákona. Hlava sedmá nese název </w:t>
      </w:r>
      <w:r>
        <w:rPr>
          <w:i/>
        </w:rPr>
        <w:t>„Právo vlastnické“</w:t>
      </w:r>
      <w:r>
        <w:t xml:space="preserve"> </w:t>
      </w:r>
      <w:r>
        <w:br/>
        <w:t xml:space="preserve">a podnadpis </w:t>
      </w:r>
      <w:r>
        <w:rPr>
          <w:i/>
        </w:rPr>
        <w:t>„Druhy vlastnictví“</w:t>
      </w:r>
      <w:r>
        <w:t xml:space="preserve">. Jasný důkazem synonymického používání je pak </w:t>
      </w:r>
      <w:r>
        <w:br/>
        <w:t xml:space="preserve">§ </w:t>
      </w:r>
      <w:r>
        <w:rPr>
          <w:i/>
        </w:rPr>
        <w:t>106 „soukromé vlastnictví se spravuje ustanoveními danými pro právo vlastnické…“</w:t>
      </w:r>
      <w:r>
        <w:t xml:space="preserve"> Ve stejném duchu se nese i úprava v OZ/64. Oba pojmy zde byly dále používány synonymicky </w:t>
      </w:r>
      <w:r>
        <w:br/>
        <w:t>a vzájemně zaměňovány.</w:t>
      </w:r>
      <w:r>
        <w:rPr>
          <w:vertAlign w:val="superscript"/>
        </w:rPr>
        <w:footnoteReference w:id="19"/>
      </w:r>
      <w:r>
        <w:t xml:space="preserve"> OZ přichází s rozlišováním pojmů vlastnictví a vlastnické právo, když dle důvodové zprávy se pojmem vlastnictví označuje předmět vlastnického práva, souhrn majetkových kusů, k nimž určitá osoba vlastnické právo má. Vlastnické právo je pak chápáno jako subjektivní právo vlastníka k předmětu vlastnictví. Je otázkou, proč v části třetí hlavě druhé se třetí díl nazývá </w:t>
      </w:r>
      <w:r>
        <w:rPr>
          <w:i/>
        </w:rPr>
        <w:t>„Vlastnictví“</w:t>
      </w:r>
      <w:r>
        <w:t xml:space="preserve"> a následně jeho první oddíl </w:t>
      </w:r>
      <w:r>
        <w:rPr>
          <w:i/>
        </w:rPr>
        <w:t>„Povaha vlastnického práva a jeho rozsah“</w:t>
      </w:r>
      <w:r>
        <w:t xml:space="preserve">. Dle rozlišení uvedeného v důvodové zprávě by se tento třetí díl měl nazývat </w:t>
      </w:r>
      <w:r>
        <w:rPr>
          <w:i/>
        </w:rPr>
        <w:t>„Vlastnické právo“</w:t>
      </w:r>
      <w:r>
        <w:t xml:space="preserve">. Navíc i komentářová literatura </w:t>
      </w:r>
      <w:r>
        <w:br/>
        <w:t xml:space="preserve">k rozlišení pojmů v důvodové zprávě dodává, že výrazy vlastnictví a vlastnické právo se </w:t>
      </w:r>
      <w:r>
        <w:br/>
        <w:t>v teorii i praxi používají synonymicky, aniž by to způsobovalo jakékoliv problémy, což považuji za nejdůležitější argument.</w:t>
      </w:r>
      <w:r>
        <w:rPr>
          <w:vertAlign w:val="superscript"/>
        </w:rPr>
        <w:footnoteReference w:id="20"/>
      </w:r>
      <w:r>
        <w:t xml:space="preserve"> Synonymické užívání obou pojmů lze vysledovat </w:t>
      </w:r>
      <w:r>
        <w:br/>
        <w:t>např. i v článku 11 LZPS, a mezi oběma pojmy nerozlišují ani cizí právní úpravy.</w:t>
      </w:r>
      <w:r>
        <w:rPr>
          <w:vertAlign w:val="superscript"/>
        </w:rPr>
        <w:footnoteReference w:id="21"/>
      </w:r>
      <w:r>
        <w:t xml:space="preserve">         </w:t>
      </w:r>
    </w:p>
    <w:p w:rsidR="009D1F29" w:rsidRDefault="009D1F29" w:rsidP="009E4BD4">
      <w:pPr>
        <w:spacing w:line="360" w:lineRule="auto"/>
        <w:ind w:left="-5" w:right="4" w:firstLine="713"/>
      </w:pPr>
      <w:r>
        <w:t>Přestože si plně uvědomuji snahy zákonodárce o rozlišování obou pojmů, i některé názory právní vědy vyvozující stejný názor</w:t>
      </w:r>
      <w:r>
        <w:rPr>
          <w:vertAlign w:val="superscript"/>
        </w:rPr>
        <w:footnoteReference w:id="22"/>
      </w:r>
      <w:r>
        <w:t xml:space="preserve">, avšak v této práci jsem se rozhodl oba výrazy používat synonymicky. Učinil jsem tak na základě dlouhé právní tradice panující nejen u nás, ale i v některých okolních státech, s přihlédnutím k tomu, že jak v odborné literatuře, tak </w:t>
      </w:r>
      <w:r>
        <w:br/>
        <w:t xml:space="preserve">v právní praxi jsou oba termíny brány jako shodné, aniž by to působilo jakékoliv praktické problémy. Domnívám se, že rozlišování obou pojmů je často spíše věcí stylistiky </w:t>
      </w:r>
      <w:r>
        <w:br/>
        <w:t xml:space="preserve">a nedůslednosti zákonné dikce.         </w:t>
      </w:r>
    </w:p>
    <w:p w:rsidR="009D1F29" w:rsidRDefault="009D1F29" w:rsidP="009E4BD4">
      <w:pPr>
        <w:spacing w:line="240" w:lineRule="auto"/>
        <w:ind w:left="-5" w:right="4" w:firstLine="713"/>
      </w:pPr>
    </w:p>
    <w:p w:rsidR="009D1F29" w:rsidRDefault="009D1F29">
      <w:pPr>
        <w:pStyle w:val="Heading2"/>
        <w:ind w:left="693" w:hanging="708"/>
      </w:pPr>
      <w:bookmarkStart w:id="9" w:name="_Toc512979301"/>
      <w:bookmarkStart w:id="10" w:name="_Toc512979807"/>
      <w:r>
        <w:t>Předmět vlastnictví</w:t>
      </w:r>
      <w:bookmarkEnd w:id="9"/>
      <w:bookmarkEnd w:id="10"/>
      <w:r>
        <w:rPr>
          <w:b w:val="0"/>
        </w:rPr>
        <w:t xml:space="preserve"> </w:t>
      </w:r>
    </w:p>
    <w:p w:rsidR="009D1F29" w:rsidRDefault="009D1F29">
      <w:pPr>
        <w:spacing w:after="177" w:line="259" w:lineRule="auto"/>
        <w:ind w:left="0" w:right="0" w:firstLine="0"/>
        <w:jc w:val="left"/>
      </w:pPr>
      <w:r>
        <w:t xml:space="preserve"> </w:t>
      </w:r>
    </w:p>
    <w:p w:rsidR="009D1F29" w:rsidRDefault="009D1F29">
      <w:pPr>
        <w:ind w:left="-15" w:right="4" w:firstLine="708"/>
      </w:pPr>
      <w:r>
        <w:t xml:space="preserve">Při analýze definic vlastnictví jsem se již lehce dotkl problematiky předmětu vlastnictví. Právě ta s definováním a chápáním vlastnictví úzce souvisí, proto je nutné se na ni blíže zaměřit. K předmětu vlastnictví existují dva základní přístupy. Buď může být předmětem vlastnictví pouze hmotná věc (materialistický přístup), anebo každá majetková hodnota (idealistický přístup). V průběhu historie se oba tyto přístupy střídavě uplatňovaly. Pokud za předmět vlastnictví budeme brát pouze hmotnou věc, můžeme tento přístup nazývat jako užší smysl vlastnictví. Naopak, pokud budeme chápat předmětem vlastnictví i věc nehmotnou, můžeme tento přístup nazývat jako širší smysl vlastnictví.       </w:t>
      </w:r>
    </w:p>
    <w:p w:rsidR="009D1F29" w:rsidRDefault="009D1F29" w:rsidP="00082BE0">
      <w:pPr>
        <w:ind w:left="-5" w:right="4"/>
      </w:pPr>
      <w:r>
        <w:t xml:space="preserve"> </w:t>
      </w:r>
      <w:r>
        <w:tab/>
        <w:t>Rozdělení věcí na hmotné a nehmotné znalo již římské právo. Gaius označuje za hmotné věci ty, kterých se lze dotknout, jako země, člověk, oblečení, zlato a další. Za věci nehmotné pak ty, kterých se nelze dotknout, jako jsou práva obecně, právo na pozůstalost, právo užívání nebo pohledávka.</w:t>
      </w:r>
      <w:r>
        <w:rPr>
          <w:vertAlign w:val="superscript"/>
        </w:rPr>
        <w:footnoteReference w:id="23"/>
      </w:r>
      <w:r>
        <w:t xml:space="preserve"> Ovšem to, že staří Římané dělili věci na hmotné </w:t>
      </w:r>
      <w:r>
        <w:br/>
        <w:t>a nehmotné neznamená, že by v obou variantách spatřovali předmět vlastnictví. Předmětem vlastnictví chápali pouze věci hmotné.</w:t>
      </w:r>
      <w:r>
        <w:rPr>
          <w:vertAlign w:val="superscript"/>
        </w:rPr>
        <w:footnoteReference w:id="24"/>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Vlastnictví v širším smyslu uznával OZO, návrh občanského zákoníku z roku 1937  </w:t>
      </w:r>
      <w:r>
        <w:br/>
        <w:t>a OZ. Ustanovení § 292 OZO znělo „</w:t>
      </w:r>
      <w:r>
        <w:rPr>
          <w:i/>
        </w:rPr>
        <w:t>hmotné věci jsou ty, které lze smysly vnímati; jinak slují nehmotné; např. právo loviti, ryby chytati a všechna jiná práva“.</w:t>
      </w:r>
      <w:r>
        <w:t xml:space="preserve"> Ustanovení § 355 pak konstatovalo, že „</w:t>
      </w:r>
      <w:r>
        <w:rPr>
          <w:i/>
        </w:rPr>
        <w:t>všechny věci vůbec jsou předmětem vlastnického práva</w:t>
      </w:r>
      <w:r>
        <w:t>“. I přes jasné znění zákona však nebylo chápání předmětu vlastnictví úplně jednoznačné. Někteří autoři se vyjadřovali ve shodě se zákonnou úpravou, např. Sedláček: „</w:t>
      </w:r>
      <w:r>
        <w:rPr>
          <w:i/>
        </w:rPr>
        <w:t>Výklad, podle kterého je předmětem vlastnictví jen věc hmotná odporuje doslovu zákona a některá ustanovení se stávají těžce srozumitelnými</w:t>
      </w:r>
      <w:r>
        <w:t>.“</w:t>
      </w:r>
      <w:r>
        <w:rPr>
          <w:rStyle w:val="FootnoteReference"/>
        </w:rPr>
        <w:footnoteReference w:id="25"/>
      </w:r>
      <w:r>
        <w:t xml:space="preserve"> Většina však zákonné pojetí předmětu vlastnictví kritizovala. Zabývali se mimo jiné otázkou, nakolik lze na vlastnictví k nehmotným věcem aplikovat obecná ustanovení OZO o vlastnickém právu.</w:t>
      </w:r>
      <w:r>
        <w:rPr>
          <w:rStyle w:val="FootnoteReference"/>
        </w:rPr>
        <w:footnoteReference w:id="26"/>
      </w:r>
    </w:p>
    <w:p w:rsidR="009D1F29" w:rsidRDefault="009D1F29" w:rsidP="0026100C">
      <w:pPr>
        <w:spacing w:after="28" w:line="368" w:lineRule="auto"/>
        <w:ind w:left="-5" w:right="0"/>
      </w:pPr>
      <w:r>
        <w:t xml:space="preserve"> </w:t>
      </w:r>
      <w:r>
        <w:tab/>
        <w:t xml:space="preserve">Vládní návrh občanského zákoníku z roku 1937 se zabýval předmětem vlastnictví  </w:t>
      </w:r>
      <w:r>
        <w:br/>
        <w:t xml:space="preserve">v § 82: </w:t>
      </w:r>
      <w:r>
        <w:rPr>
          <w:i/>
        </w:rPr>
        <w:t>„Věci hmotné jsou kusy přírody podrobitelné lidské moci (soubory takových kusů), které mají povahu samostatných prostředků úkojných. Předpisů o věcech hmotných jest užíti přiměřeně na přírodní síly, s kterými se obchoduje. Věci nehmotné jsou zejména práva.“</w:t>
      </w:r>
      <w:r>
        <w:t xml:space="preserve"> Úprava definovala pouze hmotné předměty, ostatní se považovaly za nehmotné. Demonstrativně pak byla uvedena práva.  </w:t>
      </w:r>
      <w:r>
        <w:tab/>
        <w:t xml:space="preserve"> </w:t>
      </w:r>
      <w:r>
        <w:tab/>
        <w:t xml:space="preserve"> </w:t>
      </w:r>
      <w:r>
        <w:tab/>
        <w:t xml:space="preserve"> </w:t>
      </w:r>
      <w:r>
        <w:tab/>
        <w:t xml:space="preserve"> </w:t>
      </w:r>
      <w:r>
        <w:tab/>
        <w:t xml:space="preserve"> </w:t>
      </w:r>
      <w:r>
        <w:tab/>
        <w:t xml:space="preserve"> </w:t>
      </w:r>
    </w:p>
    <w:p w:rsidR="009D1F29" w:rsidRDefault="009D1F29" w:rsidP="0053238D">
      <w:pPr>
        <w:ind w:left="-5" w:right="4"/>
      </w:pPr>
      <w:r>
        <w:t xml:space="preserve"> </w:t>
      </w:r>
      <w:r>
        <w:tab/>
        <w:t xml:space="preserve">OZ koncepčně vychází z vládního návrhu občanského zákoníku z roku 1937, přičemž se inspiroval i v novějších zahraničních úpravách. Ustanovení § 489 obsahuje definici </w:t>
      </w:r>
      <w:r>
        <w:br/>
        <w:t xml:space="preserve">věci: </w:t>
      </w:r>
      <w:r>
        <w:rPr>
          <w:i/>
        </w:rPr>
        <w:t>„Věc v právním smyslu je vše, co je rozdílné od osoby a slouží potřebě lidí.“</w:t>
      </w:r>
      <w:r>
        <w:t xml:space="preserve"> Tuto definici bych ještě doplnil tak, že věcí v právním smyslu je to, čeho se mohou dotýkat subjektivní majetková práva, především právo vlastnické. Obecně si lze věc přivlastnit, </w:t>
      </w:r>
      <w:r>
        <w:br/>
        <w:t xml:space="preserve">z čehož plyne, že musí být ovladatelná. Ustanovení § 496 dále definuje věci hmotné </w:t>
      </w:r>
      <w:r>
        <w:br/>
        <w:t>a nehmotné. § 496 odst. 1:</w:t>
      </w:r>
      <w:r>
        <w:rPr>
          <w:i/>
        </w:rPr>
        <w:t xml:space="preserve"> „Hmotná věc je ovladatelná (a prostorově vymezitelná) část vnějšího světa, která má povahu samostatného předmětu.</w:t>
      </w:r>
      <w:r>
        <w:t xml:space="preserve">“ Příkladem židle, auto, kniha. § 496 odst. 2: </w:t>
      </w:r>
      <w:r>
        <w:rPr>
          <w:i/>
        </w:rPr>
        <w:t xml:space="preserve">„Nehmotné věci jsou práva, jejichž povaha to připouští a jiné věci bez hmotné podstaty.“ </w:t>
      </w:r>
      <w:r>
        <w:t xml:space="preserve">Zmíněnými právy se myslí pouze majetková práva, jejichž povaha tomu nebrání. Příkladem pohledávka, služebnost nebo právo stavby. Jak můžeme vidět, nehmotnou věcí může být i věc nemovitá. Naopak věcmi nejsou myšlena práva osobní. Mezi jiné věci bez hmotné podstaty řadíme např. ochranné známky, průmyslové vzory, patenty, know how, obchodní tajemství či obchodní podíl. Můžeme si všimnout odklonu od OZO i vládního návrhu z roku 1937, jenž nehmotné věci nedefinovali. Tento odklon nepovažuji za vhodný, protože určitá část materie může zůstat nepokryta.  </w:t>
      </w:r>
      <w:r>
        <w:tab/>
      </w:r>
      <w:r>
        <w:tab/>
      </w:r>
      <w:r>
        <w:tab/>
      </w:r>
      <w:r>
        <w:tab/>
      </w:r>
      <w:r>
        <w:tab/>
      </w:r>
      <w:r>
        <w:tab/>
      </w:r>
      <w:r>
        <w:tab/>
      </w:r>
      <w:r>
        <w:tab/>
        <w:t>Užší smysl vlastnictví byl uplatněn v OZ/50, který byl inspirován BGB a zejména sovětskou právní naukou. Odklon od tradice OZO byl podpořen klasickými argumenty socialistické právní nauky s tím, že rozumět pod pojmem věci nehmotné předměty, by odporovalo lidovému chápání.</w:t>
      </w:r>
      <w:r>
        <w:rPr>
          <w:vertAlign w:val="superscript"/>
        </w:rPr>
        <w:footnoteReference w:id="27"/>
      </w:r>
      <w:r>
        <w:t xml:space="preserve"> Vymezením věci se zabýval § 23, jenž stanovil, že </w:t>
      </w:r>
      <w:r>
        <w:rPr>
          <w:i/>
        </w:rPr>
        <w:t xml:space="preserve">„věci </w:t>
      </w:r>
      <w:r>
        <w:rPr>
          <w:i/>
        </w:rPr>
        <w:br/>
        <w:t>v právním smyslu jsou ovladatelné hmotné předměty a přírodní síly, které slouží lidské potřebě“.</w:t>
      </w:r>
      <w:r>
        <w:t xml:space="preserve">  Užší smysl vlastnictví vyznával také OZ/64, který sice definici věci neobsahoval, ani žádné výslovné ustanovení o rozdělení věcí na hmotné a nehmotné, avšak judikatura </w:t>
      </w:r>
      <w:r>
        <w:br/>
        <w:t>i literatura dovozovala, že věcmi se rozumí pouze věci hmotné.</w:t>
      </w:r>
      <w:r>
        <w:rPr>
          <w:rStyle w:val="FootnoteReference"/>
        </w:rPr>
        <w:footnoteReference w:id="28"/>
      </w:r>
      <w:r>
        <w:t xml:space="preserve"> Důvod, proč zákoník definici neobsahoval, vysvětlovala tehdejší právní věda tím, že věc je přírodní fakt, který nepřísluší definovat.</w:t>
      </w:r>
      <w:r>
        <w:rPr>
          <w:vertAlign w:val="superscript"/>
        </w:rPr>
        <w:footnoteReference w:id="29"/>
      </w:r>
      <w:r>
        <w:t xml:space="preserve"> Tento argument je však zcestný, neboť juristická definice není definicí reálnou, nevypovídá nic o reálném světě, nýbrž je nominální, účelovou. Proto také dochází často k rozporu mezi právním a reálným pohledem na věci.</w:t>
      </w:r>
      <w:r>
        <w:rPr>
          <w:vertAlign w:val="superscript"/>
        </w:rPr>
        <w:footnoteReference w:id="30"/>
      </w:r>
      <w:r>
        <w:t xml:space="preserve"> Avšak i v socialistické právní vědě se objevovaly názory oponující výše zmíněné argumentaci s tím, že pojem věci </w:t>
      </w:r>
      <w:r>
        <w:br/>
        <w:t>v právním smyslu není zcela totožný s pojmem věci ve smyslu fyzickém.</w:t>
      </w:r>
      <w:r>
        <w:rPr>
          <w:vertAlign w:val="superscript"/>
        </w:rPr>
        <w:footnoteReference w:id="31"/>
      </w:r>
      <w:r>
        <w:t xml:space="preserve">      </w:t>
      </w:r>
    </w:p>
    <w:p w:rsidR="009D1F29" w:rsidRDefault="009D1F29" w:rsidP="00732B57">
      <w:pPr>
        <w:ind w:left="-5" w:right="4"/>
      </w:pPr>
      <w:r>
        <w:t xml:space="preserve"> </w:t>
      </w:r>
      <w:r>
        <w:tab/>
        <w:t xml:space="preserve">Jak je vidět z opakujícího se střídání obou konceptů v průběhu naší historie, a jak můžeme pozorovat různé přístupy v okolních státech, nelze říci, že by jeden z konceptů byl teoreticky správnější, či že by širší pojetí bylo pojetím moderním. Lze si shrnout výhody </w:t>
      </w:r>
      <w:r>
        <w:br/>
        <w:t>a nevýhody obou, přičemž je na rozhodnutí každého zákonodárce, který přístup mu přijde pro praxi výhodnější.  Důvodová zpráva k OZ vidí výhody širšího pojetí v tom, že speciální zákony již dříve prolomily přístup uvedený v OZ/64, jenž říkal, že ve vlastnictví mohou být jen věci hmotné. Výčtem zpráva uvádí zákon o ochranných známkách či o průmyslových vzorech. Přechodem na širší pojetí v OZ tak dochází ke sjednocení úpravy napříč právním řádem. Dále toto rozdělení umožňuje, aby se OZ obecně aplikoval i v oblastech, které byly dříve předmětem odlišných právních předpisů (př. ochrana duševního vlastnictví, nástroje finančního trhu). Důvodová zpráva navíc uvádí, že širší pojetí vyhovuje i ústavnímu pořádku, když plně konvenuje s článkem 11 LZPS. Konečně vidí výhodu i v tom, že širší pojetí odpovídá pojetí mezinárodních smluv na ochranu vlastnictví a řadě nadnárodních úprav, které pohledávku chápou jako věc ve smyslu práva.</w:t>
      </w:r>
      <w:r>
        <w:rPr>
          <w:vertAlign w:val="superscript"/>
        </w:rPr>
        <w:footnoteReference w:id="32"/>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Problémem široké koncepce je naopak to, že ne všechna pravidla o majetkových právech lze aplikovat rovnocenně na všechny druhy věcí. Pokud se rozšiřuje aplikační dopad ustanovení o věcech hmotných i na nehmotné entity, vyžaduje to zpravidla vyšší míru argumentace a pečlivější vážení všech následků.</w:t>
      </w:r>
      <w:r>
        <w:rPr>
          <w:vertAlign w:val="superscript"/>
        </w:rPr>
        <w:footnoteReference w:id="33"/>
      </w:r>
      <w:r>
        <w:t xml:space="preserve"> Širší pojetí je přitom užitečné tam, kde pro </w:t>
      </w:r>
    </w:p>
    <w:p w:rsidR="009D1F29" w:rsidRDefault="009D1F29">
      <w:pPr>
        <w:tabs>
          <w:tab w:val="center" w:pos="6373"/>
          <w:tab w:val="center" w:pos="7081"/>
          <w:tab w:val="center" w:pos="7790"/>
        </w:tabs>
        <w:spacing w:after="180" w:line="259" w:lineRule="auto"/>
        <w:ind w:left="-15" w:right="0" w:firstLine="0"/>
        <w:jc w:val="left"/>
      </w:pPr>
      <w:r>
        <w:t>všechny druhy věcí platí zpravidla stejný právní režim.</w:t>
      </w:r>
      <w:r>
        <w:rPr>
          <w:vertAlign w:val="superscript"/>
        </w:rPr>
        <w:footnoteReference w:id="34"/>
      </w:r>
      <w:r>
        <w:t xml:space="preserve">   </w:t>
      </w:r>
      <w:r>
        <w:tab/>
        <w:t xml:space="preserve"> </w:t>
      </w:r>
      <w:r>
        <w:tab/>
        <w:t xml:space="preserve"> </w:t>
      </w:r>
      <w:r>
        <w:tab/>
        <w:t xml:space="preserve"> </w:t>
      </w:r>
    </w:p>
    <w:p w:rsidR="009D1F29" w:rsidRDefault="009D1F29" w:rsidP="00732B57">
      <w:pPr>
        <w:ind w:left="-5" w:right="4"/>
      </w:pPr>
      <w:r>
        <w:t xml:space="preserve"> </w:t>
      </w:r>
      <w:r>
        <w:tab/>
        <w:t>OZ se snaží jít střední cestou, když si uvědomuje některé absurdní důsledky spočívající v absolutním dodržování širší koncepce, a to zavedením § 979. To říká, že „</w:t>
      </w:r>
      <w:r>
        <w:rPr>
          <w:i/>
        </w:rPr>
        <w:t>ustanovení o věcných právech se použijí na věci hmotné i nehmotné, na práva však jen potud, připouští-li to jejich povaha a neplyne-li ze zákona něco jiného“.</w:t>
      </w:r>
      <w:r>
        <w:t xml:space="preserve"> V tomto řešení vidím správnou cestu, ovšem nesprávně realizovanou. Lepší alternativu bych viděl ve shodě </w:t>
      </w:r>
      <w:r>
        <w:br/>
        <w:t>s Melzrem ve znění: „</w:t>
      </w:r>
      <w:r>
        <w:rPr>
          <w:i/>
        </w:rPr>
        <w:t xml:space="preserve">Ustanovení o věcných právech se použijí na věci hmotné, na věci nehmotné a na práva však jen potud, připouští-li to jejich povaha a neplyne-li ze zákona něco jiného.“ </w:t>
      </w:r>
      <w:r>
        <w:t xml:space="preserve">Nehmotné věci, které nejsou právy, mají totiž blíže k právům než ke hmotným věcem, protože se jedná o dvě kategorie nehmotných věcí. Příkladem uvádím, že nelze vindikovat věc bez hmotné podstaty např. klientelu, ani nelze pohledávku, jakožto právo, jehož povaha to připouští, převádět kupní smlouvou, ale zvláštní smlouvou o postoupení pohledávky.   </w:t>
      </w:r>
    </w:p>
    <w:p w:rsidR="009D1F29" w:rsidRDefault="009D1F29" w:rsidP="00732B57">
      <w:pPr>
        <w:ind w:left="-5" w:right="4" w:firstLine="713"/>
      </w:pPr>
      <w:r>
        <w:t xml:space="preserve"> Ještě k, důvodovou zprávou zmíněnému, článku 11 LZPS.  Ten v odst. 4 říká, že </w:t>
      </w:r>
      <w:r>
        <w:rPr>
          <w:i/>
        </w:rPr>
        <w:t>„vyvlastnění nebo nucené omezení vlastnického práva je možné ve veřejném zájmu, a to na základě zákona a za náhradu“.</w:t>
      </w:r>
      <w:r>
        <w:t xml:space="preserve"> K tomu uveďme příklad. Autorské majetkové právo je omezeno délkou autorskoprávní ochrany. V širším pojetí věci je autorské majetkové právo považováno za věc. Z omezení délky autorskoprávních ochrany vyplývá, že zánikem majetkových autorských práv dochází k vyvlastnění na základě zákona, ovšem bez odpovídající náhrady. Otázka souladu širšího pojetí věci a článku 11 se tedy zdá být diskutabilní.</w:t>
      </w:r>
      <w:r>
        <w:rPr>
          <w:vertAlign w:val="superscript"/>
        </w:rPr>
        <w:footnoteReference w:id="35"/>
      </w:r>
      <w:r>
        <w:tab/>
      </w:r>
      <w:r>
        <w:tab/>
      </w:r>
      <w:r>
        <w:tab/>
      </w:r>
      <w:r>
        <w:tab/>
      </w:r>
      <w:r>
        <w:tab/>
      </w:r>
      <w:r>
        <w:tab/>
      </w:r>
      <w:r>
        <w:tab/>
      </w:r>
      <w:r>
        <w:tab/>
      </w:r>
      <w:r>
        <w:tab/>
      </w:r>
      <w:r>
        <w:tab/>
      </w:r>
      <w:r>
        <w:tab/>
      </w:r>
      <w:r>
        <w:tab/>
      </w:r>
      <w:r>
        <w:tab/>
        <w:t xml:space="preserve">Již z přirozenosti věci není možné uplatňovat naprosto stejný režim pro věci hmotné </w:t>
      </w:r>
      <w:r>
        <w:br/>
        <w:t xml:space="preserve">i nehmotné. Dle mého názoru existují tři základní možná řešení. Při použití širší koncepce předmětu vlastnictví buď lze rozeznávat vlastnictví k věci a vlastnictví k jinému objektu, než je hmotná věc. Nebo dalším řešením je stejný režim vlastnictví pro věci hmotné i nehmotné, </w:t>
      </w:r>
      <w:r>
        <w:br/>
        <w:t>s tím, že mlčky se jím bude myslet jen vlastnictví k hmotné věci.</w:t>
      </w:r>
      <w:r>
        <w:rPr>
          <w:vertAlign w:val="superscript"/>
        </w:rPr>
        <w:footnoteReference w:id="36"/>
      </w:r>
      <w:r>
        <w:t xml:space="preserve"> Třetí možností je užší koncepce předmětu vlastnictví, kdy je věc vymezena v úzkém rozsahu a analogickou cestou je povaha věci přisuzována i některým nehmotným předmětům. </w:t>
      </w:r>
    </w:p>
    <w:p w:rsidR="009D1F29" w:rsidRDefault="009D1F29" w:rsidP="00732B57">
      <w:pPr>
        <w:ind w:left="-5" w:right="4" w:firstLine="713"/>
      </w:pPr>
    </w:p>
    <w:p w:rsidR="009D1F29" w:rsidRDefault="009D1F29">
      <w:pPr>
        <w:pStyle w:val="Heading2"/>
        <w:ind w:left="765" w:hanging="780"/>
      </w:pPr>
      <w:bookmarkStart w:id="11" w:name="_Toc512979302"/>
      <w:bookmarkStart w:id="12" w:name="_Toc512979808"/>
      <w:r>
        <w:t>Základní přístupy k vlastnictví</w:t>
      </w:r>
      <w:bookmarkEnd w:id="11"/>
      <w:bookmarkEnd w:id="12"/>
      <w:r>
        <w:t xml:space="preserve"> </w:t>
      </w:r>
    </w:p>
    <w:p w:rsidR="009D1F29" w:rsidRDefault="009D1F29">
      <w:pPr>
        <w:spacing w:after="177" w:line="259" w:lineRule="auto"/>
        <w:ind w:left="0" w:right="0" w:firstLine="0"/>
        <w:jc w:val="left"/>
      </w:pPr>
      <w:r>
        <w:t xml:space="preserve"> </w:t>
      </w:r>
    </w:p>
    <w:p w:rsidR="009D1F29" w:rsidRDefault="009D1F29">
      <w:pPr>
        <w:ind w:left="-15" w:right="4" w:firstLine="708"/>
      </w:pPr>
      <w:r>
        <w:t xml:space="preserve">Po předchozím definování pojmu vlastnictví a předmětu vlastnictví je nyní nutné vymezit dva základní přístupy k vlastnictví. Prvním je přístup mocenský, který bere vlastnické právo jako právo výlučné dispozice, jako nejsvrchovanější moc právní. Právní panství nad věcí je všeobecné, přímé a výlučné. Všeobecnost se projevuje libovůlí vlastníka jakkoliv </w:t>
      </w:r>
      <w:r>
        <w:br/>
        <w:t>s věcí nakládat. Vlastník má k věci všechna myslitelná oprávnění. Tradičně se uvádí právo věc držet, užívat, požívat, zničit, opustit a nakládat s ní. Přímost se charakterizuje jako bezprostřední právní vztah vlastníka a věci. K uplatnění svého vlastnického práva vlastník nepotřebuje ničí pomoc, ani nepotřebuje nikoho, jehož prostřednictvím by své právo uplatnil. K ochraně svého práva je oprávněn použít i svépomoc. Výlučnost znamená, že k jedné věci může existovat jen jedno vlastnictví. Jen vlastník může na věc působit, a působení kohokoliv jiného vyloučit.</w:t>
      </w:r>
      <w:r>
        <w:rPr>
          <w:vertAlign w:val="superscript"/>
        </w:rPr>
        <w:footnoteReference w:id="37"/>
      </w:r>
      <w:r>
        <w:t xml:space="preserve">  Tento přístup vyznávalo římské právo či současná tuzemská právní úprava, avšak mocenský přístup převládá i v ostatních evropských zemích. Je nutné podotknout, že </w:t>
      </w:r>
      <w:r>
        <w:br/>
        <w:t>v dnešní době již není výlučnost právního panství tak široká jako v římském právu. To bylo svým pojetím radikálnější</w:t>
      </w:r>
      <w:r>
        <w:rPr>
          <w:vertAlign w:val="superscript"/>
        </w:rPr>
        <w:footnoteReference w:id="38"/>
      </w:r>
      <w:r>
        <w:t>, přesto i Římané si uvědomovali omezenost právního panství nad věcí</w:t>
      </w:r>
      <w:r>
        <w:rPr>
          <w:rStyle w:val="FootnoteReference"/>
        </w:rPr>
        <w:footnoteReference w:id="39"/>
      </w:r>
      <w:r>
        <w:t xml:space="preserve">, a existenci určitých soukromoprávních a veřejnoprávních omezení. Uvědomovali si </w:t>
      </w:r>
      <w:r>
        <w:br/>
        <w:t xml:space="preserve">i to, že výkon vlastnického práva může narazit na práva jiných vlastníků.    </w:t>
      </w:r>
    </w:p>
    <w:p w:rsidR="009D1F29" w:rsidRDefault="009D1F29" w:rsidP="00977C23">
      <w:pPr>
        <w:spacing w:after="28" w:line="360" w:lineRule="auto"/>
        <w:ind w:left="-5" w:right="0"/>
      </w:pPr>
      <w:r>
        <w:t xml:space="preserve"> </w:t>
      </w:r>
      <w:r>
        <w:tab/>
        <w:t xml:space="preserve">Dnes je ještě více dbáno na to, aby výkon vlastnického práva neomezoval jiné osoby, </w:t>
      </w:r>
      <w:r>
        <w:br/>
        <w:t>a rozšiřuje se počet různých omezení vlastnického práva. Viz § 1012 OZ:</w:t>
      </w:r>
      <w:r>
        <w:rPr>
          <w:i/>
        </w:rPr>
        <w:t xml:space="preserve"> „Vlastníku se zakazuje nad míru přiměřenou poměrům závažně rušit práva jiných osob, jakož i vykonávat takové činy, jejichž hlavním účelem je jiné osoby obtěžovat či poškodit.“</w:t>
      </w:r>
      <w:r>
        <w:t xml:space="preserve"> </w:t>
      </w:r>
      <w:r>
        <w:br/>
        <w:t xml:space="preserve">a článek11 odst. 3 LZPS: </w:t>
      </w:r>
      <w:r>
        <w:rPr>
          <w:i/>
        </w:rPr>
        <w:t xml:space="preserve">„Vlastnictví nesmí být zneužito na újmu práv druhých anebo </w:t>
      </w:r>
      <w:r>
        <w:rPr>
          <w:i/>
        </w:rPr>
        <w:br/>
        <w:t xml:space="preserve">v rozporu se zákonem chráněnými obecnými zájmy. Jeho výkon nesmí poškozovat lidské zdraví, přírodu a životní prostředí nad míru stanovenou zákonem.“  </w:t>
      </w:r>
      <w:r>
        <w:rPr>
          <w:i/>
        </w:rPr>
        <w:tab/>
        <w:t xml:space="preserve"> </w:t>
      </w:r>
      <w:r>
        <w:rPr>
          <w:i/>
        </w:rPr>
        <w:tab/>
        <w:t xml:space="preserve"> </w:t>
      </w:r>
      <w:r>
        <w:rPr>
          <w:i/>
        </w:rPr>
        <w:tab/>
        <w:t xml:space="preserve"> </w:t>
      </w:r>
    </w:p>
    <w:p w:rsidR="009D1F29" w:rsidRDefault="009D1F29" w:rsidP="009E4BD4">
      <w:pPr>
        <w:spacing w:line="360" w:lineRule="auto"/>
        <w:ind w:left="-5" w:right="4"/>
      </w:pPr>
      <w:r>
        <w:rPr>
          <w:i/>
        </w:rPr>
        <w:t xml:space="preserve"> </w:t>
      </w:r>
      <w:r>
        <w:rPr>
          <w:i/>
        </w:rPr>
        <w:tab/>
      </w:r>
      <w:r>
        <w:t xml:space="preserve">Výhodou mocenského přístupu je jeho vhodnost pro řešení sporů, přestože realitě příliš neodpovídá, a je vymezen pouze teoreticky, pojmově. Podle tohoto přístupu neexistuje dělené vlastnictví (pouze jednotné), a jsou možná pouze široká oprávnění k věci cizí.   </w:t>
      </w:r>
      <w:r>
        <w:tab/>
      </w:r>
      <w:r>
        <w:tab/>
      </w:r>
      <w:r>
        <w:tab/>
        <w:t xml:space="preserve"> Druhý přístup se nazývá uživatelský (sociologický). Ten vlastnické právo chápe jako soubor oprávnění. Dle tohoto přístupu může být vlastnické právo děleno. Různí vlastníci mohou mít různě silnou škálu oprávnění a k téže věci se připouští dvojí vlastnictví. Tento přístup byl využíván ve středověku a socialistickou právní vědou. V současné době, kdy vítězí mocenský přístup, existují tři názory na dělené vlastnictví. Buď neexistuje, nebo existovalo pouze ve středověku, či se jedná pouze o obecnou teoretickou kategorii, bez vztahu ke konkrétní společenské situaci.</w:t>
      </w:r>
      <w:r>
        <w:rPr>
          <w:vertAlign w:val="superscript"/>
        </w:rPr>
        <w:footnoteReference w:id="40"/>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tab/>
      </w:r>
      <w:r>
        <w:tab/>
        <w:t xml:space="preserve"> Počátky teorie děleného vlastnictví sahají do 12. století, kdy glosátoři studovali římskoprávní texty, zejména Digesta, a snažili se o jejich sjednocující výklad. K dělenému vlastnictví dospěli při analyzování ochrany vlastnictví. Vlastník se totiž bránil přímou žalobou </w:t>
      </w:r>
      <w:r>
        <w:rPr>
          <w:i/>
        </w:rPr>
        <w:t>„actio directa“</w:t>
      </w:r>
      <w:r>
        <w:t xml:space="preserve"> a uživatel (superficiář) analogickou věcnou žalobou </w:t>
      </w:r>
      <w:r>
        <w:rPr>
          <w:i/>
        </w:rPr>
        <w:t>„actio utilis“</w:t>
      </w:r>
      <w:r>
        <w:t>. V tom, že ochranu k dané věci může vykonat jak vlastník tak uživatel, viděli konstrukci dvojího vlastnictví věci.</w:t>
      </w:r>
      <w:r>
        <w:rPr>
          <w:vertAlign w:val="superscript"/>
        </w:rPr>
        <w:footnoteReference w:id="41"/>
      </w:r>
      <w:r>
        <w:t xml:space="preserve"> Je nutné si uvědomit, že glosátoři a později postglosátoři (komentátoři) žili v době feudální, pro kterou byly typické společné právní vztahy k věci. Tito učenci se tak zkoumané texty snažili přizpůsobit své době a svému vnímání reality.   </w:t>
      </w:r>
    </w:p>
    <w:p w:rsidR="009D1F29" w:rsidRDefault="009D1F29">
      <w:pPr>
        <w:ind w:left="-5" w:right="4"/>
      </w:pPr>
      <w:r>
        <w:t xml:space="preserve"> </w:t>
      </w:r>
      <w:r>
        <w:tab/>
        <w:t>Společné právní vztahy bychom mohli charakterizovat tak, že vrchní, tedy určující právo k věci, právo s věcí disponovat, měla vrchnost. Užitkové vlastnictví měli poddaní, kteří danou věc se souhlasem vrchnosti užívali, těžili z ní plody a byli vrchnosti zavázáni různými povinnostmi. Např. vojenskou službou či finančními dávkami.</w:t>
      </w:r>
      <w:r>
        <w:rPr>
          <w:vertAlign w:val="superscript"/>
        </w:rPr>
        <w:footnoteReference w:id="42"/>
      </w:r>
      <w:r>
        <w:t xml:space="preserve">    </w:t>
      </w:r>
    </w:p>
    <w:p w:rsidR="009D1F29" w:rsidRDefault="009D1F29" w:rsidP="007316E7">
      <w:pPr>
        <w:spacing w:after="168"/>
        <w:ind w:left="-5" w:right="4"/>
      </w:pPr>
      <w:r>
        <w:t xml:space="preserve"> </w:t>
      </w:r>
      <w:r>
        <w:tab/>
        <w:t>V průběhu 18. a 19. století dochází k tomu, že vrchní právo náležející vrchnosti je spíše bráno jako břemeno omezující poddaného. V 19. století se pak užitkové vlastnictví stává vlastnictvím plným a výlučným, podle římského vzoru.</w:t>
      </w:r>
      <w:r>
        <w:rPr>
          <w:vertAlign w:val="superscript"/>
        </w:rPr>
        <w:footnoteReference w:id="43"/>
      </w:r>
      <w:r>
        <w:t xml:space="preserve"> S těmito změnami souvisí také vydávání velkých kodifikací v průběhu 19. století, které zohledňovaly změny ve společnosti, přechod ze společnosti feudální na společnost moderní. Právě potřebám moderního trhu více vyhovoval koncept jednotného vlastnictví.</w:t>
      </w:r>
      <w:r>
        <w:rPr>
          <w:vertAlign w:val="superscript"/>
        </w:rPr>
        <w:footnoteReference w:id="44"/>
      </w:r>
      <w:r>
        <w:t xml:space="preserve"> Tento koncept je obsažen v Code Civil (1804), OZO (1811), či BGB (1896).  </w:t>
      </w:r>
      <w:r>
        <w:tab/>
        <w:t xml:space="preserve"> </w:t>
      </w:r>
      <w:r>
        <w:tab/>
        <w:t xml:space="preserve"> </w:t>
      </w:r>
      <w:r>
        <w:tab/>
        <w:t xml:space="preserve"> </w:t>
      </w:r>
      <w:r>
        <w:tab/>
        <w:t xml:space="preserve"> </w:t>
      </w:r>
      <w:r>
        <w:tab/>
        <w:t xml:space="preserve"> </w:t>
      </w:r>
      <w:r>
        <w:tab/>
        <w:t xml:space="preserve"> </w:t>
      </w:r>
      <w:r>
        <w:tab/>
      </w:r>
      <w:r>
        <w:tab/>
      </w:r>
      <w:r>
        <w:tab/>
      </w:r>
      <w:r>
        <w:tab/>
        <w:t xml:space="preserve">Dělené vlastnictví však nevymizelo úplně. OZO jeho ustanovení obsahoval u poměrů lenních (§ 359), poddanských (§ 1122, § 1123), svěřenectví (§ 629), či dědičného práva </w:t>
      </w:r>
      <w:r>
        <w:br/>
        <w:t xml:space="preserve">k povrchu (§ 1125). Inspirace děleným vlastnictvím se pak projevila např. ještě u zákona  </w:t>
      </w:r>
      <w:r>
        <w:br/>
        <w:t xml:space="preserve">č. 81/1920 Sb. z. a n., tzv. </w:t>
      </w:r>
      <w:r>
        <w:rPr>
          <w:i/>
        </w:rPr>
        <w:t>přídělového zákona</w:t>
      </w:r>
      <w:r>
        <w:t xml:space="preserve">. Pro lepší představu dobového právního názoru na dělené vlastnictví uvádím následující citaci: </w:t>
      </w:r>
      <w:r>
        <w:rPr>
          <w:i/>
        </w:rPr>
        <w:t>„Ukázalo se, že zásada děleného vlastnictví jest podnes potřebnou v životě právním, ač nikoliv v té míře, jak tomu bylo za vlády feudálních řádů.“</w:t>
      </w:r>
      <w:r>
        <w:rPr>
          <w:vertAlign w:val="superscript"/>
        </w:rPr>
        <w:footnoteReference w:id="45"/>
      </w:r>
      <w:r>
        <w:t xml:space="preserve"> Definitivní odstranění děleného vlastnictví z našeho právního řádu měl přinést občanský zákoník z roku 1937, který však nikdy nebyl vydán, a tak k odstranění došlo až účinností OZ/50 k 1. 1. 1951. Jako ostatně v průběhu celé historie, i během éry socialismu docházelo k diskuzím o děleném vlastnictví, kdy tato konstrukce vlastnictví měla charakterizovat vztahy státního a podnikového vlastnictví. V éře normalizace však byla odmítnuta.</w:t>
      </w:r>
      <w:r>
        <w:rPr>
          <w:vertAlign w:val="superscript"/>
        </w:rPr>
        <w:footnoteReference w:id="46"/>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tab/>
      </w:r>
      <w:r>
        <w:tab/>
      </w:r>
      <w:r>
        <w:tab/>
      </w:r>
      <w:r>
        <w:tab/>
        <w:t xml:space="preserve"> Přestože se může zdát, že princip jednotného vlastnictví je jediný možný v moderní společnosti, a teorie děleného vlastnictví je pouze feudálním přežitkem, není tomu tak zcela. Příkladem můžeme uvést reálné vlastnické vztahy rodin bydlících ve vícegeneračních domech, fungujících na principech děleného vlastnictví (svěřenectví). Oficiální formální vlastník zapsaný v katastru nemovitostí nerozhoduje jako jediný o osudu nemovitosti, ale je vázán názorem rodiny jako celku. Uplatnění děleného vlastnictví, které může citlivěji reflektovat sociální vztahy, lze dále vidět v bytové oblasti či u pozemkového vlastnictví. Jedná se o oblasti, ve kterých existuje právní zájem na narušení či naopak upevnění některých právních vztahů.</w:t>
      </w:r>
      <w:r>
        <w:rPr>
          <w:vertAlign w:val="superscript"/>
        </w:rPr>
        <w:footnoteReference w:id="47"/>
      </w:r>
      <w:r>
        <w:t xml:space="preserve"> </w:t>
      </w:r>
    </w:p>
    <w:p w:rsidR="009D1F29" w:rsidRDefault="009D1F29" w:rsidP="00DB5EF4">
      <w:pPr>
        <w:spacing w:after="177" w:line="259" w:lineRule="auto"/>
        <w:ind w:left="0" w:right="0" w:firstLine="0"/>
        <w:jc w:val="left"/>
      </w:pPr>
    </w:p>
    <w:p w:rsidR="009D1F29" w:rsidRDefault="009D1F29" w:rsidP="00A13475">
      <w:pPr>
        <w:spacing w:after="177" w:line="259" w:lineRule="auto"/>
        <w:ind w:left="0" w:right="0" w:firstLine="0"/>
        <w:jc w:val="left"/>
      </w:pPr>
      <w:r>
        <w:t xml:space="preserve"> </w:t>
      </w:r>
    </w:p>
    <w:p w:rsidR="009D1F29" w:rsidRDefault="009D1F29">
      <w:pPr>
        <w:spacing w:after="0" w:line="259" w:lineRule="auto"/>
        <w:ind w:left="0" w:right="0" w:firstLine="0"/>
        <w:jc w:val="left"/>
      </w:pPr>
      <w:r>
        <w:t xml:space="preserve"> </w:t>
      </w:r>
    </w:p>
    <w:p w:rsidR="009D1F29" w:rsidRPr="00AA66D1" w:rsidRDefault="009D1F29">
      <w:pPr>
        <w:pStyle w:val="Heading1"/>
        <w:spacing w:after="97"/>
        <w:ind w:left="693" w:hanging="708"/>
        <w:rPr>
          <w:color w:val="auto"/>
        </w:rPr>
      </w:pPr>
      <w:bookmarkStart w:id="13" w:name="_Toc512979303"/>
      <w:bookmarkStart w:id="14" w:name="_Toc512979809"/>
      <w:r w:rsidRPr="00AA66D1">
        <w:rPr>
          <w:color w:val="auto"/>
        </w:rPr>
        <w:t>Ústavněprávní ochrana vlastnictví</w:t>
      </w:r>
      <w:bookmarkEnd w:id="13"/>
      <w:bookmarkEnd w:id="14"/>
      <w:r w:rsidRPr="00AA66D1">
        <w:rPr>
          <w:color w:val="auto"/>
        </w:rPr>
        <w:t xml:space="preserve"> </w:t>
      </w:r>
    </w:p>
    <w:p w:rsidR="009D1F29" w:rsidRDefault="009D1F29">
      <w:pPr>
        <w:spacing w:after="125" w:line="259" w:lineRule="auto"/>
        <w:ind w:left="0" w:right="0" w:firstLine="0"/>
        <w:jc w:val="left"/>
      </w:pPr>
      <w:r>
        <w:rPr>
          <w:b/>
          <w:sz w:val="32"/>
        </w:rPr>
        <w:t xml:space="preserve"> </w:t>
      </w:r>
    </w:p>
    <w:p w:rsidR="009D1F29" w:rsidRDefault="009D1F29" w:rsidP="0034756D">
      <w:pPr>
        <w:spacing w:after="37"/>
        <w:ind w:left="-5" w:right="4"/>
      </w:pPr>
      <w:r>
        <w:t xml:space="preserve"> </w:t>
      </w:r>
      <w:r>
        <w:tab/>
        <w:t xml:space="preserve">Vlastnické právo bylo jedno z prvních základních práv zakotvených v lidskoprávních dokumentech. Jeho úprava je obsažena již v </w:t>
      </w:r>
      <w:r>
        <w:rPr>
          <w:i/>
        </w:rPr>
        <w:t>Magna charta libertatum</w:t>
      </w:r>
      <w:r>
        <w:t xml:space="preserve"> z roku 1215, </w:t>
      </w:r>
      <w:r>
        <w:rPr>
          <w:i/>
        </w:rPr>
        <w:t>Bill of Rights</w:t>
      </w:r>
      <w:r>
        <w:t xml:space="preserve"> z roku 1689 či </w:t>
      </w:r>
      <w:r>
        <w:rPr>
          <w:i/>
        </w:rPr>
        <w:t>Prohlášení práv člověka a občana</w:t>
      </w:r>
      <w:r>
        <w:t xml:space="preserve"> z roku 1789. I dnes je součástí mnoha mezinárodních lidskoprávních dokumentů.</w:t>
      </w:r>
      <w:r>
        <w:rPr>
          <w:vertAlign w:val="superscript"/>
        </w:rPr>
        <w:footnoteReference w:id="48"/>
      </w:r>
      <w:r>
        <w:t xml:space="preserve"> Vlastnické právo řadíme do první generace lidských práv, která lze charakterizovat jako klasická liberální práva inspirovaná přirozenoprávní doktrínou. Někteří autoři dokonce řadí respektování soukromého vlastnictví mezi principy vlády práva. A to na základě myšlenky, že pokud není vaše soukromé vlastnictví chráněno před neoprávněnými zásahy, nemůžete realizovat ani ostatní základní práva.</w:t>
      </w:r>
      <w:r>
        <w:rPr>
          <w:vertAlign w:val="superscript"/>
        </w:rPr>
        <w:footnoteReference w:id="49"/>
      </w:r>
      <w:r>
        <w:t xml:space="preserve"> </w:t>
      </w:r>
      <w:r>
        <w:tab/>
      </w:r>
      <w:r>
        <w:tab/>
      </w:r>
      <w:r>
        <w:tab/>
      </w:r>
      <w:r>
        <w:tab/>
      </w:r>
      <w:r>
        <w:tab/>
      </w:r>
      <w:r>
        <w:tab/>
      </w:r>
      <w:r>
        <w:tab/>
      </w:r>
      <w:r>
        <w:tab/>
      </w:r>
      <w:r>
        <w:tab/>
      </w:r>
      <w:r>
        <w:tab/>
      </w:r>
      <w:r>
        <w:tab/>
      </w:r>
      <w:r>
        <w:tab/>
      </w:r>
      <w:r>
        <w:tab/>
        <w:t>Vlastnické právo patří mezi lidská práva individuální</w:t>
      </w:r>
      <w:r>
        <w:rPr>
          <w:vertAlign w:val="superscript"/>
        </w:rPr>
        <w:footnoteReference w:id="50"/>
      </w:r>
      <w:r>
        <w:t xml:space="preserve"> a relativní. Individuálním právem označujeme takové, které chrání jedince před intervencí ze strany státu do jeho svobodné individuální sféry. K individualitě vlastnického práva se vyjádřil i ÚS: </w:t>
      </w:r>
      <w:r>
        <w:rPr>
          <w:i/>
        </w:rPr>
        <w:t>„Vlastnické právo tvoří jádro personální autonomie jednotlivce ve vztahu k veřejné moci. Je všezahrnující kategorií autonomního postavení jednotlivce vůči veřejné moci.“</w:t>
      </w:r>
      <w:r w:rsidRPr="00A006DD">
        <w:rPr>
          <w:rStyle w:val="FootnoteReference"/>
        </w:rPr>
        <w:footnoteReference w:id="51"/>
      </w:r>
      <w:r>
        <w:t xml:space="preserve"> Relativní práva jsou pak ta, jenž si navzájem konkurují a je možné je omezit v případech, kdy to dané ústavní či mezinárodní dokumenty připouští. Pokud dojde ke zmíněnému konfliktu, postupuje se na základě principu proporcionality</w:t>
      </w:r>
      <w:r>
        <w:rPr>
          <w:vertAlign w:val="superscript"/>
        </w:rPr>
        <w:footnoteReference w:id="52"/>
      </w:r>
      <w:r>
        <w:t xml:space="preserve">, kdy přednost dostává právo s vyšší hodnotou, avšak </w:t>
      </w:r>
      <w:r>
        <w:br/>
        <w:t>s minimálním nutným omezením ostatních práv.</w:t>
      </w:r>
      <w:r>
        <w:rPr>
          <w:vertAlign w:val="superscript"/>
        </w:rPr>
        <w:footnoteReference w:id="53"/>
      </w:r>
      <w:r>
        <w:t xml:space="preserve">   </w:t>
      </w:r>
      <w:r>
        <w:tab/>
        <w:t xml:space="preserve"> </w:t>
      </w:r>
      <w:r>
        <w:tab/>
        <w:t xml:space="preserve"> </w:t>
      </w:r>
      <w:r>
        <w:tab/>
        <w:t xml:space="preserve"> </w:t>
      </w:r>
    </w:p>
    <w:p w:rsidR="009D1F29" w:rsidRDefault="009D1F29" w:rsidP="009F376F">
      <w:pPr>
        <w:ind w:left="-5" w:right="4" w:firstLine="698"/>
      </w:pPr>
      <w:r>
        <w:t xml:space="preserve"> Vlastnické právo je dále nezadatelné, nezcizitelné, nepromlčitelné a nezrušitelné. Nezadatelnost znamená, že se vlastnické právo nepovažuje za výtvor státní moci, ale stát jej musí uznat. Nezcizitelnost tkví v nemožnosti vzdání se ho ze strany jeho nositele </w:t>
      </w:r>
      <w:r>
        <w:br/>
        <w:t xml:space="preserve">a v nemožnosti přenesení tohoto práva na jiného. Takové jednání by bylo neplatné. Nepromlčitelnost lze definovat jako trvalou vymahatelnost práva, kdy plynutí času je bezvýznamné. Nezrušitelnost spočívá v tom, že stát vlastnické právo nemůže platně zrušit, protože takové jednání by bylo protiústavní. </w:t>
      </w:r>
    </w:p>
    <w:p w:rsidR="009D1F29" w:rsidRDefault="009D1F29">
      <w:pPr>
        <w:spacing w:after="36"/>
        <w:ind w:left="-15" w:right="4" w:firstLine="708"/>
      </w:pPr>
      <w:r>
        <w:t xml:space="preserve">Z ústavněprávního pohledu můžeme vlastnické právo charakterizovat jako předpoklad svobody, rozvoje každého jedince, základ soukromé iniciativy a základ hospodářského systému a ekonomických vztahů ve společnosti, který umožňuje tržní hospodářství </w:t>
      </w:r>
      <w:r>
        <w:br/>
        <w:t>a soukromé podnikání.  Vlastnické právo je základem moderního ekonomického systému společnosti, a jeho ochrana má velký význam pro ekonomický rozvoj vztahů všech subjektů. V dnešní době má však také významnou sociální funkci. Ta se projevuje v tom, že vlastnictví zavazuje, jeho užívání má sloužit blahu společnosti či různými omezeními ve veřejném zájmu.</w:t>
      </w:r>
      <w:r>
        <w:rPr>
          <w:vertAlign w:val="superscript"/>
        </w:rPr>
        <w:footnoteReference w:id="54"/>
      </w:r>
      <w:r>
        <w:t xml:space="preserve">  </w:t>
      </w:r>
    </w:p>
    <w:p w:rsidR="009D1F29" w:rsidRDefault="009D1F29">
      <w:pPr>
        <w:spacing w:after="191"/>
        <w:ind w:left="-5" w:right="4"/>
      </w:pPr>
      <w:r>
        <w:t xml:space="preserve"> </w:t>
      </w:r>
      <w:r>
        <w:tab/>
        <w:t>Smysl vlastnictví můžeme definovat tak, že na straně jedné je předpokladem ekonomické motivace jednotlivce, na straně druhé pak umožňuje plnit státu jeho funkci (dostatek prostředků stát získává legitimním zdaněním majetku obyvatel) a zajišťovat solidaritu mezi občany v oblasti sociálních práv. Lze říci, že ústavní ochrana vlastnického práva představuje most od ústavního práva k základním konceptům soukromého práva.</w:t>
      </w:r>
      <w:r>
        <w:rPr>
          <w:vertAlign w:val="superscript"/>
        </w:rPr>
        <w:footnoteReference w:id="55"/>
      </w:r>
      <w:r>
        <w:t xml:space="preserve"> Právě zákony soukromého práva, ale také veřejného práva vlastnické právo dále rozvíjí.</w:t>
      </w:r>
      <w:r>
        <w:rPr>
          <w:vertAlign w:val="superscript"/>
        </w:rPr>
        <w:footnoteReference w:id="56"/>
      </w:r>
      <w:r>
        <w:t xml:space="preserve"> </w:t>
      </w:r>
    </w:p>
    <w:p w:rsidR="009D1F29" w:rsidRDefault="009D1F29">
      <w:pPr>
        <w:pStyle w:val="Heading2"/>
        <w:ind w:left="693" w:hanging="708"/>
      </w:pPr>
      <w:bookmarkStart w:id="15" w:name="_Toc512979304"/>
      <w:bookmarkStart w:id="16" w:name="_Toc512979810"/>
      <w:r>
        <w:t>Úprava vlastnického práva v Ústavě z roku 1920</w:t>
      </w:r>
      <w:bookmarkEnd w:id="15"/>
      <w:bookmarkEnd w:id="16"/>
      <w:r>
        <w:t xml:space="preserve"> </w:t>
      </w:r>
    </w:p>
    <w:p w:rsidR="009D1F29" w:rsidRDefault="009D1F29">
      <w:pPr>
        <w:spacing w:after="224" w:line="259" w:lineRule="auto"/>
        <w:ind w:left="0" w:right="0" w:firstLine="0"/>
        <w:jc w:val="left"/>
      </w:pPr>
      <w:r>
        <w:t xml:space="preserve"> </w:t>
      </w:r>
    </w:p>
    <w:p w:rsidR="009D1F29" w:rsidRDefault="009D1F29">
      <w:pPr>
        <w:ind w:left="-15" w:right="4" w:firstLine="708"/>
      </w:pPr>
      <w:r>
        <w:t xml:space="preserve">Ústava z roku 1920, přesnějším označením Ústavní listina Československé republiky, ústavní zákon č. 121/1920 Sb. z. a n., byla přijata dne 29. 2. 1920 Československým národním shromážděním a vyhlášena následně 6. 3. 1920. Tímto dnem nastala také její účinnost, čímž byla zrušena tzv. </w:t>
      </w:r>
      <w:r>
        <w:rPr>
          <w:i/>
        </w:rPr>
        <w:t>Prozatímní ústava</w:t>
      </w:r>
      <w:r>
        <w:t xml:space="preserve">, zákon č. 37/1918 Sb. z. a n., ze dne </w:t>
      </w:r>
      <w:r>
        <w:br/>
        <w:t xml:space="preserve">13. 11. 1918, která byla cíleně vytvořena pouze na přechodnou dobu, do přijetí nové řádné ústavy. Prozatímní ústava byla velmi stručná a neobsahovala katalog občanských práv. Ta zůstala zakotvena v zákonu č. 142/1867 ř. z., o všeobecných občanských právech, který také platil do vydání ústavní listiny.          </w:t>
      </w:r>
    </w:p>
    <w:p w:rsidR="009D1F29" w:rsidRDefault="009D1F29">
      <w:pPr>
        <w:ind w:left="-5" w:right="4"/>
      </w:pPr>
      <w:r>
        <w:t xml:space="preserve"> </w:t>
      </w:r>
      <w:r>
        <w:tab/>
        <w:t xml:space="preserve">Ústavní listina byla přijata spolu se zákonem č. 121/1920 Sb. z. a n., tzv. </w:t>
      </w:r>
      <w:r>
        <w:rPr>
          <w:i/>
        </w:rPr>
        <w:t>uvozovacím zákonem</w:t>
      </w:r>
      <w:r>
        <w:t xml:space="preserve">. Struktura tohoto zákona byla poněkud neobvyklá, když po slavnostní preambuli následoval uvozovací zákon, obsahující deset článků, a dále pak text ústavní listiny. Preambule byla politickým prohlášením s interpretačním významem pro jednotlivé ustanovení ústavní listiny. V článcích pak bylo pojednáno o ÚS a stanovena nadřazenost ústavních zákonů nad ostatními zákony.          </w:t>
      </w:r>
    </w:p>
    <w:p w:rsidR="009D1F29" w:rsidRDefault="009D1F29" w:rsidP="00A13475">
      <w:pPr>
        <w:ind w:left="-5" w:right="4"/>
      </w:pPr>
      <w:r>
        <w:t xml:space="preserve"> </w:t>
      </w:r>
      <w:r>
        <w:tab/>
        <w:t xml:space="preserve">Ústava byla formálně členěna do šesti hlav a obsahovala 134 paragrafů. Inspirací jí byl zejména rakouský zákon č. 142/1867 ř. z., o všeobecných občanských právech a francouzské Prohlášení práv člověka a občana. Koncepce ústavní listiny vycházela z teorie dělby moci Charlese Montesquieua. Byla ústavou ve formálním smyslu, jelikož se sama za ústavu označovala a měla rigidní charakter. To znamená, že vznik, změna a zánik ústavních norem podléhal ztíženému zákonodárnému procesu oproti </w:t>
      </w:r>
      <w:r>
        <w:rPr>
          <w:i/>
        </w:rPr>
        <w:t>„obyčejným“</w:t>
      </w:r>
      <w:r>
        <w:t xml:space="preserve"> zákonům. Musel být odsouhlasen kvalifikovanou většinou, což byla třípětinová většina všech členů v každé sněmovně. V období první republiky bylo vydáno celkem osm ústavních zákonů, jimiž se ústava doplňovala, samotný text však měněn nebyl. Součástí ústavní listiny byly také prováděcí zákony, o nichž to ústavní listina výslovně stanovila. Příkladem takového zákona byly ústavní zákon o ochraně svobody osobní, domovní a tajemství listovního </w:t>
      </w:r>
      <w:r>
        <w:br/>
        <w:t xml:space="preserve">č. 293/1920 Sb. z. a n., jazykový zákon č. 122/1920 Sb. z. a n., či ústavní zákon o podpisování zákonů a nařízení  č. 294/1920 Sb. z. a n.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Ústavní listina byla ceněna za svůj demokratický charakter a právnickou přesnost. Kromě toho její ustanovení povětšinou byla dodržována i ve skutečnosti.</w:t>
      </w:r>
      <w:r>
        <w:rPr>
          <w:vertAlign w:val="superscript"/>
        </w:rPr>
        <w:footnoteReference w:id="57"/>
      </w:r>
      <w:r>
        <w:t xml:space="preserve"> Díky své kvalitě ovlivnila i naše pozdější ústavy z let 1948, 1960 a 1993. Ovšem byla i kritizována. Předmětem kritiky bylo její přijetí Národním shromážděním, jehož členové nebyli zvoleni </w:t>
      </w:r>
      <w:r>
        <w:br/>
        <w:t>v řádných volbách.</w:t>
      </w:r>
      <w:r>
        <w:rPr>
          <w:rStyle w:val="FootnoteReference"/>
        </w:rPr>
        <w:footnoteReference w:id="58"/>
      </w:r>
      <w:r>
        <w:t xml:space="preserve"> Dále pak to, že do její přípravy nebyly zapojeny národnostní menšiny žijící na území Československé republiky či nerealizace zamýšlené autonomie Podkarpatské Rusi. Zásadnější změny (ztráta území, změny u státního občanství) přinesla Mnichovská dohoda podepsaná 30. 9. 1938.  Přesto však ústavní listina zůstala nadále platná, a to až do jejího zrušení Ústavou Československé republiky, přijatou 9. 5. 1948 a účinnou 9. 6. 1948.  </w:t>
      </w:r>
      <w:r>
        <w:tab/>
        <w:t xml:space="preserve"> </w:t>
      </w:r>
      <w:r>
        <w:tab/>
        <w:t xml:space="preserve">Občanské svobody, jak znělo dobové označení pro základní lidská práva, byla zakotvena v hlavě páté </w:t>
      </w:r>
      <w:r>
        <w:rPr>
          <w:i/>
        </w:rPr>
        <w:t>„Práva a svobody jakož i povinnosti občanské“.</w:t>
      </w:r>
      <w:r>
        <w:t xml:space="preserve"> I přes jejich označení za občanské, příslušely všem, bez ohledu na občanství. Pouze tzv. </w:t>
      </w:r>
      <w:r>
        <w:rPr>
          <w:i/>
        </w:rPr>
        <w:t>práva politická</w:t>
      </w:r>
      <w:r>
        <w:t xml:space="preserve"> byla vyhrazena přímo občanům. Katalog občanských práv byl celkem rozsáhlý (hlava pátá čítala 22 paragrafů), bez systematického uspořádání a obsahoval základní práva různého významu. Dobová právní věda ho hodnotila jako rozsahově obdobný ostatním moderním ústavám.</w:t>
      </w:r>
      <w:r>
        <w:rPr>
          <w:vertAlign w:val="superscript"/>
        </w:rPr>
        <w:footnoteReference w:id="59"/>
      </w:r>
      <w:r>
        <w:t xml:space="preserve"> Vedle svobody majetkové, zde byla upravena rovnost občanů, osobní svoboda, svoboda domovní a tajemství listovní. Dále pak například svoboda pohybu na území republiky, svobodný výkon povolání, možnost vystěhování se do ciziny, svobodu tisku, právo petiční, shromažďovací a spolčovací, svoboda učení, vědomí, vyznání, svoboda projevu mínění </w:t>
      </w:r>
      <w:r>
        <w:br/>
        <w:t xml:space="preserve">a umělecké činnosti. K občanským svobodám byla řazena také ochrana manželství a rodiny. Povinností zmíněnou v nadpisu hlavy byla povinnost branná. Ochrana menšin byla zařazena samostatně do zvláštní hlavy šesté.         </w:t>
      </w:r>
    </w:p>
    <w:p w:rsidR="009D1F29" w:rsidRDefault="009D1F29" w:rsidP="003D64D8">
      <w:pPr>
        <w:ind w:left="-5" w:right="4" w:firstLine="713"/>
      </w:pPr>
      <w:r>
        <w:t xml:space="preserve"> Hlava pátá byla stejně jako další části ústavy inspirována zejména francouzským Prohlášením práv člověka a občana a zákonem č. 142/1867 ř. z., silně zde působil také vliv německé ústavy z roku 1919.</w:t>
      </w:r>
      <w:r>
        <w:rPr>
          <w:vertAlign w:val="superscript"/>
        </w:rPr>
        <w:footnoteReference w:id="60"/>
      </w:r>
      <w:r>
        <w:t xml:space="preserve"> Účel zakotvení občanských svobod do ústavy lze odůvodnit hned několika způsoby. Za prvé tím byla vytvořena určitá bariéra při uplatňování státní moci vůči jednotlivcům. Druhým důvodem bylo omezit moc výkonnou. Třetím stanovit meze zákonodárci při vydávání zákonů. Ty musely být v souladu s ústavou, potažmo katalogem občanských svobod, jinak byly neplatné. Za čtvrté jejich zařazení do ústavy znamenalo zvýšení jejich ochrany, protože díky tomu mohly být měněny pouze tím způsobem, kterým mohla být měněna ústava, tedy ústavními zákony.       </w:t>
      </w:r>
    </w:p>
    <w:p w:rsidR="009D1F29" w:rsidRDefault="009D1F29" w:rsidP="003D64D8">
      <w:pPr>
        <w:ind w:left="-5" w:right="4"/>
      </w:pPr>
      <w:r>
        <w:t xml:space="preserve"> </w:t>
      </w:r>
      <w:r>
        <w:tab/>
        <w:t>Čilá diskuze se vedla o přímé použitelnosti těchto práv. Někteří autoři je považovali za pouhé ideály a akademické výroky bez přímé použitelnosti.</w:t>
      </w:r>
      <w:r>
        <w:rPr>
          <w:vertAlign w:val="superscript"/>
        </w:rPr>
        <w:footnoteReference w:id="61"/>
      </w:r>
      <w:r>
        <w:t>Jiní jim přiznávali přímou použitelnost a normativní charakter.</w:t>
      </w:r>
      <w:r>
        <w:rPr>
          <w:vertAlign w:val="superscript"/>
        </w:rPr>
        <w:footnoteReference w:id="62"/>
      </w:r>
      <w:r>
        <w:t xml:space="preserve"> Tento názor převažoval, jeho zastáncem byl i hlavní autor vládní předlohy ústavní listiny Jiří Hoetzel.</w:t>
      </w:r>
      <w:r>
        <w:rPr>
          <w:vertAlign w:val="superscript"/>
        </w:rPr>
        <w:footnoteReference w:id="63"/>
      </w:r>
      <w:r>
        <w:t xml:space="preserve"> Za pravdu mu dávala i judikatorní činnost NSS.</w:t>
      </w:r>
      <w:r>
        <w:rPr>
          <w:rStyle w:val="FootnoteReference"/>
        </w:rPr>
        <w:footnoteReference w:id="64"/>
      </w:r>
      <w:r>
        <w:t xml:space="preserve"> Argumentem ve prospěch normativního charakteru občanských svobod bylo, že změny v legislativě či exekutivě byly možné jen při zachování garantovaných občanských svobod.  A tyto svobody částečně obsahovaly příkazy či zákazy adresované státu.  </w:t>
      </w:r>
    </w:p>
    <w:p w:rsidR="009D1F29" w:rsidRDefault="009D1F29" w:rsidP="00F73634">
      <w:pPr>
        <w:ind w:left="-5" w:right="4" w:firstLine="713"/>
      </w:pPr>
      <w:r>
        <w:t xml:space="preserve"> Důležité je také zmínit, který soud se ochranou a vynucováním ústavně zaručených občanských svobod zabýval. Tuto funkci vykonával NSS</w:t>
      </w:r>
      <w:r>
        <w:rPr>
          <w:rStyle w:val="FootnoteReference"/>
        </w:rPr>
        <w:footnoteReference w:id="65"/>
      </w:r>
      <w:r>
        <w:t xml:space="preserve">, který za období první republiky </w:t>
      </w:r>
      <w:r>
        <w:br/>
        <w:t>v této oblasti vydal zhruba 240 nálezů. V oblasti vlastnického práva jsou důležité nálezy týkající se ochrany soukromého vlastnictví a vyvlastnění.  Rozhodování o ústavně zaručených občanských svobodách byl na NSS přenesen ze soudu říšského zákonem č. 3/1918 Sb. z. a n. NSS tak plnil i roli ÚS.</w:t>
      </w:r>
      <w:r>
        <w:rPr>
          <w:rStyle w:val="FootnoteReference"/>
        </w:rPr>
        <w:footnoteReference w:id="66"/>
      </w:r>
      <w:r>
        <w:t xml:space="preserve"> Do kompetence ÚS v období první republiky totiž patřilo pouze rozhodování o tom, zda jsou zákony a prozatímní opatření stálého výboru Národního shromáždění v souladu s ústavní listinou a dalšími ústavními zákony.</w:t>
      </w:r>
      <w:r>
        <w:rPr>
          <w:vertAlign w:val="superscript"/>
        </w:rPr>
        <w:footnoteReference w:id="67"/>
      </w:r>
      <w:r>
        <w:t xml:space="preserve"> Stálý výbor vydával prozatímní opatření pouze v době, kdy nezasedalo Národní shromáždění. To však zasedalo prakticky neustále, tudíž k přezkumu prozatímních opatření docházelo pouze ojediněle.</w:t>
      </w:r>
      <w:r>
        <w:rPr>
          <w:vertAlign w:val="superscript"/>
        </w:rPr>
        <w:footnoteReference w:id="68"/>
      </w:r>
      <w:r>
        <w:t xml:space="preserve"> Kromě výše zmíněného přezkumu zákonů a opatření ÚS ještě zjišťoval, zda změny ústavy proběhly předepsaným způsobem.</w:t>
      </w:r>
      <w:r>
        <w:rPr>
          <w:vertAlign w:val="superscript"/>
        </w:rPr>
        <w:footnoteReference w:id="69"/>
      </w:r>
      <w:r>
        <w:t xml:space="preserve">  </w:t>
      </w:r>
      <w:r>
        <w:tab/>
      </w:r>
      <w:r>
        <w:tab/>
      </w:r>
      <w:r>
        <w:tab/>
      </w:r>
      <w:r>
        <w:tab/>
      </w:r>
      <w:r>
        <w:tab/>
      </w:r>
      <w:r>
        <w:tab/>
      </w:r>
      <w:r>
        <w:tab/>
      </w:r>
      <w:r>
        <w:tab/>
      </w:r>
      <w:r>
        <w:tab/>
        <w:t xml:space="preserve">Kromě garance občanských svobod obsahovala ústavní listina také jejich omezení. Pokud byla užita formulace </w:t>
      </w:r>
      <w:r>
        <w:rPr>
          <w:i/>
        </w:rPr>
        <w:t>„omezení zákonem“,</w:t>
      </w:r>
      <w:r>
        <w:t xml:space="preserve"> bylo možno danou občanskou svobodu omezit výlučně zákonem. Pokud byla užita formulace </w:t>
      </w:r>
      <w:r>
        <w:rPr>
          <w:i/>
        </w:rPr>
        <w:t>„omezení na základě zákona“</w:t>
      </w:r>
      <w:r>
        <w:t xml:space="preserve">, bylo možné omezit tuto svobodu i podzákonným právním předpisem nebo rozhodnutím vydaným na základě zákona. Kromě toho byl vydán zvláštní zákon č. 300/1920 Sb. z. a n., </w:t>
      </w:r>
      <w:r>
        <w:br/>
        <w:t xml:space="preserve">o mimořádných opatřeních. Ten umožňoval omezení nebo dočasné zrušení vybraných občanských svobod (mezi nimi i svobody majetkové) za války, ohrožení celistvosti státu, jeho republikánské formy, ústavy nebo veřejného klidu a pořádku. </w:t>
      </w:r>
    </w:p>
    <w:p w:rsidR="009D1F29" w:rsidRDefault="009D1F29" w:rsidP="00ED0677">
      <w:pPr>
        <w:ind w:left="-5" w:right="4"/>
      </w:pPr>
      <w:r>
        <w:t xml:space="preserve"> </w:t>
      </w:r>
      <w:r>
        <w:tab/>
        <w:t xml:space="preserve">Samotná ekonomická rovina a s ní spojené vlastnické právo je upravena v §108, §109, § 111, § 114 a § 128 odst. 3. V této oblasti ústava vycházela zejména ze státního základního zákona č. 142/1867 ř. z. Formulace vlastnického práva v ústavě byla počátkem snahy </w:t>
      </w:r>
      <w:r>
        <w:br/>
        <w:t>o sjednocení hospodářského práva na našem území, kde v té době platilo právo rakouské, uherské a na Hlučínsku říšskoněmecké.</w:t>
      </w:r>
      <w:r>
        <w:rPr>
          <w:vertAlign w:val="superscript"/>
        </w:rPr>
        <w:footnoteReference w:id="70"/>
      </w:r>
      <w:r>
        <w:t xml:space="preserve">   </w:t>
      </w:r>
      <w:r>
        <w:tab/>
        <w:t xml:space="preserve"> </w:t>
      </w:r>
      <w:r>
        <w:tab/>
        <w:t xml:space="preserve"> </w:t>
      </w:r>
      <w:r>
        <w:tab/>
        <w:t xml:space="preserve"> </w:t>
      </w:r>
      <w:r>
        <w:tab/>
        <w:t xml:space="preserve"> </w:t>
      </w:r>
      <w:r>
        <w:tab/>
        <w:t xml:space="preserve"> </w:t>
      </w:r>
    </w:p>
    <w:p w:rsidR="009D1F29" w:rsidRDefault="009D1F29" w:rsidP="00ED0677">
      <w:pPr>
        <w:ind w:left="-5" w:right="4" w:firstLine="713"/>
      </w:pPr>
      <w:r>
        <w:t xml:space="preserve"> Ustanovení § 108 odst. 1 znělo: </w:t>
      </w:r>
      <w:r>
        <w:rPr>
          <w:i/>
        </w:rPr>
        <w:t xml:space="preserve">„Každý státní občan československý může se usazovati na kterémkoli místě Československé republiky, nabývati tam nemovitostí </w:t>
      </w:r>
      <w:r>
        <w:rPr>
          <w:i/>
        </w:rPr>
        <w:br/>
        <w:t>a vykonávati výdělkovou činnost v mezích všeobecných právních ustanovení.“</w:t>
      </w:r>
      <w:r>
        <w:t xml:space="preserve"> Tímto ustanovením byla garantována svoboda podnikání. Na základě zaručené rovnosti obyvatel Československé republiky byl výkon výdělkové činnosti přiznán také cizincům, kteří byli obyvateli naší republiky.           </w:t>
      </w:r>
    </w:p>
    <w:p w:rsidR="009D1F29" w:rsidRDefault="009D1F29">
      <w:pPr>
        <w:ind w:left="-5" w:right="4"/>
      </w:pPr>
      <w:r>
        <w:t xml:space="preserve"> </w:t>
      </w:r>
      <w:r>
        <w:tab/>
        <w:t xml:space="preserve">Ustanovení §109 odst. 1 znělo: </w:t>
      </w:r>
      <w:r>
        <w:rPr>
          <w:i/>
        </w:rPr>
        <w:t>„Soukromé vlastnictví lze omeziti jen zákonem.“</w:t>
      </w:r>
      <w:r>
        <w:t xml:space="preserve"> Ústava tedy neprohlašovala vlastnictví za nedotknutelné či neporušitelné, neobsahovala zásadu </w:t>
      </w:r>
      <w:r>
        <w:rPr>
          <w:i/>
        </w:rPr>
        <w:t>„vlastnictví zavazuje“</w:t>
      </w:r>
      <w:r>
        <w:t xml:space="preserve">, ani ho sama nezaručovala. Jeho ochrana byla ponechána obyčejným zákonům. Ovšem, jak psala odborná literatura, zakotvení soukromého práva </w:t>
      </w:r>
      <w:r>
        <w:br/>
        <w:t>v ústavní listině nebylo samoúčelné. Jeho význam tkvěl zejména ve slavnostním prohlášení ochrany institutu vlastnictví jakožto základu individualistického řádu. Dále bylo dovozováno z dikce ústavy, že zákony upravující vlastnictví, zejména OZO, nemohly být rušeny či měněny druhotnými normami, jako jsou nařízení, opatření či například rozhodnutím.</w:t>
      </w:r>
      <w:r>
        <w:rPr>
          <w:vertAlign w:val="superscript"/>
        </w:rPr>
        <w:footnoteReference w:id="71"/>
      </w:r>
      <w:r>
        <w:t xml:space="preserve">    </w:t>
      </w:r>
    </w:p>
    <w:p w:rsidR="009D1F29" w:rsidRDefault="009D1F29" w:rsidP="00ED0677">
      <w:pPr>
        <w:ind w:left="-5" w:right="4"/>
      </w:pPr>
      <w:r>
        <w:t xml:space="preserve"> </w:t>
      </w:r>
      <w:r>
        <w:tab/>
        <w:t xml:space="preserve">Ustanovení § 109 odst. 2 znělo: </w:t>
      </w:r>
      <w:r>
        <w:rPr>
          <w:i/>
        </w:rPr>
        <w:t>Vyvlastnění je možné jen na základě zákona a za náhradu, pokud zákonem není nebo nebude stanoveno, že se náhrada dáti nemá.“</w:t>
      </w:r>
      <w:r>
        <w:t xml:space="preserve"> Vyvlastnění můžeme definovat jako zásah do určitých subjektivních práv, zejména práva vlastnického, a to ve prospěch všeobecně užitečného díla. Veřejný zájem spočíval zejména </w:t>
      </w:r>
      <w:r>
        <w:br/>
        <w:t xml:space="preserve">v provádění pozemkové reformy, stavbě veřejných cest a železnice či budování vojenských </w:t>
      </w:r>
      <w:r>
        <w:br/>
        <w:t xml:space="preserve">a vodních staveb.             </w:t>
      </w:r>
      <w:r>
        <w:tab/>
      </w:r>
      <w:r>
        <w:tab/>
      </w:r>
      <w:r>
        <w:tab/>
      </w:r>
      <w:r>
        <w:tab/>
      </w:r>
      <w:r>
        <w:tab/>
      </w:r>
      <w:r>
        <w:tab/>
      </w:r>
      <w:r>
        <w:tab/>
      </w:r>
      <w:r>
        <w:tab/>
      </w:r>
      <w:r>
        <w:tab/>
      </w:r>
      <w:r>
        <w:tab/>
      </w:r>
      <w:r>
        <w:tab/>
        <w:t xml:space="preserve"> Došlo tak k odklonu od rakouské právní úpravy, která vyvlastnění spojovala </w:t>
      </w:r>
      <w:r>
        <w:br/>
        <w:t xml:space="preserve">s náhradou. Přestože náhrada nebyla přímo zmíněna v článku 5 státního základního zákona </w:t>
      </w:r>
      <w:r>
        <w:br/>
        <w:t>č. 142/1867 ř. z., brala se za samozřejmou.</w:t>
      </w:r>
      <w:r>
        <w:rPr>
          <w:vertAlign w:val="superscript"/>
        </w:rPr>
        <w:footnoteReference w:id="72"/>
      </w:r>
      <w:r>
        <w:t xml:space="preserve"> Právní předpisy upravující vyvlastnění na zákonné úrovni, jako např. zák. č. 30/1878 ř. z., o vyvlastňování k účelu stavby železnic </w:t>
      </w:r>
      <w:r>
        <w:br/>
        <w:t>a provozování jízdy po nich, ji navíc již obsahovaly. Náhrada jakožto nárok vyvlastňovaného byl odůvodňován např. náhradou škody, spravedlivým rozvržením veřejných břemen či podstatou hospodářské správy státu, který nesmí zrušit nabytá práva.</w:t>
      </w:r>
      <w:r>
        <w:rPr>
          <w:vertAlign w:val="superscript"/>
        </w:rPr>
        <w:footnoteReference w:id="73"/>
      </w:r>
      <w:r>
        <w:t xml:space="preserve">      </w:t>
      </w:r>
    </w:p>
    <w:p w:rsidR="009D1F29" w:rsidRDefault="009D1F29">
      <w:pPr>
        <w:spacing w:after="28" w:line="368" w:lineRule="auto"/>
        <w:ind w:left="-5" w:right="0"/>
      </w:pPr>
      <w:r>
        <w:t xml:space="preserve"> </w:t>
      </w:r>
      <w:r>
        <w:tab/>
        <w:t xml:space="preserve">Oprávněnost zavedení institutu vyvlastnění bez náhrady do ústavní listiny obhajovala zpráva z ústavního výboru Národního shromáždění: </w:t>
      </w:r>
      <w:r>
        <w:rPr>
          <w:i/>
        </w:rPr>
        <w:t xml:space="preserve">„Původní znění § 109 odst.2 (Vyvlastnění je možné pouze na základě zákona a za náhradu, pokud nebylo zákonem stanoveno jinak.) by bývalo umožňovalo výklad, že příště už nebude lze vyvlastňovati bez náhrady. Nynější znění takovýto mylný výklad odstraňuje. Lze pevně doufati, že náš stát, jakmile nastanou normální poměry, provede regulaci řek, spojovací kanály mezi velkými řekami, t. zv. elektrisaci aj.  </w:t>
      </w:r>
      <w:r>
        <w:rPr>
          <w:i/>
        </w:rPr>
        <w:br/>
        <w:t>Z těchto podniků i soukromníci budou mít netušený prospěch, cena jejich nemovitostí stoupne značnou měrou. Není tudíž příčiny, proč by potřebné k tomu pozemky měly býti v každém případě za drahé peníze vykupovány. Arci bude i v budoucnosti třeba zákona, který ustanoví, kdy vyvlastnění, a to i bez náhrady, bude přístupno.“</w:t>
      </w:r>
      <w:r>
        <w:rPr>
          <w:vertAlign w:val="superscript"/>
        </w:rPr>
        <w:footnoteReference w:id="74"/>
      </w:r>
      <w:r>
        <w:t xml:space="preserve"> Důvodová zpráva k ústavní listině zdůrazňuje, že i obyčejný zákon může stanovit výjimku z pravidla </w:t>
      </w:r>
      <w:r>
        <w:rPr>
          <w:i/>
        </w:rPr>
        <w:t>„vyvlastnění pouze za náhradu“</w:t>
      </w:r>
      <w:r>
        <w:t>. Dané ústavní pravidlo, že obyčejný zákon může stanovit vyvlastnění bez náhrady, považoval např. Weyr v ústavě za nadbytečné, protože soukromé vlastnictví nebylo ústavou vůbec chráněno.</w:t>
      </w:r>
      <w:r>
        <w:rPr>
          <w:vertAlign w:val="superscript"/>
        </w:rPr>
        <w:footnoteReference w:id="75"/>
      </w:r>
      <w:r>
        <w:t xml:space="preserve"> Vyvlastnění bez náhrady mělo sloužit k urychlení a usnadnění uzákoňování národohospodářských významných problémů souvisejících s prováděním různých pozemkových reforem. Žádný takový zákon však přijat nebyl, takže se jednalo spíše o pouhou teoretickou možnost. Podrobnou úpravu vyvlastnění obsahoval občanský zákoník a další zákony.            </w:t>
      </w:r>
    </w:p>
    <w:p w:rsidR="009D1F29" w:rsidRDefault="009D1F29">
      <w:pPr>
        <w:tabs>
          <w:tab w:val="right" w:pos="9080"/>
        </w:tabs>
        <w:spacing w:after="167" w:line="259" w:lineRule="auto"/>
        <w:ind w:left="-15" w:right="0" w:firstLine="0"/>
        <w:jc w:val="left"/>
      </w:pPr>
      <w:r>
        <w:t xml:space="preserve"> </w:t>
      </w:r>
      <w:r>
        <w:tab/>
        <w:t xml:space="preserve">Ustanovení § 111 vymezovalo ukládání daní a veřejných dávek jen na základě zákon. </w:t>
      </w:r>
    </w:p>
    <w:p w:rsidR="009D1F29" w:rsidRDefault="009D1F29">
      <w:pPr>
        <w:ind w:left="-5" w:right="4"/>
      </w:pPr>
      <w:r>
        <w:t xml:space="preserve">Ustanovení § 114 garantovalo právo spolčovací z hlediska podpory pracovních </w:t>
      </w:r>
      <w:r>
        <w:br/>
        <w:t xml:space="preserve">a hospodářských poměrů. Ustanovení § 128 odst. 3, upravené v hlavě šesté pak zaručovalo používání různých jazyků v obchodních záležitostech.     </w:t>
      </w:r>
    </w:p>
    <w:p w:rsidR="009D1F29" w:rsidRDefault="009D1F29" w:rsidP="00ED0677">
      <w:pPr>
        <w:spacing w:after="199"/>
        <w:ind w:left="-5" w:right="4" w:firstLine="698"/>
      </w:pPr>
      <w:r>
        <w:t xml:space="preserve"> Jak již bylo řečeno, ústavní listina zůstala v platnosti i v období Protektorátu Čechy </w:t>
      </w:r>
      <w:r>
        <w:br/>
        <w:t xml:space="preserve">a Morava. V tomto období byly některé skupiny na základě rasy a národnostní příslušnosti bez náhrady zbavovány majetku, docházelo k tzv. </w:t>
      </w:r>
      <w:r>
        <w:rPr>
          <w:i/>
        </w:rPr>
        <w:t>arizaci</w:t>
      </w:r>
      <w:r>
        <w:t xml:space="preserve"> židovského majetku, vyvlastňování českých zemědělských usedlostí a jejich kolonizaci Němci, a jiným nelegitimním zásahům do vlastnického práva. </w:t>
      </w:r>
    </w:p>
    <w:p w:rsidR="009D1F29" w:rsidRDefault="009D1F29">
      <w:pPr>
        <w:pStyle w:val="Heading2"/>
        <w:spacing w:after="426"/>
        <w:ind w:left="693" w:hanging="708"/>
      </w:pPr>
      <w:bookmarkStart w:id="17" w:name="_Toc512979305"/>
      <w:bookmarkStart w:id="18" w:name="_Toc512979811"/>
      <w:r>
        <w:t>Úprava vlastnického práva v Ústavě z roku 1948</w:t>
      </w:r>
      <w:bookmarkEnd w:id="17"/>
      <w:bookmarkEnd w:id="18"/>
      <w:r>
        <w:t xml:space="preserve"> </w:t>
      </w:r>
    </w:p>
    <w:p w:rsidR="009D1F29" w:rsidRDefault="009D1F29">
      <w:pPr>
        <w:ind w:left="-15" w:right="4" w:firstLine="708"/>
      </w:pPr>
      <w:r>
        <w:t xml:space="preserve">Ústava z roku 1948, přesným označením ústavní zákon č. 150/1948 Sb., byla schválena dne 9. 5. 1948, proto je často označována jako </w:t>
      </w:r>
      <w:r>
        <w:rPr>
          <w:i/>
        </w:rPr>
        <w:t>„květnová“</w:t>
      </w:r>
      <w:r>
        <w:t xml:space="preserve"> či </w:t>
      </w:r>
      <w:r>
        <w:rPr>
          <w:i/>
        </w:rPr>
        <w:t>„ústava 9. května“</w:t>
      </w:r>
      <w:r>
        <w:t xml:space="preserve">. Datum 9. 5. bylo symbolické, jelikož mělo připomínat 9. 5. 1945. Den, kdy byla Praha osvobozena sovětskou armádou. Účinnosti nabyla ústava 9. 6. 1948, a tímto dnem byla zrušena ústava z roku 1920.          </w:t>
      </w:r>
    </w:p>
    <w:p w:rsidR="009D1F29" w:rsidRDefault="009D1F29" w:rsidP="00A06034">
      <w:pPr>
        <w:ind w:left="-5" w:right="4"/>
      </w:pPr>
      <w:r>
        <w:t xml:space="preserve"> </w:t>
      </w:r>
      <w:r>
        <w:tab/>
        <w:t xml:space="preserve">Vydání nové ústavy předcházel vleklý spor o její podobu mezi komunistickými </w:t>
      </w:r>
      <w:r>
        <w:br/>
        <w:t>a nekomunistickými politiky.</w:t>
      </w:r>
      <w:r>
        <w:rPr>
          <w:vertAlign w:val="superscript"/>
        </w:rPr>
        <w:footnoteReference w:id="76"/>
      </w:r>
      <w:r>
        <w:t xml:space="preserve"> Po únorovém převratu nakonec zvítězil návrh od komunistického poslance a právníka Dr. Vladimíra Procházky.</w:t>
      </w:r>
      <w:r>
        <w:rPr>
          <w:rStyle w:val="FootnoteReference"/>
        </w:rPr>
        <w:footnoteReference w:id="77"/>
      </w:r>
      <w:r>
        <w:t xml:space="preserve"> Ústava byla po formální stránce rozdělena na tři části. První bylo prohlášení, což byla preambule odrážející ideologii nového režimu a orientaci na SSSR. Mohli bychom ho označit za politický dokument. Druhou byly základní články, které obsahovaly elementární ústavní zásady. Třetí pak byla samotná ustanovení, jež rozvíjela základní články a čítala 178 §, rozdělených do deseti kapitol.          </w:t>
      </w:r>
    </w:p>
    <w:p w:rsidR="009D1F29" w:rsidRDefault="009D1F29" w:rsidP="0042351C">
      <w:pPr>
        <w:ind w:left="-5" w:right="4" w:firstLine="713"/>
      </w:pPr>
      <w:r>
        <w:t xml:space="preserve"> Pokud se budeme zabývat inspiračními zdroji ústavy, zjistíme, že je situace v jisté míře komplikovaná. Na rozdíl od dalších ústav, které byly v průběhu historie platné na našem území, nevychází tato ústava z jednotného inspiračního zdroje: </w:t>
      </w:r>
      <w:r>
        <w:rPr>
          <w:i/>
        </w:rPr>
        <w:t xml:space="preserve">„Ústava byla kompromisem dvou koncepcí a to koncepce o zachování stávajících demokratických ústavních principů </w:t>
      </w:r>
      <w:r>
        <w:rPr>
          <w:i/>
        </w:rPr>
        <w:br/>
        <w:t xml:space="preserve">z ústavy 1920 a koncepce nástupu k socialistickému vývoji státu s ovlivněním sovětského vývoje.  Z hlediska formálního byla ústava hodnocena ve svém textu jako demokratická </w:t>
      </w:r>
      <w:r>
        <w:rPr>
          <w:i/>
        </w:rPr>
        <w:br/>
        <w:t>s ideou tzv. lidově-demokratického státního zřízení.“</w:t>
      </w:r>
      <w:r>
        <w:rPr>
          <w:vertAlign w:val="superscript"/>
        </w:rPr>
        <w:footnoteReference w:id="78"/>
      </w:r>
      <w:r>
        <w:t xml:space="preserve"> Tudíž i přes zmiňovanou orientaci na SSSR, a zařazení ČSR po bok ostatních lidových demokracií, obsahovala ústava některé prvky typické pro pluralitní demokracie. Můžeme jmenovat formální zachování struktury nejvyšších ústavních orgánů a dělby moci, ústavní utvrzení základních práv a svobod či koncepci nezávislého soudnictví.</w:t>
      </w:r>
      <w:r>
        <w:rPr>
          <w:vertAlign w:val="superscript"/>
        </w:rPr>
        <w:footnoteReference w:id="79"/>
      </w:r>
      <w:r>
        <w:t xml:space="preserve"> Navíc v ní nebyla obsažena vedoucí úloha KSČ ve společnosti a ve státě. Tím se od ústav lidově-demokratického typu značně odlišovala, což bývá zdůvodňováno nedostatkem času na kompletní přepracování demokratických návrhů ústavy a také záměrem KSČ formálně zachovat zdání demokracie.</w:t>
      </w:r>
      <w:r>
        <w:rPr>
          <w:vertAlign w:val="superscript"/>
        </w:rPr>
        <w:footnoteReference w:id="80"/>
      </w:r>
      <w:r>
        <w:t xml:space="preserve"> Vcelku realisticky hodnotila ústavu důvodová zpráva. Ta přiznávala, že je ústava částečně inspirována ústavou z roku 1920, ale pouze v těch intencích, které vyhovovaly novým politickým poměrům. Těžiště ústavy však spatřovala v koncepci nástupu k socialistickému vývoji státu.</w:t>
      </w:r>
      <w:r>
        <w:rPr>
          <w:vertAlign w:val="superscript"/>
        </w:rPr>
        <w:footnoteReference w:id="81"/>
      </w:r>
      <w:r>
        <w:t xml:space="preserve">      </w:t>
      </w:r>
    </w:p>
    <w:p w:rsidR="009D1F29" w:rsidRDefault="009D1F29" w:rsidP="002E2BC9">
      <w:pPr>
        <w:ind w:left="-5" w:right="4" w:firstLine="713"/>
      </w:pPr>
      <w:r>
        <w:t xml:space="preserve"> Obecně ústavu nelze hodnotit příliš kladně. I přes zakotvení určitých demokratických principů, a vyšší míru právní kvality oproti své budoucí nástupkyni, ústavě z roku 1960, musím zdůraznit závažná negativa. Nedodržování, přizpůsobování a obcházení ústavy silně znehodnocuje její kvalitu a posunuje ji do roviny ryze formální. Příkladem lze jmenovat Národní shromáždění, které ztratilo svou funkci zákonodárného sboru a stalo se pouhým schvalovatelem komunisty předjednaných a schválených zákonů. Dále pak volby, které se místo svobodného výběru zástupců staly jen projevem souhlasu s komunistickou politikou. Anebo soudní moc, která zákonem č. 319/1948 Sb., o zlidovění soudnictví ztratila svou, ústavou v článku XI. deklarovanou, nezávislost. K obcházení, často </w:t>
      </w:r>
      <w:r>
        <w:rPr>
          <w:i/>
        </w:rPr>
        <w:t>„pružných“</w:t>
      </w:r>
      <w:r>
        <w:t xml:space="preserve">, ustanovení ústavy přispívala také neexistence ÚS a likvidace NSS. Ústava byla několikrát novelizována </w:t>
      </w:r>
      <w:r>
        <w:br/>
        <w:t xml:space="preserve">a doplňována, a to zejména v oblasti státního občanství, voleb, soudnictví a národních výborů. Zrušena byla pak 11. 7. 1960, kdy nabyla účinnosti ústava z roku 1960.  </w:t>
      </w:r>
    </w:p>
    <w:p w:rsidR="009D1F29" w:rsidRDefault="009D1F29" w:rsidP="002E2BC9">
      <w:pPr>
        <w:ind w:left="-5" w:right="4"/>
      </w:pPr>
      <w:r>
        <w:t xml:space="preserve"> </w:t>
      </w:r>
      <w:r>
        <w:tab/>
        <w:t xml:space="preserve">Základní práva byla obsažena hned v kapitole první nazvané </w:t>
      </w:r>
      <w:r>
        <w:rPr>
          <w:i/>
        </w:rPr>
        <w:t xml:space="preserve">„práva a povinnosti občanů“. </w:t>
      </w:r>
      <w:r>
        <w:t xml:space="preserve">Většina práv byla tedy adresována občanům. Některé však ústava vymezovala pouze pro </w:t>
      </w:r>
      <w:r>
        <w:rPr>
          <w:i/>
        </w:rPr>
        <w:t>„pracující“.</w:t>
      </w:r>
      <w:r>
        <w:t xml:space="preserve"> Jednalo se o právo na odpočinek po práci, spravedlivou mzdu za práci či poskytnutí státní zdravotní péče pouze pro pracující. Kromě toho byla základní práva obsažena v základních článcích III., IV., X., XI. a XII. Po celou dobu platnosti ústavy nebyla první kapitola nijak legislativně novelizována ani doplňována.    </w:t>
      </w:r>
      <w:r>
        <w:tab/>
      </w:r>
      <w:r>
        <w:tab/>
      </w:r>
      <w:r>
        <w:tab/>
      </w:r>
      <w:r>
        <w:tab/>
      </w:r>
      <w:r>
        <w:tab/>
      </w:r>
      <w:r>
        <w:tab/>
        <w:t xml:space="preserve">Inspirační dualita ústavy se projevila i v oblasti základních práv. Ústava přejímala základní práva zakotvená ústavou 1920, ale upravovala je svým ideologickým a mocenským zájmům. Někdy tak činila pouze v praxi, jindy i ve formálním znění textu. Dobově se k tomu vyjádřila právní věda následovně: </w:t>
      </w:r>
      <w:r>
        <w:rPr>
          <w:i/>
        </w:rPr>
        <w:t xml:space="preserve">„I když ústava přejímá tradiční demokratická práva občanů, od měštácké ústavy se odlišuje tím, že jim dává nový obsah. Tento nový obsah je dán základním zvratem vlastnických poměrů, který byl uskutečněn znárodněním v roce 1945, </w:t>
      </w:r>
      <w:r>
        <w:rPr>
          <w:i/>
        </w:rPr>
        <w:br/>
        <w:t>t.j. vyvlastněním vyvlastňovatelů, likvidací kapitalistického řádu. Znárodňovacími dekrety bylo zrušeno kapitalistické soukromé vlastnictví k nejdůležitějším a hospodářsky nejzávažnějším výrobním prostředkům. V těchto nových vlastnických poměrech pak nabývají tradiční demokratická práva občanů nový smysl.“</w:t>
      </w:r>
      <w:r>
        <w:rPr>
          <w:vertAlign w:val="superscript"/>
        </w:rPr>
        <w:footnoteReference w:id="82"/>
      </w:r>
      <w:r>
        <w:t xml:space="preserve"> Tento nový smysl lze spatřovat v tom, že občan neměl na základní práva nárok automaticky, ale mohl je realizovat až tehdy, vystupoval-li jako platný člen společenství.          </w:t>
      </w:r>
    </w:p>
    <w:p w:rsidR="009D1F29" w:rsidRDefault="009D1F29" w:rsidP="00E24C23">
      <w:pPr>
        <w:ind w:left="-5" w:right="4" w:firstLine="713"/>
      </w:pPr>
      <w:r>
        <w:t xml:space="preserve"> Ústava sama o sobě vykazovala obsáhlý katalog základních práv, který překračoval dokonce katalog základních práv v ústavě z roku 1920. Zakotvovala např. rovnost občanů, osobní svobodu, domovní svobodu, listovní tajemství, svobodu pobytu, tisku, sdružování či shromažďování. Nově byla v ústavě obsažena i tzv. </w:t>
      </w:r>
      <w:r>
        <w:rPr>
          <w:i/>
        </w:rPr>
        <w:t>sociální</w:t>
      </w:r>
      <w:r>
        <w:t xml:space="preserve"> práva. Jednalo se o právo na vzdělání, práci, spravedlivou odměnu za vykonanou práci, odpočinek po práci a pojištění </w:t>
      </w:r>
      <w:r>
        <w:br/>
        <w:t xml:space="preserve">i zaopatření při nezpůsobilosti k práci. Definovat je můžeme jako práva, jenž prostřednictvím solidarity, ochrany společensko-ekonomicky znevýhodněných skupin a plošnou garancí významných statků slouží k naplnění práva každého člověka na lidsky důstojnou existenci  </w:t>
      </w:r>
      <w:r>
        <w:br/>
        <w:t>a kvalitu života i bez ekvivalentního protiplnění daným jedincem.</w:t>
      </w:r>
      <w:r>
        <w:rPr>
          <w:rStyle w:val="FootnoteReference"/>
        </w:rPr>
        <w:footnoteReference w:id="83"/>
      </w:r>
      <w:r>
        <w:t xml:space="preserve"> Dobová literatura sociálními právy odůvodňovala nadřazenost a výjimečnost lidově-demokratického </w:t>
      </w:r>
      <w:r>
        <w:br/>
        <w:t xml:space="preserve">zřízení: </w:t>
      </w:r>
      <w:r>
        <w:rPr>
          <w:i/>
        </w:rPr>
        <w:t xml:space="preserve">„Buržoazní ústavy je za žádných okolností svým občanům zaručit nemohou. Dnes právo na práci osvobozuje pracujícího člověka od strachu před nezaměstnaností, hladem </w:t>
      </w:r>
      <w:r>
        <w:rPr>
          <w:i/>
        </w:rPr>
        <w:br/>
        <w:t xml:space="preserve">a bídou, právo na spravedlivou odměnu jej osvobozuje od strachu z bídy, která hrozila a hrozí v kapitalistických státech pracujícímu člověku, který onemocní, utrpí úraz nebo zestárne. </w:t>
      </w:r>
      <w:r>
        <w:rPr>
          <w:i/>
        </w:rPr>
        <w:br/>
        <w:t>Z tohoto hlediska znamenají sociální práva obrovský pokrok.“</w:t>
      </w:r>
      <w:r>
        <w:t xml:space="preserve"> </w:t>
      </w:r>
      <w:r>
        <w:rPr>
          <w:vertAlign w:val="superscript"/>
        </w:rPr>
        <w:footnoteReference w:id="84"/>
      </w:r>
      <w:r>
        <w:t xml:space="preserve">  </w:t>
      </w:r>
      <w:r>
        <w:tab/>
        <w:t xml:space="preserve"> </w:t>
      </w:r>
      <w:r>
        <w:tab/>
      </w:r>
      <w:r>
        <w:tab/>
      </w:r>
      <w:r>
        <w:tab/>
      </w:r>
      <w:r>
        <w:tab/>
      </w:r>
      <w:r>
        <w:tab/>
        <w:t xml:space="preserve">Spolu s právy byly v kapitole první zakotveny také povinnosti. Ty se nesly </w:t>
      </w:r>
      <w:r>
        <w:br/>
        <w:t xml:space="preserve">v klasickém duchu komunistického zákonodárství. Byla např. stanovena povinnost občanů přispívat svou prací k prospěchu celku, zvelebovat národní majetek či bránit lidově-demokratické zřízení.         </w:t>
      </w:r>
    </w:p>
    <w:p w:rsidR="009D1F29" w:rsidRDefault="009D1F29" w:rsidP="00FD712C">
      <w:pPr>
        <w:ind w:left="-5" w:right="4" w:firstLine="713"/>
      </w:pPr>
      <w:r>
        <w:t xml:space="preserve"> Rozdílnost mezi formálním zněním ústavy a jejím dodržováním v reálném životě se nevyhnula ani základním právům. Ústava stanovovala za svůj hlavní cíl </w:t>
      </w:r>
      <w:r>
        <w:rPr>
          <w:i/>
        </w:rPr>
        <w:t xml:space="preserve">„vybudovat cestu </w:t>
      </w:r>
      <w:r>
        <w:rPr>
          <w:i/>
        </w:rPr>
        <w:br/>
        <w:t>k socialismu“.</w:t>
      </w:r>
      <w:r>
        <w:t xml:space="preserve"> A tomuto cíli bylo podřizováno prakticky vše, a téměř za jakoukoliv cenu. Nejinak tomu bylo i u základních práv a svobod. Jejich dodržování nemohlo být na újmu dosažení tohoto prioritního cíle. Například §7 zaručoval občanům možnost vystěhovat se do ciziny. Fakticky však toto právo bylo zcela popřeno zákony č. 52/1949 Sb., o hlášení obyvatelstva a povolování pobytu cizinců, a č. 53/1949 Sb., o cestovních pasech. Dále </w:t>
      </w:r>
      <w:r>
        <w:br/>
        <w:t xml:space="preserve">§ 18 zaručující svobodu projevu a § 21 zaručující svobodu tisku byly fakticky popřeny zákony č. 94/1949 Sb., o vydávání a rozšiřování knih, hudebnin a jiných neperiodických publikací, a č. 184/1949 Sb., o vydávání časopisů a o Svazu československých novinářů. Svobody shromažďovací a sdružovací podle § 24 byly pak fakticky popřeny zákonem </w:t>
      </w:r>
      <w:r>
        <w:br/>
        <w:t xml:space="preserve">č. 68/1951 Sb., o dobrovolných organizacích a shromážděních. Tato popření byla možná díky tomu, že mnoho základních práv a svobod mohlo být </w:t>
      </w:r>
      <w:r>
        <w:rPr>
          <w:i/>
        </w:rPr>
        <w:t>„omezeno nebo odňato na základě zákona“</w:t>
      </w:r>
      <w:r>
        <w:t xml:space="preserve">.    </w:t>
      </w:r>
    </w:p>
    <w:p w:rsidR="009D1F29" w:rsidRDefault="009D1F29">
      <w:pPr>
        <w:ind w:left="-5" w:right="4"/>
      </w:pPr>
      <w:r>
        <w:t xml:space="preserve"> </w:t>
      </w:r>
      <w:r>
        <w:tab/>
        <w:t xml:space="preserve">Iluzornost reálného dodržování lidských práv můžeme pozorovat také na způsobu jejich ochrany. ÚS, jakožto tradiční ochránce lidských práv, neobnovil po druhé světové válce svou činnost vůbec. Druhým tradičním ochráncem lidských práv je NSS. Ten byl na podzim roku 1949 přesunut z Prahy do Bratislavy, což ilustrovalo jeho odsunutí na okraj zájmu. Zde fungoval do konce roku 1952, kdy byl zrušen ústavním zákonem č. 64/1952 Sb., </w:t>
      </w:r>
      <w:r>
        <w:br/>
        <w:t>o soudech a prokuratuře. Kontrola ústavnosti měla být teoreticky v kompetenci 24členného předsednictva Národního shromáždění.</w:t>
      </w:r>
      <w:r>
        <w:rPr>
          <w:vertAlign w:val="superscript"/>
        </w:rPr>
        <w:footnoteReference w:id="85"/>
      </w:r>
      <w:r>
        <w:t xml:space="preserve"> To bylo pověřeno také výkladem ústavy. Ovšem ani jednu z těchto činností fakticky nevykonávalo.</w:t>
      </w:r>
      <w:r>
        <w:rPr>
          <w:vertAlign w:val="superscript"/>
        </w:rPr>
        <w:footnoteReference w:id="86"/>
      </w:r>
      <w:r>
        <w:t xml:space="preserve"> Ochranu lidských práv pak ústava na základě základního článku č. X. svěřila do kompetence národním výborům. Toto ustanovení však mělo spíše proklamativní charakter, protože nebylo ani v samotné ústavě již dále rozváděno. Případy s lidskoprávní problematikou byly řešeny také u NS. Jeho poúnorová rozhodovací praxe se od dodržování základních lidských práv značně odkláněla. NS ve svých oficiálních dokumentech</w:t>
      </w:r>
      <w:r>
        <w:rPr>
          <w:vertAlign w:val="superscript"/>
        </w:rPr>
        <w:footnoteReference w:id="87"/>
      </w:r>
      <w:r>
        <w:t xml:space="preserve"> dokonce vyzýval obecné soudy k různému přístupu k obžalovaným dle třídních hledisek. Tím bylo porušováno právo rovnosti před zákonem a rovnosti před soudem.    </w:t>
      </w:r>
    </w:p>
    <w:p w:rsidR="009D1F29" w:rsidRDefault="009D1F29" w:rsidP="007E5B70">
      <w:pPr>
        <w:ind w:left="-5" w:right="4"/>
      </w:pPr>
      <w:r>
        <w:t xml:space="preserve"> Vlastnické právo se socialistická právní věda snažila z obecného katalogu občanských práv vyjmout. To potvrzuje i důvodová zpráva k ústavě, která vlastnické právo viděla spíše jako právo jednotlivce nebo kolektivu k používání výrobních prostředků v socialistickém vlastnictví, jejichž využívání bylo prvotně určeno ku prospěchu společnosti. </w:t>
      </w:r>
      <w:r>
        <w:tab/>
      </w:r>
      <w:r>
        <w:tab/>
      </w:r>
      <w:r>
        <w:tab/>
      </w:r>
      <w:r>
        <w:tab/>
        <w:t xml:space="preserve">O vlastnictví se ústava zmiňovala napříč jednotlivými částmi. Výslovně se jednalo </w:t>
      </w:r>
      <w:r>
        <w:br/>
        <w:t xml:space="preserve">o základní článek XII. Dále pak o § 9, § 30 odst. 2, § 125 a prakticky o celou kapitolu osmou nazvanou </w:t>
      </w:r>
      <w:r>
        <w:rPr>
          <w:i/>
        </w:rPr>
        <w:t>„hospodářské</w:t>
      </w:r>
      <w:r>
        <w:t xml:space="preserve"> </w:t>
      </w:r>
      <w:r>
        <w:rPr>
          <w:i/>
        </w:rPr>
        <w:t>zřízení“</w:t>
      </w:r>
      <w:r>
        <w:t>. To bylo třísektorové, když § 146 stanovil, že výrobní prostředky jsou buď národním majetkem, majetkem lidových družstev nebo v soukromém vlastnictví jednotlivých výrobců. Tato kapitola v ústavě z roku 1920 obsažena nebyla, jelikož vycházela z komunistického učení, a byla úzce spjata s novým režimem. I přes</w:t>
      </w:r>
      <w:r>
        <w:br/>
        <w:t xml:space="preserve">v § 1 deklarovanou zásadu rovnosti, dělila ústava vlastnictví na socialistické (státní </w:t>
      </w:r>
      <w:r>
        <w:br/>
        <w:t xml:space="preserve">a družstevní), osobní a soukromé. V souladu s komunistickou doktrínou měla každá forma vlastnictví také rozdílný stupeň ochrany. </w:t>
      </w:r>
      <w:r>
        <w:tab/>
      </w:r>
      <w:r>
        <w:tab/>
      </w:r>
      <w:r>
        <w:tab/>
      </w:r>
      <w:r>
        <w:tab/>
      </w:r>
      <w:r>
        <w:tab/>
      </w:r>
      <w:r>
        <w:tab/>
      </w:r>
      <w:r>
        <w:tab/>
      </w:r>
      <w:r>
        <w:tab/>
      </w:r>
      <w:r>
        <w:tab/>
        <w:t>V zakotvení ustanovení o socialistickém vlastnictví, obzvláště pak o státním, viděla socialistická právní věda jedno z hlavních poslání ústav.</w:t>
      </w:r>
      <w:r>
        <w:rPr>
          <w:vertAlign w:val="superscript"/>
        </w:rPr>
        <w:footnoteReference w:id="88"/>
      </w:r>
      <w:r>
        <w:t xml:space="preserve"> Ve státním vlastnictví byl národní majetek (§ 149 odst. 1). Ten byl definován v § 147: </w:t>
      </w:r>
      <w:r>
        <w:rPr>
          <w:i/>
        </w:rPr>
        <w:t xml:space="preserve">„Národním majetkem jsou zejména také hospodářské hodnoty znárodněné podle ustanovení zvláštních zákonů (§ 153), rovněž jakýkoli veřejný statek, který slouží veřejnému prospěchu.“ </w:t>
      </w:r>
      <w:r>
        <w:t>Ustanovení § 148 pak obsahovalo taxativní výčet věcí, které mohly být pouze národním majetkem. Jednalo se o nerostné bohatství a jeho těžbu, zdroje energie a energetické podniky, doly a hutě, přírodní léčivé zdroje, výrobu předmětů sloužících zdraví lidu, podniky čítající aspoň 50 zaměstnanců nebo osob v nich činných, nešlo-li o podniky lidových družstev, banky a pojišťovny, veřejnou dopravu železniční a pravidelnou dopravu silniční a leteckou, poštu, veřejný telegraf a telefon, rozhlas, televizi  a film. Předmět státního vlastnictví byl neomezený.</w:t>
      </w:r>
      <w:r>
        <w:rPr>
          <w:vertAlign w:val="superscript"/>
        </w:rPr>
        <w:footnoteReference w:id="89"/>
      </w:r>
      <w:r>
        <w:t xml:space="preserve"> Výjimku ze státního vlastnictví národního majetku stanovoval § 149 odst. 2, jenž zněl: </w:t>
      </w:r>
      <w:r>
        <w:rPr>
          <w:i/>
        </w:rPr>
        <w:t>„Části národního majetku, které nejsou celostátního významu a slouží veskrze nebo převážně obyvatelstvu některého správního celku (obce, okresu, kraje), mohou být v rukou svazků lidové správy.“</w:t>
      </w:r>
      <w:r>
        <w:t xml:space="preserve"> Jednalo se </w:t>
      </w:r>
      <w:r>
        <w:br/>
        <w:t xml:space="preserve">o tzv. </w:t>
      </w:r>
      <w:r>
        <w:rPr>
          <w:i/>
        </w:rPr>
        <w:t>komunální vlastnictví</w:t>
      </w:r>
      <w:r>
        <w:t xml:space="preserve">. To bylo však brzy zrušeno tím, že národní výbory byly zcela napojeny na státní rozpočet. Ústava dále upravovala správu národního majetku (§ 150), určení oborů, ve kterých měl stát monopol na podnikání (§ 152), rozsah znárodnění (článek XII. </w:t>
      </w:r>
      <w:r>
        <w:br/>
        <w:t xml:space="preserve">a § 153) a zakotvení národních podniků (§ 154, § 155). Základ ochrany státního majetku byl položen v § 30 odst. 2: </w:t>
      </w:r>
      <w:r>
        <w:rPr>
          <w:i/>
        </w:rPr>
        <w:t>„Zejména je vlasteneckou povinností každého občana podporovat udržování a zvelebování národního majetku a dbát o to, aby národní majetek nebyl zkracován a poškozován.“</w:t>
      </w:r>
      <w:r>
        <w:t xml:space="preserve"> Tím byla stanovena povinnost občanů ochraňovat národní majetek. Povinnost státu k ochraně národního majetku byla pak stanovena v § 125: </w:t>
      </w:r>
      <w:r>
        <w:rPr>
          <w:i/>
        </w:rPr>
        <w:t>„Národní výbory mají jako orgány jednotné lidové správy zejména tyto úkoly: … podporují udržování a zvelebování národního majetku ...“</w:t>
      </w:r>
      <w:r>
        <w:t xml:space="preserve">    </w:t>
      </w:r>
    </w:p>
    <w:p w:rsidR="009D1F29" w:rsidRDefault="009D1F29">
      <w:pPr>
        <w:ind w:left="-5" w:right="4"/>
      </w:pPr>
      <w:r>
        <w:t xml:space="preserve"> </w:t>
      </w:r>
      <w:r>
        <w:tab/>
        <w:t xml:space="preserve">Na základě výše zmíněných ustanovení hovořících např. o ochraně státního vlastnictví jako o vlastenecké povinnosti, můžeme konstatovat, že ochrana státního vlastnictví byla ze všech forem vlastnictví tou nejpreferovanější. Důvod byl jednak logický, protože státní socialistické vlastnictví bylo součástí základny, na které byl socialismus vybudován, a jednak byl zdůvodňován propagandisticky. Třídní nepřítel na ni měl údajně zaměřit největší část svého škůdcovského úsilí.       </w:t>
      </w:r>
    </w:p>
    <w:p w:rsidR="009D1F29" w:rsidRDefault="009D1F29">
      <w:pPr>
        <w:ind w:left="-5" w:right="4"/>
      </w:pPr>
      <w:r>
        <w:t xml:space="preserve"> </w:t>
      </w:r>
      <w:r>
        <w:tab/>
        <w:t xml:space="preserve">Co se týče lidových družstev, potažmo družstevního socialistického vlastnictví, ústava o něm uváděla následující informace. Družstva byla definována jako </w:t>
      </w:r>
      <w:r>
        <w:rPr>
          <w:i/>
        </w:rPr>
        <w:t xml:space="preserve">„sdružení pracujících </w:t>
      </w:r>
      <w:r>
        <w:rPr>
          <w:i/>
        </w:rPr>
        <w:br/>
        <w:t>k společné činnosti“</w:t>
      </w:r>
      <w:r>
        <w:t xml:space="preserve">.  Dělila se na zemědělskou výrobu, řemeslnou výrobu a distribuční podniky. Mohla vlastnit výrobní prostředky (§ 146), podnikat (§ 151), a měla zvyšovat životní úroveň lidu (§ 157 odst. 1). Ochrana družstevního vlastnictví na základě ústavy spočívala </w:t>
      </w:r>
      <w:r>
        <w:br/>
        <w:t xml:space="preserve">v deklaraci podpory lidového družstevnictví státem, a to v zájmu rozvoje národního hospodářství  a obecného blahobytu (§ 157 odst. 2).       </w:t>
      </w:r>
    </w:p>
    <w:p w:rsidR="009D1F29" w:rsidRDefault="009D1F29" w:rsidP="002B5248">
      <w:pPr>
        <w:ind w:left="-5" w:right="4" w:firstLine="713"/>
      </w:pPr>
      <w:r>
        <w:t xml:space="preserve"> Osobní vlastnictví stálo na pomezí mezi vlastnictvím kolektivním socialistickým </w:t>
      </w:r>
      <w:r>
        <w:br/>
        <w:t xml:space="preserve">a vlastnictvím soukromým. Socialistickou vědou bylo však uznáváno a nebylo, na rozdíl od soukromého, označováno za nežádoucí. Článek XII. stanovil, že hospodářská soustava Československé republiky byla mimo jiné založena na nedotknutelnosti osobního majetku. Tato zásada byla dále rozvíjena v § 158 odst. 2, kde se psalo, že osobní majetek občanů je nedotknutelný, a dále specifikoval, že za osobní majetek se považují zejména předměty domácí a osobní (kulturní) spotřeby, rodinné domky (bytová zařízení) a úspory nabyté prací </w:t>
      </w:r>
      <w:r>
        <w:br/>
        <w:t xml:space="preserve">(k uspokojování životních potřeb). Pro předměty v osobním vlastnictví bylo zaručováno dědické právo. Knapp doplňuje, že výše zmíněnou nedotknutelnost bylo nutno chápat </w:t>
      </w:r>
      <w:r>
        <w:br/>
        <w:t>v souvislosti s danými sociálně ekonomickými poměry a celou řadou norem, které ji zaručovaly.</w:t>
      </w:r>
      <w:r>
        <w:rPr>
          <w:vertAlign w:val="superscript"/>
        </w:rPr>
        <w:footnoteReference w:id="90"/>
      </w:r>
      <w:r>
        <w:t xml:space="preserve"> Z toho lze vyvozovat, že nedotknutelnost osobního vlastnictví v režimu lidové demokracie měla poněkud jiný význam, než tomu je dnes.       </w:t>
      </w:r>
    </w:p>
    <w:p w:rsidR="009D1F29" w:rsidRDefault="009D1F29">
      <w:pPr>
        <w:ind w:left="-5" w:right="4"/>
      </w:pPr>
      <w:r>
        <w:t xml:space="preserve"> </w:t>
      </w:r>
      <w:r>
        <w:tab/>
        <w:t xml:space="preserve">Ústava teoreticky poskytovala ochranu i vlastnictví soukromému. Ta byla dokonce vymezena i v základním článku XII., kde se stanovovalo, že hospodářská soustava Československé republiky byla mimo jiné založena na ochraně drobného a středního podnikání. Tato zásada byla dále rozvíjena v § 158 odst. 1. Na základě tohoto paragrafu bylo zaručeno soukromé vlastnictví drobných a středních podniků do 50 zaměstnanců. Toto vlastnictví bylo však vyloučeno v případech stanovených ve výše zmíněném § 148 ústavy (věci ve výlučném vlastnictví státu), omezeno zákony o znárodnění (§ 152 a § 153 ústavy) </w:t>
      </w:r>
      <w:r>
        <w:br/>
        <w:t xml:space="preserve">a vyloučeno podle zákonů o úpravě vnitřního a zahraničního obchodu a mezinárodního zasilatelství.  Ustanovení § 159 určovalo hranice soukromého vlastnictví v oblasti zemědělství a výměry půdy (50 hekatů pro jednotlivce, rodinu nebo spoluvlastníky). Tato omezení znamenala, že majetek v soukromém vlastnictví přesahující dané meze byl znárodněn </w:t>
      </w:r>
      <w:r>
        <w:br/>
        <w:t>a převeden na formu státního či družstevního vlastnictví. Přesto ani toto omezení nebylo konečné, a soukromé vlastnictví bylo dále ještě více omezováno zákony a podzákonnými předpisy.</w:t>
      </w:r>
      <w:r>
        <w:rPr>
          <w:vertAlign w:val="superscript"/>
        </w:rPr>
        <w:footnoteReference w:id="91"/>
      </w:r>
      <w:r>
        <w:t xml:space="preserve">     </w:t>
      </w:r>
    </w:p>
    <w:p w:rsidR="009D1F29" w:rsidRDefault="009D1F29" w:rsidP="00711CD3">
      <w:pPr>
        <w:ind w:left="-5" w:right="4" w:firstLine="713"/>
      </w:pPr>
      <w:r>
        <w:t xml:space="preserve"> Ustanovení § 8 a § 9 upravovala obecně majetkovou svobodu občanů. Ustanovení </w:t>
      </w:r>
      <w:r>
        <w:br/>
        <w:t xml:space="preserve">§ 8 stanovovalo, že </w:t>
      </w:r>
      <w:r>
        <w:rPr>
          <w:i/>
        </w:rPr>
        <w:t>„v mezích obecných právních předpisů může každý občan nabývat na kterémkoli místě Československé republiky nemovitostí i jiného majetku a vykonávat tam výdělečnou činnost“.</w:t>
      </w:r>
      <w:r>
        <w:t xml:space="preserve"> Ustanovení § 9 odst. 1 znělo: </w:t>
      </w:r>
      <w:r>
        <w:rPr>
          <w:i/>
        </w:rPr>
        <w:t>„Soukromé vlastnictví lze omezit jen zákonem.“</w:t>
      </w:r>
      <w:r>
        <w:t xml:space="preserve"> Tato ochrana však byla pouze formální. Komunistická doktrína hleděla na soukromé právo jako na kapitalistický přežitek, který je sice nutné prozatímně zachovat, avšak nakonec bude nutné jej vymýtit. Přestože ústava výslovně stanovila, že soukromé vlastnictví lze omezit pouze zákonem, byla v rozporu s ní vydávána řada podzákonných norem, která soukromé vlastnictví omezovala.</w:t>
      </w:r>
      <w:r>
        <w:rPr>
          <w:vertAlign w:val="superscript"/>
        </w:rPr>
        <w:footnoteReference w:id="92"/>
      </w:r>
      <w:r>
        <w:t xml:space="preserve"> Nijak nezakrývanou realitu doby nám zprostředkovává i Knappova odborná právní publikace </w:t>
      </w:r>
      <w:r>
        <w:rPr>
          <w:i/>
        </w:rPr>
        <w:t>Vlastnictví v lidové demokracii</w:t>
      </w:r>
      <w:r>
        <w:t xml:space="preserve">. Knapp zde hovoří o tom, že ochrana soukromého vlastnictví neznamená, že nebudou zakládána JZD, či že je stát nebude podporovat, a že nebude přesvědčovat drobné soukromé vlastníky půdy </w:t>
      </w:r>
      <w:r>
        <w:br/>
        <w:t>o výhodnosti zemědělského družstevnictví, či dokonce, že ústava nemá bránit tomu, aby legálními prostředky byli zatlačováni vesničtí boháči. Soukromé vlastnictví výrobních prostředku bylo v polovině 50. let téměř odstraněno</w:t>
      </w:r>
      <w:r>
        <w:rPr>
          <w:vertAlign w:val="superscript"/>
        </w:rPr>
        <w:footnoteReference w:id="93"/>
      </w:r>
      <w:r>
        <w:t xml:space="preserve">, a to za pomoci administrativních </w:t>
      </w:r>
      <w:r>
        <w:br/>
        <w:t xml:space="preserve">a represivních metod nátlaku. Soukromí vlastníci byli často bezdůvodně kriminalizováni a na jejich výstrahu byly inscenovány politické procesy.        </w:t>
      </w:r>
    </w:p>
    <w:p w:rsidR="009D1F29" w:rsidRDefault="009D1F29" w:rsidP="00711CD3">
      <w:pPr>
        <w:ind w:left="-5" w:right="4"/>
      </w:pPr>
      <w:r>
        <w:t xml:space="preserve"> </w:t>
      </w:r>
      <w:r>
        <w:tab/>
        <w:t xml:space="preserve">Ustanovení § 9 odst. 2 upravovalo vyvlastnění: </w:t>
      </w:r>
      <w:r>
        <w:rPr>
          <w:i/>
        </w:rPr>
        <w:t>„Vyvlastnění je možné jen na základě zákona a za náhradu, není-li a nebude-li zákonem stanoveno, že se náhrada dávat nemá.“</w:t>
      </w:r>
      <w:r>
        <w:t xml:space="preserve">  Vyvlastnění lze chápat jako zásah do vlastnického práva nebo jiného majetkového práva, kterým se toto právo přenáší proti vůli vlastníka na jiný subjekt. Formulace </w:t>
      </w:r>
      <w:r>
        <w:rPr>
          <w:i/>
        </w:rPr>
        <w:t>„na základě zákona“</w:t>
      </w:r>
      <w:r>
        <w:t xml:space="preserve"> znamená, že vyvlastnění bylo možné i na základě podzákonného předpisu. Vyvlastnit bez náhrady však šlo pouze na základě zákona. Dobová literatura tvrdila, že šlo </w:t>
      </w:r>
      <w:r>
        <w:br/>
        <w:t>o výjimečné opatření, pod které bylo možné zahrnout i znárodnění zestátněním, zásahy do zemědělského vlastnictví na základě pozemkové reformy a podobně. Pokud to bylo ve veřejném zájmu, mohl si stát převést věci v soukromém vlastnictví do svého vlastnictví. Tím byla odstraněna zásada nedotknutelnosti soukromého vlastnictví. Podrobnou úpravu vyvlastnění obsahoval občanský zákoník a další zákony.</w:t>
      </w:r>
      <w:r>
        <w:rPr>
          <w:vertAlign w:val="superscript"/>
        </w:rPr>
        <w:footnoteReference w:id="94"/>
      </w:r>
      <w:r>
        <w:t xml:space="preserve"> </w:t>
      </w:r>
      <w:r>
        <w:tab/>
        <w:t xml:space="preserve"> </w:t>
      </w:r>
      <w:r>
        <w:tab/>
        <w:t xml:space="preserve"> </w:t>
      </w:r>
      <w:r>
        <w:tab/>
        <w:t xml:space="preserve"> </w:t>
      </w:r>
      <w:r>
        <w:tab/>
        <w:t xml:space="preserve"> </w:t>
      </w:r>
      <w:r>
        <w:tab/>
        <w:t xml:space="preserve"> </w:t>
      </w:r>
      <w:r>
        <w:tab/>
        <w:t xml:space="preserve"> </w:t>
      </w:r>
      <w:r>
        <w:tab/>
        <w:t xml:space="preserve">Konečně § 9 odst. 3 zněl: </w:t>
      </w:r>
      <w:r>
        <w:rPr>
          <w:i/>
        </w:rPr>
        <w:t>„Nikdo nesmí zneužívat vlastnického práva ke škodě celku“</w:t>
      </w:r>
      <w:r>
        <w:t xml:space="preserve">.  S tímto ustanovením souvisel § 161, který zakazoval soukromé výdělečné monopolní organizace, zejména kartely, trusty a syndikáty. To mělo zabraňovat tomu, aby se podnikatelé sdružovali v různých organizacích a diktovali ceny, mzdy, platy a pracovní podmínky. </w:t>
      </w:r>
    </w:p>
    <w:p w:rsidR="009D1F29" w:rsidRDefault="009D1F29" w:rsidP="00711CD3">
      <w:pPr>
        <w:ind w:left="-5" w:right="4"/>
      </w:pPr>
    </w:p>
    <w:p w:rsidR="009D1F29" w:rsidRDefault="009D1F29" w:rsidP="00711CD3">
      <w:pPr>
        <w:ind w:left="-5" w:right="4"/>
      </w:pPr>
    </w:p>
    <w:p w:rsidR="009D1F29" w:rsidRDefault="009D1F29" w:rsidP="00711CD3">
      <w:pPr>
        <w:ind w:left="-5" w:right="4"/>
      </w:pPr>
    </w:p>
    <w:p w:rsidR="009D1F29" w:rsidRDefault="009D1F29" w:rsidP="00711CD3">
      <w:pPr>
        <w:pStyle w:val="Heading2"/>
        <w:spacing w:line="240" w:lineRule="auto"/>
        <w:ind w:left="693" w:hanging="708"/>
      </w:pPr>
      <w:bookmarkStart w:id="19" w:name="_Toc512979306"/>
      <w:bookmarkStart w:id="20" w:name="_Toc512979812"/>
      <w:r>
        <w:t>Úprava vlastnického práva v Ústavě z roku 1960</w:t>
      </w:r>
      <w:bookmarkEnd w:id="19"/>
      <w:bookmarkEnd w:id="20"/>
      <w:r>
        <w:t xml:space="preserve"> </w:t>
      </w:r>
    </w:p>
    <w:p w:rsidR="009D1F29" w:rsidRDefault="009D1F29">
      <w:pPr>
        <w:spacing w:after="224" w:line="259" w:lineRule="auto"/>
        <w:ind w:left="0" w:right="0" w:firstLine="0"/>
        <w:jc w:val="left"/>
      </w:pPr>
      <w:r>
        <w:t xml:space="preserve"> </w:t>
      </w:r>
    </w:p>
    <w:p w:rsidR="009D1F29" w:rsidRDefault="009D1F29">
      <w:pPr>
        <w:ind w:left="-15" w:right="4" w:firstLine="708"/>
      </w:pPr>
      <w:r>
        <w:t xml:space="preserve">Ústava z roku 1960, přesnějším označením ústavní zákon č. 100/1960 Sb., byla přijata Národním shromážděním dne 11. 7. 1960 a v tento den nabyla také účinnosti, čímž naopak pozbyla účinnosti tzv. </w:t>
      </w:r>
      <w:r>
        <w:rPr>
          <w:i/>
        </w:rPr>
        <w:t>ústava 9. května</w:t>
      </w:r>
      <w:r>
        <w:t xml:space="preserve">, zákon č. 150/1948 Sb. Často je ústava z roku 1960 označována přívlastkem </w:t>
      </w:r>
      <w:r>
        <w:rPr>
          <w:i/>
        </w:rPr>
        <w:t>„socialistická“</w:t>
      </w:r>
      <w:r>
        <w:rPr>
          <w:vertAlign w:val="superscript"/>
        </w:rPr>
        <w:footnoteReference w:id="95"/>
      </w:r>
      <w:r>
        <w:t xml:space="preserve">, protože prohlásila československý stát za socialistický.           </w:t>
      </w:r>
    </w:p>
    <w:p w:rsidR="009D1F29" w:rsidRDefault="009D1F29" w:rsidP="000B5FC3">
      <w:pPr>
        <w:ind w:left="-5" w:right="4"/>
      </w:pPr>
      <w:r>
        <w:t xml:space="preserve"> </w:t>
      </w:r>
      <w:r>
        <w:tab/>
        <w:t xml:space="preserve">Formálně byla složena z úvodního prohlášení a devíti hlav obsahujících 112 článků. Inspirována byla zejména </w:t>
      </w:r>
      <w:r>
        <w:rPr>
          <w:i/>
        </w:rPr>
        <w:t>„stalinskou“</w:t>
      </w:r>
      <w:r>
        <w:t xml:space="preserve"> sovětskou ústavou z roku 1936, což se projevilo nejvíce v první hlavě nazvané </w:t>
      </w:r>
      <w:r>
        <w:rPr>
          <w:i/>
        </w:rPr>
        <w:t>„společenské zřízení“</w:t>
      </w:r>
      <w:r>
        <w:t>, kde byla upravena třídní podstata státu, charakteristika politického systému a ekonomický základ státu – socialistická hospodářská soustava. Dále můžeme zmíněnou inspiraci spatřovat například v prosazování filozofie marxismu-leninismu v kultuře a vzdělání, v proklamaci spojenectví se SSSR či ve zdůraznění vedoucí úlohy KSČ.</w:t>
      </w:r>
      <w:r>
        <w:rPr>
          <w:vertAlign w:val="superscript"/>
        </w:rPr>
        <w:footnoteReference w:id="96"/>
      </w:r>
      <w:r>
        <w:t xml:space="preserve"> Postavení KSČ vůči státním orgánům tím bylo tak formálně institucionálně posíleno, a došlo k prohloubení její nadřazenosti nad státními orgány.</w:t>
      </w:r>
      <w:r>
        <w:rPr>
          <w:vertAlign w:val="superscript"/>
        </w:rPr>
        <w:footnoteReference w:id="97"/>
      </w:r>
      <w:r>
        <w:t xml:space="preserve"> Do ústavy plně proniká komunistická ideologie vycházející zejména ze závěrů 21. sjezdu Komunistické strany SSSR v roce 1959. Tím hlavním bylo budování socialismu s konečným cílem vytvoření komunistické společnosti. Kromě výše zmíněného vlivu ideologie je pro ústavu typické posílení moci zákonodárné na úkor moci výkonné, zakotvení principu demokratického centralismu, zakotvení lidských práv a svobod bez zákonných záruk </w:t>
      </w:r>
      <w:r>
        <w:br/>
        <w:t xml:space="preserve">a hierarchizace vlastnictví.    </w:t>
      </w:r>
      <w:r>
        <w:tab/>
      </w:r>
      <w:r>
        <w:tab/>
      </w:r>
      <w:r>
        <w:tab/>
      </w:r>
      <w:r>
        <w:tab/>
      </w:r>
      <w:r>
        <w:tab/>
      </w:r>
      <w:r>
        <w:tab/>
      </w:r>
      <w:r>
        <w:tab/>
      </w:r>
      <w:r>
        <w:tab/>
      </w:r>
      <w:r>
        <w:tab/>
      </w:r>
      <w:r>
        <w:tab/>
      </w:r>
      <w:r>
        <w:tab/>
        <w:t>Nízkou právní kvalitu ústavy můžeme demonstrovat na několika bodech. Text byl plný ideologických prohlášení připomínajících spíše politickou proklamaci. Byl psán tak, aby umožňoval svévolný výklad a aplikaci ústavy. Rychlost přijetí ukázala, že ústava nebyla sestavena na základě demokratické debaty právních expertů, nýbrž pod diktátem sovětské ústavněprávní teorie a za aktivní účasti ideologického oddělení sekretariátu ÚV KSČ.</w:t>
      </w:r>
      <w:r>
        <w:rPr>
          <w:vertAlign w:val="superscript"/>
        </w:rPr>
        <w:footnoteReference w:id="98"/>
      </w:r>
      <w:r>
        <w:t xml:space="preserve">  </w:t>
      </w:r>
      <w:r>
        <w:tab/>
        <w:t xml:space="preserve"> </w:t>
      </w:r>
      <w:r>
        <w:tab/>
        <w:t xml:space="preserve"> </w:t>
      </w:r>
      <w:r>
        <w:tab/>
        <w:t xml:space="preserve">Oficiální postoj KSČ k funkci ústavy, potažmo i k lidským právům můžeme pozorovat na dobovém projevu tehdejšího prezidenta Zápotockého: </w:t>
      </w:r>
      <w:r>
        <w:rPr>
          <w:i/>
        </w:rPr>
        <w:t xml:space="preserve">„Socialistická ústava bude vyjadřovat vůli celé socialistické společnosti vedené dělnickou třídou a její stranou… </w:t>
      </w:r>
      <w:r>
        <w:rPr>
          <w:i/>
        </w:rPr>
        <w:br/>
        <w:t>V tom se liší od ústav buržoazních, které frázemi o svobodě a demokracii zakrývají, že ve skutečnosti jsou nástrojem třídního panství buržoazie nad vykořisťovanými a pracujícími masami lidu. Československá republika je státem diktatury dělnické třídy… je prosta jakýchkoliv pozůstatků liberalistických pseudodemokratických principů dělby moci… náleží do světové socialistické soustavy.“</w:t>
      </w:r>
      <w:r>
        <w:rPr>
          <w:vertAlign w:val="superscript"/>
        </w:rPr>
        <w:footnoteReference w:id="99"/>
      </w:r>
      <w:r>
        <w:t xml:space="preserve">  </w:t>
      </w:r>
      <w:r>
        <w:tab/>
      </w:r>
      <w:r>
        <w:tab/>
      </w:r>
      <w:r>
        <w:tab/>
      </w:r>
      <w:r>
        <w:tab/>
      </w:r>
      <w:r>
        <w:tab/>
      </w:r>
      <w:r>
        <w:tab/>
      </w:r>
      <w:r>
        <w:tab/>
      </w:r>
      <w:r>
        <w:tab/>
      </w:r>
      <w:r>
        <w:tab/>
        <w:t>Za celé období své účinnosti byla ústava celkem 64krát doplňována a novelizována</w:t>
      </w:r>
      <w:r>
        <w:rPr>
          <w:vertAlign w:val="superscript"/>
        </w:rPr>
        <w:footnoteReference w:id="100"/>
      </w:r>
      <w:r>
        <w:t xml:space="preserve">  a zrušena byla 1. 1. 1993 účinností Ústavy České republiky, zákona č. 1/1993 Sb.  </w:t>
      </w:r>
      <w:r>
        <w:tab/>
      </w:r>
      <w:r>
        <w:tab/>
      </w:r>
      <w:r>
        <w:tab/>
        <w:t xml:space="preserve">Základní práva byla obsažena v hlavě druhé s názvem </w:t>
      </w:r>
      <w:r>
        <w:rPr>
          <w:i/>
        </w:rPr>
        <w:t>„práva a povinnosti občanů“</w:t>
      </w:r>
      <w:r>
        <w:t xml:space="preserve">. Použitím pojmu občanská práva se dávalo najevo odmítnutí přirozenoprávního původu práv </w:t>
      </w:r>
      <w:r>
        <w:br/>
        <w:t xml:space="preserve">a zároveň se zdůrazňovalo, že tato práva jsou občanovi poskytována státem, který jakožto jejich poskytovatel, je může kdykoliv odejmout. Pojem </w:t>
      </w:r>
      <w:r>
        <w:rPr>
          <w:i/>
        </w:rPr>
        <w:t>„lidská práva“</w:t>
      </w:r>
      <w:r>
        <w:t xml:space="preserve"> byl socialistickou právní vědou vymezen pouze pro oblast mezinárodního práva. Oficiálním účelem občanských práv byl svobodný, všestranný rozvoj a uplatnění osobnosti občanů.  Základní zásada této hlavy spočívala v tom, že rozvoj a zájmy každého jednotlivce v socialistickém státu byly plně v souladu s rozvojem a zájmy celé společnosti a s ústavními povinnostmi.</w:t>
      </w:r>
      <w:r>
        <w:rPr>
          <w:vertAlign w:val="superscript"/>
        </w:rPr>
        <w:footnoteReference w:id="101"/>
      </w:r>
      <w:r>
        <w:t xml:space="preserve"> Tím byl nadřazen zájem společnosti nad práva občana. Tradiční pojetí základních lidských práv bylo nahrazeno jejich zkolektivizováním, když ústava základní práva chápala tak, že jejich poskytnutím občanům zároveň zpevňuje socialistickou společnost. S rozvojem společnosti se občanská práva měla více prohlubovat. K plnému rozvinutí svých práv mohl údajně jednotlivec dospět jen aktivní účastí na rozvoji celé společnosti, a to především podílem na společenské práci.</w:t>
      </w:r>
      <w:r>
        <w:rPr>
          <w:vertAlign w:val="superscript"/>
        </w:rPr>
        <w:footnoteReference w:id="102"/>
      </w:r>
      <w:r>
        <w:t xml:space="preserve"> </w:t>
      </w:r>
      <w:r>
        <w:tab/>
        <w:t xml:space="preserve"> </w:t>
      </w:r>
      <w:r>
        <w:tab/>
        <w:t xml:space="preserve">  </w:t>
      </w:r>
      <w:r>
        <w:tab/>
      </w:r>
      <w:r>
        <w:tab/>
      </w:r>
      <w:r>
        <w:tab/>
      </w:r>
      <w:r>
        <w:tab/>
      </w:r>
      <w:r>
        <w:tab/>
      </w:r>
      <w:r>
        <w:tab/>
      </w:r>
      <w:r>
        <w:tab/>
      </w:r>
      <w:r>
        <w:tab/>
      </w:r>
      <w:r>
        <w:tab/>
      </w:r>
      <w:r>
        <w:tab/>
        <w:t xml:space="preserve">Jak již z názvu druhé hlavy vypovídá, práva a svobody byly úzce spojeny </w:t>
      </w:r>
      <w:r>
        <w:br/>
        <w:t xml:space="preserve">a podmíněny plněním občanských povinností. Občanské povinnosti byly zakotveny v celkem širokém rozsahu (5 článků). Příkladem propojení práv a povinností bylo právo na práci </w:t>
      </w:r>
      <w:r>
        <w:br/>
        <w:t xml:space="preserve">s povinností práce ve prospěch celku. Zatímco prací občana měla být obohacována společnost, občan měl mít díky prosperující společnosti stále vyšší odměnu za práci.    </w:t>
      </w:r>
    </w:p>
    <w:p w:rsidR="009D1F29" w:rsidRDefault="009D1F29" w:rsidP="007C0672">
      <w:pPr>
        <w:ind w:left="-5" w:right="4"/>
      </w:pPr>
      <w:r>
        <w:t xml:space="preserve"> </w:t>
      </w:r>
      <w:r>
        <w:tab/>
        <w:t>Mezi ústavou zaručená práva byla řazena například rovnoprávnost (došlo k zesílení významu rovnosti), právo na práci a spravedlivou odměnu za ni, svoboda projevu, slova, tisku, shromažďovací, pouličních průvodů, vyznání či nedotknutelnost obydlí a listovní tajemství. Dominující postavení měla práva sociálně-ekonomická.</w:t>
      </w:r>
      <w:r>
        <w:rPr>
          <w:vertAlign w:val="superscript"/>
        </w:rPr>
        <w:footnoteReference w:id="103"/>
      </w:r>
      <w:r>
        <w:t xml:space="preserve"> Důležité je podotknout, že většina práv byla omezena dodatkem </w:t>
      </w:r>
      <w:r>
        <w:rPr>
          <w:i/>
        </w:rPr>
        <w:t>„pokud to není v rozporu se zákonem“</w:t>
      </w:r>
      <w:r>
        <w:t xml:space="preserve"> nebo pokud je to v </w:t>
      </w:r>
      <w:r>
        <w:rPr>
          <w:i/>
        </w:rPr>
        <w:t>„souladu se zájmy pracujícího lidu“</w:t>
      </w:r>
      <w:r>
        <w:t xml:space="preserve">. Právě tyto dodatky a způsob formulace základních práv jsou indiciemi pro to, jakým způsobem byla základní práva uplatňována v praxi. Někteří autoři tak ústavě připisují větší upřímnost oproti ústavě předešlé, a s tím spojené přiblížení stavu de iure stavu de facto.          </w:t>
      </w:r>
      <w:r>
        <w:tab/>
      </w:r>
      <w:r>
        <w:tab/>
      </w:r>
      <w:r>
        <w:tab/>
      </w:r>
      <w:r>
        <w:tab/>
      </w:r>
      <w:r>
        <w:tab/>
      </w:r>
      <w:r>
        <w:tab/>
      </w:r>
      <w:r>
        <w:tab/>
      </w:r>
      <w:r>
        <w:tab/>
      </w:r>
      <w:r>
        <w:tab/>
      </w:r>
      <w:r>
        <w:tab/>
        <w:t xml:space="preserve"> Základní práva a svobody byly zakotveny velmi rámcově a ideologicky, což v praxi umožňovalo jejich omezování a ukládání různých povinností prostřednictvím druhotných právních předpisů nebo dokonce prostřednictvím předpisů interních. Interní předpisy navíc často ani nebyly publikovány a nebyly tak občanům přístupny. Tato situace byla v jasném rozporu s principem právní jistoty a předvídatelností práva, což jsou základní znaky demokratického právního státu.</w:t>
      </w:r>
      <w:r>
        <w:rPr>
          <w:vertAlign w:val="superscript"/>
        </w:rPr>
        <w:footnoteReference w:id="104"/>
      </w:r>
      <w:r>
        <w:t xml:space="preserve"> Rozsah základních práv se navíc oproti úpravě v předešlé ústavě zmenšil, některé základní principy postavení člověka ve společnosti pak chyběly zcela.</w:t>
      </w:r>
      <w:r>
        <w:rPr>
          <w:vertAlign w:val="superscript"/>
        </w:rPr>
        <w:footnoteReference w:id="105"/>
      </w:r>
      <w:r>
        <w:t xml:space="preserve"> Provádění základních práv bylo často ponecháno zákonům z padesátých let, které ve skutečnosti daná práva popíraly a nebo je vůbec neupravovaly.</w:t>
      </w:r>
      <w:r>
        <w:rPr>
          <w:vertAlign w:val="superscript"/>
        </w:rPr>
        <w:footnoteReference w:id="106"/>
      </w:r>
      <w:r>
        <w:t xml:space="preserve"> V právní teorii se objevovaly i občasné úvahy nad přímou použitelností základních práv: „</w:t>
      </w:r>
      <w:r>
        <w:rPr>
          <w:i/>
        </w:rPr>
        <w:t>Základní práva občanů jsou subjektivními právy, z nichž přímo vznikají jednotlivé nároky vůči státu, pokud ovšem ústava nevyžaduje zákon, upravující podmínky jejich realizace.“</w:t>
      </w:r>
      <w:r>
        <w:rPr>
          <w:vertAlign w:val="superscript"/>
        </w:rPr>
        <w:footnoteReference w:id="107"/>
      </w:r>
      <w:r>
        <w:t xml:space="preserve"> Ovšem obecně bylo dovozováno, že základní práva zakotvená v ústavě vyžadují konkretizaci v zákonné </w:t>
      </w:r>
      <w:r>
        <w:br/>
        <w:t xml:space="preserve">a podzákonné podobě.  </w:t>
      </w:r>
      <w:r>
        <w:tab/>
      </w:r>
      <w:r>
        <w:tab/>
      </w:r>
      <w:r>
        <w:tab/>
      </w:r>
      <w:r>
        <w:tab/>
      </w:r>
      <w:r>
        <w:tab/>
      </w:r>
      <w:r>
        <w:tab/>
      </w:r>
      <w:r>
        <w:tab/>
      </w:r>
      <w:r>
        <w:tab/>
      </w:r>
      <w:r>
        <w:tab/>
      </w:r>
      <w:r>
        <w:tab/>
      </w:r>
      <w:r>
        <w:tab/>
        <w:t>Pro objasnění funkčnosti vymáhání ochrany základních práv v praxi je důležité zaměřit se také na to, jaký orgán tuto ochranu zajišťoval. Soudní ochrana prakticky neexistovala. ÚS ani NSS neexistovaly jak fakticky, tak povětšinou ani právně.</w:t>
      </w:r>
      <w:r>
        <w:rPr>
          <w:vertAlign w:val="superscript"/>
        </w:rPr>
        <w:footnoteReference w:id="108"/>
      </w:r>
      <w:r>
        <w:t xml:space="preserve"> Roli strážce ústavnosti měl místo ÚS vykonávat parlament.</w:t>
      </w:r>
      <w:r>
        <w:rPr>
          <w:rStyle w:val="FootnoteReference"/>
        </w:rPr>
        <w:footnoteReference w:id="109"/>
      </w:r>
      <w:r>
        <w:t xml:space="preserve"> Nebylo tudíž možné se bránit klasickými instituty ochrany základních práv v podobě ústavní stížnosti či správní žaloby. Ústavní stížnost byla dobovou literaturou hodnocena takto: </w:t>
      </w:r>
      <w:r>
        <w:rPr>
          <w:i/>
        </w:rPr>
        <w:t xml:space="preserve">„Právní úprava ústavní stížnosti </w:t>
      </w:r>
      <w:r>
        <w:rPr>
          <w:i/>
        </w:rPr>
        <w:br/>
        <w:t>v kapitalistických státech plní především fiktivní úlohu demokratického hávu, do něhož se odívá diktatura buržoazie, pokud je to pro ni potřebné.“</w:t>
      </w:r>
      <w:r>
        <w:rPr>
          <w:vertAlign w:val="superscript"/>
        </w:rPr>
        <w:footnoteReference w:id="110"/>
      </w:r>
      <w:r>
        <w:rPr>
          <w:i/>
        </w:rPr>
        <w:t xml:space="preserve"> </w:t>
      </w:r>
      <w:r>
        <w:t xml:space="preserve">Správně-právní ochrana byla pak vyhrazena pouze pro oblast sociálního pojištění. Právní věda ve svých teoretických úvahách tvrdila, že </w:t>
      </w:r>
      <w:r>
        <w:rPr>
          <w:i/>
        </w:rPr>
        <w:t xml:space="preserve">„systém záruk není možné chápat jen jako záruky zakotvené v ústavě, ani dokonce </w:t>
      </w:r>
      <w:r>
        <w:rPr>
          <w:i/>
        </w:rPr>
        <w:br/>
        <w:t>v celém právním řádu, ale jako systém širší, který tkví v celé struktuře ekonomických, politických i ideologických právních vztahů. Systém vztahů nutno chápat v jednotě“.</w:t>
      </w:r>
      <w:r>
        <w:rPr>
          <w:vertAlign w:val="superscript"/>
        </w:rPr>
        <w:footnoteReference w:id="111"/>
      </w:r>
      <w:r>
        <w:t xml:space="preserve"> Reálně ústava nabízela dvě možnosti ochrany. První bylo podání </w:t>
      </w:r>
      <w:r>
        <w:rPr>
          <w:i/>
        </w:rPr>
        <w:t>„stížnosti pracujících“</w:t>
      </w:r>
      <w:r>
        <w:t xml:space="preserve"> na základě článku 29, provedeného ve vládní vyhlášce č. 150/1958 Sb., dle které se jednotlivec mohl bránit proti exekutivě uvnitř státní správy.</w:t>
      </w:r>
      <w:r>
        <w:rPr>
          <w:rStyle w:val="FootnoteReference"/>
        </w:rPr>
        <w:footnoteReference w:id="112"/>
      </w:r>
      <w:r>
        <w:t xml:space="preserve"> Druhou možností byla pomoc prokurátora </w:t>
      </w:r>
      <w:r>
        <w:br/>
        <w:t xml:space="preserve">v případě, že se zájmy či práva jednotlivce kryly se zájmy státní moci.           </w:t>
      </w:r>
    </w:p>
    <w:p w:rsidR="009D1F29" w:rsidRDefault="009D1F29">
      <w:pPr>
        <w:ind w:left="-5" w:right="4"/>
      </w:pPr>
      <w:r>
        <w:t xml:space="preserve"> </w:t>
      </w:r>
      <w:r>
        <w:tab/>
        <w:t>Ještě je žádoucí zmínit vystupování ČSSR v oblasti lidských práv v mezinárodním prostoru. V roce 1968 ČSSR podepsala Mezinárodní pakt o občanských a politických právech a Mezinárodní pakt o hospodářských, sociálních a kulturních právech. V platnost vstoupily až v roce 1976</w:t>
      </w:r>
      <w:r>
        <w:rPr>
          <w:vertAlign w:val="superscript"/>
        </w:rPr>
        <w:footnoteReference w:id="113"/>
      </w:r>
      <w:r>
        <w:t xml:space="preserve">, avšak tehdejší vláda na své dosavadní praxi ignorovat mezinárodní závazky </w:t>
      </w:r>
      <w:r>
        <w:br/>
        <w:t xml:space="preserve">o lidských právech nic nezměnila. Občané se jich tedy nemohli dovolávat, a podepsání těchto dokumentů bylo pouze formálním iluzorním aktem.         </w:t>
      </w:r>
    </w:p>
    <w:p w:rsidR="009D1F29" w:rsidRDefault="009D1F29" w:rsidP="0098610D">
      <w:pPr>
        <w:ind w:left="-5" w:right="4" w:firstLine="713"/>
      </w:pPr>
      <w:r>
        <w:t xml:space="preserve"> Pokud jde o samotné vlastnické právo, nebylo již obecně chápáno jako jedno ze základních práv.</w:t>
      </w:r>
      <w:r>
        <w:rPr>
          <w:vertAlign w:val="superscript"/>
        </w:rPr>
        <w:footnoteReference w:id="114"/>
      </w:r>
      <w:r>
        <w:t xml:space="preserve"> Nebylo proto upraveno ani v hlavě druhé, kde byla tato práva obsažena, nýbrž zejména v hlavě první. Vlastnictví a ekonomické roviny se týkaly články 7, 8, 9, 10, 35, 37 a 89. Zajímavé je, že znovu při zdůrazňovaném principu rovnosti (článek 20), došlo</w:t>
      </w:r>
      <w:r>
        <w:br/>
        <w:t xml:space="preserve">k zakotvení různých druhů vlastnictví s rozdílnou mírou ochrany, což tento princip značně negovalo, a bylo v rozporu s obecně uznávanými univerzálními základními lidskými právy </w:t>
      </w:r>
      <w:r>
        <w:br/>
        <w:t>a svobodami.</w:t>
      </w:r>
      <w:r>
        <w:rPr>
          <w:vertAlign w:val="superscript"/>
        </w:rPr>
        <w:footnoteReference w:id="115"/>
      </w:r>
      <w:r>
        <w:t xml:space="preserve"> Tehdejší právní věda jednotné soukromé vlastnictví kritizovala, paradoxně podle ní způsobovalo právě nerovnost. Podle tehdejšího učení měla v buržoazních státech </w:t>
      </w:r>
      <w:r>
        <w:br/>
        <w:t>k soukromému vlastnictví přístup jen úzká skupina monopolistických boháčů, čímž docházelo k faktickému odebrání některých základních práv (např. rovnosti) širokým vrstvám obyvatelstva.</w:t>
      </w:r>
      <w:r>
        <w:rPr>
          <w:vertAlign w:val="superscript"/>
        </w:rPr>
        <w:footnoteReference w:id="116"/>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D1F29" w:rsidRDefault="009D1F29" w:rsidP="0098610D">
      <w:pPr>
        <w:ind w:left="-5" w:right="4" w:firstLine="713"/>
      </w:pPr>
      <w:r>
        <w:t xml:space="preserve"> Článek 7 měl značně proklamativní a ideologickou funkci. Vyjadřoval ekonomické postuláty, na kterých stála socialistická společnost. Hlásal, že ekonomickým základem ČSSR byla socialistická hospodářská soustava, která vylučovala jakoukoli formu vykořisťování člověka člověkem. Dále pak, že v socialistické hospodářské soustavě byly výrobní prostředky zespolečenštěny, veškeré národní hospodářství bylo řízeno plánovitě, a tím byl zabezpečován, za uvědomělé spolupráce všech občanů, mohutný rozvoj výroby a neustálý vzestup životní úrovně pracujících.</w:t>
      </w:r>
      <w:r>
        <w:rPr>
          <w:sz w:val="27"/>
        </w:rPr>
        <w:t xml:space="preserve">          </w:t>
      </w:r>
      <w:r>
        <w:tab/>
      </w:r>
      <w:r>
        <w:tab/>
      </w:r>
      <w:r>
        <w:tab/>
      </w:r>
      <w:r>
        <w:tab/>
      </w:r>
      <w:r>
        <w:tab/>
      </w:r>
      <w:r>
        <w:tab/>
      </w:r>
      <w:r>
        <w:tab/>
      </w:r>
      <w:r>
        <w:tab/>
      </w:r>
      <w:r>
        <w:tab/>
      </w:r>
      <w:r>
        <w:tab/>
      </w:r>
      <w:r>
        <w:tab/>
      </w:r>
      <w:r>
        <w:rPr>
          <w:sz w:val="27"/>
        </w:rPr>
        <w:t xml:space="preserve"> </w:t>
      </w:r>
      <w:r>
        <w:t xml:space="preserve">Článek 8 odst. 1 zněl: </w:t>
      </w:r>
      <w:r>
        <w:rPr>
          <w:i/>
        </w:rPr>
        <w:t xml:space="preserve">„Socialistické společenské vlastnictví má dvě základní </w:t>
      </w:r>
      <w:r>
        <w:rPr>
          <w:i/>
        </w:rPr>
        <w:br/>
        <w:t>formy: státní vlastnictví, které je vlastnictvím všeho lidu (národní majetek), a družstevní vlastnictví (majetek lidových družstev).“</w:t>
      </w:r>
      <w:r>
        <w:rPr>
          <w:vertAlign w:val="superscript"/>
        </w:rPr>
        <w:footnoteReference w:id="117"/>
      </w:r>
      <w:r>
        <w:t xml:space="preserve"> Socialistické společenské vlastnictví mělo základní a rozhodující postavení v socialistické společnosti. Bylo na něm založeno hospodářské a společenské zřízení. Zároveň mělo být zdrojem uspokojování osobních potřeb občanů. Subjekt tohoto vlastnictví byl vždy socialistický. Tím mohl být stát, jakožto forma vyšší, nadřazená, anebo družstvo. Předmět státního vlastnictví byl ústavou považován za tak důležitý, že byl v článku 8 odst. 2 zařazen jeho demonstrativní výčet</w:t>
      </w:r>
      <w:r>
        <w:rPr>
          <w:i/>
        </w:rPr>
        <w:t xml:space="preserve">: „Národním majetkem jsou zejména: nerostné bohatství a základní zdroje energie; základní lesní fond, vodní toky  </w:t>
      </w:r>
      <w:r>
        <w:rPr>
          <w:i/>
        </w:rPr>
        <w:br/>
        <w:t xml:space="preserve">a přírodní léčivé zdroje; prostředky průmyslové výroby, hromadné dopravy a spojů; peněžní </w:t>
      </w:r>
      <w:r>
        <w:rPr>
          <w:i/>
        </w:rPr>
        <w:br/>
        <w:t>a pojišťovací ústavy; rozhlas, televize a film, dále též nejdůležitější společenská zařízení, jako zařízení zdravotnická, školy a vědecké ústavy.“</w:t>
      </w:r>
      <w:r>
        <w:t xml:space="preserve"> Z tohoto výčtu můžeme vyvodit, že každá věc v právním smyslu (i pohledávky a jiná majetková práva) mohla být ve státním vlastnictví </w:t>
      </w:r>
      <w:r>
        <w:br/>
        <w:t xml:space="preserve">a některé věci mohly být pouze ve státním vlastnictví. Předmět družstevního vlastnictví nebyl zvláště upraven, ale bylo obecně dovozováno, že družstva mohla vlastnit vše, kromě věcí ve výlučném vlastnictví státu. Nový právní institut </w:t>
      </w:r>
      <w:r>
        <w:rPr>
          <w:i/>
        </w:rPr>
        <w:t>„společenské užívání půdy“</w:t>
      </w:r>
      <w:r>
        <w:t xml:space="preserve"> byl pak zaveden v článku 8 odst. 3: </w:t>
      </w:r>
      <w:r>
        <w:rPr>
          <w:i/>
        </w:rPr>
        <w:t>„Půda sdružená k společnému družstevnímu hospodářství je ve společenském užívání jednotných zemědělských družstev.“</w:t>
      </w:r>
      <w:r>
        <w:t xml:space="preserve"> Jeho podstatou bylo, že rolníci při vstupu do JZD odevzdali družstvu svou půdu k užívání, ale formálně zůstávali vlastníky. Ovšem družstvo mělo k půdě velmi široká oprávnění (např. měnit podstatu pozemku, bytová výstavba), takže obsah vlastnického práva mohlo libovolně měnit.</w:t>
      </w:r>
      <w:r>
        <w:rPr>
          <w:rStyle w:val="FootnoteReference"/>
        </w:rPr>
        <w:footnoteReference w:id="118"/>
      </w:r>
    </w:p>
    <w:p w:rsidR="009D1F29" w:rsidRDefault="009D1F29" w:rsidP="00AF324E">
      <w:pPr>
        <w:spacing w:after="80"/>
        <w:ind w:left="-5" w:right="4"/>
      </w:pPr>
      <w:r>
        <w:t xml:space="preserve"> </w:t>
      </w:r>
      <w:r>
        <w:tab/>
        <w:t xml:space="preserve">Ochrana socialistického vlastnictví byla upravena v článcích 35 a 37 odst. 1, které byly zařazeny systematicky pod občanské povinnosti. Dále pak v článku 89, který spadal pod úpravu národních výborů. Článek 35 zněl: </w:t>
      </w:r>
      <w:r>
        <w:rPr>
          <w:i/>
        </w:rPr>
        <w:t>„Občané jsou povinni chránit a upevňovat socialistické vlastnictví jako nedotknutelný základ socialistického zřízení a zdroj blahobytu pracujícího lidu, bohatství a síly vlasti.“</w:t>
      </w:r>
      <w:r>
        <w:t xml:space="preserve">  Ochrana měla být směřována proti rozkrádání </w:t>
      </w:r>
      <w:r>
        <w:br/>
        <w:t>a ničení tohoto majetku. Takovéto jednání bylo přísně sankcionováno trestním zákonem.</w:t>
      </w:r>
      <w:r>
        <w:rPr>
          <w:rStyle w:val="FootnoteReference"/>
        </w:rPr>
        <w:footnoteReference w:id="119"/>
      </w:r>
      <w:r>
        <w:rPr>
          <w:vertAlign w:val="superscript"/>
        </w:rPr>
        <w:t xml:space="preserve"> </w:t>
      </w:r>
      <w:r>
        <w:t xml:space="preserve">Upevňování spočívalo ve svědomité pracovní činnosti. Článek 37 odst. 1 pak označoval ochranu socialistického vlastnictví </w:t>
      </w:r>
      <w:r>
        <w:rPr>
          <w:i/>
        </w:rPr>
        <w:t>„vrcholnou povinností a věcí cti každého občana“</w:t>
      </w:r>
      <w:r>
        <w:t>. Ta vyžadovala od občanů obětavost, překonávání těžkostí a statečnost bez ohledu na ohrožení zdraví či života, a byla odrazem občanské uvědomělosti. Článek 89 zněl</w:t>
      </w:r>
      <w:r>
        <w:rPr>
          <w:i/>
        </w:rPr>
        <w:t>: „Národní výbory … zajišťují ochranu socialistického vlastnictví a všech vymožeností pracujícího lidu …“</w:t>
      </w:r>
      <w:r>
        <w:t xml:space="preserve"> Jedním z úkolů národních výborů při ochraně společenských vztahů spojených s hlavními funkcemi socialistického státu byla tedy i ochrana socialistického vlastnictví. Z toho vyplývá, že povinnost ochrany socialistického společenského vlastnictví měl jak stát tak občané.  </w:t>
      </w:r>
      <w:r>
        <w:tab/>
      </w:r>
      <w:r>
        <w:tab/>
      </w:r>
      <w:r>
        <w:tab/>
        <w:t>Pro občanskoprávní vztahy byla zakotvena závislost individuálního vlastnictví na vlastnictví socialistickém. Individuální vlastnictví se ze socialistického odvozovalo.</w:t>
      </w:r>
      <w:r>
        <w:rPr>
          <w:vertAlign w:val="superscript"/>
        </w:rPr>
        <w:footnoteReference w:id="120"/>
      </w:r>
      <w:r>
        <w:t xml:space="preserve"> Jeho subjektem byl občan a děleno bylo na osobní a soukromé. Osobní vlastnictví bylo upraveno </w:t>
      </w:r>
      <w:r>
        <w:br/>
        <w:t xml:space="preserve">v článku 10 odst. 1 následovně: </w:t>
      </w:r>
      <w:r>
        <w:rPr>
          <w:i/>
        </w:rPr>
        <w:t>„Osobní vlastnictví občanů k spotřebním předmětům, zejména k předmětům osobní a domácí potřeby, rodinným domkům, jakož i k úsporám nabytým prací je nedotknutelné.“</w:t>
      </w:r>
      <w:r>
        <w:t xml:space="preserve"> Předmět osobního vlastnictví byl tedy uveden demonstrativně. Kupříkladu pojem a rozsah rodinného domku byl dále rozvíjen v občanském zákoníku, který také stanovoval pravidlo, že v osobním vlastnictví může mít občan pouze jeden rodinný domek. To souviselo s tím, že v osobním vlastnictví nemohl být majetek, který by překračoval osobní spotřebu občana a jeho rodiny. Pokud by vlastník překročil danou osobní spotřebu, změnilo by se osobní vlastnictví na soukromé. Co se týče úspor nabytých prací, dovozovaly se za předmět osobního vlastnictví i úspory nenabyté prací, pokud byly získány z důvodů dovolených právním řádem</w:t>
      </w:r>
      <w:r>
        <w:rPr>
          <w:vertAlign w:val="superscript"/>
        </w:rPr>
        <w:footnoteReference w:id="121"/>
      </w:r>
      <w:r>
        <w:t xml:space="preserve"> a také příjmy z práce a sociálního zabezpečení. Kromě zmíněné odvozenosti od socialistického společenského vlastnictví, patřil mezi další znaky osobního vlastnictví jeho spotřební charakter, a to, že jeho základním zdrojem byla práce občana ve prospěch společnosti.</w:t>
      </w:r>
      <w:r>
        <w:rPr>
          <w:vertAlign w:val="superscript"/>
        </w:rPr>
        <w:footnoteReference w:id="122"/>
      </w:r>
      <w:r>
        <w:t xml:space="preserve"> Zakotvený princip nedotknutelnosti neplatil absolutně, když výjimky z tohoto principu stanovoval občanský zákoník. Jednou </w:t>
      </w:r>
      <w:r>
        <w:br/>
        <w:t xml:space="preserve">z nich bylo např. vyvlastnění, které již nebylo upraveno na ústavní úrovni. Článek 10 odst. 2 pak říkal, že </w:t>
      </w:r>
      <w:r>
        <w:rPr>
          <w:i/>
        </w:rPr>
        <w:t>„dědění osobního majetku je zaručeno“</w:t>
      </w:r>
      <w:r>
        <w:t xml:space="preserve">.  Podrobnější úpravu dědictví stanovoval občanský zákoník.      </w:t>
      </w:r>
      <w:r>
        <w:tab/>
      </w:r>
      <w:r>
        <w:tab/>
      </w:r>
      <w:r>
        <w:tab/>
      </w:r>
      <w:r>
        <w:tab/>
      </w:r>
      <w:r>
        <w:tab/>
      </w:r>
      <w:r>
        <w:tab/>
      </w:r>
      <w:r>
        <w:tab/>
      </w:r>
      <w:r>
        <w:tab/>
      </w:r>
      <w:r>
        <w:tab/>
      </w:r>
      <w:r>
        <w:tab/>
      </w:r>
      <w:r>
        <w:tab/>
        <w:t xml:space="preserve">Druhým typem individuálního vlastnictví bylo vlastnictví soukromé, upravené </w:t>
      </w:r>
      <w:r>
        <w:br/>
        <w:t>v článku 9</w:t>
      </w:r>
      <w:r>
        <w:rPr>
          <w:i/>
        </w:rPr>
        <w:t>: „V mezích socialistické hospodářské soustavy je přípustné drobné soukromé hospodářství založené na osobní práci a vylučující vykořisťování cizí pracovní síly.“</w:t>
      </w:r>
      <w:r>
        <w:t xml:space="preserve"> Soukromé vlastnictví mělo, ve shodě s osobním, za subjekt vlastnictví občana. Nebyl zde však vymezen výčet věcí, které mohly být předmětem soukromého vlastnictví, a tak lze dovodit, že vše, co mohl mít občan ve svém vlastnictví, a přitom nebylo vlastnictvím osobním, spadalo pod vlastnictví soukromé. Nejdůležitějším předmětem byly obytné domy, některé movitosti a zejména pozemky. Ty nemohly být v osobním vlastnictví, protože pozemkům vždy náleží potencionální výrobní charakter přesahující osobní potřebu občana. Ze znění článku 9 můžeme pozorovat, že tomuto druhu vlastnictví ústava nepřiznávala žádnou ochranu</w:t>
      </w:r>
      <w:r>
        <w:rPr>
          <w:vertAlign w:val="superscript"/>
        </w:rPr>
        <w:footnoteReference w:id="123"/>
      </w:r>
      <w:r>
        <w:t>, což plně konvenuje s komunistickou doktrínou snažící se postupně soukromé vlastnictví odstranit z právního řádu. Zároveň do něj bylo nejvíce zasahováno</w:t>
      </w:r>
      <w:r>
        <w:rPr>
          <w:vertAlign w:val="superscript"/>
        </w:rPr>
        <w:footnoteReference w:id="124"/>
      </w:r>
      <w:r>
        <w:t xml:space="preserve"> a bylo značně omezeno. Omezení spočívalo v tom, že soukromě hospodařící rolníci či řemeslníci museli vykonávat výrobní činnost či zabezpečovat služby pouze sami. Osobní práce byla limitujícím faktorem drobného soukromého hospodářství, a to na základě zásady </w:t>
      </w:r>
      <w:r>
        <w:rPr>
          <w:i/>
        </w:rPr>
        <w:t>„vyloučení vykořisťování člověka člověkem“</w:t>
      </w:r>
      <w:r>
        <w:t>.</w:t>
      </w:r>
      <w:r>
        <w:rPr>
          <w:vertAlign w:val="superscript"/>
        </w:rPr>
        <w:footnoteReference w:id="125"/>
      </w:r>
      <w:r>
        <w:t xml:space="preserve">   </w:t>
      </w:r>
      <w:r>
        <w:tab/>
      </w:r>
      <w:r>
        <w:tab/>
      </w:r>
      <w:r>
        <w:tab/>
      </w:r>
      <w:r>
        <w:tab/>
      </w:r>
      <w:r>
        <w:tab/>
      </w:r>
      <w:r>
        <w:tab/>
      </w:r>
      <w:r>
        <w:tab/>
      </w:r>
      <w:r>
        <w:tab/>
      </w:r>
      <w:r>
        <w:tab/>
        <w:t xml:space="preserve"> Chápání vlastnického práva socialistickou právní vědou bylo naprosto odlišné od jeho pojetí v demokratických právních státech. Proto ihned po revoluci v roce 1989 dochází v této oblasti k rozsáhlým novelám a rušení do té doby platných pravidel. 18. 4. 1990 byl přijat ústavní zákon č. 100/1990 Sb., kterým se měnila a doplňovala ústava z roku 1960 a dále měnil a doplňoval ústavní zákon č. 143/1968 Sb., o československé federaci. Ústavní zákon </w:t>
      </w:r>
      <w:r>
        <w:br/>
        <w:t xml:space="preserve">č. 100/1990 Sb., zakotvoval rovnocenné postavení všech druhů vlastnictví a jeho ochranu, upravoval ochranu dědění a obecné podmínky omezení vlastnického práva. </w:t>
      </w:r>
    </w:p>
    <w:p w:rsidR="009D1F29" w:rsidRDefault="009D1F29" w:rsidP="006E6629">
      <w:pPr>
        <w:spacing w:after="80" w:line="240" w:lineRule="auto"/>
        <w:ind w:left="-5" w:right="4"/>
      </w:pPr>
    </w:p>
    <w:p w:rsidR="009D1F29" w:rsidRDefault="009D1F29" w:rsidP="00AF324E">
      <w:pPr>
        <w:pStyle w:val="Heading2"/>
        <w:spacing w:line="240" w:lineRule="auto"/>
        <w:ind w:left="547" w:hanging="562"/>
      </w:pPr>
      <w:bookmarkStart w:id="21" w:name="_Toc512979307"/>
      <w:bookmarkStart w:id="22" w:name="_Toc512979813"/>
      <w:r>
        <w:t>Úprava vlastnického práva v Listině základních práv a svobod</w:t>
      </w:r>
      <w:bookmarkEnd w:id="21"/>
      <w:bookmarkEnd w:id="22"/>
      <w:r>
        <w:t xml:space="preserve"> </w:t>
      </w:r>
    </w:p>
    <w:p w:rsidR="009D1F29" w:rsidRDefault="009D1F29">
      <w:pPr>
        <w:spacing w:after="223" w:line="259" w:lineRule="auto"/>
        <w:ind w:left="0" w:right="0" w:firstLine="0"/>
        <w:jc w:val="left"/>
      </w:pPr>
      <w:r>
        <w:t xml:space="preserve"> </w:t>
      </w:r>
    </w:p>
    <w:p w:rsidR="009D1F29" w:rsidRDefault="009D1F29">
      <w:pPr>
        <w:ind w:left="-15" w:right="4" w:firstLine="708"/>
      </w:pPr>
      <w:r>
        <w:t>V současné době nejsou základní lidská práva a svobody v České republice zakotvena na ústavní úrovni pouze v ústavě, nýbrž i v LZPS a v mezinárodních smlouvách podle článku 10 ústavy, přičemž mezinárodní smlouvy s lidskoprávní problematikou jsou dle judikatury ÚS součástí ústavního pořádku.</w:t>
      </w:r>
      <w:r>
        <w:rPr>
          <w:vertAlign w:val="superscript"/>
        </w:rPr>
        <w:footnoteReference w:id="126"/>
      </w:r>
      <w:r>
        <w:t xml:space="preserve"> Ve své práci se však zaměřuji na vnitrostátní úpravu vlastnického práva, tudíž se má analýza bude týkat pouze ústavy a především LZPS.    </w:t>
      </w:r>
    </w:p>
    <w:p w:rsidR="009D1F29" w:rsidRDefault="009D1F29" w:rsidP="00AF324E">
      <w:pPr>
        <w:ind w:left="-5" w:right="4"/>
      </w:pPr>
      <w:r>
        <w:t xml:space="preserve"> </w:t>
      </w:r>
      <w:r>
        <w:tab/>
        <w:t xml:space="preserve">Ústava, přesným názvem ústavní zákon č. 1/1993 Sb., Ústava České republiky, obsahuje několik ustanovení týkajících se lidských práv. Avšak nikde se výslovně nezmiňuje o vlastnickém právu, proto i zakotvení lidských práv v ústavě není v této práci analyzováno podrobně. Účel ústavy spatřuji spíše v obecné záruce dodržování lidských práv a svobod nežli v poskytnutí jejich konkrétního výčtu. První zmínku o lidských právech lze naleznout </w:t>
      </w:r>
      <w:r>
        <w:br/>
        <w:t xml:space="preserve">v preambuli, která je sice nezávaznou deklarací, ale zároveň pramenem vůdčích idejí </w:t>
      </w:r>
      <w:r>
        <w:br/>
        <w:t>a interpretačním zdrojem.</w:t>
      </w:r>
      <w:r>
        <w:rPr>
          <w:vertAlign w:val="superscript"/>
        </w:rPr>
        <w:footnoteReference w:id="127"/>
      </w:r>
      <w:r>
        <w:t xml:space="preserve"> V ní se píše, že občané České republiky jsou </w:t>
      </w:r>
      <w:r>
        <w:rPr>
          <w:i/>
        </w:rPr>
        <w:t>„odhodláni budovat, chránit a rozvíjet Českou Republiku v duchu nedotknutelných hodnot lidské důstojnosti a svobody jako vlast rovnoprávných svobodných občanů, kteří jsou si vědomi svých povinností vůči druhým a zodpovědnosti vůči celku, jako svobodný a demokratický stát, založený na úctě k lidským právům a na zásadách občanské společnosti“</w:t>
      </w:r>
      <w:r>
        <w:t xml:space="preserve">. Dále se zde uvádí nepřímo ústavní povinnost </w:t>
      </w:r>
      <w:r>
        <w:rPr>
          <w:i/>
        </w:rPr>
        <w:t xml:space="preserve">„společně střežit a rozvíjet zděděné přírodní a kulturní, hmotné </w:t>
      </w:r>
      <w:r>
        <w:rPr>
          <w:i/>
        </w:rPr>
        <w:br/>
        <w:t>a duchovní bohatství“</w:t>
      </w:r>
      <w:r>
        <w:t xml:space="preserve">. Poslední zmínkou o lidských právech v preambuli je vyjádření odhodlání občanů </w:t>
      </w:r>
      <w:r>
        <w:rPr>
          <w:i/>
        </w:rPr>
        <w:t>„řídit se všemi osvědčenými principy právního státu“</w:t>
      </w:r>
      <w:r>
        <w:t xml:space="preserve">, přičemž deklarace </w:t>
      </w:r>
      <w:r>
        <w:br/>
        <w:t>a realizace základních práv a svobod je jedním ze znaků demokratického právního státu.</w:t>
      </w:r>
      <w:r>
        <w:rPr>
          <w:vertAlign w:val="superscript"/>
        </w:rPr>
        <w:footnoteReference w:id="128"/>
      </w:r>
      <w:r>
        <w:t xml:space="preserve"> Základní práva jsou poté zmíněna v článku 1, kde je stanoveno, že </w:t>
      </w:r>
      <w:r>
        <w:rPr>
          <w:i/>
        </w:rPr>
        <w:t>„Česká Republika je svrchovaný, jednotný a demokratický právní stát založený na úctě k právům a svobodám člověka a občana“</w:t>
      </w:r>
      <w:r>
        <w:t xml:space="preserve">.  Článek 4 zaručuje základním právům a svobodám ochranu soudní mocí. Článek 6 se zabývá ochranou menšin, článek 7 ochranou životního prostředí, článek 12 ochranou státního občanství a článek 18 volebním právem. Pro ochranu lidských práv je velmi důležité zakotvení ÚS jakožto soudního orgánu ochrany ústavnosti (článek 83), </w:t>
      </w:r>
      <w:r>
        <w:br/>
        <w:t>u kterého se osoby mohou bránit proti pravomocnému rozhodnutí nebo zásahu jiného orgánu veřejné moci do ústavně zaručených základních práv a svobod, a to prostřednictvím ústavní stížnosti (článek 87).</w:t>
      </w:r>
      <w:r>
        <w:rPr>
          <w:vertAlign w:val="superscript"/>
        </w:rPr>
        <w:footnoteReference w:id="129"/>
      </w:r>
      <w:r>
        <w:t xml:space="preserve"> V článku 91 je pak zakotven NSS, u kterého se proti zásahům do veřejných subjektivních práv lze bránit kasační stížností.</w:t>
      </w:r>
      <w:r>
        <w:rPr>
          <w:vertAlign w:val="superscript"/>
        </w:rPr>
        <w:footnoteReference w:id="130"/>
      </w:r>
      <w:r>
        <w:t xml:space="preserve">  </w:t>
      </w:r>
      <w:r>
        <w:tab/>
        <w:t xml:space="preserve"> </w:t>
      </w:r>
      <w:r>
        <w:tab/>
        <w:t xml:space="preserve"> </w:t>
      </w:r>
      <w:r>
        <w:tab/>
        <w:t xml:space="preserve"> </w:t>
      </w:r>
      <w:r>
        <w:tab/>
        <w:t xml:space="preserve"> </w:t>
      </w:r>
      <w:r>
        <w:tab/>
        <w:t xml:space="preserve"> </w:t>
      </w:r>
      <w:r>
        <w:tab/>
        <w:t xml:space="preserve"> Zákon č. 2/1993 Sb., Listina základních práv a svobod, je součástí ústavního pořádku České republiky na základě článku 3 ústavy. V dnešní době je lidským právům přikládána čím dál větší důležitost, což se mimo jiné projevilo i tím, že jim zákonodárce svěřil samostatný ústavní dokument. Přijetí LZPS znamenalo právní vyjádření doktríny právního státu a zároveň přihlášení se k mezinárodnímu standardu lidských práv a svobod, což bylo základem pro přijetí České a Slovenské Federativní Republiky do Rady Evropy. Přijetí do Rady Evropy mělo významný vliv na oblast ochrany lidských práv v ČR, neboť tím bylo umožněno občanům obrátit se po vyčerpání vnitrostátních prostředků ochrany na Evropský soud pro lidská práva ve Štrasburku. LZPS je pramenem práva sui genesis s právní silou ústavního zákona s tím, že z hlediska stěžejních principů vyjádřených v první hlavě, má charakter nadústavní.</w:t>
      </w:r>
      <w:r>
        <w:rPr>
          <w:vertAlign w:val="superscript"/>
        </w:rPr>
        <w:footnoteReference w:id="131"/>
      </w:r>
      <w:r>
        <w:t xml:space="preserve"> </w:t>
      </w:r>
    </w:p>
    <w:p w:rsidR="009D1F29" w:rsidRDefault="009D1F29" w:rsidP="00AF324E">
      <w:pPr>
        <w:ind w:left="-5" w:right="4" w:firstLine="713"/>
      </w:pPr>
      <w:r>
        <w:t xml:space="preserve"> Strukturálně se LZPS skládá z preambule a 6 hlav, které obsahují 44 článků. </w:t>
      </w:r>
      <w:r>
        <w:br/>
        <w:t xml:space="preserve">V preambuli ústavodárce deklaruje neporušitelnost přirozených práv, kontinuitu demokratického a samosprávného českého právního myšlení a svoji právní filozofii provázející celou LZPS. Hlava první se nazývá </w:t>
      </w:r>
      <w:r>
        <w:rPr>
          <w:i/>
        </w:rPr>
        <w:t>„Obecná ustanovení“</w:t>
      </w:r>
      <w:r>
        <w:t xml:space="preserve">. Zde je právně vymezeno postavení člověka a právního státu.  Hlavu druhá, nazvaná </w:t>
      </w:r>
      <w:r>
        <w:rPr>
          <w:i/>
        </w:rPr>
        <w:t xml:space="preserve">„Lidská práva </w:t>
      </w:r>
      <w:r>
        <w:rPr>
          <w:i/>
        </w:rPr>
        <w:br/>
        <w:t>a základní svobody“</w:t>
      </w:r>
      <w:r>
        <w:t xml:space="preserve">, se člení na oddíl první, zvaný </w:t>
      </w:r>
      <w:r>
        <w:rPr>
          <w:i/>
        </w:rPr>
        <w:t>„Základní lidská práva“</w:t>
      </w:r>
      <w:r>
        <w:t xml:space="preserve"> a oddíl druhý </w:t>
      </w:r>
      <w:r>
        <w:rPr>
          <w:i/>
        </w:rPr>
        <w:t>„Politická práva“</w:t>
      </w:r>
      <w:r>
        <w:t xml:space="preserve">. Hlava třetí, </w:t>
      </w:r>
      <w:r>
        <w:rPr>
          <w:i/>
        </w:rPr>
        <w:t>„Práva národnostních a etnických menšin“</w:t>
      </w:r>
      <w:r>
        <w:t xml:space="preserve">, zakotvuje postavení menšin a jejich specifických práv ve společnosti. Hlava čtvrtá je pojmenovaná </w:t>
      </w:r>
      <w:r>
        <w:rPr>
          <w:i/>
        </w:rPr>
        <w:t>„Hospodářská, sociální a kulturní práva“</w:t>
      </w:r>
      <w:r>
        <w:t xml:space="preserve">. Tato práva nemají přirozenoprávní původ, avšak jejich dodržování je v moderním demokratickém právním státu nezbytné. Hlava pátá </w:t>
      </w:r>
      <w:r>
        <w:br/>
        <w:t xml:space="preserve">s názvem </w:t>
      </w:r>
      <w:r>
        <w:rPr>
          <w:i/>
        </w:rPr>
        <w:t>„Právo na soudní a jinou právní ochranu“</w:t>
      </w:r>
      <w:r>
        <w:t xml:space="preserve"> představuje procesní ochranu osob. Hlava šestá nazvaná </w:t>
      </w:r>
      <w:r>
        <w:rPr>
          <w:i/>
        </w:rPr>
        <w:t>„Ustanovení společná“</w:t>
      </w:r>
      <w:r>
        <w:t xml:space="preserve"> obsahuje různé výjimky, interpretační </w:t>
      </w:r>
      <w:r>
        <w:br/>
        <w:t xml:space="preserve">a realizační pravidla a ustanovení o azylu cizincům.   </w:t>
      </w:r>
    </w:p>
    <w:p w:rsidR="009D1F29" w:rsidRDefault="009D1F29" w:rsidP="00AF324E">
      <w:pPr>
        <w:ind w:left="-5" w:right="4" w:firstLine="713"/>
      </w:pPr>
      <w:r>
        <w:t xml:space="preserve"> Vlastnické právo je obsaženo v článku 11, který tvoří materiální základ pro fungování koncepce státu a celé veřejné moci. Ještě před podrobnější analýzou tohoto článku je nutné si vymezit způsob jeho výkladu. Ten musí být v souladu s principem rovnosti, zakotveným </w:t>
      </w:r>
      <w:r>
        <w:br/>
        <w:t xml:space="preserve">v článku 3. To znamená, že právo vlastnit majetek se zaručuje každému bez rozdílu pohlaví, rasy, barvy pleti, jazyka, víry a náboženství, politického či jiného smýšlení, národního nebo sociálního původu, příslušnosti k národnostní nebo etnické menšině, majetku, rodu nebo jiného postavení. Tento výčet samozřejmě není konečný, a dále je rozvíjen na zákonné úrovni. Princip rovnosti v sobě zahrnuje i rovný přístup soudů a jiných orgánů, které vykonávají právní ochranu při ochraně vlastnického práva. To je výslovně zakotveno v článku 37 odst. 3, který říká, že všichni účastníci jsou si v řízení rovni. Tato zásada znamená, že strany musí stát před soudem v rovném postavení, aniž by některá z nich byla jakýmkoliv způsobem zvýhodněna. Daná rovnost se vztahuje i na případy, kdy je jedním z účastníků řízení stát. Ve spojení s vlastnictvím lze na ústavní úrovni ještě aplikovat zásadu </w:t>
      </w:r>
      <w:r>
        <w:rPr>
          <w:i/>
        </w:rPr>
        <w:t>„základní práva a svobody</w:t>
      </w:r>
      <w:r>
        <w:t xml:space="preserve"> </w:t>
      </w:r>
      <w:r>
        <w:rPr>
          <w:i/>
        </w:rPr>
        <w:t>se zaručují všem bez rozdílu majetku“</w:t>
      </w:r>
      <w:r>
        <w:t xml:space="preserve">.          </w:t>
      </w:r>
    </w:p>
    <w:p w:rsidR="009D1F29" w:rsidRDefault="009D1F29" w:rsidP="00AF324E">
      <w:pPr>
        <w:spacing w:after="28" w:line="368" w:lineRule="auto"/>
        <w:ind w:left="-5" w:right="0"/>
      </w:pPr>
      <w:r>
        <w:t xml:space="preserve"> </w:t>
      </w:r>
      <w:r>
        <w:tab/>
        <w:t xml:space="preserve">Článek 11 odst. 1 inspirovaný Všeobecnou deklarací lidských práv zní </w:t>
      </w:r>
      <w:r>
        <w:rPr>
          <w:i/>
        </w:rPr>
        <w:t>„Každý má právo vlastnit majetek. Vlastnické právo všech vlastníků má stejný zákonný obsah a ochranu. Dědění se zaručuje“</w:t>
      </w: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D1F29" w:rsidRDefault="009D1F29">
      <w:pPr>
        <w:ind w:left="-5" w:right="4"/>
      </w:pPr>
      <w:r>
        <w:t xml:space="preserve"> </w:t>
      </w:r>
      <w:r>
        <w:tab/>
      </w:r>
      <w:r>
        <w:rPr>
          <w:i/>
        </w:rPr>
        <w:t>„Každý má právo vlastnit majetek.“</w:t>
      </w:r>
      <w:r>
        <w:t xml:space="preserve"> Toto pravidlo slouží k zabezpečení toho, že každý může být vlastníkem a nikdo nesmí být diskriminován ve vztahu k jiným vlastníkům. Majetkem se myslí věci hmotné i nehmotné, tedy věci i práva. Musíme ho v</w:t>
      </w:r>
      <w:r w:rsidRPr="00E33788">
        <w:t>ykláda</w:t>
      </w:r>
      <w:r>
        <w:t>t</w:t>
      </w:r>
      <w:r w:rsidRPr="00E33788">
        <w:t xml:space="preserve"> </w:t>
      </w:r>
      <w:r>
        <w:t>nejen jako majetek existující, ale i jako majetkové hodnoty, o nichž dotčený subjekt může tvrdit, že má přinejmenším legitimní očekávání, že budou konkretizovány.</w:t>
      </w:r>
      <w:r>
        <w:rPr>
          <w:vertAlign w:val="superscript"/>
        </w:rPr>
        <w:footnoteReference w:id="132"/>
      </w:r>
      <w:r>
        <w:t xml:space="preserve"> Dle ÚS je třeba toto ustanovení chápat jako poukaz ústavního zákonodárce adresovaný obyčejnému zákonodárci, který ve své normotvorné činnosti nesmí z práva na vlastnictví nikoho vyloučit.</w:t>
      </w:r>
      <w:r>
        <w:rPr>
          <w:vertAlign w:val="superscript"/>
        </w:rPr>
        <w:footnoteReference w:id="133"/>
      </w:r>
      <w:r>
        <w:t xml:space="preserve">    </w:t>
      </w:r>
    </w:p>
    <w:p w:rsidR="009D1F29" w:rsidRDefault="009D1F29" w:rsidP="00E33788">
      <w:pPr>
        <w:ind w:left="-5" w:right="4"/>
      </w:pPr>
      <w:r>
        <w:t xml:space="preserve"> </w:t>
      </w:r>
      <w:r>
        <w:tab/>
      </w:r>
      <w:r>
        <w:rPr>
          <w:i/>
        </w:rPr>
        <w:t>„Vlastnické právo všech vlastníků má stejný zákonný obsah a ochranu.“</w:t>
      </w:r>
      <w:r>
        <w:t xml:space="preserve"> LZPS pojem vlastnického práva nijak nedefinuje. Obecně platí, že vlastník odpovídá za škody způsobené svým majetkem a je povinen svůj majetek nezneužívat a jeho prostřednictvím druhým neškodit. Výslovné vyjádření rovnosti je zde z důvodu nerovnosti vlastnického práva, která panovala v období socialismu. Ústava odmítá upřednostňovat jakýkoliv typ vlastnictví podle subjektu, obsahu, či ochrany, typu nebo formy, a ani zákon nesmí jakýmkoliv způsobem zvýhodňovat žádný ze subjektů vlastnického práva. Přesto však na zákonné úrovni dochází </w:t>
      </w:r>
      <w:r>
        <w:br/>
        <w:t>k tvorbě zvláštních režimů vlastnického práva, které dávají vznikat exkluzivitě určitých subjektů a státní ingerenci. Příkladem takového režimu je právní úprava bank. Bankou se může stát na základě udělení licence pouze právnická osoba založená ve formě akciové společnosti, jejíž kapitál dosahuje výše alespoň 500 milionů Kč.</w:t>
      </w:r>
      <w:r>
        <w:rPr>
          <w:vertAlign w:val="superscript"/>
        </w:rPr>
        <w:footnoteReference w:id="134"/>
      </w:r>
      <w:r>
        <w:t xml:space="preserve">   </w:t>
      </w:r>
      <w:r>
        <w:tab/>
        <w:t xml:space="preserve"> </w:t>
      </w:r>
      <w:r>
        <w:tab/>
        <w:t xml:space="preserve"> </w:t>
      </w:r>
      <w:r>
        <w:tab/>
        <w:t xml:space="preserve"> </w:t>
      </w:r>
      <w:r>
        <w:tab/>
        <w:t xml:space="preserve"> </w:t>
      </w:r>
      <w:r>
        <w:tab/>
        <w:t xml:space="preserve"> Dále je třeba říci, že vlastnické právo nesmí být zákonem, jakkoliv omezeno, vyjma případů uvedených v odstavcích 2, 3 a 4.  Co se týče ochrany vlastnického práva, tak veřejná moc musí jednat tak, aby do vlastnického práva jednotlivce sama nezasahovala, ale také je zavázána k tomu, aby vlastníkovi poskytla ochranu v případě, kdy by jeho vlastnické právo bylo rušeno či omezováno ze stran třetích osob.</w:t>
      </w:r>
      <w:r>
        <w:rPr>
          <w:vertAlign w:val="superscript"/>
        </w:rPr>
        <w:footnoteReference w:id="135"/>
      </w:r>
      <w:r>
        <w:t xml:space="preserve"> Ochrana se vztahuje na vlastnické právo již konstituované nebo legitimně očekávané, nikoliv jen na tvrzený majetkový nárok. Pouhý spor o vlastnictví, v němž existence vlastnického práva má být teprve zjištěna nebo takové právo konstituováno, ústavněprávní ochranu nepožívá.</w:t>
      </w:r>
      <w:r>
        <w:rPr>
          <w:vertAlign w:val="superscript"/>
        </w:rPr>
        <w:t xml:space="preserve"> </w:t>
      </w:r>
      <w:r>
        <w:rPr>
          <w:rStyle w:val="FootnoteReference"/>
        </w:rPr>
        <w:footnoteReference w:id="136"/>
      </w:r>
      <w:r>
        <w:tab/>
        <w:t xml:space="preserve"> </w:t>
      </w:r>
      <w:r>
        <w:tab/>
        <w:t xml:space="preserve"> </w:t>
      </w:r>
      <w:r>
        <w:tab/>
        <w:t xml:space="preserve"> </w:t>
      </w:r>
      <w:r>
        <w:tab/>
        <w:t xml:space="preserve"> </w:t>
      </w:r>
    </w:p>
    <w:p w:rsidR="009D1F29" w:rsidRDefault="009D1F29" w:rsidP="00EE7C14">
      <w:pPr>
        <w:spacing w:after="188"/>
        <w:ind w:left="-5" w:right="4" w:firstLine="713"/>
      </w:pPr>
      <w:r>
        <w:t xml:space="preserve"> </w:t>
      </w:r>
      <w:r>
        <w:rPr>
          <w:i/>
        </w:rPr>
        <w:t>„Dědění se zaručuje.“</w:t>
      </w:r>
      <w:r>
        <w:t xml:space="preserve"> Zaručení dědictví bylo do LZPS přidáno na základě tradice tohoto ustanovení v našich ústavách, také jako výraz nespornosti této zásady a jako reakce na některé socialistické koncepty, které navrhovaly dědění majetku nepřipustit nebo omezit </w:t>
      </w:r>
      <w:r>
        <w:br/>
        <w:t xml:space="preserve">a označovaly je za nemravný způsob nabytí majetku bez vlastního přičinění.  </w:t>
      </w:r>
      <w:r>
        <w:br/>
        <w:t>V celoevropském kontextu však není zakotvení zaručení dědictví v ústavních dokumentech zcela standardní. Dědictví tedy nesmí být vyloučeno, ale zákon může vymezit způsoby dědění, okruh oprávněných dědiců, předmět dědění a další okolnosti s dědictvím spojené, pokud tím nepřekročí meze stanovené LZPS. Předmětem dědictví nemohou být základní práva a svobody zaručená listinou, která mají charakter přirozených osobních práv, jež smrtí oprávněného subjektu zanikají, s výjimkou těch práv, u nichž to stanoví zvláštní zákony.</w:t>
      </w:r>
      <w:r>
        <w:rPr>
          <w:vertAlign w:val="superscript"/>
        </w:rPr>
        <w:footnoteReference w:id="137"/>
      </w:r>
      <w:r>
        <w:t xml:space="preserve"> </w:t>
      </w:r>
      <w:r>
        <w:tab/>
      </w:r>
      <w:r>
        <w:tab/>
        <w:t xml:space="preserve"> Článek 11 odst. 2 zní </w:t>
      </w:r>
      <w:r>
        <w:rPr>
          <w:i/>
        </w:rPr>
        <w:t>„Zákon stanoví, který majetek nezbytný k zabezpečování potřeb celé společnosti, rozvoje národního hospodářství a veřejného zájmu smí být jen ve vlastnictví státu, obce nebo určených právnických osob; zákon může také stanovit, že určité věci mohou být pouze ve vlastnictví občanů nebo právnických osob se sídlem v České a Slovenské Federativní Republice“</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tab/>
      </w:r>
      <w:r>
        <w:tab/>
        <w:t xml:space="preserve"> </w:t>
      </w:r>
      <w:r>
        <w:rPr>
          <w:i/>
        </w:rPr>
        <w:t>„Zákon stanoví, který majetek nezbytný k zabezpečování potřeb celé společnosti, rozvoje národního hospodářství a veřejného zájmu smí být jen ve vlastnictví státu, obce nebo určených právnických osob.“</w:t>
      </w:r>
      <w:r>
        <w:t xml:space="preserve"> Ve druhém odstavci jsou formulovány výjimky ve vztahu </w:t>
      </w:r>
      <w:r>
        <w:br/>
        <w:t xml:space="preserve">k základní definici nedotknutelnosti a rovnosti vlastnictví dle odst. 1. Tyto výjimky vychází </w:t>
      </w:r>
      <w:r>
        <w:br/>
        <w:t xml:space="preserve">z požadavků společnosti na realizaci veřejných zájmů. Tím se zabývá tzv. </w:t>
      </w:r>
      <w:r>
        <w:rPr>
          <w:i/>
        </w:rPr>
        <w:t>teorie moderního státu</w:t>
      </w:r>
      <w:r>
        <w:t>. Ta zkoumá spojnici mezi vlastnictvím státu a možnostmi, kterak může vykonávat své funkce.</w:t>
      </w:r>
      <w:r>
        <w:rPr>
          <w:vertAlign w:val="superscript"/>
        </w:rPr>
        <w:footnoteReference w:id="138"/>
      </w:r>
      <w:r>
        <w:t xml:space="preserve"> Pokud by stát nedisponoval potřebným majetkem, nemohl by své funkce plnit. Naopak, pokud stát vlastní majetek, nemusí nutně spoléhat na soukromý sektor (často ovládaný ze zahraničí), a tím ovlivňovat svou politiku a své zájmy. Tuto teorii je ovšem nutno aplikovat jen pro vybrané oblasti (např. obranyschopnost státu), jelikož smyslem existence státu není v první řadě hospodaření. LZPS stanovuje meze vlastnického práva, čímž umožňuje zákonem vložit exkluzivitu vlastnictví určitého majetku jen do rukou státu, obce nebo určených právnických osob (těmi jsou myšleny zejména kraje). Vymezení určeného majetku musí být na základě zákona, není přípustné, aby ho provedla výkonná moc. Takové zákony je možné přijmout pouze, pokud je to nutné pro zabezpečování potřeb celé společnosti nebo rozvoj národního hospodářství a ve veřejném zájmu. Ustanovení týkající se výlučného vlastnictví státu jsou obsažena např. v zákoně č. 44/1988 Sb., o nerostném bohatství na území ČR (§ 5), nebo zákoně č. 13/1997 Sb., o pozemních komunikacích (§ 9). Samotnou formulaci o zabezpečování potřeb celé společnosti, respektive o rozvoji národního hospodářství </w:t>
      </w:r>
      <w:r>
        <w:br/>
        <w:t>a veřejného zájmu spatřují někteří autoři za značně vágní. Obávají se, že je tím dáván politické moci teoreticky příliš široký prostor pro omezení vlastnických práv.</w:t>
      </w:r>
      <w:r>
        <w:rPr>
          <w:rStyle w:val="FootnoteReference"/>
        </w:rPr>
        <w:footnoteReference w:id="139"/>
      </w:r>
      <w:r>
        <w:tab/>
        <w:t xml:space="preserve"> </w:t>
      </w:r>
      <w:r>
        <w:tab/>
        <w:t xml:space="preserve"> </w:t>
      </w:r>
      <w:r>
        <w:tab/>
        <w:t xml:space="preserve"> </w:t>
      </w:r>
      <w:r>
        <w:tab/>
      </w:r>
      <w:r>
        <w:rPr>
          <w:i/>
        </w:rPr>
        <w:t>Zákon může také stanovit, že určité věci mohou být pouze ve vlastnictví občanů nebo právnických osob se sídlem v České a Slovenské Federativní Republice.“</w:t>
      </w:r>
      <w:r>
        <w:t xml:space="preserve"> Toto ustanovení souvisí s článkem 42 odst. 2, který umožňuje přiznat na ústavní úrovni některá práva výlučně státním občanům. Účelem daného ustanovení je nejspíše obava o mohutné zkupování majetku na území republiky movitými cizinci v období špatného ekonomického stavu země. </w:t>
      </w:r>
      <w:r>
        <w:tab/>
      </w:r>
      <w:r>
        <w:tab/>
      </w:r>
      <w:r>
        <w:tab/>
        <w:t xml:space="preserve">Článek 11 odst. 3 zní </w:t>
      </w:r>
      <w:r>
        <w:rPr>
          <w:i/>
        </w:rPr>
        <w:t>„Vlastnictví zavazuje. Nesmí být zneužito na újmu práv druhých anebo v rozporu se zákonem chráněnými obecnými zájmy. Jeho výkon nesmí poškozovat lidské zdraví, přírodu a životní prostředí nad míru stanovenou zákonem“</w:t>
      </w:r>
      <w:r>
        <w:t xml:space="preserve">.  </w:t>
      </w:r>
      <w:r>
        <w:tab/>
      </w:r>
      <w:r>
        <w:tab/>
      </w:r>
      <w:r>
        <w:tab/>
      </w:r>
      <w:r>
        <w:tab/>
        <w:t xml:space="preserve"> </w:t>
      </w:r>
      <w:r>
        <w:rPr>
          <w:i/>
        </w:rPr>
        <w:t>„Vlastnictví zavazuje.“</w:t>
      </w:r>
      <w:r>
        <w:t xml:space="preserve"> Tato zásada je výsledkem a výrazem teoretické koncepce vlastnictví jako sociální funkce a vychází také z křesťanské sociální nauky.</w:t>
      </w:r>
      <w:r>
        <w:rPr>
          <w:vertAlign w:val="superscript"/>
        </w:rPr>
        <w:footnoteReference w:id="140"/>
      </w:r>
      <w:r>
        <w:t xml:space="preserve"> Na jejím základě není vlastnictví chápáno již pouze jako právo, ale také jako povinnost. U třetího odstavce se dále zdůrazňuje jeho přímá použitelnost. Ta spočívá v tom, že by soud mohl výjimečně přímo odmítnout ochranu výkonu vlastnického práva s odvoláním na odst. 3 větu první. Jako příklad si lze představit výkon vlastnického práva, který by byl v rozporu se zákonem chráněnými obecnými zájmy, aniž by ho bylo možno kvalifikovat jako zneužití.</w:t>
      </w:r>
      <w:r>
        <w:tab/>
      </w:r>
      <w:r>
        <w:tab/>
      </w:r>
      <w:r>
        <w:rPr>
          <w:i/>
        </w:rPr>
        <w:t>„Nesmí být zneužito na újmu práv druhých anebo v rozporu se zákonem chráněnými obecnými zájmy.“</w:t>
      </w:r>
      <w:r>
        <w:t xml:space="preserve"> Zneužití se definuje jako výkon práva, kterým se úmyslně působí újma někomu jinému nebo společnosti. Z dané definice vyplývá, že nepostačuje vědomí takové škodlivosti výkonu práva, ale musí být dána i vůle způsobit ho. Ke zneužití vlastnického práva se tedy vyžaduje úmysl přímý.</w:t>
      </w:r>
      <w:r>
        <w:rPr>
          <w:vertAlign w:val="superscript"/>
        </w:rPr>
        <w:footnoteReference w:id="141"/>
      </w:r>
      <w:r>
        <w:t xml:space="preserve"> Definování újmy je ponecháno na úvaze soudce. LZPS pod pojmem </w:t>
      </w:r>
      <w:r>
        <w:rPr>
          <w:i/>
        </w:rPr>
        <w:t>„práv druhých“</w:t>
      </w:r>
      <w:r>
        <w:t xml:space="preserve"> chrání fyzické osoby, právnické osoby i stát, pokud má postavení právnické osoby.          </w:t>
      </w:r>
      <w:r>
        <w:tab/>
      </w:r>
      <w:r>
        <w:tab/>
      </w:r>
      <w:r>
        <w:tab/>
      </w:r>
      <w:r>
        <w:tab/>
      </w:r>
      <w:r>
        <w:tab/>
      </w:r>
      <w:r>
        <w:tab/>
      </w:r>
      <w:r>
        <w:tab/>
      </w:r>
      <w:r>
        <w:tab/>
      </w:r>
      <w:r>
        <w:tab/>
      </w:r>
      <w:r>
        <w:tab/>
        <w:t xml:space="preserve"> </w:t>
      </w:r>
      <w:r>
        <w:rPr>
          <w:i/>
        </w:rPr>
        <w:t>„Jeho výkon nesmí poškozovat lidské zdraví, přírodu a životní prostředí nad míru stanovenou zákonem.“</w:t>
      </w:r>
      <w:r>
        <w:t xml:space="preserve"> Je zakázán i výkon vlastnického práva, který sice není výše zmíněným zneužitím, avšak nad míru stanovenou zákonem poškozuje lidské zdraví, přírodu a životní prostředí. Toto ustanovení tak stanovuje, stejně jako věta předešlá, významné hranice výkonu vlastnického práva. Tyto hranice by měly při své interpretaci sledovat a blíže vymezit zejména soudní a další rozhodující orgány. Důležitými hraničními mezníky jsou také zákonné povinnosti vlastníků. Ty jsou stanoveny např. v občanském, daňovém, živnostenském, horním či stavebním zákoně.</w:t>
      </w:r>
      <w:r>
        <w:rPr>
          <w:vertAlign w:val="superscript"/>
        </w:rPr>
        <w:footnoteReference w:id="142"/>
      </w:r>
      <w:r>
        <w:t xml:space="preserve">         </w:t>
      </w:r>
      <w:r>
        <w:tab/>
      </w:r>
      <w:r>
        <w:tab/>
      </w:r>
      <w:r>
        <w:tab/>
      </w:r>
      <w:r>
        <w:tab/>
      </w:r>
      <w:r>
        <w:tab/>
      </w:r>
      <w:r>
        <w:tab/>
      </w:r>
      <w:r>
        <w:tab/>
      </w:r>
      <w:r>
        <w:tab/>
      </w:r>
      <w:r>
        <w:tab/>
      </w:r>
      <w:r>
        <w:tab/>
      </w:r>
      <w:r>
        <w:tab/>
        <w:t xml:space="preserve">Článek 11 odst. 4 zní </w:t>
      </w:r>
      <w:r>
        <w:rPr>
          <w:i/>
        </w:rPr>
        <w:t>„Vyvlastnění nebo nucené omezení vlastnického práva je možné ve veřejném zájmu, a to na základě zákona a za náhradu“</w:t>
      </w:r>
      <w:r>
        <w:t>.</w:t>
      </w:r>
      <w:r>
        <w:rPr>
          <w:i/>
        </w:rPr>
        <w:t xml:space="preserve"> </w:t>
      </w:r>
      <w:r>
        <w:t xml:space="preserve">Vyvlastněním se rozumí nucené odnětí vlastnictví. Od toho LZPS odlišuje nucené omezení vlastnického práva (např. nucené zřízení věcného břemene), u něhož také dochází k zásahu do svrchovanosti vlastníka, nedochází však ke změně v jeho osobě. Zároveň však LZPS oba případy podrobuje stejnému režimu. Formulace </w:t>
      </w:r>
      <w:r>
        <w:rPr>
          <w:i/>
        </w:rPr>
        <w:t>„je možné“</w:t>
      </w:r>
      <w:r>
        <w:t xml:space="preserve"> znamená, že v případech veřejného zájmu se vyvlastnění či nucené omezení připouští, nejde-li účelu dosáhnout jinak. Tím je myšleno, že nelze vyvlastnit, pokud lze uzavřít dohodu nebo pokud stačí omezení vlastnického práva (proporcionalita obsahu) či lze dosáhnout cíle jiným způsobem. Proporcionální musí být také rozsah vyvlastnění či omezení. To znamená, že se vyvlastňuje či omezuje pouze nezbytná část předmětné věci. Místo vyvozování významu výše zmíněné formulace </w:t>
      </w:r>
      <w:r>
        <w:rPr>
          <w:i/>
        </w:rPr>
        <w:t>„je možné“</w:t>
      </w:r>
      <w:r>
        <w:t xml:space="preserve">, by bylo dle mého názoru vhodnější přímo do LZPS zakotvit subsidiární pravidlo </w:t>
      </w:r>
      <w:r>
        <w:rPr>
          <w:i/>
        </w:rPr>
        <w:t>„sledovaného účelu nelze dosáhnout jinak“</w:t>
      </w:r>
      <w:r>
        <w:t xml:space="preserve">. Teorie však dovozuje, že takovéto zakotvení by bylo nadbytečné, jelikož vyplývá z přirozené zásady </w:t>
      </w:r>
      <w:r>
        <w:rPr>
          <w:i/>
        </w:rPr>
        <w:t>„vyvlastnění je možné pouze výjimečně“</w:t>
      </w:r>
      <w:r>
        <w:t xml:space="preserve">. Nicméně já se vzhledem k historické zkušenosti s touto argumentací neztotožňuji.     </w:t>
      </w:r>
      <w:r>
        <w:tab/>
      </w:r>
      <w:r>
        <w:tab/>
      </w:r>
      <w:r>
        <w:tab/>
      </w:r>
      <w:r>
        <w:tab/>
      </w:r>
      <w:r>
        <w:tab/>
        <w:t>Vyvlastnění či omezení je možné pouze ve veřejném zájmu. Veřejný zájem definoval ÚS jako „</w:t>
      </w:r>
      <w:r>
        <w:rPr>
          <w:i/>
        </w:rPr>
        <w:t>takový zájem, který by bylo možno označit za obecný či obecně prospěšný“</w:t>
      </w:r>
      <w:r>
        <w:t>.</w:t>
      </w:r>
      <w:r>
        <w:rPr>
          <w:vertAlign w:val="superscript"/>
        </w:rPr>
        <w:footnoteReference w:id="143"/>
      </w:r>
      <w:r>
        <w:t xml:space="preserve"> Ve stejném nálezu pak ÚS od veřejného zájmu odlišil pojem kolektivní zájem, jelikož kolektivní zájem není vždy zájmem veřejným. Naopak uspokojování kolektivních zájmů jistých skupin může být v mnoha případech s obecnými zájmy společnosti v naprostém rozporu. Další podmínkou je, že vyvlastnění či omezení je možné pouze na základě zákona. To znamená, že daný zákon musí stanovit důvody vyvlastnění. Takovýchto zákonů je celá řada.</w:t>
      </w:r>
      <w:r>
        <w:rPr>
          <w:vertAlign w:val="superscript"/>
        </w:rPr>
        <w:footnoteReference w:id="144"/>
      </w:r>
      <w:r>
        <w:tab/>
      </w:r>
      <w:r>
        <w:tab/>
      </w:r>
      <w:r>
        <w:tab/>
        <w:t xml:space="preserve">Poslední podmínkou je, že vyvlastnění či omezení je možné pouze za náhradu. To vychází z principu rovnoměrného rozvržení veřejných břemen pro všechny občany a z jejich rovnosti před zákonem. Vyvlastnění se provádí správním aktem a vyvlastněný má právo na soudní ochranu dle článku 36 odst. 2. Samotné vyvlastnění je originárním způsobem nabytí vlastnictví, kdy vyvlastnitel neodvozuje svá práva od vyvlastněného, nýbrž od státu a ze zákona. Jedná se o veřejnoprávní akt se soukromoprávními účinky. Není pojímáno jako trest, ani jako obohacování veřejné moci, ale jako nutný akt veřejné moci k zajištění veřejně prospěšného užitku. Ovšem i v demokratickém právním státě je připuštěna možnost zbavení vlastnictví bez náhrady jako trest (pokuta, peněžitý trest, propadnutí majetku, propadnutí věci nebo jiné majetkové hodnoty). Takový trest pak nesmí být nepřiměřený.    </w:t>
      </w:r>
      <w:r>
        <w:tab/>
      </w:r>
      <w:r>
        <w:tab/>
      </w:r>
      <w:r>
        <w:tab/>
      </w:r>
      <w:r>
        <w:tab/>
        <w:t xml:space="preserve">Článek 11 odst. 5 říká </w:t>
      </w:r>
      <w:r>
        <w:rPr>
          <w:i/>
        </w:rPr>
        <w:t>„Daně a poplatky lze ukládat jen na základě zákona“</w:t>
      </w:r>
      <w:r>
        <w:t>.  Toto ustanovení zakládá jediný právní mechanismus, pod1e něhož lze ukládat daně a poplatky, a to jakýmkoliv subjektům. Daně ani poplatky tedy nemohou být uloženy nižší formou právní síly, než je zákon.</w:t>
      </w:r>
      <w:r>
        <w:rPr>
          <w:vertAlign w:val="superscript"/>
        </w:rPr>
        <w:footnoteReference w:id="145"/>
      </w:r>
      <w:r>
        <w:t xml:space="preserve"> Klíma se domnívá, že nekonzistentní zařazení tohoto ustanovení</w:t>
      </w:r>
      <w:r>
        <w:rPr>
          <w:vertAlign w:val="superscript"/>
        </w:rPr>
        <w:footnoteReference w:id="146"/>
      </w:r>
      <w:r>
        <w:t xml:space="preserve"> lze spatřovat snad v tom, že každá daň nebo poplatek je zásadním ekonomickým zásahem do vlastnického práva, a vlastnictví tak potencionálně snižuje (respektive odnímá část příjmu fyzickým a právnickým osobám).  Pro tak zásadní zásah je nutné určit normativní meze, což na základě LZPS činí posléze daňové zákony a řada zákonů upravujících různé typy poplatkové povinnosti.</w:t>
      </w:r>
      <w:r>
        <w:rPr>
          <w:rStyle w:val="FootnoteReference"/>
        </w:rPr>
        <w:footnoteReference w:id="147"/>
      </w:r>
    </w:p>
    <w:p w:rsidR="009D1F29" w:rsidRDefault="009D1F29">
      <w:pPr>
        <w:pStyle w:val="Heading2"/>
        <w:ind w:left="693" w:hanging="708"/>
      </w:pPr>
      <w:bookmarkStart w:id="23" w:name="_Toc512979308"/>
      <w:bookmarkStart w:id="24" w:name="_Toc512979814"/>
      <w:r>
        <w:t>Závěry z ústavněprávní ochrany vlastnictví</w:t>
      </w:r>
      <w:bookmarkEnd w:id="23"/>
      <w:bookmarkEnd w:id="24"/>
      <w:r>
        <w:t xml:space="preserve"> </w:t>
      </w:r>
    </w:p>
    <w:p w:rsidR="009D1F29" w:rsidRDefault="009D1F29">
      <w:pPr>
        <w:spacing w:after="175" w:line="259" w:lineRule="auto"/>
        <w:ind w:left="0" w:right="0" w:firstLine="0"/>
        <w:jc w:val="left"/>
      </w:pPr>
      <w:r>
        <w:t xml:space="preserve"> </w:t>
      </w:r>
    </w:p>
    <w:p w:rsidR="009D1F29" w:rsidRDefault="009D1F29" w:rsidP="00AE29B2">
      <w:pPr>
        <w:ind w:left="-15" w:right="4" w:firstLine="708"/>
      </w:pPr>
      <w:r>
        <w:t xml:space="preserve">Na základě provedené analýzy bych rád vyjádřil vlastní názor na šest nejdůležitějších bodů či aspektů, které dle mého soudu v souhrnu vytváří ústavněprávní charakter vlastnictví. Jedná se o teoretické pojetí vlastnického práva (přirozenoprávní či pozitivistické), soulad stavu de iure a de facto v oblasti dodržování ochrany vlastnického práva, vymahatelnost této ochrany, obecná omezení vlastnického práva, vyvlastnění a konečně exkluzivitu státního vlastnictví.  </w:t>
      </w:r>
      <w:r>
        <w:tab/>
      </w:r>
      <w:r>
        <w:tab/>
      </w:r>
      <w:r>
        <w:tab/>
      </w:r>
      <w:r>
        <w:tab/>
      </w:r>
      <w:r>
        <w:tab/>
      </w:r>
      <w:r>
        <w:tab/>
      </w:r>
      <w:r>
        <w:tab/>
      </w:r>
      <w:r>
        <w:tab/>
      </w:r>
      <w:r>
        <w:tab/>
      </w:r>
      <w:r>
        <w:tab/>
      </w:r>
      <w:r>
        <w:tab/>
      </w:r>
      <w:r>
        <w:tab/>
      </w:r>
      <w:r>
        <w:tab/>
        <w:t xml:space="preserve">Prvním aspektem je pojetí lidských práv, a tím potažmo práva vlastnického. Otázka, zda vlastnické právo chápeme přirozenoprávně (ústava 1920, LZPS) či pozitivisticky (ústava 1948, 1960), je naprosto zásadní, protože tím je dán základ pro ostatní aspekty. Přirozenoprávní teorie tvrdí, že vlastnické právo vyplývá již ze samotné podstaty člověka, </w:t>
      </w:r>
      <w:r>
        <w:br/>
        <w:t>z jeho přirozenosti. Pozitivistická teorie zase zastává názor, že zakotvení vlastnického práva je stanovené pouze lidmi a má svůj původ v zákonodárství. To se v praxi projevuje na úloze státu. Přirozenoprávní teorie vidí stát jakou pouhého garanta vlastnického práva, ale nikoliv jako toho, kdo vlastnické právo určuje. Říká, že vlastnické právo zde bylo již dávno před vznikem státu, a je na něm tudíž nezávislé. Naopak, dle pozitivistů stát vlastnické právo poskytuje občanům, a jakožto jejich poskytovatel jej může odejmout. Kromě toho, že stát vlastnické právo poskytuje, tak také stanovuje formu vlastnického práva a může si ho vynucovat mocenskými prostředky.</w:t>
      </w:r>
      <w:r>
        <w:rPr>
          <w:vertAlign w:val="superscript"/>
        </w:rPr>
        <w:footnoteReference w:id="148"/>
      </w:r>
      <w:r>
        <w:t xml:space="preserve"> Komunisté dokonce chápali vlastnické právo jako odměnu, kterou občan získal pouze, pokud odvedl určitou práci pro společnost. Dle mého názoru lze za jednoznačně lepší koncepci označit tu přirozenoprávní. Ta je nezávislá na vůli lidí (na platném právu)</w:t>
      </w:r>
      <w:r>
        <w:rPr>
          <w:vertAlign w:val="superscript"/>
        </w:rPr>
        <w:footnoteReference w:id="149"/>
      </w:r>
      <w:r>
        <w:t xml:space="preserve">, tudíž vždy a pro všechny všeobecně platná a neměnná, stabilní </w:t>
      </w:r>
      <w:r>
        <w:br/>
        <w:t>a hlavně spravedlivá.</w:t>
      </w:r>
      <w:r>
        <w:rPr>
          <w:vertAlign w:val="superscript"/>
        </w:rPr>
        <w:footnoteReference w:id="150"/>
      </w:r>
      <w:r>
        <w:t xml:space="preserve"> Člověk již ze své podstaty, povahy a přirozenosti nechce být na svém vlastnickém právu omezován. Samozřejmě je nezbytné stanovit určité legitimní hranice vlastnického práva (veřejný zájem či exkluzivita vlastnictví v oblastech nezbytných pro zajištění obrany a fungování státu), ale tyto hranice nesmí být samoúčelné. Nevidím žádný legitimní důvod pro omezení počtu zaměstnanců v soukromé společnosti, velikosti obdělávané půdy soukromou osobou či počtu rodinných domů, které může mít kdokoliv ve svém vlastnictví. Možnost člověka rozšiřovat majetek svými schopnosti na základě legální obchodní činnosti, nemůže být legitimními zákony omezována. </w:t>
      </w:r>
    </w:p>
    <w:p w:rsidR="009D1F29" w:rsidRDefault="009D1F29" w:rsidP="00DD45A8">
      <w:pPr>
        <w:ind w:left="-5" w:right="4" w:firstLine="713"/>
      </w:pPr>
      <w:r>
        <w:t xml:space="preserve">Tento názor bych mohl označit za většinový, jelikož každá euroamerická ústava </w:t>
      </w:r>
      <w:r>
        <w:br/>
        <w:t xml:space="preserve">i mezinárodněprávní lidskoprávní dokument vycházejí právě z idejí přirozenoprávní teorie. Komunistické ideály, silově a nepřirozeně vyzdvihující zájem kolektivu nad zájmy jednotlivce, považuji za ryze teoretické a nepraktické, brzdící společenský i ekonomický vývoj. Jistě na základě nejen těchto důvodů došlo v LZPS k návratu k přirozenoprávní teorii, samozřejmě v lehce modifikované podobě. Naopak pozitivistický přístup, preferující silný stát, byl na základě negativní historické zkušenosti velmi kritizován. Mám důvodnou obavu, že příliš silný stát bude mít vždy tendence svazovat jedince různými omezeními, a tím zasahovat do jeho majetkové svobody.        </w:t>
      </w:r>
      <w:r>
        <w:tab/>
      </w:r>
      <w:r>
        <w:tab/>
      </w:r>
      <w:r>
        <w:tab/>
      </w:r>
      <w:r>
        <w:tab/>
      </w:r>
      <w:r>
        <w:tab/>
      </w:r>
      <w:r>
        <w:tab/>
      </w:r>
      <w:r>
        <w:tab/>
      </w:r>
      <w:r>
        <w:tab/>
      </w:r>
      <w:r>
        <w:tab/>
        <w:t xml:space="preserve">S pozitivismem je úzce spojen formalistický přístup. Tudíž jako druhý aspekt tvořící ústavněprávní charakter vlastnictví zařazuji otázku souladu stavu de iure a de facto. Pokud budeme vycházet čistě z přirozenoprávní teorie, neměl by být formální výčet základních práv v ústavách zvláště důležitý, jelikož daná práva patří lidem i bez pozitivního zakotvení ve zmíněných ústavních dokumentech. Ovšem dle mého názoru nelze vycházet absolutně pouze z přirozenoprávní teorie, jelikož některá práva přirozenoprávní původ nemají (sociální práva), a přesto jsou moderní demokratickou společností vyžadována. Tudíž zakotvení základních práv v ústavních dokumentech má svůj nesporný význam. Avšak pouze potud, pokud jsou </w:t>
      </w:r>
      <w:r>
        <w:br/>
        <w:t xml:space="preserve">i reálně dodržována. Například ústava z roku 1948 zakotvuje mnohem širší seznam základních práv nežli demokratická ústava z roku 1920, a navíc tento seznam slavnostně vkládá do první kapitoly. Z pohledu nositelů těchto práv, tedy zejména občanů ČSR je však toto formální </w:t>
      </w:r>
      <w:r>
        <w:rPr>
          <w:i/>
        </w:rPr>
        <w:t>„vítězství“</w:t>
      </w:r>
      <w:r>
        <w:t xml:space="preserve"> ústavy z roku 1948 naprosto bezvýznamné, protože práva v ní obsažená nebyla v realitě dodržována. Co se týče vlastnického práva, tak ústava 1920 zakotvovala pouze zásadu </w:t>
      </w:r>
      <w:r>
        <w:rPr>
          <w:i/>
        </w:rPr>
        <w:t>„soukromé vlastnictví lze omezit jen zákonem“</w:t>
      </w:r>
      <w:r>
        <w:t xml:space="preserve">. Nedotknutelnost vlastnictví v této úpravě absentovala, což lze hodnotit negativně. Na druhou stranu vzhledem k přirozenoprávnímu pojetí vlastnictví a jeho ochrany, zakotvení ochrany vlastnictví na zákonné úrovni a fungující soudní soustavě, se nejednalo o markantnější problém. </w:t>
      </w:r>
      <w:r>
        <w:tab/>
      </w:r>
      <w:r>
        <w:tab/>
      </w:r>
      <w:r>
        <w:tab/>
        <w:t xml:space="preserve">Ke změně tohoto vcelku fungujícího systému došlo přijetím ústav 1948 a 1960.  Tyto ústavy podřizovaly vlastnické právo budování socialismu, což je dle mého názoru naprosto nepřijatelné. Pokud vyjdeme z premisy, že vlastnické právo má člověk nezávisle na státu, již před jeho vznikem, jako své přirozené právo, není možné ho ohýbat a nedodržovat pro uvedený cíl. Ústava z roku 1948 také obsahovala klasickou zásadu </w:t>
      </w:r>
      <w:r>
        <w:rPr>
          <w:i/>
        </w:rPr>
        <w:t>„soukromé právo lze omezit jen zákonem“</w:t>
      </w:r>
      <w:r>
        <w:t xml:space="preserve">, která je typická i pro demokratické režimy. Její účel má směřovat </w:t>
      </w:r>
      <w:r>
        <w:br/>
        <w:t xml:space="preserve">k přirozené přiměřené ochraně veřejného zájmu. V podání totalitní moci však šlo </w:t>
      </w:r>
      <w:r>
        <w:br/>
        <w:t xml:space="preserve">o zamaskování skutečného cíle vládnoucí strany (zánik soukromého vlastnictví). Dané zákony vlastnické právo silně omezovaly, což sice nebylo legitimní, ale alespoň legální. Ovšem docházelo i k tomu, že zákony, na které ústava odkazovala, danou problematiku vůbec neupravovaly. V mnoha případech šly dokonce proti znění ústavy, a ústavní restrikce vlastnictví ještě více rozšiřovaly, a to i nad ústavně zakotvenou hranici. Někdy se tak dělo </w:t>
      </w:r>
      <w:r>
        <w:br/>
        <w:t xml:space="preserve">i formou podzákonných předpisů či dokonce předpisů interních, což odporovalo nejen ústavě samotné, ale i základním demokratickým principům (právní jistota) vůbec. Kromě těchto administrativních zásahů do vlastnického práva si komunistický režim pomáhal také represivními metodami nátlaku. Pro omezování soukromého vlastnictví neváhal skrytě </w:t>
      </w:r>
      <w:r>
        <w:br/>
        <w:t xml:space="preserve">i otevřeně lidem vyhrožovat a své výhružky umocňovat vykonstruovanými politickými procesy.          </w:t>
      </w:r>
    </w:p>
    <w:p w:rsidR="009D1F29" w:rsidRDefault="009D1F29">
      <w:pPr>
        <w:ind w:left="-5" w:right="4"/>
      </w:pPr>
      <w:r>
        <w:t xml:space="preserve"> </w:t>
      </w:r>
      <w:r>
        <w:tab/>
        <w:t xml:space="preserve">Ústava 1960 je známá pro svůj textový styl umožňující svévolný výklad. Například ustanovení </w:t>
      </w:r>
      <w:r>
        <w:rPr>
          <w:i/>
        </w:rPr>
        <w:t>„drobné soukromé hospodářství je přípustné“</w:t>
      </w:r>
      <w:r>
        <w:t xml:space="preserve">, bych interpretoval tak, že na základě zákonné úpravy (mocenské libovůle) existuje sice možnost soukromé hospodářství vlastnit, ale pouze pokud tak stát svolí, nikoliv, ač to tak formálně může vypadat, jako právně vymahatelný nárok osoby na soukromé hospodářství. Pokud se zaměříme na zakotvení zásady nedotknutelnosti vlastnictví, může se na první pohled zdát lepší úprava v komunistických ústavách, které ji na rozdíl od té prvorepublikové zakotvují, ovšem k čemu je takové zakotvení, pokud je tato zásada dodržována jenom v případech vyhovujících vládnoucí garnituře, a to ještě pouze způsobem, který tato garnitura sama stanoví.  </w:t>
      </w:r>
    </w:p>
    <w:p w:rsidR="009D1F29" w:rsidRDefault="009D1F29" w:rsidP="00CD1FEF">
      <w:pPr>
        <w:ind w:left="-5" w:right="4" w:firstLine="713"/>
      </w:pPr>
      <w:r>
        <w:t xml:space="preserve"> LZPS vyjadřuje nedotknutelnost vlastnictví nepřímo, avšak na základě stejných důvodů jako v ústavě 1920 to lze považovat za dostačující. Jinak je tomu u ústav z let 1948 </w:t>
      </w:r>
      <w:r>
        <w:br/>
        <w:t xml:space="preserve">a 1960. Jelikož komunisté hrubě porušovali i nelegitimní ustanovení, která sami stanovili, bylo v době účinnosti ústav 1948 a 1960 dodržování ústavněprávních ustanovení na ochranu soukromého vlastnického práva, byť i v okleštěné podobě, naprostou iluzí. V oblasti ochrany státního a družstevního vlastnictví byla naopak přehnaná ochrana zneužívána k odstraňování nepřátel režimu, když se režim snažil pod velmi represivně pojatá ustanovení na ochranu těchto druhů vlastnictví napasovat téměř jakoukoliv činnost nechtěných osob, a tím je připravit o svobodu a majetek.  </w:t>
      </w:r>
    </w:p>
    <w:p w:rsidR="009D1F29" w:rsidRDefault="009D1F29" w:rsidP="00CD1FEF">
      <w:pPr>
        <w:ind w:left="-5" w:right="4"/>
      </w:pPr>
      <w:r>
        <w:t xml:space="preserve"> </w:t>
      </w:r>
      <w:r>
        <w:tab/>
        <w:t xml:space="preserve">Dodržování předepsaných pravidel na ochranu vlastnictví v ústavě 1920 a LZPS považuji za reálné, což lze doložit na základě dobových svědectví a zejména také na existenci, a hlavně fungování ústavních, potažmo nejvyšších správních soudů. Těmi je zajišťován třetí aspekt – vymahatelnost ochrany vlastnického práva. Právě vymahatelnost ochrany vlastnického práva je pro mě jednoznačně nejdůležitějším ukazatelem legitimity státních zájmů v oblasti ochrany majetkové svobody fyzických a právnických osob. Za první republiky sice existoval ÚS, ale vzhledem k poměrně menším pravomocem oproti dnešní době nebyla jeho činnost nijak významná, a navíc po určitou dobu ani nebyl ustanoven. Prim v oblasti ochrany lidských práv, potažmo vlastnického práva tak hrál NSS. Ten sice vykazoval vysokou právní úroveň, avšak trpěl tím, že nebyly zřízeny správně-právní senáty na okresní, župní či krajské úrovni, a také tím, že na ochraně základních práv se nepodílel ani výše zmíněný ÚS. Úroveň ochrany vlastnického práva tak byla dle mého názoru na vysoké úrovni, avšak pouze v těch případech, které značně přetížený soud stihl vyřídit. Tento stav byl řešen zvýšením počtu soudců, což však nebylo a podle mě ani nemohlo být příliš efektivní řešení. Zvýšení počtu soudců z 26 na 50 nemohlo nahradit nižší instanční soustavu pro celou 13 milionovou zemi.   </w:t>
      </w:r>
      <w:r>
        <w:tab/>
        <w:t xml:space="preserve"> </w:t>
      </w:r>
      <w:r>
        <w:tab/>
        <w:t xml:space="preserve"> </w:t>
      </w:r>
      <w:r>
        <w:tab/>
        <w:t xml:space="preserve"> </w:t>
      </w:r>
      <w:r>
        <w:tab/>
        <w:t xml:space="preserve"> </w:t>
      </w:r>
      <w:r>
        <w:tab/>
        <w:t xml:space="preserve"> </w:t>
      </w:r>
      <w:r>
        <w:tab/>
        <w:t xml:space="preserve"> </w:t>
      </w:r>
      <w:r>
        <w:tab/>
        <w:t xml:space="preserve"> </w:t>
      </w:r>
    </w:p>
    <w:p w:rsidR="009D1F29" w:rsidRDefault="009D1F29" w:rsidP="00CD1FEF">
      <w:pPr>
        <w:ind w:left="-5" w:right="4" w:firstLine="713"/>
      </w:pPr>
      <w:r>
        <w:t xml:space="preserve"> V období platnosti ústavy 1948 se vymahatelnost ochrany vlastnického práva rapidně zhoršila. ÚS po válce již neobnovil svou činnost. Idea nového režimu spočívala v tom, že všechny složky státní moci spolu vzájemně spolupracují, tudíž nebyl potřeba ÚS, který by mohl vládě či Národnímu shromáždění klást překážky. Ochranu vlastnického práva bychom jistě mohli podřadit pod pojmy ochrana ústavnosti a výklad ústavy. Těmito úkoly bylo na úkor ÚS pověřeno předsednictvo Národního shromáždění. Jak účinná však může kontrola ústavnosti být, pokud je kontrolovaný zároveň kontrolorem a na kontrole nemá ani zájem. Zatímco v podání předsednictva Národního shromáždění byla zakotvena ochrana vlastnického práva alespoň v teoretické rovině, v podání NSS nebyla zachována ani ta. Na podzim roku 1949 byl NSS přesunut z Prahy do Bratislavy, což samo o sobě ilustruje, jaký byl zájem na ochraně vlastnického práva. Zde fungoval do konce roku 1952, kdy byl zrušen. Ovšem slovo fungoval je možná až příliš velkorysé, jelikož faktickou činnost v letech 1949 až 1952 nebylo možno z českých archivů bezpečně zjistit.</w:t>
      </w:r>
      <w:r>
        <w:rPr>
          <w:vertAlign w:val="superscript"/>
        </w:rPr>
        <w:footnoteReference w:id="151"/>
      </w:r>
      <w:r>
        <w:t xml:space="preserve">       </w:t>
      </w:r>
    </w:p>
    <w:p w:rsidR="009D1F29" w:rsidRDefault="009D1F29">
      <w:pPr>
        <w:ind w:left="-5" w:right="4"/>
      </w:pPr>
      <w:r>
        <w:t xml:space="preserve"> </w:t>
      </w:r>
      <w:r>
        <w:tab/>
        <w:t xml:space="preserve">Ústava 1960 nabídla velice mírné zlepšení situace. Pro ochranu vlastnického práva před zásahy exekutivy bylo možno podat stížnost pracujících. Její účinnost v prostředí totalitního státu je však značně diskutabilní. Těžko si lze představit, že státní orgán by poskytl ochranu občanovi před zásahem jiného státního orgánu. Druhou možností byla pomoc prokurátora v případě, že se zájem na ochraně vlastnického práva kryl se zájmy státní moci. </w:t>
      </w:r>
      <w:r>
        <w:br/>
        <w:t xml:space="preserve">V tomto případě by presumovaná ochrana byla jistě účinnější. Otázkou však je, v jak velkém počtu případů měla státní moc zájem na ochraně něčího soukromého vlastnictví. Za zmínku ještě stojí připomenout rok 1968, kdy ústavní zákon č. 143/1968 Sb., o československé federaci založil předpoklad zřízení ÚS federace, a ÚS obou národních republik. Ke zřízení žádného z těchto ÚS však nikdy nedošlo, a tak tato ustanovení lze považovat za pouhé krátké nádechy Pražského jara. Dle mého názoru by však ani jejich zřízení praktickou ochranu vlastnického práva nepřineslo. Jen těžko si dokáži představit zcela nezávislou soudní instituci úspěšně oponující totalitní státní moci.  Ke zlepšení dochází až po roce 1989, kdy náš právní řád začíná znovu stavět na demokratických principech. Ochrany vlastnického práva před nezákonnými rozhodnutími, zásahy a nečinností správních orgánů se lze domáhat u správně-právních senátů krajských soudů, potažmo po podání kasační stížnosti u NSS (od roku 2003). Pokud by ani tato ochrana nebyla úspěšná, lze podat ústavní stížnost proti pravomocnému rozhodnutí či jinému zásahu orgánu veřejné moci do ústavně zaručených práv a svobod k ÚS. ÚS v dnešní době má mnohem více pravomocí než ten prvorepublikový, a tím exponenciálně vzrostla také jeho důležitost. Poslední instancí je pak Evropský soud pro lidská práva sídlící ve Štrasburku, ke kterému lze podat stížnost. Kromě soudní cesty se lze ochrany vlastnického práva domáhat také například formou stížností či u veřejného ochrance práv. </w:t>
      </w:r>
      <w:r>
        <w:tab/>
      </w:r>
      <w:r>
        <w:tab/>
      </w:r>
      <w:r>
        <w:tab/>
      </w:r>
      <w:r>
        <w:tab/>
        <w:t xml:space="preserve">Aktuální stav ochrany vlastnického práva vidím jako jednoznačně nejúčinnější v celé naší historii, jelikož soudní soustava v této oblasti je konečně vícestupňová, poprvé v historii může rozhodnutí přezkoumat i mezinárodní soudní tribunál, který by měl být zárukou nejvyšší možné míry nezávislosti bez jakékoliv vázanosti na vnitrostátní prostředí, </w:t>
      </w:r>
      <w:r>
        <w:br/>
        <w:t xml:space="preserve">a v neposlední řadě lze využít i méně formální mimosoudní prostředky ochrany.           </w:t>
      </w:r>
    </w:p>
    <w:p w:rsidR="009D1F29" w:rsidRDefault="009D1F29" w:rsidP="000E3663">
      <w:pPr>
        <w:ind w:left="-5" w:right="4" w:firstLine="713"/>
      </w:pPr>
      <w:r>
        <w:t xml:space="preserve"> Aspekt obecného omezení vlastnického práva jsem již lehce v této podkapitole zmínil. Ústava 1920 obsahovala jediné ustanovení týkající se obecného omezení vlastnictví, </w:t>
      </w:r>
      <w:r>
        <w:br/>
        <w:t xml:space="preserve">a to: </w:t>
      </w:r>
      <w:r>
        <w:rPr>
          <w:i/>
        </w:rPr>
        <w:t>„Soukromé vlastnictví lze omeziti jen zákonem.“</w:t>
      </w:r>
      <w:r>
        <w:t xml:space="preserve"> Tímto stručným ustanovením byla dána občanům jistota, že jejich vlastnické právo nebude omezeno podzákonnými předpisy, které by nemusely být schváleny parlamentem, a které by byly v dané době hůře dostupné. Na základě dobových rozhodnutí můžeme shledat, že soukromé vlastnictví nepodléhalo zbytečným restrikcím, ale pouze legitimním požadavkům na jeho omezení např. z důvodu odvracení nebezpečí, veřejného zájmu či ochraně zdraví.</w:t>
      </w:r>
      <w:r>
        <w:rPr>
          <w:vertAlign w:val="superscript"/>
        </w:rPr>
        <w:footnoteReference w:id="152"/>
      </w:r>
      <w:r>
        <w:t xml:space="preserve"> V oblasti omezení vlastnického práva považuji toto ustanovení za plně dostačující.      </w:t>
      </w:r>
    </w:p>
    <w:p w:rsidR="009D1F29" w:rsidRDefault="009D1F29">
      <w:pPr>
        <w:ind w:left="-5" w:right="4"/>
      </w:pPr>
      <w:r>
        <w:t xml:space="preserve"> </w:t>
      </w:r>
      <w:r>
        <w:tab/>
        <w:t xml:space="preserve">Ústava 1948 také obsahovala ustanovení </w:t>
      </w:r>
      <w:r>
        <w:rPr>
          <w:i/>
        </w:rPr>
        <w:t>„Soukromé vlastnictví lze omezit jen zákonem.“</w:t>
      </w:r>
      <w:r>
        <w:t xml:space="preserve"> Kromě toho však bylo omezováno soukromé vlastnictví i v samotné ústavě. Podniky v soukromých rukou mohly zaměstnávat maximálně 50 zaměstnanců a soukromé osoby mohly vlastnit maximálně 50 hektarů půdy. I pokud pomineme to, že tato omezení byla </w:t>
      </w:r>
      <w:r>
        <w:br/>
        <w:t xml:space="preserve">v praxi ještě více prohlubována, nemyslím si, že by se jednalo o omezení legitimní. Komunisté hovořili o vykořisťování dělnické třídy pracujících třídou podnikatelů </w:t>
      </w:r>
      <w:r>
        <w:br/>
        <w:t xml:space="preserve">a velkostatkářů. Ti měli zaměstnance využívat, platit nízké mzdy, držet je v pracovně nevyhovujících podmínkách a působit jim další těžkosti. Pokud by tomu tak bylo, pak bych řešení tohoto problému nespatřoval v rovině omezení vlastnického práva, nýbrž v úpravě </w:t>
      </w:r>
      <w:r>
        <w:br/>
        <w:t xml:space="preserve">a dodržování pracovněprávních předpisů, potažmo předpisů obchodního, správního a trestního práva.    </w:t>
      </w:r>
    </w:p>
    <w:p w:rsidR="009D1F29" w:rsidRDefault="009D1F29">
      <w:pPr>
        <w:ind w:left="-5" w:right="4"/>
      </w:pPr>
      <w:r>
        <w:t xml:space="preserve"> </w:t>
      </w:r>
      <w:r>
        <w:tab/>
        <w:t xml:space="preserve">Ústava z roku 1960 kromě toho, že nepřipouštěla již žádné zaměstnance v soukromém sektoru, zakotvovala také o něco podrobnější úpravu osobního vlastnictví. To mohlo být pouze k věcem, které nepřekročily osobní spotřebu občana, jinak ztrácely ochranu osobního vlastnictví a dostávaly se do režimu hůře chráněného soukromého vlastnictví. Nevidím žádný legitimní důvod, proč by stát měl zkoumat, zda danou věc občan potřebuje pro svou osobní potřebu, potažmo ještě zkoumat rozsah osobní potřeby. Stejně tak nevidím důvod, proč by například dům, ve kterém vlastník bydlí, měl být pod vyšší ochranou než dům, který by pronajímal. Tato oblast dle mého názoru vůbec nenáleží pod státní regulaci, a plně souhlasím se zrušením vlastnických forem.         </w:t>
      </w:r>
    </w:p>
    <w:p w:rsidR="009D1F29" w:rsidRDefault="009D1F29">
      <w:pPr>
        <w:ind w:left="-5" w:right="4"/>
      </w:pPr>
      <w:r>
        <w:t xml:space="preserve"> </w:t>
      </w:r>
      <w:r>
        <w:tab/>
        <w:t xml:space="preserve">I dnes je vlastnictví v LZPS omezováno. Je dána možnost stanovit vlastnictví pro určité věci pouze do rukou občanů ČR nebo právnických osob se sídlem v ČR. Účel tohoto ustanovení spatřuji v obraně státu před mohutným rozprodejem majetku na území ČR cizím státním příslušníkům v době, kdy by byla ČR ve špatné ekonomické situaci. Dále nesmí být vlastnictvím úmyslně působena jinému újma a jeho výkon nesmí poškozovat lidské zdraví, přírodu a životní prostředí nad určitou zákonem stanovenou míru. Tato omezení logicky považuji za opodstatněná a plně s nimi souhlasím.      </w:t>
      </w:r>
    </w:p>
    <w:p w:rsidR="009D1F29" w:rsidRDefault="009D1F29" w:rsidP="000E3663">
      <w:pPr>
        <w:ind w:left="-5" w:right="4" w:firstLine="713"/>
      </w:pPr>
      <w:r>
        <w:t xml:space="preserve"> Z obecných omezení vlastnického práva jsem vyňal jako samostatné aspekty ústavněprávního charakteru vlastnictví vyvlastnění a exkluzivitu státního vlastnictví. Ústava 1920 stanovila, že vyvlastnit bylo možné pouze na základě zákona a za náhradu, ovšem pokud zákon neřekl, že se náhrada dát nemá. Tuto úpravu považuji na úrovni demokratického státu za velmi nedokonalou. Chybělo uvedení podmínky veřejného zájmu, která byla dovozována pouze výkladově. Za naprosto bezprecedentní pak považuji ústavní zakotvení možnosti vyvlastnění bez náhrady. I když je nutné vnímat dobový kontext, kdy mladý stát potřeboval oslabit moc šlechty, velkostatkářů (cizinců) a církve spojených s bývalým režimem, </w:t>
      </w:r>
      <w:r>
        <w:br/>
        <w:t xml:space="preserve">a uspokojit chudé řadové obyvatelstvo před radikalizací, nebylo možné tak činit na základě institutu vyvlastnění. Vyvlastnění má pouze zajistit veřejně prospěšný užitek, nemá trestněprávní charakter. Ústava měla dané záměry lépe specifikovat a vytvořit ustanovení </w:t>
      </w:r>
      <w:r>
        <w:br/>
        <w:t xml:space="preserve">o konfiskaci majetku bývalé panovnické rodiny Habsbursko-Lotrinské a příslušníků nepřátelských států.   </w:t>
      </w:r>
    </w:p>
    <w:p w:rsidR="009D1F29" w:rsidRDefault="009D1F29" w:rsidP="000E3663">
      <w:pPr>
        <w:ind w:left="-5" w:right="4"/>
      </w:pPr>
      <w:r>
        <w:t xml:space="preserve"> </w:t>
      </w:r>
      <w:r>
        <w:tab/>
        <w:t xml:space="preserve">Ústava 1948 obsahovala téměř totožné znění vyvlastňovacího ustanovení jako ústava 1920, avšak nově byla dovozována možnost vyvlastnění i na základě podzákonného ustanovení, které pouze bylo v souladu se zákonem. Dle mého názoru tak hrubý zásah do vlastnické sféry, jakým je vyvlastnění, musí mít zákonný podklad, aby byla upevněna jistota nezneužívání tohoto institutu. Stát však vyvlastnění využíval ke svému obohacování na úkor soukromého vlastnictví, což samozřejmě nenaplňovalo původní záměr tohoto institutu, </w:t>
      </w:r>
      <w:r>
        <w:br/>
        <w:t xml:space="preserve">a možnost činit tak na základě podzákonné normy mu plně vyhovovala. Ústava 1960 úpravu vyvlastnění vůbec neobsahovala, což hodnotím negativně, neboť vyvlastnění je výjimka </w:t>
      </w:r>
      <w:r>
        <w:br/>
        <w:t>z ústavního pravidla nedotknutelnosti vlastnického práva.</w:t>
      </w:r>
      <w:r>
        <w:rPr>
          <w:vertAlign w:val="superscript"/>
        </w:rPr>
        <w:footnoteReference w:id="153"/>
      </w:r>
      <w:r>
        <w:t xml:space="preserve"> Dnešní úprava v LZPS stanovuje možnost vyvlastnění pouze ve veřejném zájmu, na základě zákona a za náhradu. Dané úpravě by se dalo pouze vytknout, že neobsahuje subsidiární formuli </w:t>
      </w:r>
      <w:r>
        <w:rPr>
          <w:i/>
        </w:rPr>
        <w:t>„nelze-li sledovaného účelu dosáhnout jinak“,</w:t>
      </w:r>
      <w:r>
        <w:t xml:space="preserve"> která je dovozována pouze výkladově. Možné by bylo také specifikovat náhradu jako </w:t>
      </w:r>
      <w:r>
        <w:rPr>
          <w:i/>
        </w:rPr>
        <w:t>„přiměřenou“</w:t>
      </w:r>
      <w:r>
        <w:t xml:space="preserve"> či </w:t>
      </w:r>
      <w:r>
        <w:rPr>
          <w:i/>
        </w:rPr>
        <w:t>„spravedlivou“</w:t>
      </w:r>
      <w:r>
        <w:t xml:space="preserve">, aby účel této zásady nemohl být obcházen na základě použití jazykového výkladu.          </w:t>
      </w:r>
    </w:p>
    <w:p w:rsidR="009D1F29" w:rsidRDefault="009D1F29" w:rsidP="000E3663">
      <w:pPr>
        <w:spacing w:after="50"/>
        <w:ind w:left="-5" w:right="4" w:firstLine="713"/>
      </w:pPr>
      <w:r>
        <w:t xml:space="preserve"> Posledním aspektem, který považuji za klíčový je exkluzivita státního vlastnictví. Ta v ústavě z roku 1920 nebyla nijak vymezena. Ústava vůbec neurčovala, který majetek může vlastnit pouze stát. Myslím si, že místo zneužitelné úpravy vyvlastnění, mohl stát posilnit své postavení právě přes tento institut. K určitým dlouhodobým cílům, které slouží ku prospěchu celé společnosti jako celku, je legitimní a nezbytné tato omezení stanovit. Ústavy z let 1948 </w:t>
      </w:r>
      <w:r>
        <w:br/>
        <w:t xml:space="preserve">a 1960 exkluzivitu státního vlastnictví naopak silně předimenzovaly. Státní monopol byl zbytečně rozšířen i do oblastí, které nebyly nezbytně důležité pro realizaci veřejných zájmů. Příkladem lze jmenovat větší podniky, banky, pojišťovny, dopravu, poštu, televizi, rozhlas či film. Cílem státu nebylo vykonávat své veřejné funkce ve prospěch obyvatelstva, nýbrž toto obyvatelstvo kontrolovat a omezovat.        </w:t>
      </w:r>
    </w:p>
    <w:p w:rsidR="009D1F29" w:rsidRDefault="009D1F29" w:rsidP="000E3663">
      <w:pPr>
        <w:ind w:left="-5" w:right="4" w:firstLine="713"/>
      </w:pPr>
      <w:r>
        <w:t xml:space="preserve"> LZPS nestanovuje výčet předmětů státního vlastnictví, toto ponechává na zákonech, ale zakotvuje účel exkluzivity vlastnictví (zabezpečování potřeb celé společnosti, veřejný zájem, rozvoj národního hospodářství). Byla tak zvolena třetí cesta, po ústavě 1948 (účel </w:t>
      </w:r>
      <w:r>
        <w:br/>
        <w:t xml:space="preserve">i výčet) a ústavě 1960 (výčet). Takové řešení vidím sice jako efektivnější než v ústavě 1960, protože vymezení účelu exkluzivity je důležitější než pouhé stanovení demonstrativního výčtu, avšak jako ideální se mi jeví schéma úpravy v ústavě 1948. Vytyčení jak účelu tak demonstrativního výčtu je pro adresáty ústavy přehlednější a přináší větší jistotu.   </w:t>
      </w:r>
    </w:p>
    <w:p w:rsidR="009D1F29" w:rsidRDefault="009D1F29" w:rsidP="00F41C79">
      <w:pPr>
        <w:spacing w:after="124"/>
        <w:ind w:left="-5" w:right="4" w:firstLine="713"/>
      </w:pPr>
      <w:r>
        <w:t xml:space="preserve"> Závěrem mohu konstatovat, že jediné obecné pozitivum socialistických ústav spatřuji v zavedení sociálních práv. Jednalo se o právo na vzdělání, práci, spravedlivou odměnu za vykonanou práci, odpočinek po práci a pojištění i zaopatření při nezpůsobilosti k práci. Ovšem i u těchto práv docházelo v realitě k jejich porušování. Některým lidem bylo </w:t>
      </w:r>
      <w:r>
        <w:br/>
        <w:t>z ideologických důvodů zakázáno studium na vysokých a někdy i středních školách, potažmo pak byli zařazováni na podřadná pracovní místa, která neodpovídala jejich odborným kvalitám. V oblasti vlastnického práva pak jediné pozitivum vidím v zavedení exkluzivity státního vlastnictví. Ustanovení o ochraně či nedotknutelnosti vlastnictví v těchto ústavách ze zřejmých důvodů nepovažuji za pozitiva, přestože v ústavě 1920 chyběly, a na první pohled by se tak pozitivními mohly zdát. Realita doby je však hrubě degradovala. Úpravu vlastnictví v ústavě 1920 shledávám, s výjimkou vyvlastnění, za vcelku dostačující. LZPS na ni inovativně navazuje a kromě zmíněných detailů</w:t>
      </w:r>
      <w:r>
        <w:rPr>
          <w:i/>
        </w:rPr>
        <w:t xml:space="preserve"> </w:t>
      </w:r>
      <w:r>
        <w:t xml:space="preserve">v ní nevidím závažné nedostatky. </w:t>
      </w:r>
    </w:p>
    <w:p w:rsidR="009D1F29" w:rsidRDefault="009D1F29">
      <w:pPr>
        <w:spacing w:after="177" w:line="259" w:lineRule="auto"/>
        <w:ind w:left="0" w:right="0" w:firstLine="0"/>
        <w:jc w:val="left"/>
      </w:pPr>
      <w:r>
        <w:rPr>
          <w:color w:val="222222"/>
        </w:rPr>
        <w:t xml:space="preserve"> </w:t>
      </w:r>
    </w:p>
    <w:p w:rsidR="009D1F29" w:rsidRDefault="009D1F29">
      <w:pPr>
        <w:spacing w:after="177" w:line="259" w:lineRule="auto"/>
        <w:ind w:left="0" w:right="0" w:firstLine="0"/>
        <w:jc w:val="left"/>
      </w:pPr>
      <w:r>
        <w:rPr>
          <w:color w:val="222222"/>
        </w:rPr>
        <w:t xml:space="preserve"> </w:t>
      </w:r>
    </w:p>
    <w:p w:rsidR="009D1F29" w:rsidRDefault="009D1F29">
      <w:pPr>
        <w:spacing w:after="175" w:line="259" w:lineRule="auto"/>
        <w:ind w:left="0" w:right="0" w:firstLine="0"/>
        <w:jc w:val="left"/>
      </w:pPr>
      <w:r>
        <w:rPr>
          <w:color w:val="222222"/>
        </w:rPr>
        <w:t xml:space="preserve"> </w:t>
      </w:r>
    </w:p>
    <w:p w:rsidR="009D1F29" w:rsidRDefault="009D1F29">
      <w:pPr>
        <w:spacing w:after="177" w:line="259" w:lineRule="auto"/>
        <w:ind w:left="0" w:right="0" w:firstLine="0"/>
        <w:jc w:val="left"/>
      </w:pPr>
      <w:r>
        <w:rPr>
          <w:color w:val="222222"/>
        </w:rPr>
        <w:t xml:space="preserve"> </w:t>
      </w:r>
    </w:p>
    <w:p w:rsidR="009D1F29" w:rsidRDefault="009D1F29">
      <w:pPr>
        <w:spacing w:after="178" w:line="259" w:lineRule="auto"/>
        <w:ind w:left="0" w:right="0" w:firstLine="0"/>
        <w:jc w:val="left"/>
      </w:pPr>
      <w:r>
        <w:rPr>
          <w:color w:val="222222"/>
        </w:rPr>
        <w:t xml:space="preserve"> </w:t>
      </w:r>
    </w:p>
    <w:p w:rsidR="009D1F29" w:rsidRPr="004B1324" w:rsidRDefault="009D1F29">
      <w:pPr>
        <w:spacing w:after="177" w:line="259" w:lineRule="auto"/>
        <w:ind w:left="0" w:right="0" w:firstLine="0"/>
        <w:jc w:val="left"/>
        <w:rPr>
          <w:color w:val="222222"/>
        </w:rPr>
      </w:pPr>
    </w:p>
    <w:p w:rsidR="009D1F29" w:rsidRDefault="009D1F29">
      <w:pPr>
        <w:spacing w:after="177" w:line="259" w:lineRule="auto"/>
        <w:ind w:left="0" w:right="0" w:firstLine="0"/>
        <w:jc w:val="left"/>
        <w:rPr>
          <w:color w:val="222222"/>
        </w:rPr>
      </w:pPr>
    </w:p>
    <w:p w:rsidR="009D1F29" w:rsidRDefault="009D1F29">
      <w:pPr>
        <w:spacing w:after="177" w:line="259" w:lineRule="auto"/>
        <w:ind w:left="0" w:right="0" w:firstLine="0"/>
        <w:jc w:val="left"/>
      </w:pPr>
    </w:p>
    <w:p w:rsidR="009D1F29" w:rsidRDefault="009D1F29">
      <w:pPr>
        <w:spacing w:after="0" w:line="259" w:lineRule="auto"/>
        <w:ind w:left="0" w:right="0" w:firstLine="0"/>
        <w:jc w:val="left"/>
      </w:pPr>
      <w:r>
        <w:rPr>
          <w:color w:val="222222"/>
        </w:rPr>
        <w:t xml:space="preserve"> </w:t>
      </w:r>
    </w:p>
    <w:p w:rsidR="009D1F29" w:rsidRPr="00AA66D1" w:rsidRDefault="009D1F29">
      <w:pPr>
        <w:pStyle w:val="Heading1"/>
        <w:ind w:left="693" w:hanging="708"/>
        <w:rPr>
          <w:color w:val="auto"/>
        </w:rPr>
      </w:pPr>
      <w:bookmarkStart w:id="25" w:name="_Toc512979309"/>
      <w:bookmarkStart w:id="26" w:name="_Toc512979815"/>
      <w:r w:rsidRPr="00AA66D1">
        <w:rPr>
          <w:color w:val="auto"/>
        </w:rPr>
        <w:t>Občanskoprávní ochrana vlastnictví</w:t>
      </w:r>
      <w:bookmarkEnd w:id="25"/>
      <w:bookmarkEnd w:id="26"/>
      <w:r w:rsidRPr="00AA66D1">
        <w:rPr>
          <w:color w:val="auto"/>
        </w:rPr>
        <w:t xml:space="preserve"> </w:t>
      </w:r>
    </w:p>
    <w:p w:rsidR="009D1F29" w:rsidRDefault="009D1F29">
      <w:pPr>
        <w:spacing w:after="320" w:line="259" w:lineRule="auto"/>
        <w:ind w:left="576" w:right="0" w:firstLine="0"/>
        <w:jc w:val="left"/>
      </w:pPr>
      <w:r>
        <w:t xml:space="preserve"> </w:t>
      </w:r>
    </w:p>
    <w:p w:rsidR="009D1F29" w:rsidRDefault="009D1F29">
      <w:pPr>
        <w:spacing w:after="36"/>
        <w:ind w:left="-5" w:right="4"/>
      </w:pPr>
      <w:r>
        <w:t xml:space="preserve"> </w:t>
      </w:r>
      <w:r>
        <w:tab/>
        <w:t xml:space="preserve">Ochrana vlastnictví je spojena s vícero právními odvětvími, ovšem můžeme říci, že občanskoprávní ochrana vlastnictví patří k těm nejfrekventovanějším, a nejen proto zaujímá </w:t>
      </w:r>
      <w:r>
        <w:br/>
        <w:t>v ochraně vlastnického práva čelní místo. Právě občanskoprávní úprava ochrany vlastnického práva má nezastupitelnou roli v zabezpečování nedotknutelnosti vlastnictví a tím i právní jistotě vlastníků. Pokud pohlédneme do historie, můžeme konstatovat, že občanské právo nabízelo až tři základní možnosti ochrany vlastnického práva. Jednalo se o ochranu na základě svépomoci, ochranu poskytovanou orgánem státní správy a ochranu soudní.</w:t>
      </w:r>
      <w:r>
        <w:rPr>
          <w:vertAlign w:val="superscript"/>
        </w:rPr>
        <w:footnoteReference w:id="154"/>
      </w:r>
      <w:r>
        <w:t xml:space="preserve">   </w:t>
      </w:r>
    </w:p>
    <w:p w:rsidR="009D1F29" w:rsidRDefault="009D1F29">
      <w:pPr>
        <w:spacing w:after="28" w:line="368" w:lineRule="auto"/>
        <w:ind w:left="-5" w:right="0"/>
      </w:pPr>
      <w:r>
        <w:t xml:space="preserve"> </w:t>
      </w:r>
      <w:r>
        <w:tab/>
        <w:t>OZO zmiňuje institut svépomoci, přestože ho označuje jinými názvy, v několika ustanoveních, přičemž dle mého názoru je nejlépe demonstrován v § 344, kde se píše „</w:t>
      </w:r>
      <w:r>
        <w:rPr>
          <w:i/>
        </w:rPr>
        <w:t xml:space="preserve">Oprávněnému držiteli je zaručena ochrana držby, která by měla být primárně zaručena soudní mocí. Pokud je však zřejmé, že by pomoc soudu přišla pozdě, může oprávněný držitel </w:t>
      </w:r>
    </w:p>
    <w:p w:rsidR="009D1F29" w:rsidRDefault="009D1F29">
      <w:pPr>
        <w:tabs>
          <w:tab w:val="center" w:pos="4249"/>
          <w:tab w:val="center" w:pos="4957"/>
          <w:tab w:val="center" w:pos="5665"/>
          <w:tab w:val="center" w:pos="6373"/>
          <w:tab w:val="center" w:pos="7081"/>
          <w:tab w:val="center" w:pos="7790"/>
        </w:tabs>
        <w:spacing w:after="165" w:line="259" w:lineRule="auto"/>
        <w:ind w:left="-15" w:right="0" w:firstLine="0"/>
        <w:jc w:val="left"/>
      </w:pPr>
      <w:r>
        <w:rPr>
          <w:i/>
        </w:rPr>
        <w:t>chránit svoji držbu pomocí vlastní síly“</w:t>
      </w:r>
      <w:r>
        <w:t xml:space="preserve">.  </w:t>
      </w:r>
      <w:r>
        <w:tab/>
        <w:t xml:space="preserve"> </w:t>
      </w:r>
      <w:r>
        <w:tab/>
        <w:t xml:space="preserve"> </w:t>
      </w:r>
      <w:r>
        <w:tab/>
        <w:t xml:space="preserve"> </w:t>
      </w:r>
      <w:r>
        <w:tab/>
        <w:t xml:space="preserve"> </w:t>
      </w:r>
      <w:r>
        <w:tab/>
        <w:t xml:space="preserve"> </w:t>
      </w:r>
      <w:r>
        <w:tab/>
        <w:t xml:space="preserve"> </w:t>
      </w:r>
    </w:p>
    <w:p w:rsidR="009D1F29" w:rsidRDefault="009D1F29">
      <w:pPr>
        <w:spacing w:after="38"/>
        <w:ind w:left="-5" w:right="4"/>
      </w:pPr>
      <w:r>
        <w:t xml:space="preserve"> </w:t>
      </w:r>
      <w:r>
        <w:tab/>
        <w:t xml:space="preserve">Ochrana na základě moci soudní spočívala zejména v možnosti podat vindikační  </w:t>
      </w:r>
      <w:r>
        <w:br/>
        <w:t xml:space="preserve">a negatorní žalobu. Vindikační žalobou se vlastník domáhá na tom, kdo věc neprávem zadržuje, aby ji vydal. Této žalobě byly věnovány paragrafy 366 a násl. Věc, která měla být vydána, musela být dostatečně popsána a žalobce musel vlastnictví prokázat. Negatorní žalobou se vlastník domáhá ochrany proti takovým zásahům do jeho práva, které spočívají </w:t>
      </w:r>
      <w:r>
        <w:br/>
        <w:t>v jiném rušení než v neoprávněném zadržování jeho věci. Vlastníkovým cílem je, aby rušení bylo zakázáno, a pokud to povaha věci dovoluje, aby vše bylo uvedeno v předešlý stav. Negatorní žaloba byla upravena v § 523 a původně sloužila jen k popření tvrzeného práva služebnosti, avšak právní věda i judikatura ji chápaly šířeji, jako prostředek ochrany proti jakémukoliv neoprávněnému zásahu.</w:t>
      </w:r>
      <w:r>
        <w:rPr>
          <w:vertAlign w:val="superscript"/>
        </w:rPr>
        <w:footnoteReference w:id="155"/>
      </w:r>
      <w:r>
        <w:t xml:space="preserve">           </w:t>
      </w:r>
    </w:p>
    <w:p w:rsidR="009D1F29" w:rsidRDefault="009D1F29" w:rsidP="00BB0782">
      <w:pPr>
        <w:ind w:left="-5" w:right="4" w:firstLine="713"/>
      </w:pPr>
      <w:r>
        <w:t xml:space="preserve"> Jak již bylo několikrát poznamenáno, socialistická právní doktrína rozlišovala různé formy vlastnictví, s různým stupněm ochrany. Jelikož rozlišení forem vlastnictví bylo zakotveno přímo v OZ/50 a OZ/64, různá tak byla i forma občanskoprávní ochrany. Důležité je poznamenat, že zákon přiznával ochranu všem formám vlastnictví, tedy i vlastnictví soukromému. Podle Knappa mohl vlastník od každého požadovat, aby mu v používání věci svou mocí a ve svém zájmu nepřekážel. Překážení viděl ve formě bezprávného zadržení věci, osobování si práva k věci, které mu nenáleží, nebo v jiném omezování vlastníkova práva. Na základě těchto úvah spatřoval minimální ochranu, která náleží všem formám vlastnictví, </w:t>
      </w:r>
      <w:r>
        <w:br/>
        <w:t>v možnosti podat vindikační či negatorní žalobu.</w:t>
      </w:r>
      <w:r>
        <w:rPr>
          <w:vertAlign w:val="superscript"/>
        </w:rPr>
        <w:footnoteReference w:id="156"/>
      </w:r>
      <w:r>
        <w:t xml:space="preserve">     </w:t>
      </w:r>
    </w:p>
    <w:p w:rsidR="009D1F29" w:rsidRDefault="009D1F29" w:rsidP="00584CC4">
      <w:pPr>
        <w:ind w:left="-5" w:right="4"/>
      </w:pPr>
      <w:r>
        <w:t xml:space="preserve"> </w:t>
      </w:r>
      <w:r>
        <w:tab/>
        <w:t xml:space="preserve">Vindikační žaloba byla upravena v § 152 OZ/50, respektive v § 132 OZ/64. Negatorní žaloba byla upravena výslovně v § 152 OZ/50. V OZ/64 nebyla upravena výslovně, avšak </w:t>
      </w:r>
      <w:r>
        <w:br/>
        <w:t>v praxi byla běžně používána.</w:t>
      </w:r>
      <w:r>
        <w:rPr>
          <w:vertAlign w:val="superscript"/>
        </w:rPr>
        <w:footnoteReference w:id="157"/>
      </w: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D1F29" w:rsidRDefault="009D1F29" w:rsidP="00195A8F">
      <w:pPr>
        <w:ind w:left="-5" w:right="4"/>
      </w:pPr>
      <w:r>
        <w:t xml:space="preserve"> </w:t>
      </w:r>
      <w:r>
        <w:tab/>
        <w:t xml:space="preserve">Pokud Knapp argumentuje tím, že i soukromé právo je nutné chránit pomocí výše zmíněných žalob, přestože jsou uvedeny v ustanoveních o ochraně osobního práva, a to </w:t>
      </w:r>
      <w:r>
        <w:br/>
        <w:t>z důvodu toho, že formulace daných ustanovení je obecná a hovoří o obecném zásahu do vlastnického práva</w:t>
      </w:r>
      <w:r>
        <w:rPr>
          <w:rStyle w:val="FootnoteReference"/>
        </w:rPr>
        <w:footnoteReference w:id="158"/>
      </w:r>
      <w:r>
        <w:t>, musíme mezi další prostředky minimální ochrany vlastnického práva zařadit i ochranu pomocí institutu svépomoci. Ta byla definována v § 6 OZ/64 „</w:t>
      </w:r>
      <w:r>
        <w:rPr>
          <w:i/>
        </w:rPr>
        <w:t>jestliže hrozí neoprávněný zásah do práva bezprostředně, může ten, kdo je takto ohrožen, přiměřeným způsobem zásah sám odvrátit</w:t>
      </w:r>
      <w:r>
        <w:t xml:space="preserve">“. Zmíněna byla také v § 150 OZ/50  u ochrany držby </w:t>
      </w:r>
      <w:r>
        <w:rPr>
          <w:i/>
        </w:rPr>
        <w:t xml:space="preserve">„držitel se smí, je-li jeho držba svémocně rušena, rušení vzepřít přiměřenou </w:t>
      </w:r>
      <w:r>
        <w:t>s</w:t>
      </w:r>
      <w:r>
        <w:rPr>
          <w:i/>
        </w:rPr>
        <w:t>vépomocí“.</w:t>
      </w:r>
      <w:r>
        <w:t xml:space="preserve"> Důležité pro splnění svépomocného jednání tedy bylo, aby šlo o zásah bezprostřední, zásah směřoval do práva oprávněného, a odvrácení zásahu bylo provedeno ohroženým, a to přiměřeným způsobem.        </w:t>
      </w:r>
      <w:r>
        <w:tab/>
      </w:r>
      <w:r>
        <w:tab/>
      </w:r>
      <w:r>
        <w:tab/>
      </w:r>
      <w:r>
        <w:tab/>
      </w:r>
      <w:r>
        <w:tab/>
      </w:r>
      <w:r>
        <w:tab/>
      </w:r>
      <w:r>
        <w:tab/>
      </w:r>
      <w:r>
        <w:tab/>
      </w:r>
      <w:r>
        <w:tab/>
      </w:r>
      <w:r>
        <w:tab/>
      </w:r>
      <w:r>
        <w:tab/>
      </w:r>
      <w:r>
        <w:tab/>
        <w:t xml:space="preserve">OZ/64 obsahoval také tzv. </w:t>
      </w:r>
      <w:r>
        <w:rPr>
          <w:i/>
        </w:rPr>
        <w:t>preventivní ochranu</w:t>
      </w:r>
      <w:r>
        <w:t>, kdy v § 3 uváděl, že „</w:t>
      </w:r>
      <w:r>
        <w:rPr>
          <w:i/>
        </w:rPr>
        <w:t xml:space="preserve">státní orgány, zejména národní výbory, soudy, jakož i jiné orgány, na které přešly úkoly státních orgánů, dbají o to, aby nedocházelo k ohrožování a porušování práv i povinností v občanskoprávních vztazích a aby, dojde-li k rozporu mezi účastníky, byl odstraněn především dohodou“. </w:t>
      </w:r>
      <w:r>
        <w:tab/>
      </w:r>
      <w:r>
        <w:tab/>
      </w:r>
      <w:r>
        <w:tab/>
        <w:t xml:space="preserve">Po novelách OZ/64 souvisejících se změnou režimu, obsahoval tento zákon </w:t>
      </w:r>
      <w:r>
        <w:br/>
        <w:t xml:space="preserve">v § 5 ustanovení o ochraně vlastnictví u příslušného orgánu státní správy. Rozhodování </w:t>
      </w:r>
      <w:r>
        <w:br/>
        <w:t xml:space="preserve">o občanskoprávních věcech tak bylo výjimečně svěřeno do pravomoci jiných orgánů než soudu, přičemž se vycházelo z toho, že tyto orgány znají lépe místní poměry a díky tomu mohou poskytnout rychlou a účinnou ochranu.      </w:t>
      </w:r>
    </w:p>
    <w:p w:rsidR="009D1F29" w:rsidRDefault="009D1F29">
      <w:pPr>
        <w:spacing w:after="126"/>
        <w:ind w:left="-5" w:right="4"/>
      </w:pPr>
      <w:r>
        <w:t xml:space="preserve"> </w:t>
      </w:r>
      <w:r>
        <w:tab/>
        <w:t xml:space="preserve">Cílem autora však není analyzovat výše zmíněné způsoby ochrany vlastnictví, nýbrž na základě vybraných institutů demonstrovat ochranu vlastníka v konkrétních situacích, </w:t>
      </w:r>
      <w:r>
        <w:br/>
        <w:t xml:space="preserve">a rozsah této ochrany komparovat s účinnou právní úpravou. </w:t>
      </w:r>
    </w:p>
    <w:p w:rsidR="009D1F29" w:rsidRDefault="009D1F29">
      <w:pPr>
        <w:spacing w:after="0" w:line="259" w:lineRule="auto"/>
        <w:ind w:left="0" w:right="0" w:firstLine="0"/>
        <w:jc w:val="left"/>
      </w:pPr>
      <w:r>
        <w:t xml:space="preserve"> </w:t>
      </w:r>
    </w:p>
    <w:p w:rsidR="009D1F29" w:rsidRDefault="009D1F29">
      <w:pPr>
        <w:pStyle w:val="Heading2"/>
        <w:ind w:left="693" w:hanging="708"/>
      </w:pPr>
      <w:bookmarkStart w:id="27" w:name="_Toc512979310"/>
      <w:bookmarkStart w:id="28" w:name="_Toc512979816"/>
      <w:r>
        <w:t>Vydržení</w:t>
      </w:r>
      <w:bookmarkEnd w:id="27"/>
      <w:bookmarkEnd w:id="28"/>
      <w:r>
        <w:t xml:space="preserve">  </w:t>
      </w:r>
    </w:p>
    <w:p w:rsidR="009D1F29" w:rsidRDefault="009D1F29">
      <w:pPr>
        <w:spacing w:after="223" w:line="259" w:lineRule="auto"/>
        <w:ind w:left="0" w:right="0" w:firstLine="0"/>
        <w:jc w:val="left"/>
      </w:pPr>
      <w:r>
        <w:t xml:space="preserve"> </w:t>
      </w:r>
    </w:p>
    <w:p w:rsidR="009D1F29" w:rsidRDefault="009D1F29" w:rsidP="002D0D7B">
      <w:pPr>
        <w:ind w:left="-15" w:right="4" w:firstLine="708"/>
      </w:pPr>
      <w:r>
        <w:t xml:space="preserve">Institut vydržení řadíme mezi klasické hmotněprávní instituty mající původ již </w:t>
      </w:r>
      <w:r>
        <w:br/>
        <w:t>v nejstarším římském právu. Od té doby prodělal řadu změn, měnily se podmínky pro vydržení, předmět vydržení, a v určitých letech byl dokonce tento institut z občanského zákoníku vyňat. Obecně vydržení řadíme mezi originární nabytí vlastnického práva. To znamená, že věc doposud nebyla předmětem vlastnictví či vlastníka měla, ale nabyvatel získal vlastnické právo nezávisle na původním vlastníkovi. Podstata vydržení spočívá ve změně faktického stavu (držby) na stav právní (vlastnické právo).</w:t>
      </w:r>
      <w:r>
        <w:rPr>
          <w:vertAlign w:val="superscript"/>
        </w:rPr>
        <w:footnoteReference w:id="159"/>
      </w:r>
      <w:r>
        <w:t xml:space="preserve"> K tomu, aby k této změně došlo, musí být splněny níže uvedené podmínky, které se během historického vývoje měnily. </w:t>
      </w:r>
      <w:r>
        <w:br/>
        <w:t xml:space="preserve">V nejstarších dobách stačilo k vydržení splnit podmínku naplnění vydržecí doby </w:t>
      </w:r>
      <w:r>
        <w:rPr>
          <w:i/>
        </w:rPr>
        <w:t>(tempus</w:t>
      </w:r>
      <w:r>
        <w:t xml:space="preserve">) </w:t>
      </w:r>
      <w:r>
        <w:br/>
        <w:t>a užívání (</w:t>
      </w:r>
      <w:r>
        <w:rPr>
          <w:i/>
        </w:rPr>
        <w:t>usus</w:t>
      </w:r>
      <w:r>
        <w:t>).</w:t>
      </w:r>
      <w:r>
        <w:rPr>
          <w:vertAlign w:val="superscript"/>
        </w:rPr>
        <w:footnoteReference w:id="160"/>
      </w:r>
      <w:r>
        <w:t xml:space="preserve"> I dnes musí být naplněna vydržecí doba, avšak z pouhého užívání se vyvinul institut držby </w:t>
      </w:r>
      <w:r>
        <w:rPr>
          <w:i/>
        </w:rPr>
        <w:t>(possessio)</w:t>
      </w:r>
      <w:r>
        <w:t xml:space="preserve">. Ten spočívá ve faktickém ovládání věci </w:t>
      </w:r>
      <w:r>
        <w:rPr>
          <w:i/>
        </w:rPr>
        <w:t>(corpus possessio)</w:t>
      </w:r>
      <w:r>
        <w:t xml:space="preserve"> s úmyslem nakládat s věcí jako se svou vlastní </w:t>
      </w:r>
      <w:r>
        <w:rPr>
          <w:i/>
        </w:rPr>
        <w:t>(animus possidendi)</w:t>
      </w:r>
      <w:r>
        <w:t xml:space="preserve">. OZ rozvádí požadavky na držbu. Aby držba byla kvalifikována k vydržení, musí být řádná (zakládá se na platném právním důvodu), pravá, tedy věc není získána násilím, lstí či výprosou, a poctivá (držitel má z přesvědčivého důvodu za to, že mu náleží právo, jež vykonává).        </w:t>
      </w:r>
    </w:p>
    <w:p w:rsidR="009D1F29" w:rsidRDefault="009D1F29">
      <w:pPr>
        <w:spacing w:after="84"/>
        <w:ind w:left="-5" w:right="4"/>
      </w:pPr>
      <w:r>
        <w:t xml:space="preserve"> </w:t>
      </w:r>
      <w:r>
        <w:tab/>
        <w:t xml:space="preserve"> Institut vydržení slouží k zajištění právní jistoty a souladu právního stavu s faktickým stavem. Je nežádoucí, aby se třetím osobám jevil držitel jako vlastník. Řeší tedy konflikt mezi ochranou dobré víry držitele a ochranou práv původního vlastníka. Spravedlnost zajišťuje vydržecí doba, která by měla být dostatečně dlouhá na to, aby původní vlastník mohl proti držiteli namítnout svá práva. Pokud tak neučiní, dojde k zániku jeho vlastnického práva </w:t>
      </w:r>
      <w:r>
        <w:br/>
        <w:t xml:space="preserve">k dané věci. Protože k nabytí vlastnictví dochází přímo ze zákona, není již třeba dalšího rozhodnutí a vlastnictví přechází automaticky. Případný výrok soudu má pouze deklaratorní povahu.  </w:t>
      </w:r>
    </w:p>
    <w:p w:rsidR="009D1F29" w:rsidRDefault="009D1F29">
      <w:pPr>
        <w:pStyle w:val="Heading3"/>
        <w:ind w:left="705" w:hanging="720"/>
      </w:pPr>
      <w:bookmarkStart w:id="29" w:name="_Toc512979311"/>
      <w:bookmarkStart w:id="30" w:name="_Toc512979817"/>
      <w:r>
        <w:t>Vydržení v občanském zákoníku z roku 1811</w:t>
      </w:r>
      <w:bookmarkEnd w:id="29"/>
      <w:bookmarkEnd w:id="30"/>
      <w:r>
        <w:t xml:space="preserve"> </w:t>
      </w:r>
    </w:p>
    <w:p w:rsidR="009D1F29" w:rsidRDefault="009D1F29">
      <w:pPr>
        <w:spacing w:after="180" w:line="259" w:lineRule="auto"/>
        <w:ind w:left="0" w:right="0" w:firstLine="0"/>
        <w:jc w:val="left"/>
      </w:pPr>
      <w:r>
        <w:t xml:space="preserve"> </w:t>
      </w:r>
    </w:p>
    <w:p w:rsidR="009D1F29" w:rsidRDefault="009D1F29" w:rsidP="009F6CC8">
      <w:pPr>
        <w:ind w:left="-15" w:right="4" w:firstLine="708"/>
      </w:pPr>
      <w:r>
        <w:t>Vydržení bylo upraveno ve hlavě čtvrté v ustanoveních § 1452–1477 a úzce zde bylo spojováno s promlčením, což bylo tehdejší prvorepublikovou odbornou veřejností často kritizováno.</w:t>
      </w:r>
      <w:r>
        <w:rPr>
          <w:vertAlign w:val="superscript"/>
        </w:rPr>
        <w:footnoteReference w:id="161"/>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D1F29" w:rsidRDefault="009D1F29">
      <w:pPr>
        <w:ind w:left="-5" w:right="4"/>
      </w:pPr>
      <w:r>
        <w:t xml:space="preserve"> </w:t>
      </w:r>
      <w:r>
        <w:tab/>
        <w:t>Vydržení bylo chápáno jako originární způsob nabytí vlastnického práva, ale i jiného práva, pokud bylo schopné kvalifikované držby.</w:t>
      </w:r>
      <w:r>
        <w:rPr>
          <w:vertAlign w:val="superscript"/>
        </w:rPr>
        <w:footnoteReference w:id="162"/>
      </w:r>
      <w:r>
        <w:t xml:space="preserve"> Náležitosti vydržení v OZO byly shrnuty </w:t>
      </w:r>
      <w:r>
        <w:br/>
        <w:t xml:space="preserve">v § 1460. K vydržení bylo zapotřebí způsobilosti osoby a předmětu a řádné, poctivé </w:t>
      </w:r>
      <w:r>
        <w:br/>
        <w:t xml:space="preserve">a pravé držby vykonávané po celou dobu určenou zákonem.      </w:t>
      </w:r>
    </w:p>
    <w:p w:rsidR="009D1F29" w:rsidRDefault="009D1F29" w:rsidP="00D721E3">
      <w:pPr>
        <w:ind w:left="-5" w:right="4" w:firstLine="713"/>
      </w:pPr>
      <w:r>
        <w:t xml:space="preserve"> Na způsobilost osoby nekladl OZO v § 1453 zvláštní požadavky oproti obecným zásadám. Kdo byl obecně způsobilý nabývat, mohl nabývat vlastnictví či jiná práva vydržením. Z toho lze vyvodit, že vydržet mohla i právnická osoba. Držba a vydržení právnické osoby v OZO podrobně upraveny nebyly, avšak to proto, že v době vzniku OZO nebyly právnické osoby pro právní styk příliš důležité.</w:t>
      </w:r>
      <w:r>
        <w:rPr>
          <w:rStyle w:val="FootnoteReference"/>
        </w:rPr>
        <w:footnoteReference w:id="163"/>
      </w:r>
      <w:r>
        <w:rPr>
          <w:vertAlign w:val="superscript"/>
        </w:rPr>
        <w:t xml:space="preserve"> </w:t>
      </w:r>
      <w:r>
        <w:t>Následující ustanovení v § 1454 stanovilo, proti komu šlo vydržet. Vydržení v zásadě nebylo vyloučeno proti žádnému subjektu, avšak u některých (př. církve, obce, nepřítomní) OZO ztěžoval jeho podmínky, zejména prodloužením vydržecí doby. Způsobilým předmětem vydržení bylo vše, s čím bylo možné disponovat. Naopak nebylo možné vydržet věci, u nichž držbu neumožňoval zákon nebo jejich povaha, a práva a věci, které nebylo možné zcizit. V § 480 bylo výslovně předpokládáno vydržení jako jeden ze způsobů nabytí služebnosti. Tehdejší právní úprava na druhou stranu neumožňovala vydržet zástavní právo, pohledávky, dědické právo nebo právo stavby.</w:t>
      </w:r>
      <w:r>
        <w:rPr>
          <w:rStyle w:val="FootnoteReference"/>
        </w:rPr>
        <w:footnoteReference w:id="164"/>
      </w:r>
      <w:r>
        <w:t xml:space="preserve"> </w:t>
      </w:r>
      <w:r>
        <w:tab/>
        <w:t xml:space="preserve"> </w:t>
      </w:r>
      <w:r>
        <w:tab/>
        <w:t xml:space="preserve"> </w:t>
      </w:r>
      <w:r>
        <w:tab/>
        <w:t xml:space="preserve"> </w:t>
      </w:r>
    </w:p>
    <w:p w:rsidR="009D1F29" w:rsidRDefault="009D1F29" w:rsidP="00D721E3">
      <w:pPr>
        <w:ind w:left="-5" w:right="4" w:firstLine="713"/>
      </w:pPr>
      <w:r>
        <w:t xml:space="preserve"> Držba řádná či pořádná byla upravena v § 1461, a musela se zakládat na platném právním důvodu. Vydržení na základě domnělého neboli putativního důvodu, kdy se držitel pouze domníval, že mu titul svědčí, nebylo možné.</w:t>
      </w:r>
      <w:r>
        <w:rPr>
          <w:rStyle w:val="FootnoteReference"/>
        </w:rPr>
        <w:footnoteReference w:id="165"/>
      </w:r>
      <w:r>
        <w:t xml:space="preserve"> V obecných ustanoveních o držbě vyžadoval OZO pro řádnost držby jakýkoli důvod způsobilý k nabytí vlastnického práva. Ve zvláštní úpravě držby vedoucí k vydržení, ale titul držby zužoval na důvod, který by postačil </w:t>
      </w:r>
      <w:r>
        <w:br/>
        <w:t>k převzetí vlastnictví, pokud by náleželo převodci. Příkladem byl uváděn odkaz, darování, zápůjčka, koupě a prodej, směna či placení. Vydržení podle OZO tedy bylo možné pouze na základě derivativních důvodů, neboť jeho funkcí bylo zhojení nedostatku vlastnictví převodce. Pořádným držitelem byl v podstatě jen ten, kdo nabyl smlouvou o převodu vlastnictví od nevlastníka.</w:t>
      </w:r>
      <w:r>
        <w:rPr>
          <w:vertAlign w:val="superscript"/>
        </w:rPr>
        <w:footnoteReference w:id="166"/>
      </w:r>
      <w:r>
        <w:t xml:space="preserve"> Jestliže se někdo dovolával vlastnického práva k věci na základě vydržení, musel prokázat (s výjimkou mimořádného vydržení), že věc nabyl způsobem, </w:t>
      </w:r>
      <w:r>
        <w:br/>
        <w:t>s nímž právo jinak spojovalo nabytí vlastnického práva vydržením</w:t>
      </w:r>
      <w:r>
        <w:rPr>
          <w:vertAlign w:val="superscript"/>
        </w:rPr>
        <w:footnoteReference w:id="167"/>
      </w:r>
      <w:r>
        <w:t xml:space="preserve">     </w:t>
      </w:r>
    </w:p>
    <w:p w:rsidR="009D1F29" w:rsidRDefault="009D1F29">
      <w:pPr>
        <w:ind w:left="-5" w:right="4"/>
      </w:pPr>
      <w:r>
        <w:t xml:space="preserve"> </w:t>
      </w:r>
      <w:r>
        <w:tab/>
        <w:t xml:space="preserve">Držba poctivá neboli bezelstná byla upravena v § 1463. Poctivý držitel pokládal věc, kterou držel, z pravděpodobných důvodů za svou. Poctivá držba se tedy musela zakládat na přesvědčení, že držitel právo nabyl. OZO připouštěl omyl poctivého držitele, který byl omluvitelný. Naopak ten, kdo věděl nebo se musel domnívat, že věc je ve vlastnictví jiného, byl držitelem nepoctivým. V pochybnostech se dle § 328 mělo za to, že držba je poctivá. Podmínky poctivé držby bylo nutné splňovat po celou dobu potřebnou k vydržení. Jelikož měla dobrá víra subjektivní charakter, nebyla pro poctivého držitele překážkou nepoctivost jeho předchůdce a spolu s počátkem své poctivé držby mohl započít vydržení.   </w:t>
      </w:r>
    </w:p>
    <w:p w:rsidR="009D1F29" w:rsidRDefault="009D1F29" w:rsidP="00D6669F">
      <w:pPr>
        <w:ind w:left="-5" w:right="4" w:firstLine="713"/>
      </w:pPr>
      <w:r>
        <w:t xml:space="preserve"> Pravá držba byla upravena v § 1464, a byla to taková, která byla získána jinak než násilím, tajně nebo výprosou. Způsob nabytí držby souvisí s titulem, a proto je pravá držba spojována s držbou řádnou. Nepravá držba bránila ve vydržení univerzálním nabyvatelům, singulárním nikoliv.          </w:t>
      </w:r>
    </w:p>
    <w:p w:rsidR="009D1F29" w:rsidRDefault="009D1F29">
      <w:pPr>
        <w:ind w:left="-5" w:right="4"/>
      </w:pPr>
      <w:r>
        <w:t xml:space="preserve"> </w:t>
      </w:r>
      <w:r>
        <w:tab/>
        <w:t xml:space="preserve">Vydržení vždy nastane uplynutím zákonem stanoveného času. Vydržecí doba začíná běžet první den, kdy k nabytí držby došlo a končí uplynutím posledního dne vydržecí doby. OZO se zabýval vydržecí dobou v paragrafech 1465 až 1477. Přestože samotný zákon nepracoval s pojmy řádné a mimořádné vydržení, fakticky tak bylo vydržení děleno a odborná </w:t>
      </w:r>
    </w:p>
    <w:p w:rsidR="009D1F29" w:rsidRDefault="009D1F29">
      <w:pPr>
        <w:tabs>
          <w:tab w:val="center" w:pos="4957"/>
          <w:tab w:val="center" w:pos="5665"/>
          <w:tab w:val="center" w:pos="6373"/>
          <w:tab w:val="center" w:pos="7081"/>
          <w:tab w:val="center" w:pos="7790"/>
        </w:tabs>
        <w:spacing w:after="178" w:line="259" w:lineRule="auto"/>
        <w:ind w:left="-15" w:right="0" w:firstLine="0"/>
        <w:jc w:val="left"/>
      </w:pPr>
      <w:r>
        <w:t>veřejnost s tímto dělením běžně pracovala.</w:t>
      </w:r>
      <w:r>
        <w:rPr>
          <w:vertAlign w:val="superscript"/>
        </w:rPr>
        <w:footnoteReference w:id="168"/>
      </w:r>
      <w:r>
        <w:t xml:space="preserve">  </w:t>
      </w:r>
      <w:r>
        <w:tab/>
        <w:t xml:space="preserve"> </w:t>
      </w:r>
      <w:r>
        <w:tab/>
        <w:t xml:space="preserve"> </w:t>
      </w:r>
      <w:r>
        <w:tab/>
        <w:t xml:space="preserve"> </w:t>
      </w:r>
      <w:r>
        <w:tab/>
        <w:t xml:space="preserve"> </w:t>
      </w:r>
      <w:r>
        <w:tab/>
        <w:t xml:space="preserve"> </w:t>
      </w:r>
    </w:p>
    <w:p w:rsidR="009D1F29" w:rsidRDefault="009D1F29">
      <w:pPr>
        <w:ind w:left="-5" w:right="4"/>
      </w:pPr>
      <w:r>
        <w:t xml:space="preserve"> </w:t>
      </w:r>
      <w:r>
        <w:tab/>
        <w:t xml:space="preserve">Řádné vydržení mohlo být buď s řádnou vydržecí dobou, kde OZO stanovoval pro vydržení movitostí uplynutí tří let (§ 1466) a třicet let pro věci nemovité (§ 1468), či </w:t>
      </w:r>
      <w:r>
        <w:br/>
        <w:t xml:space="preserve">s mimořádnou vydržecí dobou. Ta byla spjata s výše zmíněnými zvláštními případy vydržení (církve, obce, nepřítomní), kdy k vydržení movitosti bylo potřeba šestileté držby a k vydržení nemovitostí bylo třeba čtyřicetileté držby. Dále existovalo mimořádné vydržení, na jehož základě stačilo k získání vlastnického práva pouze držet v dobré víře, avšak po delší vydržecí lhůtu (obecně třicet let, u právnických osob čtyřicet let). Ovšem je nutno dodat, že </w:t>
      </w:r>
      <w:r>
        <w:br/>
        <w:t>i u mimořádného vydržení se musela držba opírat o právní titul, byť domnělý.</w:t>
      </w:r>
      <w:r>
        <w:rPr>
          <w:vertAlign w:val="superscript"/>
        </w:rPr>
        <w:footnoteReference w:id="169"/>
      </w:r>
      <w:r>
        <w:t xml:space="preserve">     </w:t>
      </w:r>
    </w:p>
    <w:p w:rsidR="009D1F29" w:rsidRDefault="009D1F29" w:rsidP="00C87C80">
      <w:pPr>
        <w:ind w:left="-5" w:right="4" w:firstLine="713"/>
      </w:pPr>
      <w:r>
        <w:t xml:space="preserve">Ustanovení § 1493 upravovalo započtení času držby univerzálního i singulárního právního předchůdce. Předchůdce mohl být přímý i vzdálenější. V případě řádného vydržení musel mít předchůdce kvalifikovanou držbu, v případě mimořádného vydržení nikoliv </w:t>
      </w:r>
      <w:r>
        <w:br/>
        <w:t xml:space="preserve">a držitel si tak mohl započíst předchůdcovu držbu ke své vlastní. Ten, kdo si chtěl ke své vydržecí době započíst držbu předchůdce, musel být vždy jeho právním nástupcem.   </w:t>
      </w:r>
    </w:p>
    <w:p w:rsidR="009D1F29" w:rsidRDefault="009D1F29" w:rsidP="00C87C80">
      <w:pPr>
        <w:ind w:left="-5" w:right="4" w:firstLine="713"/>
      </w:pPr>
      <w:r>
        <w:t xml:space="preserve"> Přetržení držby mělo za následek, že se musela vydržecí lhůta započítávat opět od začátku, i přestože držba splňovala další náležitosti směřující k vydržení. Přetržení nastávalo v případě ztráty držby, podáním vlastnické žaloby, které bylo následně vyhověno, uznáním vlastnického práva jiného k předmětu vydržení či knihovním převodem.   </w:t>
      </w:r>
    </w:p>
    <w:p w:rsidR="009D1F29" w:rsidRDefault="009D1F29">
      <w:pPr>
        <w:spacing w:after="161"/>
        <w:ind w:left="-5" w:right="4"/>
      </w:pPr>
      <w:r>
        <w:t xml:space="preserve"> </w:t>
      </w:r>
      <w:r>
        <w:tab/>
        <w:t xml:space="preserve">Stavění vydržení způsobovalo zase to, že vydržecí doba po trvání určité skutečnosti neběžela, ale po odpadnutí překážky se vydržecí čas opět počítal. Sčítaly se tedy dřívější čas </w:t>
      </w:r>
      <w:r>
        <w:br/>
        <w:t xml:space="preserve">s pozdějším časem a oba tyto úseky se považovaly za jediný celek. K možným příčinám, které měly za následek stavění vydržení, patřila duševní porucha, manželský svazek, nezletilost, válka, mor či nepřítomnost vlastníka. </w:t>
      </w:r>
    </w:p>
    <w:p w:rsidR="009D1F29" w:rsidRDefault="009D1F29">
      <w:pPr>
        <w:pStyle w:val="Heading3"/>
        <w:ind w:left="693" w:hanging="708"/>
      </w:pPr>
      <w:bookmarkStart w:id="31" w:name="_Toc512979312"/>
      <w:bookmarkStart w:id="32" w:name="_Toc512979818"/>
      <w:r>
        <w:t>Vydržení v občanském zákoníku z roku 1950</w:t>
      </w:r>
      <w:bookmarkEnd w:id="31"/>
      <w:bookmarkEnd w:id="32"/>
      <w:r>
        <w:t xml:space="preserve"> </w:t>
      </w:r>
    </w:p>
    <w:p w:rsidR="009D1F29" w:rsidRDefault="009D1F29">
      <w:pPr>
        <w:spacing w:after="179" w:line="259" w:lineRule="auto"/>
        <w:ind w:left="0" w:right="0" w:firstLine="0"/>
        <w:jc w:val="left"/>
      </w:pPr>
      <w:r>
        <w:t xml:space="preserve"> </w:t>
      </w:r>
    </w:p>
    <w:p w:rsidR="009D1F29" w:rsidRDefault="009D1F29">
      <w:pPr>
        <w:ind w:left="-15" w:right="4" w:firstLine="708"/>
      </w:pPr>
      <w:r>
        <w:t xml:space="preserve">Úprava vydržení se nacházela ve třetí části OZ/50, věnující se úpravě věcných práv, přesněji v § 115 až § 118, a byla řazena vedle dalších způsobů nabytí vlastnického práva. Držba byla pak upravena v § 143 až § 154. Došlo k ovlivnění tohoto institutu komunistickou ideologií a byly zaváděny změny, které předchozí právní úprava vycházející z římskoprávní tradice neznala.           </w:t>
      </w:r>
    </w:p>
    <w:p w:rsidR="009D1F29" w:rsidRDefault="009D1F29" w:rsidP="00C87C80">
      <w:pPr>
        <w:ind w:left="-5" w:right="4" w:firstLine="698"/>
      </w:pPr>
      <w:r>
        <w:t xml:space="preserve"> Jednou z nejdůležitějších změn bylo rozdělení vlastnictví na různé druhy. Rozdělení vlastnictví mělo důležitý vliv právě i pro úpravu institutu vydržení. Hned v prvním paragrafu týkajícím se vydržení, se říkalo, že „</w:t>
      </w:r>
      <w:r>
        <w:rPr>
          <w:i/>
        </w:rPr>
        <w:t xml:space="preserve">vydržením lze nabýt vlastnického práva, nejde-li </w:t>
      </w:r>
      <w:r>
        <w:rPr>
          <w:i/>
        </w:rPr>
        <w:br/>
        <w:t>o nezcizitelné věci, které jsou v socialistickém vlastnictví“.</w:t>
      </w:r>
      <w:r>
        <w:t xml:space="preserve"> Vydržet proti socialistickému vlastníkovi tedy nemohl ani jiný socialistický vlastník.</w:t>
      </w:r>
      <w:r>
        <w:rPr>
          <w:vertAlign w:val="superscript"/>
        </w:rPr>
        <w:footnoteReference w:id="170"/>
      </w:r>
      <w:r>
        <w:t xml:space="preserve"> Věci patřící do osobního či soukromého vlastnictví oprávněným držitelem být vydrženy mohly. Pokud byl oprávněný držitel socialistickým vlastníkem, staly se věci předmětem socialistického vlastnictví. Úmyslem zákonodárce bylo, aby stát a družstva nemohla přicházet o majetek, který by tak přecházel do osobního či soukromého vlastnictví.</w:t>
      </w:r>
      <w:r>
        <w:rPr>
          <w:vertAlign w:val="superscript"/>
        </w:rPr>
        <w:footnoteReference w:id="171"/>
      </w:r>
      <w:r>
        <w:t xml:space="preserve">       </w:t>
      </w:r>
    </w:p>
    <w:p w:rsidR="009D1F29" w:rsidRDefault="009D1F29" w:rsidP="00C87C80">
      <w:pPr>
        <w:ind w:left="-5" w:right="4" w:firstLine="698"/>
      </w:pPr>
      <w:r>
        <w:t xml:space="preserve"> Další podmínkou nutnou pro vydržení bylo splnění vydržecí doby, ta byla stanovena na tři léta u movitostí a deset u nemovitostí. Zkrácením vydržecí doby oproti úpravě dřívější reagoval zákonodárce na zrychlený hospodářský vývoj.  Tato změna měla pozitivní praktický dopad, jelikož tím v mnoha případech vlastnických vztahů vymizely dřívější nejasnosti, což dokládá rozsudek NS: </w:t>
      </w:r>
      <w:r>
        <w:rPr>
          <w:i/>
        </w:rPr>
        <w:t>„Pokud byla v době, kdy vlastnictví k nemovitosti přecházelo již na základě samotné smlouvy, uzavřena smlouva o převodu nemovitosti, která se nedochovala, lze její existenci prokázat i nepřímými důkazy. Při tom je třeba přihlížet také k chování účastníků po uzavření tvrzené smlouvy.“</w:t>
      </w:r>
      <w:r>
        <w:rPr>
          <w:rStyle w:val="FootnoteReference"/>
        </w:rPr>
        <w:footnoteReference w:id="172"/>
      </w:r>
    </w:p>
    <w:p w:rsidR="009D1F29" w:rsidRDefault="009D1F29" w:rsidP="00C87C80">
      <w:pPr>
        <w:ind w:left="-15" w:right="4" w:firstLine="708"/>
      </w:pPr>
      <w:r>
        <w:t>Zákon dále říká, že „</w:t>
      </w:r>
      <w:r>
        <w:rPr>
          <w:i/>
        </w:rPr>
        <w:t>kdo nabude oprávněné držby od držitele oprávněného, může si započíst vydržecí dobu předchůdcovu“.</w:t>
      </w:r>
      <w:r>
        <w:t xml:space="preserve">  Zde bych se pozastavil nad termínem oprávněné držby. Došlo ke změně oproti předchozí právní úpravě, která rozlišovala držbu na pořádnou, poctivou a pravou, kterou zákonodárce považoval za těžkopádnou. Ta byla nahrazena rozlišením pouze na držbu oprávněnou a neoprávněnou. Oprávněná byla taková držba, kdy držitel vzhledem ke všem okolnostem byl po celou dobu vydržení v dobré víře, že mu věc nebo právo náleží. Oprávněný držitel měl pak stejná práva jako vlastník. Důležité je poznamenat, že nestačilo pouze subjektivní přesvědčení o vlastnictví věci, ale dobrá víra se posuzovala vzhledem ke všem okolnostem, z čehož plyne objektivní hledisko dobré víry. To, zda se jednalo o držbu oprávněnou či neoprávněnou, mělo zásadní význam pro vydržení, protože vydržet mohl jen oprávněný držitel. Dále také pro ochranu držby, protože jen oprávněná držba mohla být chráněna žalobou proti neoprávněnému zásahu či rušení držby. </w:t>
      </w:r>
      <w:r>
        <w:br/>
        <w:t>A konečně toto rozlišení bylo důležité pro vypořádání se s vlastníkem, jelikož vlastník věci měl právo žádat vydání věci od každého držitele, s výjimkou případu vydržení věci oprávněným držitelem. Co se týče samotného vypořádání mezi držitelem a vlastníkem, to se lišilo v rozsahu náhrady nákladů podle toho, zda držba byla oprávněná či nikoli.</w:t>
      </w:r>
      <w:r>
        <w:rPr>
          <w:vertAlign w:val="superscript"/>
        </w:rPr>
        <w:footnoteReference w:id="173"/>
      </w:r>
      <w:r>
        <w:t xml:space="preserve"> </w:t>
      </w:r>
      <w:r>
        <w:tab/>
        <w:t xml:space="preserve"> </w:t>
      </w:r>
      <w:r>
        <w:tab/>
      </w:r>
      <w:r>
        <w:tab/>
        <w:t>Ustanovení § 118 stanovovalo, že „</w:t>
      </w:r>
      <w:r>
        <w:rPr>
          <w:i/>
        </w:rPr>
        <w:t xml:space="preserve">o vydržení práva vlastnického platí obdobně </w:t>
      </w:r>
      <w:r>
        <w:rPr>
          <w:i/>
        </w:rPr>
        <w:br/>
        <w:t>o vydržení jiných práv věcných.“.</w:t>
      </w:r>
      <w:r>
        <w:t xml:space="preserve"> To odkazovalo na tzv. </w:t>
      </w:r>
      <w:r>
        <w:rPr>
          <w:i/>
        </w:rPr>
        <w:t>věcná břemena</w:t>
      </w:r>
      <w:r>
        <w:t xml:space="preserve">, která představovala nový právní institut nahrazující služebnosti a reálná břemena, a byla rozlišována podle toho, zda práva jim odpovídající byla spojena s vlastnictvím určité nemovitosti či zda svědčila určité osobě. </w:t>
      </w:r>
      <w:r>
        <w:tab/>
      </w:r>
      <w:r>
        <w:tab/>
      </w:r>
      <w:r>
        <w:tab/>
      </w:r>
      <w:r>
        <w:tab/>
      </w:r>
      <w:r>
        <w:tab/>
      </w:r>
      <w:r>
        <w:tab/>
      </w:r>
      <w:r>
        <w:tab/>
      </w:r>
      <w:r>
        <w:tab/>
      </w:r>
      <w:r>
        <w:tab/>
      </w:r>
      <w:r>
        <w:tab/>
      </w:r>
      <w:r>
        <w:tab/>
      </w:r>
      <w:r>
        <w:tab/>
      </w:r>
      <w:r>
        <w:tab/>
        <w:t xml:space="preserve">OZ/50 tedy pro vydržení vyžadoval předmět, který byl ve vlastnictví osobním či soukromém, oprávněnou držbu, která trvala po celou vydržecí dobu a uplynutí vydržecí doby, a to tříleté pro věci movité a desetileté pro nemovité. </w:t>
      </w:r>
    </w:p>
    <w:p w:rsidR="009D1F29" w:rsidRDefault="009D1F29">
      <w:pPr>
        <w:pStyle w:val="Heading3"/>
        <w:ind w:left="693" w:hanging="708"/>
      </w:pPr>
      <w:bookmarkStart w:id="33" w:name="_Toc512979313"/>
      <w:bookmarkStart w:id="34" w:name="_Toc512979819"/>
      <w:r>
        <w:t>Vydržení v občanském zákoníku z roku 1964</w:t>
      </w:r>
      <w:bookmarkEnd w:id="33"/>
      <w:bookmarkEnd w:id="34"/>
      <w:r>
        <w:t xml:space="preserve"> </w:t>
      </w:r>
    </w:p>
    <w:p w:rsidR="009D1F29" w:rsidRDefault="009D1F29">
      <w:pPr>
        <w:spacing w:after="177" w:line="259" w:lineRule="auto"/>
        <w:ind w:left="0" w:right="0" w:firstLine="0"/>
        <w:jc w:val="left"/>
      </w:pPr>
      <w:r>
        <w:t xml:space="preserve"> </w:t>
      </w:r>
    </w:p>
    <w:p w:rsidR="009D1F29" w:rsidRDefault="009D1F29" w:rsidP="009E1A17">
      <w:pPr>
        <w:spacing w:after="180"/>
        <w:ind w:left="-15" w:right="4" w:firstLine="708"/>
      </w:pPr>
      <w:r>
        <w:t xml:space="preserve">Institut vydržení prošel za dobu platnosti OZ/64 mnoha zásadními změnami. Jak jsem uvedl již výše, až do novely č. 131/1982 Sb., OZ/64 držbu, a tudíž ani vydržení, vůbec neupravoval. Důvodová zpráva k odstranění vydržení uvedla, že tento institut je v rozporu </w:t>
      </w:r>
      <w:r>
        <w:br/>
        <w:t>s pravidly socialistického soužití, když je na vlastníka příliš tvrdý, a částečně omezuje jeho ústavní právo na ochranu vlastnictví.</w:t>
      </w:r>
      <w:r>
        <w:rPr>
          <w:rStyle w:val="FootnoteReference"/>
        </w:rPr>
        <w:footnoteReference w:id="174"/>
      </w:r>
      <w:r>
        <w:t xml:space="preserve"> Úprava vydržení nicméně byla zakotvena v zákoníku mezinárodního obchodu č. 101/1963 Sb., když bylo nutno i přes odlišný ideologický náhled respektovat pravidla zahraničního obchodu. Podle této úpravy muselo k vydržení dojít oprávněnou držbou trvající tři roky.</w:t>
      </w:r>
      <w:r>
        <w:rPr>
          <w:vertAlign w:val="superscript"/>
        </w:rPr>
        <w:footnoteReference w:id="175"/>
      </w:r>
      <w:r>
        <w:t xml:space="preserve"> </w:t>
      </w:r>
      <w:r>
        <w:tab/>
        <w:t xml:space="preserve"> </w:t>
      </w:r>
      <w:r>
        <w:tab/>
        <w:t xml:space="preserve"> </w:t>
      </w:r>
      <w:r>
        <w:tab/>
        <w:t xml:space="preserve"> </w:t>
      </w:r>
      <w:r>
        <w:tab/>
        <w:t xml:space="preserve"> </w:t>
      </w:r>
      <w:r>
        <w:tab/>
        <w:t xml:space="preserve"> </w:t>
      </w:r>
      <w:r>
        <w:tab/>
      </w:r>
      <w:r>
        <w:tab/>
      </w:r>
      <w:r>
        <w:tab/>
      </w:r>
      <w:r>
        <w:tab/>
        <w:t xml:space="preserve"> Absence vydržení se ovšem ukázala jako neudržitelnou, a tak došlo novelou OZ/64  </w:t>
      </w:r>
      <w:r>
        <w:br/>
        <w:t>č. 131/1982 Sb., s účinností k 1. dubnu 1983 k opětovnému návratu držby, respektive vydržení, do občanského zákoníku a to v §132a, respektive § 135a.</w:t>
      </w:r>
      <w:r>
        <w:rPr>
          <w:vertAlign w:val="superscript"/>
        </w:rPr>
        <w:footnoteReference w:id="176"/>
      </w:r>
      <w:r>
        <w:t xml:space="preserve"> Přestože praxe ukázala potřebnost existence vydržení v občanském zákoníku, zákonodárce ho ukotvil ve značně zredukované podobě, která mohla přinést jen částečné řešení problému. Stát a socialistické </w:t>
      </w:r>
      <w:r>
        <w:br/>
        <w:t>i nesocialistické organizace byly z vydržení vyloučeny. Vydržitelem mohl být pouze občan. Objektem vydržení mohla být pouze věc v osobním vlastnictví, sloužící k osobní a rodinné spotřebě občanů. Nešlo tedy vydržet vlastnické právo ke stavbám, které měly výrobní charakter, jakožto k činžovním domům či hospodářským stavbám patřícím do vlastnictví soukromého.</w:t>
      </w:r>
      <w:r>
        <w:rPr>
          <w:vertAlign w:val="superscript"/>
        </w:rPr>
        <w:footnoteReference w:id="177"/>
      </w:r>
      <w:r>
        <w:t xml:space="preserve"> Co se týče pozemků, ty patřily také do vlastnictví soukromého, u něhož vydržení nebylo přípustné. Výjimkou byly pozemky úzce spojené s osobním vlastnictvím staveb, které sloužily výhradně osobní potřebě občana a jeho rodiny. Zákon v § 135a odst. 2 stanovil, že „</w:t>
      </w:r>
      <w:r>
        <w:rPr>
          <w:i/>
        </w:rPr>
        <w:t xml:space="preserve">jde-li o pozemek nebo jeho část, který má občan nepřetržitě v držbě po dobu deseti let a k němuž by jinak mohlo být zřízeno právo osobního užívání, nabývá vlastnictví </w:t>
      </w:r>
      <w:r>
        <w:rPr>
          <w:i/>
        </w:rPr>
        <w:br/>
        <w:t xml:space="preserve">k pozemku nebo jeho části stát; občan nabývá právo, aby s ním byla uzavřena dohoda </w:t>
      </w:r>
      <w:r>
        <w:rPr>
          <w:i/>
        </w:rPr>
        <w:br/>
        <w:t xml:space="preserve">o osobním užívání pozemku v rozsahu uvedeném v § 200“. </w:t>
      </w:r>
      <w:r>
        <w:t>Nešlo tedy přímo o vydržení výše zmíněných pozemků, ale o vydržení práva na zřízení osobního užívání pozemku.</w:t>
      </w:r>
      <w:r>
        <w:rPr>
          <w:vertAlign w:val="superscript"/>
        </w:rPr>
        <w:footnoteReference w:id="178"/>
      </w:r>
      <w:r>
        <w:t xml:space="preserve"> Institut osobního užívání byl kompromisem respektujícím ideologický zákaz vlastnictví potencionálního výrobního prostředku občanem a potřebou občana nějakým právně závazným způsobem ošetřit užívání pozemků, které byly bezprostředně spojeny s jeho osobním vlastnictvím ke stavbám na nich stojícím</w:t>
      </w:r>
      <w:r>
        <w:rPr>
          <w:color w:val="444444"/>
        </w:rPr>
        <w:t>.</w:t>
      </w:r>
      <w:r>
        <w:rPr>
          <w:color w:val="444444"/>
          <w:vertAlign w:val="superscript"/>
        </w:rPr>
        <w:footnoteReference w:id="179"/>
      </w:r>
      <w:r>
        <w:rPr>
          <w:color w:val="444444"/>
        </w:rPr>
        <w:t xml:space="preserve"> </w:t>
      </w:r>
      <w:r>
        <w:t xml:space="preserve">Ustanovení § 199 a § 200 uváděly další restrikce, které pozemky musely splňovat, aby mohlo dojít ke zřízení práva osobního užívání občanovi. Muselo jít o pozemek určený podle územního plánu nebo územního rozhodnutí k výstavbě rodinných domků, rekreačních chat, garáží nebo ke zřizování zahrádek a musel splňovat limity maximální výměry.        </w:t>
      </w:r>
      <w:r>
        <w:tab/>
      </w:r>
      <w:r>
        <w:tab/>
      </w:r>
      <w:r>
        <w:tab/>
      </w:r>
      <w:r>
        <w:tab/>
      </w:r>
      <w:r>
        <w:tab/>
      </w:r>
      <w:r>
        <w:tab/>
      </w:r>
      <w:r>
        <w:tab/>
      </w:r>
      <w:r>
        <w:tab/>
      </w:r>
      <w:r>
        <w:tab/>
      </w:r>
      <w:r>
        <w:tab/>
        <w:t xml:space="preserve">Obecně tedy lze říci, že OZ/64 po novele č. 131/1982 Sb., pro vydržení vyžadoval předmět, který byl ve vlastnictví osobním, oprávněnou držbu, která trvala po celou vydržecí dobu a uplynutí vydržecí doby, a to tříleté pro věci movité a desetileté pro nemovité.  </w:t>
      </w:r>
      <w:r>
        <w:tab/>
      </w:r>
      <w:r>
        <w:tab/>
      </w:r>
      <w:r>
        <w:tab/>
        <w:t xml:space="preserve">Výrazné změny právní úpravy, které následovaly po pádu komunistického režimu, se dotkly také úpravy institutu vydržení. Zásadní změnu přinesla novela provedená zákonem </w:t>
      </w:r>
      <w:r>
        <w:br/>
        <w:t>č. 509/1991 Sb., účinná od 1. 1. 1992. Vydržení bylo upraveno v § 134 odst. 1, kde se psalo, že „</w:t>
      </w:r>
      <w:r>
        <w:rPr>
          <w:i/>
        </w:rPr>
        <w:t>oprávněný držitel se stává vlastníkem věci, má-li ji nepřetržitě v držbě po dobu tří let, jde-li o movitost, a po dobu deseti let, jde-li o nemovitost</w:t>
      </w:r>
      <w:r>
        <w:t>“. Úprava oprávněného držitele pak byla upravena v § 132 odst. 1, kdy oprávněný držitel je takový</w:t>
      </w:r>
      <w:r>
        <w:rPr>
          <w:i/>
        </w:rPr>
        <w:t>, „je-li se zřetelem ke všem okolnostem v dobré víře o tom, že mu věc nebo právo patří“.</w:t>
      </w:r>
      <w:r>
        <w:t xml:space="preserve">  Z dané úpravy tedy vyplývaly mnohé změny, které odstraňovaly dřívější omezení. Jak říkala důvodová zpráva k zákonu </w:t>
      </w:r>
      <w:r>
        <w:br/>
        <w:t xml:space="preserve">č. 509/1991 Sb., na základě ústavního zákona č. 100/1990 Sb., byly zrušeny jednotlivé typy vlastnictví, čímž vymizela možnost uplatňovat vydržení jen pro určitý typ, dále byla opuštěna komplikovaná koncepce nabývání vlastnického práva k určitým pozemkům vydržením přes zřízení osobního užívání pozemků. S existencí institutu osobního užívání pozemků se již dále nepočítalo, vydržet šlo i pozemky, a to nezávisle na výměře či určení. Co se týče subjektů vydržení, vydržet mohly již i právnické osoby a stát. Jedinou výjimku z osob způsobilých </w:t>
      </w:r>
      <w:r>
        <w:br/>
        <w:t>k nabývání vlastnického práva, která nemohla vydržet, byl u nemovitostí cizozemec, který nebyl občanem České republiky, a nesplnil podmínky uvedené v § 17 zákona č. 219/1995 Sb., devizový zákon.</w:t>
      </w:r>
      <w:r>
        <w:rPr>
          <w:vertAlign w:val="superscript"/>
        </w:rPr>
        <w:footnoteReference w:id="180"/>
      </w:r>
      <w:r>
        <w:t xml:space="preserve"> Zákonná úprava z možnosti vydržení vyjmula pouze věci, ke kterým nelze nabýt vlastnické právo nebo věci, které mohou být jen ve vlastnictví státu nebo zákonem stanovených právnickým osob. </w:t>
      </w:r>
      <w:r>
        <w:tab/>
      </w:r>
      <w:r>
        <w:tab/>
      </w:r>
      <w:r>
        <w:tab/>
      </w:r>
      <w:r>
        <w:tab/>
      </w:r>
      <w:r>
        <w:tab/>
      </w:r>
      <w:r>
        <w:tab/>
      </w:r>
      <w:r>
        <w:tab/>
      </w:r>
      <w:r>
        <w:tab/>
      </w:r>
      <w:r>
        <w:tab/>
      </w:r>
      <w:r>
        <w:tab/>
        <w:t xml:space="preserve">Na základě výše zmíněného výčtu změn lze říci, že právní úprava se vrátila </w:t>
      </w:r>
      <w:r>
        <w:br/>
        <w:t xml:space="preserve">k tradičnímu pojetí vydržení v demokratických právních řádech, kde všichni vlastníci jsou chráněni stejně a vlastnické právo všech vlastníků má stejný obsah. </w:t>
      </w:r>
    </w:p>
    <w:p w:rsidR="009D1F29" w:rsidRDefault="009D1F29">
      <w:pPr>
        <w:pStyle w:val="Heading3"/>
        <w:ind w:left="693" w:hanging="708"/>
      </w:pPr>
      <w:bookmarkStart w:id="35" w:name="_Toc512979314"/>
      <w:bookmarkStart w:id="36" w:name="_Toc512979820"/>
      <w:r>
        <w:t>Vydržení v občanském zákoníku</w:t>
      </w:r>
      <w:bookmarkEnd w:id="35"/>
      <w:bookmarkEnd w:id="36"/>
      <w:r>
        <w:t xml:space="preserve">  </w:t>
      </w:r>
    </w:p>
    <w:p w:rsidR="009D1F29" w:rsidRDefault="009D1F29">
      <w:pPr>
        <w:spacing w:after="184" w:line="259" w:lineRule="auto"/>
        <w:ind w:left="0" w:right="0" w:firstLine="0"/>
        <w:jc w:val="left"/>
      </w:pPr>
      <w:r>
        <w:t xml:space="preserve"> </w:t>
      </w:r>
    </w:p>
    <w:p w:rsidR="009D1F29" w:rsidRDefault="009D1F29">
      <w:pPr>
        <w:ind w:left="-15" w:right="4" w:firstLine="708"/>
      </w:pPr>
      <w:r>
        <w:t xml:space="preserve">Pro úplnost doplňuji vývoj institutu vydržení až do současné právní úpravy, především se zaměřením na změny oproti dřívější úpravě.  </w:t>
      </w:r>
      <w:r>
        <w:tab/>
        <w:t xml:space="preserve"> </w:t>
      </w:r>
      <w:r>
        <w:tab/>
        <w:t xml:space="preserve"> </w:t>
      </w:r>
      <w:r>
        <w:tab/>
        <w:t xml:space="preserve"> </w:t>
      </w:r>
      <w:r>
        <w:tab/>
        <w:t xml:space="preserve"> </w:t>
      </w:r>
    </w:p>
    <w:p w:rsidR="009D1F29" w:rsidRDefault="009D1F29">
      <w:pPr>
        <w:spacing w:after="34"/>
        <w:ind w:left="-5" w:right="4"/>
      </w:pPr>
      <w:r>
        <w:t xml:space="preserve"> </w:t>
      </w:r>
      <w:r>
        <w:tab/>
        <w:t xml:space="preserve">Úprava vydržení je podrobnější a je obsažena v § 1089 až § 1098. Držba je upravena </w:t>
      </w:r>
      <w:r>
        <w:br/>
        <w:t>v § 987 až § 1010. Co se týče držby, opouští OZ koncepci držby věci a přichází s držbou práva (vlastnického)</w:t>
      </w:r>
      <w:r>
        <w:rPr>
          <w:vertAlign w:val="superscript"/>
        </w:rPr>
        <w:footnoteReference w:id="181"/>
      </w:r>
      <w:r>
        <w:t xml:space="preserve">, které je nadřazeno dřívějším souřadným pojmům držba věci a držba práva. Předmětem vlastnictví jsou jak věci hmotné, tak nehmotné. Aby mohlo </w:t>
      </w:r>
      <w:r>
        <w:br/>
        <w:t xml:space="preserve">dojít k vydržení, musí být splněno několik podmínek. Kromě nepřetržitosti držby, trvající </w:t>
      </w:r>
      <w:r>
        <w:br/>
        <w:t xml:space="preserve">u movitostí tři léta a u nemovitostí deset let, musí být držba řádná, poctivá a pravá. Řádná je taková držba, která se zakládá na platném právním důvodu. To je změna oproti dřívější právní úpravě, kdy postačila držba oprávněná, tedy mohlo dojít k vydržení i na základě omluvitelného omylu o existenci práva, tzv. </w:t>
      </w:r>
      <w:r>
        <w:rPr>
          <w:i/>
        </w:rPr>
        <w:t>putativního titulu</w:t>
      </w:r>
      <w:r>
        <w:t xml:space="preserve">. Poctivá je taková držba, kdy držitel má z přesvědčivého důvodu za to, že mu náleží právo, které vykonává. Jde tedy </w:t>
      </w:r>
      <w:r>
        <w:br/>
        <w:t>o subjektivní dobrou víru o náležitosti práva. Pravá je taková držba, u které se neprokáže</w:t>
      </w:r>
      <w:r>
        <w:rPr>
          <w:b/>
          <w:color w:val="444444"/>
        </w:rPr>
        <w:t xml:space="preserve">, </w:t>
      </w:r>
      <w:r>
        <w:t>že se někdo vetřel v držbu svémocně nebo že se v ni vloudil potajmu nebo lstí, anebo že někdo usiluje proměnit v trvalé právo to, co mu bylo povoleno jen výprosou. Jde o zvláštní případ nepoctivé držby, zejména o případy, kdy držitel nabyl držbu násilím, se kterou jsou spojeny přísnější následky.</w:t>
      </w:r>
      <w:r>
        <w:rPr>
          <w:vertAlign w:val="superscript"/>
        </w:rPr>
        <w:footnoteReference w:id="182"/>
      </w:r>
      <w:r>
        <w:t xml:space="preserve">    </w:t>
      </w:r>
    </w:p>
    <w:p w:rsidR="009D1F29" w:rsidRDefault="009D1F29">
      <w:pPr>
        <w:ind w:left="-5" w:right="4"/>
      </w:pPr>
      <w:r>
        <w:t xml:space="preserve"> </w:t>
      </w:r>
      <w:r>
        <w:tab/>
        <w:t>Co se týče samotného vydržení, jeho základ je stanoven v § 1089 odst. 1, kdy „</w:t>
      </w:r>
      <w:r>
        <w:rPr>
          <w:i/>
        </w:rPr>
        <w:t>drží-li poctivý držitel vlastnické právo po určenou dobu, vydrží je a nabude věc do vlastnictví“</w:t>
      </w:r>
      <w:r>
        <w:t xml:space="preserve">. </w:t>
      </w:r>
      <w:r>
        <w:br/>
        <w:t xml:space="preserve">§ 1090 odst. 1 pak dále doplňuje, že </w:t>
      </w:r>
      <w:r>
        <w:rPr>
          <w:i/>
        </w:rPr>
        <w:t>„k vydržení se vyžaduje, aby se držba zakládala na právním důvodu, který by postačil ke vzniku vlastnického práva, pokud by náleželo převodci nebo kdyby bylo zřízeno oprávněnou osobou“</w:t>
      </w:r>
      <w:r>
        <w:t xml:space="preserve">. Velkou změnu přináší OZ v podobě institutu tzv. </w:t>
      </w:r>
      <w:r>
        <w:rPr>
          <w:i/>
        </w:rPr>
        <w:t>mimořádného vydržení</w:t>
      </w:r>
      <w:r>
        <w:t xml:space="preserve">, upraveného v § 1095 </w:t>
      </w:r>
      <w:r>
        <w:rPr>
          <w:i/>
        </w:rPr>
        <w:t>„uplyne-li doba dvojnásobně dlouhá, než jaké by bylo jinak zapotřebí, vydrží držitel vlastnické právo, i když neprokáže právní důvod, na kterém se jeho držba zakládá. To neplatí, pokud se mu prokáže nepoctivý úmysl“.</w:t>
      </w:r>
      <w:r>
        <w:t xml:space="preserve"> V daném případě není vyžadován právní titul, tedy držba nemusí být řádná a pravá, avšak musí být poctivá. Podle Spáčila není myšlena poctivost ve smyslu úpravy poctivé držby v OZ, protože nepoctivým držitelem je i ten, kdo z nedbalosti neví, že není subjektem práva.</w:t>
      </w:r>
      <w:r>
        <w:rPr>
          <w:rStyle w:val="FootnoteReference"/>
        </w:rPr>
        <w:footnoteReference w:id="183"/>
      </w:r>
      <w:r>
        <w:t xml:space="preserve">  Záměrem zákonodárce bylo na základě tohoto institutu vyřešit některé dlouhodobé problematické kauzy a propůjčit ochranu právům, u nichž je jejich původ pochybný nebo sporný, ale tvrzené nebo domnělé vlastnictví trvá dlouhou dobu.       </w:t>
      </w:r>
    </w:p>
    <w:p w:rsidR="009D1F29" w:rsidRDefault="009D1F29">
      <w:pPr>
        <w:spacing w:after="127"/>
        <w:ind w:left="-5" w:right="4"/>
      </w:pPr>
      <w:r>
        <w:t xml:space="preserve"> </w:t>
      </w:r>
      <w:r>
        <w:tab/>
        <w:t xml:space="preserve">Na základě výše uvedených skutečností se domnívám, že vlastníka chránilo více socialistické právo, protože dnes i za účinnosti OZO šlo nabýt vlastnictví, i pokud jsme neprokázali titul, a to přes institut mimořádného vydržení, přičemž doby nutné k takovému vydržení mi dnes nepřipadají příliš dlouhé. Podle socialistické úpravy sice šlo nabýt vlastnictví také bez právního titulu, ale jen za podmínky objektivní dobré víry držitele. Dnes postačuje, aby nebyl prokázán nepoctivý úmysl. </w:t>
      </w:r>
    </w:p>
    <w:p w:rsidR="009D1F29" w:rsidRDefault="009D1F29">
      <w:pPr>
        <w:spacing w:after="0" w:line="259" w:lineRule="auto"/>
        <w:ind w:left="708" w:right="0" w:firstLine="0"/>
        <w:jc w:val="left"/>
      </w:pPr>
      <w:r>
        <w:t xml:space="preserve"> </w:t>
      </w:r>
    </w:p>
    <w:p w:rsidR="009D1F29" w:rsidRDefault="009D1F29">
      <w:pPr>
        <w:pStyle w:val="Heading2"/>
        <w:ind w:left="693" w:hanging="708"/>
      </w:pPr>
      <w:bookmarkStart w:id="37" w:name="_Toc512979315"/>
      <w:bookmarkStart w:id="38" w:name="_Toc512979821"/>
      <w:r>
        <w:t>Nabytí vlastnického práva od neoprávněného</w:t>
      </w:r>
      <w:bookmarkEnd w:id="37"/>
      <w:bookmarkEnd w:id="38"/>
      <w:r>
        <w:t xml:space="preserve"> </w:t>
      </w:r>
    </w:p>
    <w:p w:rsidR="009D1F29" w:rsidRDefault="009D1F29">
      <w:pPr>
        <w:spacing w:after="224" w:line="259" w:lineRule="auto"/>
        <w:ind w:left="0" w:right="0" w:firstLine="0"/>
        <w:jc w:val="left"/>
      </w:pPr>
      <w:r>
        <w:t xml:space="preserve"> </w:t>
      </w:r>
    </w:p>
    <w:p w:rsidR="009D1F29" w:rsidRDefault="009D1F29" w:rsidP="007A3099">
      <w:pPr>
        <w:ind w:left="-15" w:right="4" w:firstLine="708"/>
      </w:pPr>
      <w:r>
        <w:t>Obecně lze říci, že nabytí vlastnického práva od neoprávněného je jedním z institutů řešících rozpor mezi ochranou vlastnického práva původního vlastníka a ochranou nabyvatele vlastnického práva v dobré víře, který se účastnil právního jednání, které však trpělo vadou</w:t>
      </w:r>
      <w:r>
        <w:rPr>
          <w:i/>
        </w:rPr>
        <w:t xml:space="preserve">. </w:t>
      </w:r>
      <w:r>
        <w:t xml:space="preserve">Je třeba si uvědomit, že na jedné straně musí být chráněn vlastník, aby nedošlo k legitimizaci převodu věcí ztracených či ukradených, ale na druhé straně musí být chráněn i nabyvatel, který nemůže kontrolovat ověření vlastnictví převodce a všech předchůdců. Takový právní stav by vedl k naprostému ochromení ekonomiky a obchodu.      </w:t>
      </w:r>
    </w:p>
    <w:p w:rsidR="009D1F29" w:rsidRDefault="009D1F29" w:rsidP="001F65FB">
      <w:pPr>
        <w:spacing w:after="28" w:line="368" w:lineRule="auto"/>
        <w:ind w:left="-5" w:right="0"/>
      </w:pPr>
      <w:r>
        <w:t xml:space="preserve"> </w:t>
      </w:r>
      <w:r>
        <w:tab/>
        <w:t xml:space="preserve">Tento institut je výjimkou z principu </w:t>
      </w:r>
      <w:r>
        <w:rPr>
          <w:i/>
        </w:rPr>
        <w:t>„nemo plus iuris ad alium transferre potest quam ipse habet, tj. nikdo nemůže převést na jiného více práv, než kolik sám má“</w:t>
      </w:r>
      <w:r>
        <w:t xml:space="preserve">. Jedná se </w:t>
      </w:r>
      <w:r>
        <w:br/>
        <w:t>o výjimku legitimní, neboť chrání dobrou víru poctivých nabyvatelů. Ideálním řešením daných situací se zabýval i ÚS, který konstatoval: „</w:t>
      </w:r>
      <w:r>
        <w:rPr>
          <w:i/>
        </w:rPr>
        <w:t>Jelikož institut upravuje řešení situace vyskytující se běžně v každodenním životě, bylo vždy nutné najít kompromis mezi oběma protikladně působícími principy tak, aby zůstalo zachováno maximum z obou, a není-li to možné, pak tak, aby výsledek byl slučitelný s obecnou představou spravedlnosti“.</w:t>
      </w:r>
      <w:r>
        <w:rPr>
          <w:vertAlign w:val="superscript"/>
        </w:rPr>
        <w:footnoteReference w:id="184"/>
      </w:r>
      <w:r>
        <w:t xml:space="preserve"> </w:t>
      </w:r>
      <w:r>
        <w:tab/>
        <w:t xml:space="preserve"> </w:t>
      </w:r>
      <w:r>
        <w:tab/>
        <w:t xml:space="preserve"> </w:t>
      </w:r>
      <w:r>
        <w:tab/>
        <w:t xml:space="preserve"> Nabytím vlastnického práva rozumíme situace, kdy se vlastníkem stává osoba, která předtím subjektem vlastnického práva nebyla, jelikož jím byl buď někdo jiný, nebo jím nebyl nikdo.</w:t>
      </w:r>
      <w:r>
        <w:rPr>
          <w:vertAlign w:val="superscript"/>
        </w:rPr>
        <w:footnoteReference w:id="185"/>
      </w:r>
      <w:r>
        <w:t xml:space="preserve"> Právní teorie se již dlouhá léta zabývá problémem, zda jde o nabytí vlastnického práva originárním či derivativním způsobem. Způsob jeho řešení je přitom velmi důležitý </w:t>
      </w:r>
      <w:r>
        <w:br/>
        <w:t>i pro praxi, protože s originárním způsobem nabytí je spojen zánik všech práv třetích osob vztahujících se k věci. Derivativní vlastnictví naopak s sebou přináší nabytí vlastnictví včetně jeho právních vad.</w:t>
      </w:r>
      <w:r>
        <w:rPr>
          <w:vertAlign w:val="superscript"/>
        </w:rPr>
        <w:footnoteReference w:id="186"/>
      </w:r>
      <w:r>
        <w:t xml:space="preserve"> Česká právní věda se na rozdíl od některých zahraničních přiklání </w:t>
      </w:r>
      <w:r>
        <w:br/>
        <w:t xml:space="preserve">k originárnímu způsobu nabytí, když s tímto názorem souhlasí i důvodová zpráva OZ. Ta to zdůvodňuje tím, že jde o nabytí vlastnického práva od osoby, která není k jeho převodu oprávněna, a tudíž jde o nabytí originární. Zahraniční úpravy vychází z tzv. </w:t>
      </w:r>
      <w:r>
        <w:rPr>
          <w:i/>
        </w:rPr>
        <w:t>legitimační teorie</w:t>
      </w:r>
      <w:r>
        <w:t>, která spatřuje znaky derivativnosti v existenci převodního jednání, tedy aktivním konáním nabyvatele a převodce, od kterého je pak vlastnické právo novým vlastníkem odvozováno.</w:t>
      </w:r>
      <w:r>
        <w:rPr>
          <w:rStyle w:val="FootnoteReference"/>
        </w:rPr>
        <w:footnoteReference w:id="187"/>
      </w:r>
      <w:r>
        <w:t xml:space="preserve">   </w:t>
      </w:r>
    </w:p>
    <w:p w:rsidR="009D1F29" w:rsidRDefault="009D1F29">
      <w:pPr>
        <w:ind w:left="-5" w:right="4"/>
      </w:pPr>
      <w:r>
        <w:t xml:space="preserve"> </w:t>
      </w:r>
      <w:r>
        <w:tab/>
        <w:t xml:space="preserve">Zajímavý je také náhled na samotný název institutu, kdy OZ se odklání od do té doby užívaného názvu nabytí od nevlastníka, a přichází s nabytím od neoprávněného. Na základě důvodové zprávy lze rozlišit nevlastníka jako osobu, které nenáleží vlastnické právo k věci </w:t>
      </w:r>
      <w:r>
        <w:br/>
        <w:t xml:space="preserve">a neoprávněného, který jednak není vlastníkem věci, a jednak není oprávněn převést vlastnické právo na nového nabyvatele, čímž má dojít ke zpřesnění zákonné úpravy. Tato změna má však svá úskalí. Za prvé, označení </w:t>
      </w:r>
      <w:r>
        <w:rPr>
          <w:i/>
        </w:rPr>
        <w:t>„neoprávněný“</w:t>
      </w:r>
      <w:r>
        <w:t xml:space="preserve"> je zavádějící, protože by se mohlo zdát, že spadá např. i na případy osob omezených ve svéprávnosti, které nejsou neoprávněny disponovat v určitých situacích se svým vlastnictvím, avšak tato problematika je řešena pomocí neplatnosti právního jednání a nespadá obsahově pod výjimku ze zásady nemo plus iuris.</w:t>
      </w:r>
      <w:r>
        <w:rPr>
          <w:vertAlign w:val="superscript"/>
        </w:rPr>
        <w:footnoteReference w:id="188"/>
      </w:r>
      <w:r>
        <w:t xml:space="preserve"> Pod výjimku z této zásady naopak spadá nabytí vlastnictví od nepravého dědice či od osoby mající k věci domnělé vlastnictví, které jsou oprávněny disponovat s vlastnictvím k věci, přestože nejsou vlastníky, ale podle současného pojmenování by nebylo možné je pod rozebíraný institut zařadit. Za druhé, zdůvodnění použité v důvodové zprávě, že komisionář převádí vlastnické právo na nabyvatele, jakožto oprávněný nevlastník, které má demonstrovat chybnost dřívějšího pojmenování, se ukazuje lichou. Vždyť přeci vlastnické právo přechází od komitenta, vlastníka, nikoliv od komisionáře, který je pouhým smluvním zprostředkovatelem. Za třetí, ani argumentace tím, že neoprávněný může být i vlastník, který je omezen v právu převést vlastnické právo, a tudíž se jedná o přesnější pojmenování, není správnou. Tento případ znovu nespadá pod podstatu výjimky nemo plus iuris. Příkladem lze uvést generální inhibitorium  (§44a zák. č. 120/2001 Sb., exekuční řád), kdy vlastník není oprávněn zcizovat, se řeší přes neplatnost právního jednání. Navíc nabytí vlastnictví od neoprávněného je v české literatuře považováno za originární nabytí vlastnictví, v tomto případě by šlo o derivativní. Argumentovat nelze ani tím, že dřívější právní stav byl dvojkolejný a tudíž matoucí. Někteří autoři totiž dělili nabytí od nevlastníka, jemuž k tomu dal pokyn vlastník, a nabytí od nevlastníka, který jednal v rozporu se zájmy vlastníka.</w:t>
      </w:r>
      <w:r>
        <w:rPr>
          <w:vertAlign w:val="superscript"/>
        </w:rPr>
        <w:footnoteReference w:id="189"/>
      </w:r>
      <w:r>
        <w:t xml:space="preserve"> Takové dělení je však chybné, protože jak již bylo zmíněno, takový nevlastník není schopen převést vlastnické právo, jelikož ho sám nikdy nenabude. </w:t>
      </w:r>
    </w:p>
    <w:p w:rsidR="009D1F29" w:rsidRDefault="009D1F29">
      <w:pPr>
        <w:spacing w:after="168"/>
        <w:ind w:left="-5" w:right="4"/>
      </w:pPr>
      <w:r>
        <w:t xml:space="preserve"> </w:t>
      </w:r>
      <w:r>
        <w:tab/>
        <w:t xml:space="preserve">Ve své práci budu užívat označení </w:t>
      </w:r>
      <w:r>
        <w:rPr>
          <w:i/>
        </w:rPr>
        <w:t>„nabytí vlastnického práva od neoprávněného“</w:t>
      </w:r>
      <w:r>
        <w:t xml:space="preserve">. Přestože k němu mám výše zmíněné výhrady, pro přehlednost a uniformitu práce se mi toto označení jeví jako vhodnější. </w:t>
      </w:r>
    </w:p>
    <w:p w:rsidR="009D1F29" w:rsidRDefault="009D1F29">
      <w:pPr>
        <w:pStyle w:val="Heading3"/>
        <w:ind w:left="705" w:hanging="720"/>
      </w:pPr>
      <w:bookmarkStart w:id="39" w:name="_Toc512979316"/>
      <w:bookmarkStart w:id="40" w:name="_Toc512979822"/>
      <w:r>
        <w:t>Nabytí od neoprávněného v občanském zákoníku z roku 1811</w:t>
      </w:r>
      <w:bookmarkEnd w:id="39"/>
      <w:bookmarkEnd w:id="40"/>
      <w:r>
        <w:t xml:space="preserve"> </w:t>
      </w:r>
    </w:p>
    <w:p w:rsidR="009D1F29" w:rsidRDefault="009D1F29">
      <w:pPr>
        <w:spacing w:after="181" w:line="259" w:lineRule="auto"/>
        <w:ind w:left="0" w:right="0" w:firstLine="0"/>
        <w:jc w:val="left"/>
      </w:pPr>
      <w:r>
        <w:t xml:space="preserve"> </w:t>
      </w:r>
    </w:p>
    <w:p w:rsidR="009D1F29" w:rsidRDefault="009D1F29" w:rsidP="00A50512">
      <w:pPr>
        <w:spacing w:after="177"/>
        <w:ind w:left="-15" w:right="4" w:firstLine="708"/>
      </w:pPr>
      <w:r>
        <w:t xml:space="preserve">Ustanovení týkající se nabytí vlastnického práva od neoprávněného se v období první republiky objevovala např. v obchodním zákoníku (§ 306, § 307), exekučním řádu (§ 268, </w:t>
      </w:r>
      <w:r>
        <w:br/>
        <w:t xml:space="preserve">§ 269) či směnečném řádu (§ 32, § 76), avšak zejména v OZO (§ 366, § 367, § 371, § 372, </w:t>
      </w:r>
      <w:r>
        <w:br/>
        <w:t>§ 824). Úprava v OZO vycházela ze starého německého a římského práva.</w:t>
      </w:r>
      <w:r>
        <w:rPr>
          <w:vertAlign w:val="superscript"/>
        </w:rPr>
        <w:footnoteReference w:id="190"/>
      </w:r>
      <w:r>
        <w:t xml:space="preserve"> </w:t>
      </w:r>
      <w:r>
        <w:tab/>
      </w:r>
      <w:r>
        <w:tab/>
      </w:r>
      <w:r>
        <w:tab/>
      </w:r>
      <w:r>
        <w:tab/>
        <w:t xml:space="preserve">Zásadním paragrafem týkajícím se tohoto institutu v OZO byl § 367, který zněl </w:t>
      </w:r>
      <w:r>
        <w:rPr>
          <w:i/>
        </w:rPr>
        <w:t>„Žaloba vlastnická nemá místa proti poctivému držiteli věci movité, prokáže-li, že jí nabyl buď ve veřejné dražbě nebo od živnostníka, který má právo takto obchodovat, nebo za plat od někoho, komu ji žalobce sám k užívání, k uschování nebo ke kterémukoliv jinému úmyslu svěřil. V těchto případech nabývají poctiví držitelé vlastnictví a předešlý vlastník má jen právo na náhradu škody proti těm, kdo jsou mu z toho odpovědni”</w:t>
      </w:r>
      <w:r>
        <w:t xml:space="preserve">. Z toho vyplývá, že poctivý držitel nabýval ve stanovených případech vlastnické právo k movitostem. Poctivý držitel musel být v dobré víře ohledně toho, že nabývá věc od oprávněné osoby (§ 326), přičemž důkazní břemeno leželo na původním vlastníkovi. Ochrana nabyvatele v dobré víře však byla částečně omezena § 368, který stanovoval, že držitel není v dobré víře, pokud mohl mít pochybnosti z povahy věci, nepatrné ceny, vlastností převodce či jiných okolností. </w:t>
      </w:r>
      <w:r>
        <w:br/>
        <w:t xml:space="preserve">V těchto případech nedocházelo k převodu vlastnictví, zákon objektivizoval jinak subjektivně chápanou dobrou víru, čímž ulehčoval původnímu vlastníkovi důkazní situaci.    </w:t>
      </w:r>
      <w:r>
        <w:tab/>
      </w:r>
      <w:r>
        <w:tab/>
      </w:r>
      <w:r>
        <w:tab/>
      </w:r>
      <w:r>
        <w:tab/>
        <w:t xml:space="preserve"> Ustanovení § 367 se vztahovalo pouze na tři speciální případy nabytí vlastnictví, čímž byl tento institut poměrně omezen. Kromě dobré víry, která byla vyžadována ve všech případech, byla u nabytí vlastnictví od osoby, jíž vlastník věc svěřil, vyžadována i úplatnost převodu.          </w:t>
      </w:r>
      <w:r>
        <w:tab/>
      </w:r>
      <w:r>
        <w:tab/>
      </w:r>
      <w:r>
        <w:tab/>
      </w:r>
      <w:r>
        <w:tab/>
      </w:r>
      <w:r>
        <w:tab/>
      </w:r>
      <w:r>
        <w:tab/>
      </w:r>
      <w:r>
        <w:tab/>
      </w:r>
      <w:r>
        <w:tab/>
      </w:r>
      <w:r>
        <w:tab/>
      </w:r>
      <w:r>
        <w:tab/>
      </w:r>
      <w:r>
        <w:tab/>
      </w:r>
      <w:r>
        <w:tab/>
        <w:t xml:space="preserve"> Privilegium nabytí vlastnictví od neoprávněného spočívalo v tom, že se nevyžadovalo vlastnictví předchůdce, ovšem ostatní podmínky převodu (titul, modus) splněny být musely.</w:t>
      </w:r>
      <w:r>
        <w:rPr>
          <w:vertAlign w:val="superscript"/>
        </w:rPr>
        <w:footnoteReference w:id="191"/>
      </w:r>
      <w:r>
        <w:t xml:space="preserve"> Pokud ostatní podmínky splněny byly, původní vlastník ztrácel své vlastnické právo nevratně, což vyplývá i z poslední věty § 367, kde se hovoří o </w:t>
      </w:r>
      <w:r>
        <w:rPr>
          <w:i/>
        </w:rPr>
        <w:t>„předešlém“</w:t>
      </w:r>
      <w:r>
        <w:t xml:space="preserve"> vlastníkovi. Nový vlastník pak mohl vlastnické právo k věci převádět na jiné osoby, i na svého nepoctivého převodce, což dnes nelze (§ 1112 OZ), či mohl uplatňovat vlastnickou žalobu, </w:t>
      </w:r>
      <w:r>
        <w:br/>
        <w:t>a to i proti původnímu vlastníkovi. Argumentem a maiori ad minus se dále vyvozoval zánik všech dalších věcných práv zatěžujících věc, neboť pokud došlo k zásahu do vlastnictví, jakožto nejširšího práva k věci, tím spíše muselo dojít k zásahům do jiných, omezenějších věcných práv.</w:t>
      </w:r>
      <w:r>
        <w:rPr>
          <w:rStyle w:val="FootnoteReference"/>
        </w:rPr>
        <w:footnoteReference w:id="192"/>
      </w:r>
    </w:p>
    <w:p w:rsidR="009D1F29" w:rsidRDefault="009D1F29">
      <w:pPr>
        <w:spacing w:after="164"/>
        <w:ind w:left="-5" w:right="4"/>
      </w:pPr>
      <w:r>
        <w:t xml:space="preserve"> </w:t>
      </w:r>
      <w:r>
        <w:tab/>
        <w:t xml:space="preserve">Úpravě nabytí od neoprávněného v OZO bývá vytýkána její nesystémovost, jelikož byla zařazena v části o vlastnických žalobách, a nikoliv v části o nabývání vlastnického práva. Navíc se jedná o výjimku z generální klauzule </w:t>
      </w:r>
      <w:r>
        <w:rPr>
          <w:i/>
        </w:rPr>
        <w:t>„vůbec nemůže nikdo jinému více práva postoupiti, nežli má sám“</w:t>
      </w:r>
      <w:r>
        <w:t xml:space="preserve"> upravenou v § 442, a proto nevidím ani já jako vhodné tuto výjimku řadit několik desítek ustanovení před generální klauzuli. </w:t>
      </w:r>
    </w:p>
    <w:p w:rsidR="009D1F29" w:rsidRDefault="009D1F29">
      <w:pPr>
        <w:pStyle w:val="Heading3"/>
        <w:ind w:left="693" w:hanging="708"/>
      </w:pPr>
      <w:bookmarkStart w:id="41" w:name="_Toc512979317"/>
      <w:bookmarkStart w:id="42" w:name="_Toc512979823"/>
      <w:r>
        <w:t>Nabytí od neoprávněného v občanském zákoníku z roku 1950</w:t>
      </w:r>
      <w:bookmarkEnd w:id="41"/>
      <w:bookmarkEnd w:id="42"/>
      <w:r>
        <w:t xml:space="preserve"> </w:t>
      </w:r>
    </w:p>
    <w:p w:rsidR="009D1F29" w:rsidRDefault="009D1F29">
      <w:pPr>
        <w:spacing w:after="190" w:line="259" w:lineRule="auto"/>
        <w:ind w:left="0" w:right="0" w:firstLine="0"/>
        <w:jc w:val="left"/>
      </w:pPr>
      <w:r>
        <w:t xml:space="preserve"> </w:t>
      </w:r>
      <w:r>
        <w:tab/>
        <w:t xml:space="preserve"> </w:t>
      </w:r>
    </w:p>
    <w:p w:rsidR="009D1F29" w:rsidRDefault="009D1F29">
      <w:pPr>
        <w:ind w:left="-15" w:right="4" w:firstLine="708"/>
      </w:pPr>
      <w:r>
        <w:t xml:space="preserve">Ustanovení týkající se nabytí vlastnického práva od neoprávněného obsahoval § 154, dále pak § 193, který upravoval podmínky zastavení movitosti bez souhlasu vlastníka a § 557, který upravoval nabytí od neoprávněného dědice. Mou analýzu jsem zaměřil především na  </w:t>
      </w:r>
      <w:r>
        <w:br/>
        <w:t xml:space="preserve">§ 154. </w:t>
      </w:r>
      <w:r>
        <w:tab/>
      </w:r>
      <w:r>
        <w:tab/>
      </w:r>
      <w:r>
        <w:tab/>
      </w:r>
      <w:r>
        <w:tab/>
      </w:r>
      <w:r>
        <w:tab/>
      </w:r>
      <w:r>
        <w:tab/>
      </w:r>
      <w:r>
        <w:tab/>
      </w:r>
      <w:r>
        <w:tab/>
      </w:r>
      <w:r>
        <w:tab/>
      </w:r>
      <w:r>
        <w:tab/>
      </w:r>
      <w:r>
        <w:tab/>
      </w:r>
      <w:r>
        <w:tab/>
      </w:r>
      <w:r>
        <w:tab/>
      </w:r>
      <w:r>
        <w:tab/>
        <w:t>V něm se v prvním odstavci stanovovalo, že „</w:t>
      </w:r>
      <w:r>
        <w:rPr>
          <w:i/>
        </w:rPr>
        <w:t>o vydání věci nelze žalovat oprávněného držitele (§ 145)</w:t>
      </w:r>
      <w:r>
        <w:rPr>
          <w:vertAlign w:val="superscript"/>
        </w:rPr>
        <w:footnoteReference w:id="193"/>
      </w:r>
      <w:r>
        <w:rPr>
          <w:i/>
        </w:rPr>
        <w:t>, který věci nabyl výrokem úředním (§ 114)</w:t>
      </w:r>
      <w:r>
        <w:rPr>
          <w:vertAlign w:val="superscript"/>
        </w:rPr>
        <w:footnoteReference w:id="194"/>
      </w:r>
      <w:r>
        <w:rPr>
          <w:i/>
        </w:rPr>
        <w:t xml:space="preserve"> nebo ve veřejné dražbě </w:t>
      </w:r>
      <w:r>
        <w:rPr>
          <w:i/>
        </w:rPr>
        <w:br/>
        <w:t>i mimo úřad provedené</w:t>
      </w:r>
      <w:r>
        <w:rPr>
          <w:vertAlign w:val="superscript"/>
        </w:rPr>
        <w:footnoteReference w:id="195"/>
      </w:r>
      <w:r>
        <w:rPr>
          <w:i/>
        </w:rPr>
        <w:t xml:space="preserve">, a jde-li o věc movitou, ani tehdy, nabyl-li jí za plat, buď od někoho, kdo je oprávněn s takovými věcmi obchodovat, anebo od toho, komu ji žalobce sám svěřil. </w:t>
      </w:r>
      <w:r>
        <w:rPr>
          <w:i/>
        </w:rPr>
        <w:br/>
        <w:t>V těchto případech nabývá oprávněný držitel práva vlastnického</w:t>
      </w:r>
      <w:r>
        <w:t xml:space="preserve">“. Vyloučení možnosti vindikovat věc za těchto podmínek bylo obdobné jako v OZO a stejně jako v OZO byla i zde konstruována vyvratitelná právní domněnka dobré víry u nabyvatele, vyplývající z § 145, </w:t>
      </w:r>
      <w:r>
        <w:br/>
        <w:t>z čehož plyne, že důkazní břemeno zlé víry nabyvatele šlo k tíži původního vlastníka, pokud se rozhodl podat vindikační žalobu.</w:t>
      </w:r>
      <w:r>
        <w:rPr>
          <w:vertAlign w:val="superscript"/>
        </w:rPr>
        <w:footnoteReference w:id="196"/>
      </w:r>
      <w:r>
        <w:t xml:space="preserve"> Zajímavé je, že původní vlastník tak teoreticky mohl </w:t>
      </w:r>
      <w:r>
        <w:br/>
        <w:t xml:space="preserve">i v případě úředního výroku, tedy výroku státní moci totalitního státu, namítat nedostatek dobré víry nabyvatele. Změnou oproti dřívější úpravě bylo, že v případech nabytí vlastnictví úředním výrokem a ve veřejné dražbě, šlo takto získat i nemovitost a rozšíření podmínky úplatného převodu i pro nabytí věci od oprávněného obchodníka. Co se týče nabytí vlastnického práva od neoprávněného úředním výrokem, tato možnost byla dána i v OZO, ale nebyla upravena přímo v ustanoveních týkajících se nabytí vlastnického práva od neoprávněného, protože nejde o převodní jednání spojené s vadou nedostatku vlastnického práva zcizitele, což je znakem nabývání vlastnického práva od neoprávněného. Tudíž lze říci, že v OZ/50 byla zákonodárcem umístěna chybně.           </w:t>
      </w:r>
    </w:p>
    <w:p w:rsidR="009D1F29" w:rsidRDefault="009D1F29" w:rsidP="007D202B">
      <w:pPr>
        <w:ind w:left="-5" w:right="4" w:firstLine="698"/>
      </w:pPr>
      <w:r>
        <w:t xml:space="preserve"> Podle § 154 odst. 2 však odst. 1 neplatil, žalovala-li o vydání věci socialistická právnická osoba a byl-li na vrácení věci obecný zájem, který soud posuzoval dle volné úvahy. </w:t>
      </w:r>
    </w:p>
    <w:p w:rsidR="009D1F29" w:rsidRDefault="009D1F29">
      <w:pPr>
        <w:spacing w:after="163"/>
        <w:ind w:left="-5" w:right="4"/>
      </w:pPr>
      <w:r>
        <w:t>Docházelo tedy v souladu s tehdejší ideologií ke zvýhodňování socialistického sektoru, kdy subjekt socialistického státního či družstevního vlastnictví</w:t>
      </w:r>
      <w:r>
        <w:rPr>
          <w:vertAlign w:val="superscript"/>
        </w:rPr>
        <w:footnoteReference w:id="197"/>
      </w:r>
      <w:r>
        <w:t xml:space="preserve"> mohl i v tomto případě žalovat na vrácení věci.</w:t>
      </w:r>
      <w:r>
        <w:rPr>
          <w:rStyle w:val="FootnoteReference"/>
        </w:rPr>
        <w:footnoteReference w:id="198"/>
      </w:r>
      <w:r>
        <w:t xml:space="preserve"> Šlo tak o konkrétní projev zvýhodnění vyplývající z obecné klauzule § 21, kde bylo stanoveno, že socialistickým právnickým osobám náleží zvláštní ochrana. </w:t>
      </w:r>
    </w:p>
    <w:p w:rsidR="009D1F29" w:rsidRDefault="009D1F29">
      <w:pPr>
        <w:pStyle w:val="Heading3"/>
        <w:ind w:left="693" w:hanging="708"/>
      </w:pPr>
      <w:bookmarkStart w:id="43" w:name="_Toc512979318"/>
      <w:bookmarkStart w:id="44" w:name="_Toc512979824"/>
      <w:r>
        <w:t>Nabytí od neoprávněného v občanském zákoníku z roku 1964</w:t>
      </w:r>
      <w:bookmarkEnd w:id="43"/>
      <w:bookmarkEnd w:id="44"/>
      <w:r>
        <w:t xml:space="preserve"> </w:t>
      </w:r>
    </w:p>
    <w:p w:rsidR="009D1F29" w:rsidRDefault="009D1F29">
      <w:pPr>
        <w:spacing w:after="177" w:line="259" w:lineRule="auto"/>
        <w:ind w:left="0" w:right="0" w:firstLine="0"/>
        <w:jc w:val="left"/>
      </w:pPr>
      <w:r>
        <w:t xml:space="preserve"> </w:t>
      </w:r>
    </w:p>
    <w:p w:rsidR="009D1F29" w:rsidRDefault="009D1F29" w:rsidP="007D202B">
      <w:pPr>
        <w:ind w:left="-15" w:right="4" w:firstLine="708"/>
      </w:pPr>
      <w:r>
        <w:t xml:space="preserve">OZ/64 opustil dosavadní dlouholetou koncepci inspirovanou OZO, která byla převzata </w:t>
      </w:r>
      <w:r>
        <w:br/>
        <w:t>i OZ/50 a neobsahoval již ustálená pravidla úpravy dřívější. Nabytí vlastnického práva od neoprávněného bylo na dlouhou dobu zúženo pouze na situace, kdy převodcem byla socialistická organizace. Institut byl upraven v § 228 a § 486, který upravoval nabytí od neoprávněného dědice. Já se zaměřuji zejména na úpravu § 228, která platila nezměněně do konce roku 1991, kdy byla zrušena v OZ/64 bez následné náhrady.</w:t>
      </w:r>
      <w:r>
        <w:rPr>
          <w:vertAlign w:val="superscript"/>
        </w:rPr>
        <w:footnoteReference w:id="199"/>
      </w:r>
      <w:r>
        <w:t xml:space="preserve">   </w:t>
      </w:r>
    </w:p>
    <w:p w:rsidR="009D1F29" w:rsidRDefault="009D1F29" w:rsidP="007D202B">
      <w:pPr>
        <w:ind w:left="-5" w:right="4" w:firstLine="698"/>
      </w:pPr>
      <w:r>
        <w:t xml:space="preserve">Ustanovení o nabytí vlastnického práva od neoprávněného v § 228 spadá do části čtvrté nazvané služby. Pojem služba nahrazoval pojem závazek a socialističtí legislativci jej vysvětlovali tak, že v socialistické společnosti za účelem uspokojování hmotných a kulturních potřeb vstupovali občané do občanskoprávních vztahů k podnikům a zařízením, které jim uspokojování jejich potřeb zprostředkovávaly tím, že převáděly do jejich osobního vlastnictví spotřební předměty nebo jim poskytovaly jejich užívání a prováděly pro ně jiné práce </w:t>
      </w:r>
      <w:r>
        <w:br/>
        <w:t>a výkony.</w:t>
      </w:r>
      <w:r>
        <w:rPr>
          <w:vertAlign w:val="superscript"/>
        </w:rPr>
        <w:footnoteReference w:id="200"/>
      </w:r>
      <w:r>
        <w:t xml:space="preserve"> Šlo tedy o poskytování určitých plnění a výkonů socialistickými organizacemi</w:t>
      </w:r>
      <w:r>
        <w:rPr>
          <w:vertAlign w:val="superscript"/>
        </w:rPr>
        <w:footnoteReference w:id="201"/>
      </w:r>
      <w:r>
        <w:t xml:space="preserve"> pro občany, za účelem uspokojení jejich hmotných a kulturních potřeb, a to na základě smlouvy nebo právním předpisem předvídaných skutečností.      </w:t>
      </w:r>
    </w:p>
    <w:p w:rsidR="009D1F29" w:rsidRDefault="009D1F29" w:rsidP="00A50512">
      <w:pPr>
        <w:ind w:left="-5" w:right="4" w:firstLine="698"/>
      </w:pPr>
      <w:r>
        <w:t>Podle § 228 „</w:t>
      </w:r>
      <w:r>
        <w:rPr>
          <w:i/>
        </w:rPr>
        <w:t>převedla-li organizace na občana poskytnutou službou vlastnictví k věci, nemohla proti němu být uplatněna práva jiných osob, týkající se této věci</w:t>
      </w:r>
      <w:r>
        <w:t xml:space="preserve">“. Tímto ustanovením došlo k umožnění nabytí vlastnického práva od socialistické organizace </w:t>
      </w:r>
      <w:r>
        <w:br/>
        <w:t>i v případě, že nebyla vlastníkem věci a bez ohledu na existenci oprávnění převodce. Nabytí vlastnického práva od socialistické organizace tedy požívalo vyšší ochrany, což bylo odůvodňováno vyšší potřebou chránit zájem občana.</w:t>
      </w:r>
      <w:r>
        <w:rPr>
          <w:rStyle w:val="FootnoteReference"/>
        </w:rPr>
        <w:footnoteReference w:id="202"/>
      </w:r>
      <w:r>
        <w:t xml:space="preserve"> Z daného ustanovení také vyplývá, že nebyla vyžadována držba věci nabyvatelem a ochrana se tak vázala na okamžik převedení vlastnického práva.</w:t>
      </w:r>
      <w:r>
        <w:rPr>
          <w:vertAlign w:val="superscript"/>
        </w:rPr>
        <w:footnoteReference w:id="203"/>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D1F29" w:rsidRDefault="009D1F29">
      <w:pPr>
        <w:ind w:left="-5" w:right="4"/>
      </w:pPr>
      <w:r>
        <w:t xml:space="preserve"> </w:t>
      </w:r>
      <w:r>
        <w:tab/>
        <w:t xml:space="preserve">Podle zákona tedy nebyla vyžadována dobrá víra nabyvatele, avšak teorie ji dovozovala na základě článku VI, VII ve spojení s § 452 a analogicky § 486. Zde bych odkázal na tvrzení Knappa: </w:t>
      </w:r>
      <w:r>
        <w:rPr>
          <w:i/>
        </w:rPr>
        <w:t>„tomuto výkladu by mohl svědčit i argument a contrario</w:t>
      </w:r>
      <w:r>
        <w:rPr>
          <w:i/>
        </w:rPr>
        <w:br/>
        <w:t xml:space="preserve"> z § 486</w:t>
      </w:r>
      <w:r>
        <w:rPr>
          <w:vertAlign w:val="superscript"/>
        </w:rPr>
        <w:footnoteReference w:id="204"/>
      </w:r>
      <w:r>
        <w:rPr>
          <w:i/>
        </w:rPr>
        <w:t>, které nabytí vlastnictví výslovně váže na dobrou víru nabyvatelovu [...] tento výklad by mohl vést ke krytí vyslovené nepoctivosti, což zákonem jistě nebylo zamýšleno. Proto je nutné § 228 vykládat patrně tak, že dopadá pouze na případy, kdy občan, který věci nabyl, je v dobré víře“</w:t>
      </w:r>
      <w:r>
        <w:t>. Před částí první OZ/64 bylo vyjmenováno 8 základních proklamativních zásad. Tyto zásady platily pro celý OZ/64 a byly sepsány ve formě článků. Právě na ně Knapp při své argumentaci také odkazuje. Článek VI zněl „</w:t>
      </w:r>
      <w:r>
        <w:rPr>
          <w:i/>
        </w:rPr>
        <w:t xml:space="preserve">Výkon práv </w:t>
      </w:r>
      <w:r>
        <w:rPr>
          <w:i/>
        </w:rPr>
        <w:br/>
        <w:t>a povinností vyplývajících z občanskoprávních vztahů musí být v souladu s pravidly socialistického soužití</w:t>
      </w:r>
      <w:r>
        <w:t>“. Článek VII zněl</w:t>
      </w:r>
      <w:r>
        <w:rPr>
          <w:i/>
        </w:rPr>
        <w:t xml:space="preserve"> „Nikdo nesmí zneužívat svých práv proti zájmům společnosti nebo spoluobčanů a nikdo se nesmí na úkor společnosti nebo spoluobčanů obohacovat“</w:t>
      </w:r>
      <w:r>
        <w:t>, a tento zákaz podle Knappa přímo souvisel s definicí bezdůvodného obohacení podle § 452, kdy „</w:t>
      </w:r>
      <w:r>
        <w:rPr>
          <w:i/>
        </w:rPr>
        <w:t xml:space="preserve">neoprávněným majetkovým prospěchem je prospěch získaný plněním bez právního důvodu nebo plněním z neplatného právního úkonu, jakož i prospěch získaný </w:t>
      </w:r>
      <w:r>
        <w:rPr>
          <w:i/>
        </w:rPr>
        <w:br/>
        <w:t>z nepoctivých zdrojů</w:t>
      </w:r>
      <w:r>
        <w:t>“.</w:t>
      </w:r>
      <w:r>
        <w:rPr>
          <w:vertAlign w:val="superscript"/>
        </w:rPr>
        <w:footnoteReference w:id="205"/>
      </w:r>
      <w:r>
        <w:t xml:space="preserve"> Na základě daných tvrzení lze říci, že v případě nabytí vlastnického práva k věci převedením od socialistické organizace, o níž občan věděl, že neměla k převodu oprávnění, by došlo k vědomému obohacení na úkor jiného, což by odporovalo základním zásadám OZ/64, a takové jednání nemohlo požívat ochrany. </w:t>
      </w:r>
    </w:p>
    <w:p w:rsidR="009D1F29" w:rsidRDefault="009D1F29" w:rsidP="00C83506">
      <w:pPr>
        <w:spacing w:after="195"/>
        <w:ind w:left="-5" w:right="4" w:firstLine="713"/>
      </w:pPr>
      <w:r>
        <w:t xml:space="preserve"> Dne 1. 4. 1983 nabyla účinnosti novela OZ/64, provedená zákonem č. 131/1982 Sb., která podstatným způsobem doplňovala úpravu institutu nabytí vlastnického práva od neoprávněného, a to v § 489a. V něm bylo uvedeno, že „</w:t>
      </w:r>
      <w:r>
        <w:rPr>
          <w:i/>
        </w:rPr>
        <w:t>na základě povolení vydaného příslušným orgánem podle zvláštních předpisů může občan za účelem uspokojování hmotných a kulturních potřeb ostatních občanů poskytovat za úplatu občanům, popřípadě organizacím věcná plnění a výkony. Ustanovení tohoto zákona platí i na právní vztahy takto vzniklé“.</w:t>
      </w:r>
      <w:r>
        <w:t xml:space="preserve"> Zákonodárce tak stanovil, že převodcem již nemusela být pouze socialistická organizace, ale </w:t>
      </w:r>
      <w:r>
        <w:br/>
        <w:t>i samotní občané, především drobní soukromníci, přežívající v totalitním státu, kteří obdrželi povolení. Došlo tak k zohlednění reálného stavu právní úpravou, kdy si zákonodárce uvědomoval existenci drobného podnikání, a tudíž nutnost ochrany zákazníků.</w:t>
      </w:r>
      <w:r>
        <w:rPr>
          <w:vertAlign w:val="superscript"/>
        </w:rPr>
        <w:footnoteReference w:id="206"/>
      </w:r>
      <w:r>
        <w:t xml:space="preserve"> </w:t>
      </w:r>
      <w:r>
        <w:tab/>
      </w:r>
      <w:r>
        <w:tab/>
      </w:r>
      <w:r>
        <w:tab/>
        <w:t xml:space="preserve">Jak jsem psal již výše, novela OZ/64 reagující na velké změny ve společnosti po pádu komunistického režimu, provedená zákonem č. 509/1991 Sb., účinná od 1. 1. 1992 zrušila </w:t>
      </w:r>
      <w:r>
        <w:br/>
        <w:t xml:space="preserve">§ 228 bez náhrady. OZ/64 vycházel v přísné podobě ze zásady </w:t>
      </w:r>
      <w:r>
        <w:rPr>
          <w:i/>
        </w:rPr>
        <w:t>„nemo plus iuris“</w:t>
      </w:r>
      <w:r>
        <w:t xml:space="preserve">, což vyplývalo jak z výkladu zákona (§ 123), kdy jen vlastník měl v mezích zákona oprávnění </w:t>
      </w:r>
      <w:r>
        <w:br/>
        <w:t>s předmětem svého vlastnictví disponovat, tak z judikatury soudů.</w:t>
      </w:r>
      <w:r>
        <w:rPr>
          <w:vertAlign w:val="superscript"/>
        </w:rPr>
        <w:footnoteReference w:id="207"/>
      </w:r>
      <w:r>
        <w:t xml:space="preserve"> NS judikoval, že </w:t>
      </w:r>
      <w:r>
        <w:rPr>
          <w:i/>
        </w:rPr>
        <w:t>„právní úprava [...] zakotvená v ustanovení § 446 obch. zák. představuje výjimku z obecné právní zásady, podle níž nikdo nemůže převést na druhého více práv, než má sám.  Z povahy výjimky pak plyne, že ustanovení o výjimce nelze vykládat rozšiřujícím způsobem a lze je aplikovat pouze v případech, pro něž byla výjimka konstruována“.</w:t>
      </w:r>
      <w:r>
        <w:rPr>
          <w:vertAlign w:val="superscript"/>
        </w:rPr>
        <w:footnoteReference w:id="208"/>
      </w:r>
      <w:r>
        <w:t xml:space="preserve"> Jak je uvedeno ve zmiňovaném judikátu, obchodní zákoník na rozdíl od občanského nabytí od neoprávněného upravoval, a to velmi široce, když § 446 říkal, že „</w:t>
      </w:r>
      <w:r>
        <w:rPr>
          <w:i/>
        </w:rPr>
        <w:t xml:space="preserve">kupující nabývá vlastnické právo </w:t>
      </w:r>
      <w:r>
        <w:rPr>
          <w:i/>
        </w:rPr>
        <w:br/>
        <w:t>i v případě, kdy prodávající není vlastníkem prodávaného zboží, ledaže v době, kdy kupující měl vlastnické právo nabýt, věděl, že prodávající není vlastníkem a že není ani oprávněn zbožím nakládat  za účelem jeho prodeje</w:t>
      </w:r>
      <w:r>
        <w:t xml:space="preserve">“. </w:t>
      </w:r>
    </w:p>
    <w:p w:rsidR="009D1F29" w:rsidRDefault="009D1F29" w:rsidP="00C83506">
      <w:pPr>
        <w:spacing w:after="195"/>
        <w:ind w:left="-5" w:right="4" w:firstLine="713"/>
      </w:pPr>
    </w:p>
    <w:p w:rsidR="009D1F29" w:rsidRDefault="009D1F29">
      <w:pPr>
        <w:pStyle w:val="Heading3"/>
        <w:ind w:left="693" w:hanging="708"/>
      </w:pPr>
      <w:bookmarkStart w:id="45" w:name="_Toc512979319"/>
      <w:bookmarkStart w:id="46" w:name="_Toc512979825"/>
      <w:r>
        <w:t>Nabytí od neoprávněného v občanském zákoníku</w:t>
      </w:r>
      <w:bookmarkEnd w:id="45"/>
      <w:bookmarkEnd w:id="46"/>
      <w:r>
        <w:t xml:space="preserve">  </w:t>
      </w:r>
    </w:p>
    <w:p w:rsidR="009D1F29" w:rsidRDefault="009D1F29">
      <w:pPr>
        <w:spacing w:after="198" w:line="259" w:lineRule="auto"/>
        <w:ind w:left="0" w:right="0" w:firstLine="0"/>
        <w:jc w:val="left"/>
      </w:pPr>
      <w:r>
        <w:rPr>
          <w:rFonts w:ascii="Calibri" w:hAnsi="Calibri" w:cs="Calibri"/>
          <w:sz w:val="22"/>
        </w:rPr>
        <w:t xml:space="preserve"> </w:t>
      </w:r>
    </w:p>
    <w:p w:rsidR="009D1F29" w:rsidRDefault="009D1F29" w:rsidP="00C07642">
      <w:pPr>
        <w:spacing w:after="28" w:line="368" w:lineRule="auto"/>
        <w:ind w:left="-15" w:right="0" w:firstLine="708"/>
      </w:pPr>
      <w:r>
        <w:t>Pro úplnost doplňuji vývoj institutu nabytí od neoprávněného až do současné právní úpravy, zejména se zaměřením na změny oproti úpravě účinné v období socialismu. Inspirována je především OZO, a OZ ji přináší v § 1109 až § 1113. Obecně k problematice úpravy důvodová zpráva k OZ stanovuje „</w:t>
      </w:r>
      <w:r>
        <w:rPr>
          <w:i/>
        </w:rPr>
        <w:t xml:space="preserve">Ustanovení o nabytí vlastnického práva od neoprávněného se zařazují do zvláštního pododdílu, protože nejde o derivativní, odvozené nabytí (převod), nýbrž o nabytí původní, originární. Nabyvatel totiž nabývá vlastnické právo od osoby, která není oprávněna vlastnické právo převést, byť se tak děje způsobem, který jinak </w:t>
      </w:r>
    </w:p>
    <w:p w:rsidR="009D1F29" w:rsidRDefault="009D1F29">
      <w:pPr>
        <w:tabs>
          <w:tab w:val="center" w:pos="4957"/>
          <w:tab w:val="center" w:pos="5665"/>
          <w:tab w:val="center" w:pos="6373"/>
          <w:tab w:val="center" w:pos="7081"/>
          <w:tab w:val="center" w:pos="7790"/>
        </w:tabs>
        <w:spacing w:after="160" w:line="259" w:lineRule="auto"/>
        <w:ind w:left="-15" w:right="0" w:firstLine="0"/>
        <w:jc w:val="left"/>
      </w:pPr>
      <w:r>
        <w:rPr>
          <w:i/>
        </w:rPr>
        <w:t>běžně k převodu věci do vlastnictví slouží</w:t>
      </w:r>
      <w:r>
        <w:t xml:space="preserve">“.  </w:t>
      </w:r>
      <w:r>
        <w:tab/>
        <w:t xml:space="preserve"> </w:t>
      </w:r>
      <w:r>
        <w:tab/>
        <w:t xml:space="preserve"> </w:t>
      </w:r>
      <w:r>
        <w:tab/>
        <w:t xml:space="preserve"> </w:t>
      </w:r>
      <w:r>
        <w:tab/>
        <w:t xml:space="preserve"> </w:t>
      </w:r>
      <w:r>
        <w:tab/>
        <w:t xml:space="preserve"> </w:t>
      </w:r>
    </w:p>
    <w:p w:rsidR="009D1F29" w:rsidRDefault="009D1F29">
      <w:pPr>
        <w:ind w:left="-5" w:right="4"/>
      </w:pPr>
      <w:r>
        <w:t xml:space="preserve"> </w:t>
      </w:r>
      <w:r>
        <w:tab/>
        <w:t xml:space="preserve">Ustanovení § 1109 obsahuje pravidla pro nabývání vlastnického práva k hmotným movitým i nemovitým věcem, pokud všechny tyto nejsou zapsané ve veřejném seznamu. Věci zapsané ve veřejném seznamu jsou totiž ovládány zásadou materiální publicity upravenou </w:t>
      </w:r>
      <w:r>
        <w:br/>
        <w:t>v ustanovení § 984 odst. 1, kde je stanoveno, že</w:t>
      </w:r>
      <w:r>
        <w:rPr>
          <w:i/>
        </w:rPr>
        <w:t xml:space="preserve"> „není-li stav zapsaný ve veřejném seznamu  </w:t>
      </w:r>
      <w:r>
        <w:rPr>
          <w:i/>
        </w:rPr>
        <w:br/>
        <w:t xml:space="preserve">v souladu se skutečným právním stavem, svědčí zapsaný stav ve prospěch osoby, která nabyla věcné právo za úplatu v dobré víře od osoby k tomu oprávněné podle zapsaného stavu. Dobrá víra se posuzuje k době, kdy k právnímu jednání došlo; vzniká-li však věcné právo až zápisem do veřejného seznamu, pak k době podání návrhu na zápis“. </w:t>
      </w:r>
      <w:r>
        <w:t xml:space="preserve">Podle důvodové zprávy k OZ je tedy prosazována přednost zapsaného práva v seznamu před právem nezapsaným.  </w:t>
      </w:r>
    </w:p>
    <w:p w:rsidR="009D1F29" w:rsidRDefault="009D1F29">
      <w:pPr>
        <w:ind w:left="-5" w:right="4"/>
      </w:pPr>
      <w:r>
        <w:t xml:space="preserve"> </w:t>
      </w:r>
      <w:r>
        <w:tab/>
        <w:t xml:space="preserve">Je otázkou, zda se ustanovení § 1109 týká i nehmotných věcí, což by vycházelo </w:t>
      </w:r>
      <w:r>
        <w:br/>
        <w:t>z širokého pojetí věci, tak jak ji OZ chápe, a došlo by k rozšíření působnosti tohoto institutu oproti socialistické právní úpravě. I přes názory některých autorů</w:t>
      </w:r>
      <w:r>
        <w:rPr>
          <w:vertAlign w:val="superscript"/>
        </w:rPr>
        <w:footnoteReference w:id="209"/>
      </w:r>
      <w:r>
        <w:t xml:space="preserve"> se domnívám, že tomu tak není, a dané ustanovení nelze použít na nehmotné věci.  Souhlasím s názorem vycházejícím z argumentace § 979 </w:t>
      </w:r>
      <w:r>
        <w:rPr>
          <w:i/>
        </w:rPr>
        <w:t xml:space="preserve">„ustanovení této hlavy se použijí na věci hmotné </w:t>
      </w:r>
      <w:r>
        <w:rPr>
          <w:i/>
        </w:rPr>
        <w:br/>
        <w:t>i nehmotné, na práva však jen potud, připouští-li to jejich povaha a neplyne-li ze zákona něco jiného“.</w:t>
      </w:r>
      <w:r>
        <w:t xml:space="preserve"> Vzhledem k tomu, že dispozice s pohledávkou je upravena ve zvláštních ustanoveních obligačního práva a aplikace ustanovení o nabytí od neoprávněného by vedla ke zjevně nepraktickým důsledkům, bude třeba přijmout názor, že nabytí pohledávky podle ustanovení o nabytí od neoprávněného není možné. Převod pohledávky probíhá podle ustanovení o postoupení pohledávky, což je institut závazkového práva, na který v zásadě, </w:t>
      </w:r>
      <w:r>
        <w:br/>
        <w:t>a to ani na základě analogie, nelze aplikovat ustanovení o právech věcných.</w:t>
      </w:r>
      <w:r>
        <w:rPr>
          <w:rStyle w:val="FootnoteReference"/>
        </w:rPr>
        <w:footnoteReference w:id="210"/>
      </w:r>
      <w:r>
        <w:t xml:space="preserve">        </w:t>
      </w:r>
    </w:p>
    <w:p w:rsidR="009D1F29" w:rsidRDefault="009D1F29">
      <w:pPr>
        <w:spacing w:after="28" w:line="368" w:lineRule="auto"/>
        <w:ind w:left="-5" w:right="0"/>
      </w:pPr>
      <w:r>
        <w:t xml:space="preserve"> </w:t>
      </w:r>
      <w:r>
        <w:tab/>
        <w:t xml:space="preserve">Ustanovení § 1109 OZ říká, že se </w:t>
      </w:r>
      <w:r>
        <w:rPr>
          <w:i/>
        </w:rPr>
        <w:t xml:space="preserve">„vlastníkem věci stane ten, kdo získal věc, která není zapsána ve veřejném seznamu, a byl vzhledem ke všem okolnostem v dobré víře v oprávnění druhé strany vlastnické právo převést na základě řádného titulu, pokud k nabytí došlo: a) ve veřejné dražbě, b) od podnikatele při jeho podnikatelské činnosti v rámci běžného obchodního styku, c) za úplatu od někoho, komu vlastník věc svěřil, d) od neoprávněného dědice, jemuž bylo nabytí dědictví potvrzeno, e) při obchodu s investičním nástrojem, cenným papírem nebo listinou vystavenými na doručitele, nebo f) při obchodu na komoditní burze“. </w:t>
      </w:r>
      <w:r>
        <w:t xml:space="preserve">Jedná se tedy </w:t>
      </w:r>
      <w:r>
        <w:br/>
        <w:t>o tzv. „</w:t>
      </w:r>
      <w:r>
        <w:rPr>
          <w:i/>
        </w:rPr>
        <w:t xml:space="preserve">privilegované“ </w:t>
      </w:r>
      <w:r w:rsidRPr="00F71645">
        <w:t>nabytí vlastnického práva</w:t>
      </w:r>
      <w:r>
        <w:t>, kdy se u nabyvatele presumuje jeho dobrá víra podle § 7.</w:t>
      </w:r>
      <w:r>
        <w:rPr>
          <w:vertAlign w:val="superscript"/>
        </w:rPr>
        <w:footnoteReference w:id="211"/>
      </w:r>
      <w:r>
        <w:t xml:space="preserve"> Z toho vyplývá, že na původním vlastníku leží břemeno důkazní v tom, že nabyvatel v dobré víře nebyl. Výčet způsobů privilegovaného nabytí vlastnického práva je taxativní, došlo tak ke změně oproti osnově z roku 2005, kde byl původně výčet demonstrativní.  </w:t>
      </w:r>
      <w:r>
        <w:tab/>
      </w:r>
      <w:r>
        <w:tab/>
      </w:r>
      <w:r>
        <w:tab/>
      </w:r>
      <w:r>
        <w:tab/>
      </w:r>
      <w:r>
        <w:tab/>
      </w:r>
      <w:r>
        <w:tab/>
      </w:r>
      <w:r>
        <w:tab/>
      </w:r>
      <w:r>
        <w:tab/>
      </w:r>
      <w:r>
        <w:tab/>
      </w:r>
      <w:r>
        <w:tab/>
      </w:r>
      <w:r>
        <w:tab/>
      </w:r>
      <w:r>
        <w:tab/>
        <w:t>Ustanovení § 1110 OZ říká</w:t>
      </w:r>
      <w:r>
        <w:rPr>
          <w:i/>
        </w:rPr>
        <w:t xml:space="preserve">, že „získal-li někdo v dobré víře za úplatu použitou movitou věc od podnikatele, který při své podnikatelské činnosti v rámci běžného obchodního styku obchoduje takovými věcmi, vydá ji vlastníku, který prokáže, že věc pozbyl ztrátou nebo že mu věc byla odňata svémocně a že od ztráty nebo odnětí věci uplynuly nejvýše tři roky“. </w:t>
      </w:r>
      <w:r>
        <w:t xml:space="preserve">Jedná se o úpravu typického bazarového prodeje, podle které se může i přes dobrou víru nabyvatele původní vlastník domoci v tříleté lhůtě navrácení věci, prokáže-li, že věc ztratil nebo mu byla odňata svémocně, tedy o ni přišel nedobrovolně.      </w:t>
      </w:r>
    </w:p>
    <w:p w:rsidR="009D1F29" w:rsidRDefault="009D1F29" w:rsidP="00C83506">
      <w:pPr>
        <w:ind w:left="-5" w:right="4"/>
      </w:pPr>
      <w:r>
        <w:t xml:space="preserve"> </w:t>
      </w:r>
      <w:r>
        <w:tab/>
        <w:t>Ustanovení § 1111 OZ obsahuje generální klauzuli nabytí vlastnického práva od neoprávněného, a je tedy zvláštní, že je obsažena až za speciálními případy.</w:t>
      </w:r>
      <w:r>
        <w:rPr>
          <w:vertAlign w:val="superscript"/>
        </w:rPr>
        <w:footnoteReference w:id="212"/>
      </w:r>
      <w:r>
        <w:t xml:space="preserve"> Říká, že </w:t>
      </w:r>
      <w:r>
        <w:rPr>
          <w:i/>
        </w:rPr>
        <w:t xml:space="preserve">„získal-li někdo movitou věc za jiných okolností, než které stanoví § 1109 nebo 1110, stane se vlastníkem věci, pokud prokáže dobrou víru v oprávnění převodce převést vlastnické právo </w:t>
      </w:r>
      <w:r>
        <w:rPr>
          <w:i/>
        </w:rPr>
        <w:br/>
        <w:t>k věci. To neplatí, pokud vlastník prokáže, že věc pozbyl ztrátou nebo činem povahy úmyslného trestného činu“.</w:t>
      </w:r>
      <w:r>
        <w:t xml:space="preserve"> Ustanovení stanovuje tedy dvě zákonné podmínky, jež musí být splněny, aby nabyvatel mohl vlastnického práva od neoprávněného nabýt, a to dobrou víru nabyvatele v oprávnění převodce, a dále původní vlastník nesmí pozbýt věc ztrátou nebo činem povahy úmyslného trestného činu. Dochází k odchýlení od obecné zásady obsažené ve výše zmíněném §7, a dobrou víru musí prokázat nabyvatel.   </w:t>
      </w:r>
      <w:r>
        <w:tab/>
        <w:t xml:space="preserve"> </w:t>
      </w:r>
      <w:r>
        <w:tab/>
        <w:t xml:space="preserve"> </w:t>
      </w:r>
      <w:r>
        <w:tab/>
        <w:t xml:space="preserve"> </w:t>
      </w:r>
      <w:r>
        <w:tab/>
        <w:t xml:space="preserve"> </w:t>
      </w:r>
    </w:p>
    <w:p w:rsidR="009D1F29" w:rsidRDefault="009D1F29" w:rsidP="00C83506">
      <w:pPr>
        <w:ind w:left="-5" w:right="4" w:firstLine="713"/>
      </w:pPr>
      <w:r>
        <w:t xml:space="preserve"> Ustanovení § 1112 OZ říká, že </w:t>
      </w:r>
      <w:r>
        <w:rPr>
          <w:i/>
        </w:rPr>
        <w:t>„vlastnického práva ani dobré víry svého předchůdce se nemůže k svému prospěchu dovolat ten, kdo získal movitou věc s vědomím, že vlastnické právo bylo nabyto od neoprávněného“.</w:t>
      </w:r>
      <w:r>
        <w:t xml:space="preserve"> Stanovuje se tak pravidlo pro zákaz zneužití privilegia nabytí vlastnického práva od neoprávněného třetí osobou, která by chtěla věc nabýt od nabyvatele v dobré víře, ale sama by věděla, že její předchůdce nabyl vlastnické právo od neoprávněného. Zařazení tohoto pravidla se mi jeví jako správné, když řešit dané situace na základě obecných právních zásad by nemuselo být vždy snadné, na druhou stranu může být </w:t>
      </w:r>
      <w:r>
        <w:br/>
        <w:t xml:space="preserve">v určitých případech, např. u zpětných převodů, problematické.        </w:t>
      </w:r>
    </w:p>
    <w:p w:rsidR="009D1F29" w:rsidRDefault="009D1F29">
      <w:pPr>
        <w:ind w:left="-5" w:right="4"/>
      </w:pPr>
      <w:r>
        <w:t xml:space="preserve"> </w:t>
      </w:r>
      <w:r>
        <w:tab/>
        <w:t>Na základě analýzy výše zmíněných úprav konstatuji, že původní vlastník měl nejsilnější ochranu za účinnosti OZ/64.</w:t>
      </w:r>
      <w:r>
        <w:rPr>
          <w:rStyle w:val="FootnoteReference"/>
        </w:rPr>
        <w:footnoteReference w:id="213"/>
      </w:r>
      <w:r>
        <w:t xml:space="preserve"> Je zřejmé, že původní vlastník byl chráněn více než tomu je dnes, jelikož nabytí od neoprávněného nebylo téměř možné. Tento institut mohla využít pouze socialistická organizace, po novele z roku 1982 potom i jiné subjekty oprávněné státním povolením, jinak ovšem občan nemohl nabýt vlastnické právo od neoprávněného, protože toto právo na něj vůbec nepřecházelo a zůstávalo původnímu vlastníku. Zkoumání dobré víry a dalších okolností by bylo tedy irelevantní.  </w:t>
      </w:r>
    </w:p>
    <w:p w:rsidR="009D1F29" w:rsidRDefault="009D1F29">
      <w:pPr>
        <w:ind w:left="-5" w:right="4"/>
      </w:pPr>
    </w:p>
    <w:p w:rsidR="009D1F29" w:rsidRDefault="009D1F29" w:rsidP="004F6551">
      <w:pPr>
        <w:pStyle w:val="Heading2"/>
        <w:spacing w:line="240" w:lineRule="auto"/>
        <w:ind w:left="535" w:hanging="550"/>
      </w:pPr>
      <w:bookmarkStart w:id="47" w:name="_Toc512979320"/>
      <w:bookmarkStart w:id="48" w:name="_Toc512979826"/>
      <w:r>
        <w:t>Podmínky a příkazy u poslední vůle</w:t>
      </w:r>
      <w:bookmarkEnd w:id="47"/>
      <w:bookmarkEnd w:id="48"/>
      <w:r>
        <w:t xml:space="preserve"> </w:t>
      </w:r>
    </w:p>
    <w:p w:rsidR="009D1F29" w:rsidRDefault="009D1F29">
      <w:pPr>
        <w:spacing w:after="222" w:line="259" w:lineRule="auto"/>
        <w:ind w:left="0" w:right="0" w:firstLine="0"/>
        <w:jc w:val="left"/>
      </w:pPr>
      <w:r>
        <w:t xml:space="preserve"> </w:t>
      </w:r>
    </w:p>
    <w:p w:rsidR="009D1F29" w:rsidRDefault="009D1F29" w:rsidP="004F6551">
      <w:pPr>
        <w:ind w:left="-15" w:right="4" w:firstLine="550"/>
      </w:pPr>
      <w:r>
        <w:t xml:space="preserve">Podmínky a příkazy u poslední vůle patří mezi tzv. </w:t>
      </w:r>
      <w:r>
        <w:rPr>
          <w:i/>
        </w:rPr>
        <w:t>vedlejší doložky</w:t>
      </w:r>
      <w:r>
        <w:t xml:space="preserve">. Vedlejší doložky umožňují svobodně určit zůstaviteli, za jakých okolností dědic nabude dědictví, či jak s ním má naložit. Jejich podstatou je omezení právního postavení dědice ze závěti, které je vázáno na určité konání, nekonání, či na uplynutí času. Je to projev respektu k vůli zůstavitele. Vedlejší doložky byly součástí právní úpravy již od dob římského práva, není tedy překvapující, že v průběhu historie se měnilo to, ke kterým vedlejším doložkám se nepřihlíželo, a které byly neplatné. Vždy to však byly ty, které porušovaly veřejný pořádek, byly v rozporu s dobrými mravy, vyžadovaly protiprávní jednání dědice, byly nemožné, nesrozumitelné, či k těm, jež zřejmě obtěžovaly dědice ze zjevné svévole zůstavitele. Mezi klasické vedlejší doložky řadíme podmínku, příkaz a určení času.       </w:t>
      </w:r>
    </w:p>
    <w:p w:rsidR="009D1F29" w:rsidRDefault="009D1F29" w:rsidP="006564AE">
      <w:pPr>
        <w:ind w:left="-5" w:right="4" w:firstLine="713"/>
      </w:pPr>
      <w:r>
        <w:t xml:space="preserve"> Podmínka činí nabytí dědictví závislé na tom, zda v budoucnu nastane zůstavitelem určená právní skutečnost. V některých případech může dědic k jejímu splnění sám přispět, když například nastoupí na střední školu, to je tzv. </w:t>
      </w:r>
      <w:r>
        <w:rPr>
          <w:i/>
        </w:rPr>
        <w:t>potestativní podmínka</w:t>
      </w:r>
      <w:r>
        <w:t xml:space="preserve">.  Pokud je splnění podmínky nezávislé na vůli dědice, například když je plnění spojeno s podmínkou něčí smrti, jedná se o tzv. </w:t>
      </w:r>
      <w:r>
        <w:rPr>
          <w:i/>
        </w:rPr>
        <w:t>náhodnou podmínku</w:t>
      </w:r>
      <w:r>
        <w:t xml:space="preserve">. Základním dělením podmínek je dělení na podmínky odkládací neboli suspenzivní a rozvazovací neboli rezolutivní. Odkládací podmínka podmiňuje nabytí dědictví tím, že nastane daná událost. Právní následky nastanou až po uskutečnění určité události. Např. vnuk zdědí nemovitost, až začne být výdělečně činný. </w:t>
      </w:r>
      <w:r>
        <w:br/>
        <w:t xml:space="preserve">U rozvazovací podmínky dochází k právním následkům okamžitě, ale trvají pouze do té doby, dokud určitá událost nenastane. Např. dědictví nabude do té doby, než se ožení. Obecně teorie dovozuje, že při nejistotě, o kterou jde podmínku, se přikláníme k podmínce odkládací na základě zásady </w:t>
      </w:r>
      <w:r>
        <w:rPr>
          <w:i/>
        </w:rPr>
        <w:t>„vše ve prospěch existence a platnosti právního jednání“</w:t>
      </w:r>
      <w:r>
        <w:t>.</w:t>
      </w:r>
      <w:r>
        <w:rPr>
          <w:vertAlign w:val="superscript"/>
        </w:rPr>
        <w:footnoteReference w:id="214"/>
      </w:r>
      <w:r>
        <w:t xml:space="preserve"> Rozdíl mezi podmínkou a určením času je v tom, že událost, na niž je vázáno doložení času, se </w:t>
      </w:r>
      <w:r>
        <w:br/>
        <w:t xml:space="preserve">v budoucnu jistě stane. Není založeno na nejisté budoucí události, např. je pevně stanoveno datum.    </w:t>
      </w:r>
      <w:r>
        <w:tab/>
      </w:r>
      <w:r>
        <w:tab/>
      </w:r>
      <w:r>
        <w:tab/>
      </w:r>
      <w:r>
        <w:tab/>
      </w:r>
      <w:r>
        <w:tab/>
      </w:r>
      <w:r>
        <w:tab/>
      </w:r>
      <w:r>
        <w:tab/>
      </w:r>
      <w:r>
        <w:tab/>
      </w:r>
      <w:r>
        <w:tab/>
      </w:r>
      <w:r>
        <w:tab/>
      </w:r>
      <w:r>
        <w:tab/>
      </w:r>
      <w:r>
        <w:tab/>
      </w:r>
      <w:r>
        <w:tab/>
        <w:t>O příkaz jde v případě, kdy zůstavitel dědici v závěti nařídí jak se zanechaným dědictvím či jeho částí nakládat, nebo mu nařídí, že má něco vykonat či právě vykonat nesmí. Pokud je příkaz v podobě vydání věci jiné osobě, posuzuje se toto jednání jako odkaz.</w:t>
      </w:r>
      <w:r>
        <w:rPr>
          <w:vertAlign w:val="superscript"/>
        </w:rPr>
        <w:footnoteReference w:id="215"/>
      </w:r>
      <w:r>
        <w:t xml:space="preserve"> Příkaz má povahu rozvazovací podmínky, takže pokud dědic stanovený příkaz nesplní, zaniká mu právo na dědictví. Příkaz nemusí směřovat jen na plnění majetkové hodnoty, např. lze zřídit příkaz, aby se dědic staral o zůstavitelův hrob. </w:t>
      </w:r>
    </w:p>
    <w:p w:rsidR="009D1F29" w:rsidRPr="00AA66D1" w:rsidRDefault="009D1F29">
      <w:pPr>
        <w:pStyle w:val="Heading3"/>
        <w:ind w:left="705" w:hanging="720"/>
        <w:rPr>
          <w:color w:val="auto"/>
        </w:rPr>
      </w:pPr>
      <w:bookmarkStart w:id="49" w:name="_Toc512979321"/>
      <w:bookmarkStart w:id="50" w:name="_Toc512979827"/>
      <w:r w:rsidRPr="00AA66D1">
        <w:rPr>
          <w:color w:val="auto"/>
        </w:rPr>
        <w:t>Podmínky a příkazy u poslední vůle v občanském zákoníku z roku 1811</w:t>
      </w:r>
      <w:bookmarkEnd w:id="49"/>
      <w:bookmarkEnd w:id="50"/>
      <w:r w:rsidRPr="00AA66D1">
        <w:rPr>
          <w:color w:val="auto"/>
        </w:rPr>
        <w:t xml:space="preserve"> </w:t>
      </w:r>
    </w:p>
    <w:p w:rsidR="009D1F29" w:rsidRDefault="009D1F29">
      <w:pPr>
        <w:spacing w:after="183" w:line="259" w:lineRule="auto"/>
        <w:ind w:left="0" w:right="0" w:firstLine="0"/>
        <w:jc w:val="left"/>
      </w:pPr>
      <w:r>
        <w:t xml:space="preserve"> </w:t>
      </w:r>
    </w:p>
    <w:p w:rsidR="009D1F29" w:rsidRDefault="009D1F29">
      <w:pPr>
        <w:ind w:left="-15" w:right="4" w:firstLine="708"/>
      </w:pPr>
      <w:r>
        <w:t xml:space="preserve">Vedlejší doložky se v OZO nacházely v hlavě dvanácté nazvané </w:t>
      </w:r>
      <w:r>
        <w:rPr>
          <w:i/>
        </w:rPr>
        <w:t xml:space="preserve">„O obmezení </w:t>
      </w:r>
      <w:r>
        <w:rPr>
          <w:i/>
        </w:rPr>
        <w:br/>
        <w:t>a zrušení poslední vůle“</w:t>
      </w:r>
      <w:r>
        <w:t xml:space="preserve">. Podle § 695 mezi vedlejší doložky náležela výminka (dnes podmínka), příkaz, doložení času a projevený úmysl.        </w:t>
      </w:r>
    </w:p>
    <w:p w:rsidR="009D1F29" w:rsidRDefault="009D1F29">
      <w:pPr>
        <w:ind w:left="-5" w:right="4"/>
      </w:pPr>
      <w:r>
        <w:t xml:space="preserve"> </w:t>
      </w:r>
      <w:r>
        <w:tab/>
        <w:t>Výminka byla upravena v § 696 až § 703. Jednalo se o vedlejší ustanovení, které činilo právní následky závislé na nejisté budoucí události, musela mít stejnou formu jako závěť a její obsah musel být navenek rozpoznatelný.</w:t>
      </w:r>
      <w:r>
        <w:rPr>
          <w:vertAlign w:val="superscript"/>
        </w:rPr>
        <w:footnoteReference w:id="216"/>
      </w:r>
      <w:r>
        <w:t xml:space="preserve"> Pokud se výminka splnila již během života zůstavitele, bylo nutné dané splnění po jeho smrti, pokud to bylo možné, opakovat </w:t>
      </w:r>
      <w:r>
        <w:br/>
        <w:t xml:space="preserve">(§ 701). Aby dědic nabyl dědictví zatížené výminkou, musel se dožít splnění výminky a být </w:t>
      </w:r>
      <w:r>
        <w:br/>
        <w:t>v této době způsobilý dědit (§ 703). V případě, kdy se dědic splnění výminky nedožil, nabýval dědictví zákonný dědic (pokud v závěti nebyli stanoveni náhradníci). Pokud byla stanovena podmínka rozvazovací, nabýval dědic dědictví do té doby, než danou podmínku nenaplnil. Pak dědictví přecházelo taktéž na zákonné dědice, potažmo na stanovené náhradníky.</w:t>
      </w:r>
      <w:r>
        <w:rPr>
          <w:vertAlign w:val="superscript"/>
        </w:rPr>
        <w:footnoteReference w:id="217"/>
      </w:r>
      <w:r>
        <w:t xml:space="preserve"> Splnění podmínky nešlo nijak obcházet (§ 699) či plnit alternativně.</w:t>
      </w:r>
      <w:r>
        <w:rPr>
          <w:vertAlign w:val="superscript"/>
        </w:rPr>
        <w:footnoteReference w:id="218"/>
      </w:r>
      <w:r>
        <w:t xml:space="preserve"> Pokud byla výminka zmařena objektivně, bez cizího zavinění, tak zanikla.</w:t>
      </w:r>
      <w:r>
        <w:rPr>
          <w:vertAlign w:val="superscript"/>
        </w:rPr>
        <w:footnoteReference w:id="219"/>
      </w:r>
      <w:r>
        <w:t xml:space="preserve"> Jestliže byla odkládací výminka úmyslně splněna osobou, která na jejím splnění měla prospěch, byla výminka považována za zmařenou. Jestliže však byla odkládací výminka úmyslně zmařena osobou, která ji chtěla zmařit, považovala se za splněnou.</w:t>
      </w:r>
      <w:r>
        <w:rPr>
          <w:rStyle w:val="FootnoteReference"/>
        </w:rPr>
        <w:footnoteReference w:id="220"/>
      </w:r>
      <w:r>
        <w:t xml:space="preserve">         </w:t>
      </w:r>
    </w:p>
    <w:p w:rsidR="009D1F29" w:rsidRDefault="009D1F29" w:rsidP="00D557CA">
      <w:pPr>
        <w:ind w:left="-5" w:right="4" w:firstLine="713"/>
      </w:pPr>
      <w:r>
        <w:t xml:space="preserve"> Nesrozumitelné, nemožné a nedovolené výminky byly zakázány. Nesrozumitelná byla taková, jejíž obsah nebylo možné vyložit vzhledem ke všem okolnostem a výkladovým prostředkům. Na takovouto výminku se hledělo, jako by nebyla připojena (§ 697), a dědic tak nabyl dědictví ihned. Nemožná výminka vázala vznik či zánik dědictví na událost, která nemohla nastat. V takovém případě bylo celé ustanovení neplatné, včetně povolání za dědice (§ 698). Nedovolená výminka spočívala v požadavku porušení práva či v chování v rozporu </w:t>
      </w:r>
      <w:r>
        <w:br/>
        <w:t>s dobrými mravy. Za nedovolenou byla považována výminka, že dědic neuzavře manželství (§ 700), avšak z tohoto pravidla existovaly výjimky. Platná totiž byla výminka zakazující uzavřít manželství s konkrétní osobou, v určitý den či období. Dále pak splnit podmínku neuzavření sňatku musela splnit ovdovělá osoba s dětmi, v čemž byla vnímána snaha zůstavitele zaopatřit svou rodinu po jeho smrti a zachovat svým potomkům dědictví.</w:t>
      </w:r>
      <w:r>
        <w:tab/>
      </w:r>
      <w:r>
        <w:tab/>
      </w:r>
      <w:r>
        <w:tab/>
        <w:t>Zůstavitel mohl omezit svou poslední vůli také příkazem, ten se podle § 709 posuzoval jako rozvazovací podmínka. V případě, že dědic či odkazovník příkaz nesplnil, dědictví pozbýval. Zůstavitel však mohl v závěti stanovit i jiný důsledek. Účelem bylo nařídit odkazovníku či dědici, aby s pozůstalým majetkem či jeho částí naložil stanoveným způsobem. Z příkazu muselo jasně vyplývat, že je právně závazný, jinak byl brán jako pouhé právně nezávazné přání.</w:t>
      </w:r>
      <w:r>
        <w:rPr>
          <w:vertAlign w:val="superscript"/>
        </w:rPr>
        <w:footnoteReference w:id="221"/>
      </w:r>
      <w:r>
        <w:t xml:space="preserve"> Příkaz musel být splněn ve lhůtě stanovené zůstavitelem, pokud takovou lhůtu nestanovil, tak v přiměřené době určené z úřední povinnosti soudem. Třetí osoby nemohly nárokovat splnění příkazu, mohly pouze naléhat na dědice, aby tak učinil. Žalovat o splnění mohl pouze vykonavatel poslední vůle, dědic, pokud měla plnit příkaz osoba od dědice odlišná a úřady u příkazů ve veřejném zájmu.</w:t>
      </w:r>
      <w:r>
        <w:rPr>
          <w:vertAlign w:val="superscript"/>
        </w:rPr>
        <w:footnoteReference w:id="222"/>
      </w:r>
      <w:r>
        <w:t xml:space="preserve">  </w:t>
      </w:r>
    </w:p>
    <w:p w:rsidR="009D1F29" w:rsidRDefault="009D1F29">
      <w:pPr>
        <w:ind w:left="-5" w:right="4"/>
      </w:pPr>
      <w:r>
        <w:t xml:space="preserve"> </w:t>
      </w:r>
      <w:r>
        <w:tab/>
        <w:t xml:space="preserve">Rozdíl mezi výminkou a příkazem spočíval v tom, že příkaz nemusel být splněn přesně podle požadavků zůstavitele. Stačilo, aby byl splněn přibližně, pokud to nebylo možné jinak (§ 710). Pokud příkaz nebylo možné splnit vůbec, mohlo být dědici či odkazovníku splnění prominuto, ledaže zůstavitel prominutí nepřipustil.    </w:t>
      </w:r>
    </w:p>
    <w:p w:rsidR="009D1F29" w:rsidRDefault="009D1F29" w:rsidP="0092054B">
      <w:pPr>
        <w:spacing w:after="48" w:line="360" w:lineRule="auto"/>
        <w:ind w:left="-5" w:right="4"/>
      </w:pPr>
      <w:r>
        <w:t xml:space="preserve"> </w:t>
      </w:r>
      <w:r>
        <w:tab/>
        <w:t xml:space="preserve">V pochybnostech, zda se jedná o výminku nebo příkaz, se ustanovení vykládalo jako příkaz, jelikož příkaz měl výše zmíněné příznivější následky pro dědice. V případě, že zůstavitel přikázal svému dědici, aby vydal z majetku věc třetí osobě, jednalo se o odkaz. Zůstavitel mohl také nařídit odkaz třetí osobě v případě, pokud dědic či odkazovník nesplní stanovený příkaz. Nesmělo se však jednat o příkaz nemožný, nesrozumitelný či nedovolený, pak by takový příkaz byl neplatný podle § 712, a dědictví zůstávalo bez omezení. Dědic či odkazovník pozbývali všech práv také v případě, kdy způsobili zmaření příkazu. Dědictví pak připadlo zákonnému dědici, potažmo osobě zůstavitelem stanovené.  </w:t>
      </w:r>
    </w:p>
    <w:p w:rsidR="009D1F29" w:rsidRDefault="009D1F29" w:rsidP="00EA03A7">
      <w:pPr>
        <w:pStyle w:val="Heading3"/>
        <w:spacing w:after="113" w:line="360" w:lineRule="auto"/>
        <w:ind w:left="693" w:hanging="708"/>
      </w:pPr>
      <w:bookmarkStart w:id="51" w:name="_Toc512979322"/>
      <w:bookmarkStart w:id="52" w:name="_Toc512979828"/>
      <w:r>
        <w:t>Podmínky a příkazy u poslední vůle v občanském zákoníku z roku 1950</w:t>
      </w:r>
      <w:bookmarkEnd w:id="51"/>
      <w:bookmarkEnd w:id="52"/>
      <w:r>
        <w:t xml:space="preserve"> </w:t>
      </w:r>
    </w:p>
    <w:p w:rsidR="009D1F29" w:rsidRPr="00EA03A7" w:rsidRDefault="009D1F29" w:rsidP="00EA03A7">
      <w:pPr>
        <w:spacing w:line="240" w:lineRule="auto"/>
      </w:pPr>
    </w:p>
    <w:p w:rsidR="009D1F29" w:rsidRDefault="009D1F29" w:rsidP="00EA03A7">
      <w:pPr>
        <w:spacing w:line="360" w:lineRule="auto"/>
        <w:ind w:left="-5" w:right="4" w:firstLine="698"/>
      </w:pPr>
      <w:r>
        <w:t>OZ/50 přinesl v dědickém právu, obdobně jako v jiných oblastech občanského práva, mnohé změny a současně právní úpravu zjednodušoval. Dědické právo nemělo napomáhat vykořisťování člověka člověkem, což byl jeden z argumentů zákonodárce, kterým obhajoval omezení testovací svobody. Vycházelo se z myšlenky, že osoba zemřelá nemá mít moc nad majetkem nového vlastníka, široká volnost nakládání s majetkem nového vlastníka měla přednost před testovací volností zůstavitele.  Zákonodárce toto pravidlo obhajoval také tím, že nabyvateli je umožněno co nejhospodárnější využití dědictví.</w:t>
      </w:r>
      <w:r>
        <w:rPr>
          <w:vertAlign w:val="superscript"/>
        </w:rPr>
        <w:footnoteReference w:id="223"/>
      </w:r>
      <w:r>
        <w:t xml:space="preserve"> Do dědictví přecházel pouze majetek osobní, který podle zákonodárce nevyžadoval náročnější právní základ.</w:t>
      </w:r>
      <w:r>
        <w:rPr>
          <w:rStyle w:val="FootnoteReference"/>
        </w:rPr>
        <w:footnoteReference w:id="224"/>
      </w:r>
      <w:r>
        <w:t xml:space="preserve"> </w:t>
      </w:r>
      <w:r>
        <w:tab/>
      </w:r>
      <w:r>
        <w:tab/>
      </w:r>
      <w:r>
        <w:tab/>
        <w:t xml:space="preserve">Důvodová zpráva také vysvětlovala, proč nově dědickým titulem byla již jen závěť </w:t>
      </w:r>
      <w:r>
        <w:br/>
        <w:t xml:space="preserve">a zákon, nikoliv dědická smlouva. Ta podle ní podvazovala pro budoucnost zůstavitelovu pořizovací svobodu, naproti tomu závěť označovala za přípustný osobní zásah do zákonné úpravy dědického práva, avšak úprava pečlivě sledovala, aby individuální vůle zůstavitele neporušila základní zásady dědění ze zákona, které byly výrazem vůle celku.    </w:t>
      </w:r>
    </w:p>
    <w:p w:rsidR="009D1F29" w:rsidRDefault="009D1F29" w:rsidP="00F81A8A">
      <w:pPr>
        <w:ind w:left="-5" w:right="4" w:firstLine="698"/>
      </w:pPr>
      <w:r>
        <w:t xml:space="preserve"> I přes silné omezování vůle zůstavitele, kdy u vedlejších doložek v závěti vymizelo doložení času, rozvazovací podmínka, příkaz či svěřenské náhradnictví, nebyla ze zákona vyloučena určitá omezení pro nově nabývající dědice.</w:t>
      </w:r>
      <w:r>
        <w:rPr>
          <w:vertAlign w:val="superscript"/>
        </w:rPr>
        <w:footnoteReference w:id="225"/>
      </w:r>
      <w:r>
        <w:t xml:space="preserve"> Co se týče zmíněného příkazu, ten byl v podstatě odstraněn, když se na něj nahlíželo jako na příkazní smlouvu. Odůvodňováno to bylo tím, že příkazní smlouva zaniká smrtí příkazce, a tudíž nešlo nařídit příkaz závětí.</w:t>
      </w:r>
      <w:r>
        <w:rPr>
          <w:vertAlign w:val="superscript"/>
        </w:rPr>
        <w:footnoteReference w:id="226"/>
      </w:r>
      <w:r>
        <w:t xml:space="preserve"> Toto vnímání příkazu však považuji za mylné, protože příkaz není příkazní smlouva, jelikož zde chybí svobodná vůle k uzavření příkazní smlouvy.  Jediným zákonem povoleným </w:t>
      </w:r>
      <w:r>
        <w:br/>
        <w:t xml:space="preserve">a platným příkazem byl ten, kterým zůstavitel přikazoval dědici vyplatit jiné osobě peněžitou částku jako odkaz.           </w:t>
      </w:r>
    </w:p>
    <w:p w:rsidR="009D1F29" w:rsidRDefault="009D1F29" w:rsidP="00F81A8A">
      <w:pPr>
        <w:spacing w:after="28" w:line="368" w:lineRule="auto"/>
        <w:ind w:left="-5" w:right="0" w:firstLine="698"/>
      </w:pPr>
      <w:r>
        <w:t xml:space="preserve"> Zákon podmínky u závěti výslovně nevylučoval, až na tu, kdy zůstavitel omezoval povolání určité osoby za dědice. Tak bylo upraveno v § 550, kdy </w:t>
      </w:r>
      <w:r>
        <w:rPr>
          <w:i/>
        </w:rPr>
        <w:t>„neplatná je podmínka, kterou zůstavitel omezil povolení někoho za dědice. Neplatné je i ustanovení závěti, že toho, co se zůstavuje, má dědic nabýt jen na určitou dobu nebo později než dnem pozůstavitelovy smrti, jakož i ustanovení závěti o tom, na koho má dědictví přejít po smrti dědicově. Neplatný je také zůstavitelův příkaz, aby dědic použil dědictví nebo jeho části určitým způsobem nebo aby něco vykonal</w:t>
      </w:r>
      <w:r>
        <w:t>“. K omezení povolání někoho za dědice se vyjádřil také NS ČSSR: „</w:t>
      </w:r>
      <w:r>
        <w:rPr>
          <w:i/>
        </w:rPr>
        <w:t>Byla-li v závěti ustanovena dědicem osoba, jejíž povolání za dědice se příčí zákonu nebo obecnému zájmu, je neplatné nejen povolání této osoby za dědice, ale i to ustanovení závěti, v němž se pro případ, že tato osoba dědictví nenabude, stanoví pro její dědický podíl náhradní dědic.</w:t>
      </w:r>
      <w:r>
        <w:t>“</w:t>
      </w:r>
      <w:r>
        <w:rPr>
          <w:vertAlign w:val="superscript"/>
        </w:rPr>
        <w:footnoteReference w:id="227"/>
      </w:r>
      <w:r>
        <w:t xml:space="preserve"> Výjimku z pravidla, že zůstavitel nemůže omezit povolání osoby za dědice, stanovoval § 539 v podobě institutu tzv. </w:t>
      </w:r>
      <w:r>
        <w:rPr>
          <w:i/>
        </w:rPr>
        <w:t>obecného náhradnictví</w:t>
      </w:r>
      <w:r>
        <w:t xml:space="preserve">, kdy </w:t>
      </w:r>
      <w:r>
        <w:rPr>
          <w:i/>
        </w:rPr>
        <w:t xml:space="preserve">„pořizovatel může </w:t>
      </w:r>
      <w:r>
        <w:rPr>
          <w:i/>
        </w:rPr>
        <w:br/>
        <w:t>v závěti ustanovit náhradního dědice pro případ, že dědic jím povolaný dědictví nenabude</w:t>
      </w:r>
      <w:r>
        <w:t xml:space="preserve">“.  Jednalo se o případ, kdy dědic odmítne dědictví, není k němu způsobilý či zemře ještě před zůstavitelem. </w:t>
      </w:r>
    </w:p>
    <w:p w:rsidR="009D1F29" w:rsidRDefault="009D1F29">
      <w:pPr>
        <w:spacing w:after="166"/>
        <w:ind w:left="-5" w:right="4"/>
      </w:pPr>
      <w:r>
        <w:t xml:space="preserve"> </w:t>
      </w:r>
      <w:r>
        <w:tab/>
        <w:t>Zákon dále povoloval omezení výše podílu určitou povinností. Například pokud zůstavitel odkázal jednomu z dědiců nemovitost, mohl stanovit podmínku, že tento zaplatí všechny dluhy na nemovitosti váznoucí, a to bez možnosti žádat náhradu poměrné částky od ostatních dědiců.</w:t>
      </w:r>
      <w:r>
        <w:rPr>
          <w:vertAlign w:val="superscript"/>
        </w:rPr>
        <w:footnoteReference w:id="228"/>
      </w:r>
      <w:r>
        <w:t xml:space="preserve"> Další možné omezení spočívalo v uložení povinnosti vyplacení peněz nebo jiné povinnosti. Například pokud zůstavitel zůstavil celou nemovitost jednomu </w:t>
      </w:r>
      <w:r>
        <w:br/>
        <w:t>z potomků s podmínkou, že ostatním dědicům vyplatí jejich podíl z ceny nemovitosti zjištěné znaleckým posudkem nebo s podmínkou, že dědic nechá zůstavitelovu manželku po dobu jejího života tuto nemovitost volně užívat.</w:t>
      </w:r>
      <w:r>
        <w:rPr>
          <w:vertAlign w:val="superscript"/>
        </w:rPr>
        <w:footnoteReference w:id="229"/>
      </w:r>
      <w:r>
        <w:t xml:space="preserve"> Za omezení váznoucí na vlastnictví nabývajícího vlastníka lze dále vidět zřízení věcného břemena k nemovitosti či možnost odkázat majetek dítěti již počatému, ale ještě nenarozenému v případě, že se narodí živé. </w:t>
      </w:r>
    </w:p>
    <w:p w:rsidR="009D1F29" w:rsidRDefault="009D1F29">
      <w:pPr>
        <w:pStyle w:val="Heading3"/>
        <w:ind w:left="693" w:hanging="708"/>
      </w:pPr>
      <w:bookmarkStart w:id="53" w:name="_Toc512979323"/>
      <w:bookmarkStart w:id="54" w:name="_Toc512979829"/>
      <w:r>
        <w:t>Podmínky a příkazy u poslední vůle v občanském zákoníku z roku 1964</w:t>
      </w:r>
      <w:bookmarkEnd w:id="53"/>
      <w:bookmarkEnd w:id="54"/>
      <w:r>
        <w:t xml:space="preserve"> </w:t>
      </w:r>
      <w:r>
        <w:tab/>
        <w:t xml:space="preserve"> </w:t>
      </w:r>
    </w:p>
    <w:p w:rsidR="009D1F29" w:rsidRDefault="009D1F29">
      <w:pPr>
        <w:spacing w:after="177" w:line="259" w:lineRule="auto"/>
        <w:ind w:left="0" w:right="0" w:firstLine="0"/>
        <w:jc w:val="left"/>
      </w:pPr>
      <w:r>
        <w:t xml:space="preserve"> </w:t>
      </w:r>
    </w:p>
    <w:p w:rsidR="009D1F29" w:rsidRDefault="009D1F29" w:rsidP="00BD0812">
      <w:pPr>
        <w:spacing w:after="167" w:line="360" w:lineRule="auto"/>
        <w:ind w:right="-7" w:firstLine="683"/>
      </w:pPr>
      <w:r>
        <w:t>Úprava OZ/64 věnovala dědickému právu velmi malou pozornost, když obsahovala dokonce méně paragrafů týkajících se dědictví než její sovětský vzor.</w:t>
      </w:r>
      <w:r>
        <w:rPr>
          <w:vertAlign w:val="superscript"/>
        </w:rPr>
        <w:footnoteReference w:id="230"/>
      </w:r>
      <w:r>
        <w:t xml:space="preserve"> Není tak překvapující, že velmi stručná byla také úprava vedlejších doložek, respektive podmínky </w:t>
      </w:r>
      <w:r>
        <w:br/>
        <w:t>a příkazu. Ta se omezila na § 478, který zněl</w:t>
      </w:r>
      <w:r>
        <w:rPr>
          <w:i/>
        </w:rPr>
        <w:t xml:space="preserve"> „jakékoli podmínky připojené k závěti nemají právní následky; ustanovení § 484 odst. 1 věty druhé tím není dotčeno“.  </w:t>
      </w:r>
      <w:r>
        <w:t xml:space="preserve">Z dané úpravy vyplývá, že zákonodárce pokračoval v trendu nastoleném OZ/50, když dával přednost žijícím dědicům před autonomií vůle zůstavitele nakládat se svým majetek podle své vůle. Úprava se stávala pro zůstavitele naopak ještě restriktivnější. Komentář k danému ustanovení poznamenává, že záměrem zákonodárce byla snaha neomezovat dědice co do nabytí dědictví ani co do dispozic se zděděným majetkem, které by mu bránily v účelném využití dědictví. </w:t>
      </w:r>
      <w:r>
        <w:br/>
        <w:t>K tvrzení, že připojené podmínky neměly právní následky, ještě doplňuje, že se k nim nepřihlíželo a závěť, která je obsahovala, zůstávala platná.</w:t>
      </w:r>
      <w:r>
        <w:rPr>
          <w:vertAlign w:val="superscript"/>
        </w:rPr>
        <w:footnoteReference w:id="231"/>
      </w:r>
      <w:r>
        <w:t xml:space="preserve">     </w:t>
      </w:r>
      <w:r>
        <w:tab/>
      </w:r>
      <w:r>
        <w:tab/>
      </w:r>
      <w:r>
        <w:tab/>
      </w:r>
      <w:r>
        <w:tab/>
      </w:r>
      <w:r>
        <w:tab/>
        <w:t xml:space="preserve"> I přes striktnost kogentního ustanovení § 478 docházelo k jeho judikaturnímu prolamování, a ne všechny podmínky tak byly pouze nezávazná přání, jejichž splnění záviselo čistě na morálním charakteru nabyvatele. Bylo například připuštěno ustanovení náhradního dědice, zatížení nemovitosti spadající do dědictví věcným břemenem či nařízení dědici vyplatit peněžní podíly jiným osobám.</w:t>
      </w:r>
      <w:r>
        <w:rPr>
          <w:vertAlign w:val="superscript"/>
        </w:rPr>
        <w:footnoteReference w:id="232"/>
      </w:r>
      <w:r>
        <w:t xml:space="preserve"> U ustanovení náhradního dědice pro případ, že by určený dědic nemohl dědictví nabýt, je nutné upozornit, že se jednalo o obecné náhradnictví, nikoliv svěřenské, které bylo nadále zakázáno. V případě obecného náhradnictví i zřízení věcného břemene judikatura argumentovala tím, že nejde o nepřípustnou podmínku, ale </w:t>
      </w:r>
      <w:r>
        <w:br/>
        <w:t>o realizaci práva zůstavitele ustanovit závětí dědice.</w:t>
      </w:r>
      <w:r>
        <w:rPr>
          <w:vertAlign w:val="superscript"/>
        </w:rPr>
        <w:footnoteReference w:id="233"/>
      </w:r>
      <w:r>
        <w:t xml:space="preserve">       </w:t>
      </w:r>
      <w:r>
        <w:tab/>
      </w:r>
      <w:r>
        <w:tab/>
      </w:r>
      <w:r>
        <w:tab/>
      </w:r>
      <w:r>
        <w:tab/>
      </w:r>
      <w:r>
        <w:tab/>
      </w:r>
      <w:r>
        <w:tab/>
        <w:t xml:space="preserve"> Jako problematické se jevilo to, že zákonodárce nikde v § 478 nehovořil o zákazu příkazu či určení času a vystačoval si pouze s podmínkou. Na základě obecné soukromoprávní zásady </w:t>
      </w:r>
      <w:r>
        <w:rPr>
          <w:i/>
        </w:rPr>
        <w:t>„co není zákonem zakázáno, je dovoleno“</w:t>
      </w:r>
      <w:r>
        <w:t xml:space="preserve"> měl být tedy příkaz povolen.</w:t>
      </w:r>
      <w:r>
        <w:rPr>
          <w:vertAlign w:val="superscript"/>
        </w:rPr>
        <w:footnoteReference w:id="234"/>
      </w:r>
      <w:r>
        <w:t xml:space="preserve"> To se však v praxi nedělo, když bylo znovu argumentováno neomezováním nabyvatele zemřelým. Teorie</w:t>
      </w:r>
      <w:r>
        <w:rPr>
          <w:vertAlign w:val="superscript"/>
        </w:rPr>
        <w:footnoteReference w:id="235"/>
      </w:r>
      <w:r>
        <w:t xml:space="preserve">  i judikatura</w:t>
      </w:r>
      <w:r>
        <w:rPr>
          <w:vertAlign w:val="superscript"/>
        </w:rPr>
        <w:footnoteReference w:id="236"/>
      </w:r>
      <w:r>
        <w:t xml:space="preserve"> souhlasila s tím, že zákonná úprava je nedostatečná, když hovoří pouze o podmínce, ovšem již nesouhlasila s řešením problému přes výše zmíněnou soukromoprávní zásadu, ale dovozovala, že zákaz se týkal mimo podmínek hlavně příkazů a určení času.  </w:t>
      </w:r>
      <w:r>
        <w:tab/>
      </w:r>
      <w:r>
        <w:tab/>
      </w:r>
      <w:r>
        <w:tab/>
      </w:r>
      <w:r>
        <w:tab/>
      </w:r>
      <w:r>
        <w:tab/>
      </w:r>
      <w:r>
        <w:tab/>
      </w:r>
      <w:r>
        <w:tab/>
      </w:r>
      <w:r>
        <w:tab/>
      </w:r>
      <w:r>
        <w:tab/>
        <w:t xml:space="preserve">Ještě je nutno podívat se na zmiňovanou zákonnou výjimku z § 478, kterou je ustanovení § 484 odstavec 1, věta druhá, upravující příkaz k započtení na dědický podíl, </w:t>
      </w:r>
      <w:r>
        <w:br/>
        <w:t xml:space="preserve">tzv. </w:t>
      </w:r>
      <w:r>
        <w:rPr>
          <w:i/>
        </w:rPr>
        <w:t>kolaci</w:t>
      </w:r>
      <w:r>
        <w:t xml:space="preserve">. Toto ustanovení říkalo, že </w:t>
      </w:r>
      <w:r>
        <w:rPr>
          <w:i/>
        </w:rPr>
        <w:t xml:space="preserve">„při dědění ze zákona se dědici na jeho podíl započte to, co za života zůstavitele od něho bezplatně obdržel, pokud nejde o obvyklá darování; jde-li o dědice uvedeného v ustanovení § 473 odst. 2 (vnuci či jejich děti), započte se kromě toho </w:t>
      </w:r>
      <w:r>
        <w:rPr>
          <w:i/>
        </w:rPr>
        <w:br/>
        <w:t>i to, co od zůstavitele bezplatně obdržel dědicův předek; při dědění ze závěti je třeba toto započtení provést, jestliže k němu dal zůstavitel příkaz anebo jestliže by jinak obdarovaný dědic byl proti dědici uvedenému v ustanovení § 479 neodůvodněně zvýhodněn“.</w:t>
      </w:r>
      <w:r>
        <w:t xml:space="preserve"> Institut započtení na dědický podíl tedy sloužil k co nejspravedlivějšímu rozvržení majetku mezi minimálně dva dědice. To, co dědic obdržel od zůstavitele za jeho života buď v podobě daru nebo například majetkových úlev, se započítáválo do výše jeho dědictví. Smyslem bylo, aby nedocházelo k protěžování jednoho dědice na úkor jiného v rámci výpočtů dědických podílů nebo povinných dílů nepominutelných dědiců. Nezapočítávalo se to, co byl zůstavitel povinen plnit, jako např. výživné, ani dary obvyklé, např. darované k příležitosti Vánoc či narozenin.</w:t>
      </w:r>
      <w:r>
        <w:tab/>
        <w:t>U obvyklých darů se vycházelo zejména z hodnoty daru vzhledem k majetkovým poměrům dané rodiny.</w:t>
      </w:r>
      <w:r>
        <w:rPr>
          <w:vertAlign w:val="superscript"/>
        </w:rPr>
        <w:footnoteReference w:id="237"/>
      </w:r>
      <w:r>
        <w:t xml:space="preserve"> Ve většině případů se vycházelo z hodnoty daru v době darování.</w:t>
      </w:r>
      <w:r>
        <w:rPr>
          <w:vertAlign w:val="superscript"/>
        </w:rPr>
        <w:footnoteReference w:id="238"/>
      </w:r>
      <w:r>
        <w:t xml:space="preserve"> Výjimkou mohlo být, pokud došlo ke značně rozdílným cenám daru v době, kdy byl dědici poskytnut, a v době smrti zůstavitele.</w:t>
      </w:r>
      <w:r>
        <w:rPr>
          <w:vertAlign w:val="superscript"/>
        </w:rPr>
        <w:footnoteReference w:id="239"/>
      </w:r>
      <w:r>
        <w:t xml:space="preserve"> Při dědění ze zákona docházelo k započtení z úřední povinnosti, ze závěti pak, pokud by byl obdarovaný dědic oproti neopominutelnému dědici neodůvodněně zvýhodněn či právě pokud dal zůstavitel k započtení příkaz. Obsah příkazu závisel na vůli zůstavitele. Ten mohl přikázat započtení určitého daru některému dědici, </w:t>
      </w:r>
      <w:r>
        <w:br/>
        <w:t xml:space="preserve">a nepřihlédnout k daru, kterýmž obdaroval jiného dědice, a to i pokud by jiného obdaroval darem hodnotnějším. </w:t>
      </w:r>
    </w:p>
    <w:p w:rsidR="009D1F29" w:rsidRPr="00AA66D1" w:rsidRDefault="009D1F29">
      <w:pPr>
        <w:pStyle w:val="Heading3"/>
        <w:ind w:left="693" w:hanging="708"/>
        <w:rPr>
          <w:color w:val="auto"/>
        </w:rPr>
      </w:pPr>
      <w:bookmarkStart w:id="55" w:name="_Toc512979324"/>
      <w:bookmarkStart w:id="56" w:name="_Toc512979830"/>
      <w:r w:rsidRPr="00AA66D1">
        <w:rPr>
          <w:color w:val="auto"/>
        </w:rPr>
        <w:t>Podmínky a příkazy u poslední vůle v občanském zákoníku</w:t>
      </w:r>
      <w:bookmarkEnd w:id="55"/>
      <w:bookmarkEnd w:id="56"/>
      <w:r w:rsidRPr="00AA66D1">
        <w:rPr>
          <w:color w:val="auto"/>
        </w:rPr>
        <w:t xml:space="preserve">  </w:t>
      </w:r>
    </w:p>
    <w:p w:rsidR="009D1F29" w:rsidRDefault="009D1F29">
      <w:pPr>
        <w:spacing w:after="190" w:line="259" w:lineRule="auto"/>
        <w:ind w:left="0" w:right="0" w:firstLine="0"/>
        <w:jc w:val="left"/>
      </w:pPr>
      <w:r>
        <w:t xml:space="preserve"> </w:t>
      </w:r>
      <w:r>
        <w:tab/>
        <w:t xml:space="preserve"> </w:t>
      </w:r>
    </w:p>
    <w:p w:rsidR="009D1F29" w:rsidRDefault="009D1F29" w:rsidP="006D5B51">
      <w:pPr>
        <w:ind w:left="-15" w:right="4" w:firstLine="708"/>
      </w:pPr>
      <w:r>
        <w:t xml:space="preserve">Pro úplnost doplňuji vývoj institutu podmínek a příkazů v poslední vůli až do současné právní úpravy, zejména se zaměřením na změny oproti úpravě účinné v období socialismu. Inspirována je především OZO. OZ pojímá úpravu dědického práva mnohem podrobněji než předešlé zákoníky vycházející ze socialistické právní školy. Tato změna se dotýká i úpravy vedlejších doložek, tedy také podmínky a příkazu. </w:t>
      </w:r>
      <w:r>
        <w:tab/>
      </w:r>
      <w:r>
        <w:tab/>
      </w:r>
      <w:r>
        <w:tab/>
      </w:r>
      <w:r>
        <w:tab/>
      </w:r>
      <w:r>
        <w:tab/>
      </w:r>
      <w:r>
        <w:tab/>
      </w:r>
      <w:r>
        <w:tab/>
      </w:r>
      <w:r>
        <w:tab/>
        <w:t>Za vedlejší doložky jsou zákonem výslovně stanoveny v § 1551 podmínka, doložení času a příkaz. Tato obvyklá triáda vedlejších doložek je odbornou literaturou doplněna vykonavatelem závěti, správcem pozůstalosti, svěřenským nástupnictvím či povoláním náhradního dědice. Tím, že zákonodárce znovu povoluje danými doložkami modifikovat obsah poslední vůle zůstavitele, podporuje ideu svobodného nakládání s vlastním majetkem. Koncepční změna umožňující k poslední vůli přidat podmínku nebo například doložení času, vede k další důležité změně, a to k posunutí okamžiku nabytí dědictví. Dědictví již nenabývá dědic vždy smrtí zůstavitele, tímto vzniká pouze dědické právo.</w:t>
      </w:r>
      <w:r>
        <w:rPr>
          <w:vertAlign w:val="superscript"/>
        </w:rPr>
        <w:footnoteReference w:id="240"/>
      </w:r>
      <w:r>
        <w:t xml:space="preserve">  Přestože se ukotvení podmínek a příkazů znovu výslovně vrací do naší právní úpravy, nelze samozřejmě s ohledem na obecné právní principy mít za to, že jsou povoleny v jakékoliv podobě. Ustanovení § 1551 odst. 2 říká, že se nepřihlíží k doložce, která zjevně a ze svévole zůstavitele směřuje ke zřejmému obtěžování dědice a k doložce, která zjevně odporuje veřejnému pořádku nebo je nesrozumitelná. Takovéto doložky nemohou způsobit omezení dědického práva.</w:t>
      </w:r>
      <w:r>
        <w:rPr>
          <w:vertAlign w:val="superscript"/>
        </w:rPr>
        <w:footnoteReference w:id="241"/>
      </w:r>
      <w:r>
        <w:t xml:space="preserve"> Zákon pak v § 1552 výslovně upravuje neúčinnost vedlejších doložek týkajících se uzavření či neuzavření manželství a na základě § 3020 také registrovaných partnerství. Tímto zákazem zákonodárce vyjadřuje, že by zůstavitelovy podmínky neměly zasahovat do osobní sféry jedince.</w:t>
      </w:r>
      <w:r>
        <w:rPr>
          <w:vertAlign w:val="superscript"/>
        </w:rPr>
        <w:footnoteReference w:id="242"/>
      </w:r>
      <w:r>
        <w:t xml:space="preserve"> Problematickou se pak jeví poslední věta daného ustanovení </w:t>
      </w:r>
      <w:r>
        <w:rPr>
          <w:i/>
        </w:rPr>
        <w:t>„zůstavitel však může zřídit někomu právo na dobu, než uzavře manželství“</w:t>
      </w:r>
      <w:r>
        <w:t xml:space="preserve">. Znovu se jedná o zásah do osobních práv, který je podle úmyslu zákonodárce nepřípustný, a tak je třeba ustanovení vykládat zejména v sociálně ekonomickém pojetí, kdy zůstavitel může poskytnout například peněžité plnění do doby, než dědic znovu uzavře manželství, a tím pádem by již neměl potřebovat další finanční zajištění. </w:t>
      </w:r>
    </w:p>
    <w:p w:rsidR="009D1F29" w:rsidRDefault="009D1F29">
      <w:pPr>
        <w:ind w:left="-15" w:right="4" w:firstLine="540"/>
      </w:pPr>
      <w:r>
        <w:t>Přímo podmínkám se věnují ustanovení § 1561 až § 1563. § 1561 říká, že „</w:t>
      </w:r>
      <w:r>
        <w:rPr>
          <w:i/>
        </w:rPr>
        <w:t>směřuje-li podmínka k jednání dědice nebo odkazovníka, které jím může být opakováno, musí být znovu vykonáno po smrti zůstavitele, třebaže se tak stalo již za zůstavitelova života, není-li zřejmá jiná vůle zůstavitele“.</w:t>
      </w:r>
      <w:r>
        <w:t xml:space="preserve"> Dané ustanovení je třeba vykládat logicky, když je zřejmé, že pokud například podmínka splnění státní jazykové zkoušky již byla splněna, není třeba ji vykonávat znovu, a taková podmínka bude považována za splněnou. § 1562 upravuje nabytí </w:t>
      </w:r>
      <w:r>
        <w:br/>
        <w:t>s odkládací podmínkou, když stanovuje, že takový dědic musí zůstavitele přežít a současně nebýt z dědického práva vyloučen. Ustanovení § 1563 stanovuje neúčinnost rozvazovací podmínky, pokud taková je nemožná. Dědic se pak stává dědicem, aniž by se k ní přihlíželo. Důležité je si uvědomit, že dochází k její neúčinnosti, nikoliv neplatnosti, protože pak by mohlo být neplatným i povolání dědice na základě takové podmínky.</w:t>
      </w:r>
      <w:r>
        <w:rPr>
          <w:vertAlign w:val="superscript"/>
        </w:rPr>
        <w:footnoteReference w:id="243"/>
      </w:r>
      <w:r>
        <w:t xml:space="preserve"> Neplatnost se naopak vztahuje k nemožné odkládací podmínce, zde dědic k dědění povolán nebude. S daným ustanovením nelze polemizovat, pokud je odkládací podmínka nemožná od počátku. Ovšem je otázka, jak případ řešit v případě následné nemožnosti plnění. Myslím si, že by se mělo vycházet zásadně z vůle zůstavitele, a tak nelze vázat neplatnost k ustanovení závěti z důvodu např. zásahu vyšší moci, kterou nemohl zůstavitel jakkoliv předpokládat.    </w:t>
      </w:r>
    </w:p>
    <w:p w:rsidR="009D1F29" w:rsidRDefault="009D1F29" w:rsidP="006D5B51">
      <w:pPr>
        <w:ind w:left="-5" w:right="4" w:firstLine="713"/>
      </w:pPr>
      <w:r>
        <w:t xml:space="preserve"> Ustanovení o příkazu jsou upravena v § 1569 až § 1574. Ustanovení § 1569 říká, že se příkaz posuzuje stejně jako rozvazovací podmínka. To znamená, že v případě nesplnění příkazu ztratí dědic právo na dědictví, či ho mohou postihnout účinky stanovené pro tento případ zůstavitelem. Dědic tedy v případě nesplnění příkazu ztrácí nabyté dědické právo, pokud zůstavitel neurčí jinak, a dědické právo přechází na dědice určené zůstavitelem nebo na dědice zákonné. Rozdíl mezi rozvazovací podmínkou a příkazem tkví v tom, že příkaz zakládá vždy povinnost obtíženého, kdežto podmínka může být založena na skutečnosti nezávislé na vůli dědice.</w:t>
      </w:r>
      <w:r>
        <w:rPr>
          <w:vertAlign w:val="superscript"/>
        </w:rPr>
        <w:footnoteReference w:id="244"/>
      </w:r>
      <w:r>
        <w:t xml:space="preserve"> Druhý odstavec § 1569 chrání dědice před tím, aby svým příkazem zůstavitel fakticky nemohl znemožnit na dlouhou dobu nakládat s dědictvím, když zakázat zcizení a zatížení lze jen na přiměřenou dobu a z důvodu hodného právní ochrany. Pokud takový důvod není, či doba není přiměřená, může soud na návrh obtíženého rozhodnout, že se k zákazu nepřihlíží či dobu zkrátit.</w:t>
      </w:r>
      <w:r>
        <w:rPr>
          <w:vertAlign w:val="superscript"/>
        </w:rPr>
        <w:footnoteReference w:id="245"/>
      </w:r>
      <w:r>
        <w:t xml:space="preserve">            </w:t>
      </w:r>
    </w:p>
    <w:p w:rsidR="009D1F29" w:rsidRDefault="009D1F29">
      <w:pPr>
        <w:spacing w:after="33"/>
        <w:ind w:left="-5" w:right="4"/>
      </w:pPr>
      <w:r>
        <w:t xml:space="preserve"> </w:t>
      </w:r>
      <w:r>
        <w:tab/>
        <w:t xml:space="preserve">Ustanovení § 1570 upravuje přibližné splnění příkazu, což je projev zásady </w:t>
      </w:r>
      <w:r>
        <w:rPr>
          <w:i/>
        </w:rPr>
        <w:t>„vyhovět zůstaviteli co nejvíce je to možné“</w:t>
      </w:r>
      <w:r>
        <w:t>. Pokud tedy není možné příkaz splnit přesně, postačí alespoň přibližné, pokud není možné ani to, může dědic i tak dědit, pokud zůstavitel nestanoví jinak. Nesmí však úmyslně znemožnit splnění příkazu, pak o dědické právo přijde. Co se týče lhůty ke splnění příkazu, ta není zákonnou úpravou nijak omezena z logického důvodu rozmanitosti příkazů, a tak záleží pouze na vůli zůstavitele. Pokud ten nestanoví, mělo by ke splnění dojít ve lhůtě přiměřené.</w:t>
      </w:r>
      <w:r>
        <w:rPr>
          <w:rStyle w:val="FootnoteReference"/>
        </w:rPr>
        <w:footnoteReference w:id="246"/>
      </w:r>
      <w:r>
        <w:t xml:space="preserve">          </w:t>
      </w:r>
    </w:p>
    <w:p w:rsidR="009D1F29" w:rsidRDefault="009D1F29" w:rsidP="006D5B51">
      <w:pPr>
        <w:ind w:left="-5" w:right="4" w:firstLine="713"/>
      </w:pPr>
      <w:r>
        <w:t xml:space="preserve"> Ustanovení § 1571 upravuje právo příkaz vymáhat. Má ho osoba, jíž je příkaz ku prospěchu, vykonavatel závěti a osoba k tomu v závěti povolaná. Pokud oprávněná osoba prohlásí, že na splnění příkazu netrvá, nabude dědictví obtížený i bez splnění příkazu.</w:t>
      </w:r>
      <w:r>
        <w:tab/>
      </w:r>
      <w:r>
        <w:tab/>
      </w:r>
      <w:r>
        <w:tab/>
        <w:t xml:space="preserve">Ustanovení § 1572 upravuje situace, kdy příkaz směřuje ku prospěchu více osob, které nejsou konkrétně určeny. Obtížený pak splní příkaz vůči právnické osobě chránit zájmy těchto osob. Může jít např. o povinnost postavit psí útulek či uspořádat dárcovskou sbírku pro děti </w:t>
      </w:r>
      <w:r>
        <w:br/>
        <w:t xml:space="preserve">v dětských domovech. Pokud je daných právnických osob více, a nelze určit, kterou z nich zůstavitel v závěti preferoval, je výběr na obtíženém. Pokud obtížený nevybere, může každý, kdo na tom má právní zájem, podat návrh, aby oprávněného určil soud. Pokud příkaz směřuje k veřejnému prospěchu, může splnění vymáhat i orgán veřejné moci.   </w:t>
      </w:r>
    </w:p>
    <w:p w:rsidR="009D1F29" w:rsidRDefault="009D1F29">
      <w:pPr>
        <w:ind w:left="-5" w:right="4"/>
      </w:pPr>
      <w:r>
        <w:t xml:space="preserve"> </w:t>
      </w:r>
      <w:r>
        <w:tab/>
        <w:t xml:space="preserve">Ustanovení § 1573 upravuje rozdíl mezi příkazem a přáním bez právní závaznosti, </w:t>
      </w:r>
      <w:r>
        <w:br/>
        <w:t xml:space="preserve">u kterého je vysloven jen účel, ke kterému se věc má použít. Příkaz musí být formulován jasně, aby nebyl právě s přáním zaměněn. Vždy se přitom přihlíží k výkladu zůstavitelovi vůle a okolnostem případu. </w:t>
      </w:r>
      <w:r>
        <w:tab/>
      </w:r>
      <w:r>
        <w:tab/>
      </w:r>
      <w:r>
        <w:tab/>
      </w:r>
      <w:r>
        <w:tab/>
      </w:r>
      <w:r>
        <w:tab/>
      </w:r>
      <w:r>
        <w:tab/>
      </w:r>
      <w:r>
        <w:tab/>
      </w:r>
      <w:r>
        <w:tab/>
      </w:r>
      <w:r>
        <w:tab/>
      </w:r>
      <w:r>
        <w:tab/>
      </w:r>
      <w:r>
        <w:tab/>
        <w:t xml:space="preserve">Konečně § 1574 přináší povolení příkazu neodporovat závěti, když je povoleno zakázat dědici odporovat závěti, jinak ztratí své dědické právo. Výjimkou je zakázání dědici, aby podal odpor proti pravosti závěti nebo výkladu jejího smyslu. Takový zákaz je neúčinný.          </w:t>
      </w:r>
    </w:p>
    <w:p w:rsidR="009D1F29" w:rsidRDefault="009D1F29" w:rsidP="006749F6">
      <w:pPr>
        <w:ind w:left="-5" w:right="4"/>
      </w:pPr>
      <w:r>
        <w:t xml:space="preserve"> </w:t>
      </w:r>
      <w:r>
        <w:tab/>
        <w:t xml:space="preserve">Socialistická doktrína se snažila upřednostňovat zákonnou úpravu dědictví, jakožto výraz vůle celku, před úpravou smluvní, když zrušila dědickou smlouvu a omezovala úpravu závěti. Paradoxně však redukcí úpravy vedlejších doložek v závěti, respektive zneplatněním velké části z nich, došlo ke zvýhodnění postavení testamentárních dědiců, jelikož ti díky tomu nabývali dědictví bez dnes možných omezení. Co se týče ochrany vlastnictví, můžeme říci, že za platnosti socialistických kodexů byl v jistě lepším postavení aktuální živý vlastník oproti bývalému, když zůstavitel měl mnohem menší šanci zasáhnout do vlastnického práva dědice.  </w:t>
      </w:r>
    </w:p>
    <w:p w:rsidR="009D1F29" w:rsidRDefault="009D1F29" w:rsidP="006749F6">
      <w:pPr>
        <w:spacing w:after="112" w:line="259" w:lineRule="auto"/>
        <w:ind w:left="0" w:right="0" w:firstLine="0"/>
        <w:jc w:val="left"/>
      </w:pPr>
    </w:p>
    <w:p w:rsidR="009D1F29" w:rsidRDefault="009D1F29">
      <w:pPr>
        <w:spacing w:after="112" w:line="259" w:lineRule="auto"/>
        <w:ind w:left="0" w:right="0" w:firstLine="0"/>
        <w:jc w:val="left"/>
      </w:pPr>
      <w:r>
        <w:t xml:space="preserve"> </w:t>
      </w:r>
    </w:p>
    <w:p w:rsidR="009D1F29" w:rsidRDefault="009D1F29">
      <w:pPr>
        <w:spacing w:after="112" w:line="259" w:lineRule="auto"/>
        <w:ind w:left="0" w:right="0" w:firstLine="0"/>
        <w:jc w:val="left"/>
      </w:pPr>
      <w:r>
        <w:t xml:space="preserve"> </w:t>
      </w:r>
    </w:p>
    <w:p w:rsidR="009D1F29" w:rsidRDefault="009D1F29">
      <w:pPr>
        <w:spacing w:after="115" w:line="259" w:lineRule="auto"/>
        <w:ind w:left="0" w:right="0" w:firstLine="0"/>
        <w:jc w:val="left"/>
      </w:pPr>
      <w:r>
        <w:t xml:space="preserve"> </w:t>
      </w:r>
    </w:p>
    <w:p w:rsidR="009D1F29" w:rsidRDefault="009D1F29">
      <w:pPr>
        <w:spacing w:after="112" w:line="259" w:lineRule="auto"/>
        <w:ind w:left="0" w:right="0" w:firstLine="0"/>
        <w:jc w:val="left"/>
      </w:pPr>
      <w:r>
        <w:t xml:space="preserve"> </w:t>
      </w:r>
    </w:p>
    <w:p w:rsidR="009D1F29" w:rsidRDefault="009D1F29">
      <w:pPr>
        <w:spacing w:after="115" w:line="259" w:lineRule="auto"/>
        <w:ind w:left="0" w:right="0" w:firstLine="0"/>
        <w:jc w:val="left"/>
      </w:pPr>
      <w:r>
        <w:t xml:space="preserve"> </w:t>
      </w:r>
    </w:p>
    <w:p w:rsidR="009D1F29" w:rsidRDefault="009D1F29">
      <w:pPr>
        <w:spacing w:after="112" w:line="259" w:lineRule="auto"/>
        <w:ind w:left="0" w:right="0" w:firstLine="0"/>
        <w:jc w:val="left"/>
      </w:pPr>
      <w:r>
        <w:t xml:space="preserve"> </w:t>
      </w:r>
    </w:p>
    <w:p w:rsidR="009D1F29" w:rsidRDefault="009D1F29">
      <w:pPr>
        <w:spacing w:after="115" w:line="259" w:lineRule="auto"/>
        <w:ind w:left="0" w:right="0" w:firstLine="0"/>
        <w:jc w:val="left"/>
      </w:pPr>
      <w:r>
        <w:t xml:space="preserve"> </w:t>
      </w:r>
    </w:p>
    <w:p w:rsidR="009D1F29" w:rsidRDefault="009D1F29">
      <w:pPr>
        <w:spacing w:after="112" w:line="259" w:lineRule="auto"/>
        <w:ind w:left="0" w:right="0" w:firstLine="0"/>
        <w:jc w:val="left"/>
      </w:pPr>
      <w:r>
        <w:t xml:space="preserve"> </w:t>
      </w:r>
    </w:p>
    <w:p w:rsidR="009D1F29" w:rsidRDefault="009D1F29">
      <w:pPr>
        <w:spacing w:after="115" w:line="259" w:lineRule="auto"/>
        <w:ind w:left="0" w:right="0" w:firstLine="0"/>
        <w:jc w:val="left"/>
      </w:pPr>
      <w:r>
        <w:t xml:space="preserve"> </w:t>
      </w:r>
    </w:p>
    <w:p w:rsidR="009D1F29" w:rsidRDefault="009D1F29">
      <w:pPr>
        <w:spacing w:after="115" w:line="259" w:lineRule="auto"/>
        <w:ind w:left="0" w:right="0" w:firstLine="0"/>
        <w:jc w:val="left"/>
      </w:pPr>
    </w:p>
    <w:p w:rsidR="009D1F29" w:rsidRDefault="009D1F29">
      <w:pPr>
        <w:spacing w:after="115" w:line="259" w:lineRule="auto"/>
        <w:ind w:left="0" w:right="0" w:firstLine="0"/>
        <w:jc w:val="left"/>
      </w:pPr>
    </w:p>
    <w:p w:rsidR="009D1F29" w:rsidRDefault="009D1F29">
      <w:pPr>
        <w:spacing w:after="115" w:line="259" w:lineRule="auto"/>
        <w:ind w:left="0" w:right="0" w:firstLine="0"/>
        <w:jc w:val="left"/>
      </w:pPr>
    </w:p>
    <w:p w:rsidR="009D1F29" w:rsidRDefault="009D1F29">
      <w:pPr>
        <w:spacing w:after="115" w:line="259" w:lineRule="auto"/>
        <w:ind w:left="0" w:right="0" w:firstLine="0"/>
        <w:jc w:val="left"/>
      </w:pPr>
    </w:p>
    <w:p w:rsidR="009D1F29" w:rsidRDefault="009D1F29">
      <w:pPr>
        <w:spacing w:after="115" w:line="259" w:lineRule="auto"/>
        <w:ind w:left="0" w:right="0" w:firstLine="0"/>
        <w:jc w:val="left"/>
      </w:pPr>
    </w:p>
    <w:p w:rsidR="009D1F29" w:rsidRDefault="009D1F29">
      <w:pPr>
        <w:spacing w:after="115" w:line="259" w:lineRule="auto"/>
        <w:ind w:left="0" w:right="0" w:firstLine="0"/>
        <w:jc w:val="left"/>
      </w:pPr>
    </w:p>
    <w:p w:rsidR="009D1F29" w:rsidRDefault="009D1F29">
      <w:pPr>
        <w:spacing w:after="115" w:line="259" w:lineRule="auto"/>
        <w:ind w:left="0" w:right="0" w:firstLine="0"/>
        <w:jc w:val="left"/>
      </w:pPr>
    </w:p>
    <w:p w:rsidR="009D1F29" w:rsidRDefault="009D1F29">
      <w:pPr>
        <w:spacing w:after="0" w:line="259" w:lineRule="auto"/>
        <w:ind w:left="0" w:right="0" w:firstLine="0"/>
        <w:jc w:val="left"/>
      </w:pPr>
      <w:r>
        <w:t xml:space="preserve"> </w:t>
      </w: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Default="009D1F29">
      <w:pPr>
        <w:spacing w:after="0" w:line="259" w:lineRule="auto"/>
        <w:ind w:left="0" w:right="0" w:firstLine="0"/>
        <w:jc w:val="left"/>
      </w:pPr>
    </w:p>
    <w:p w:rsidR="009D1F29" w:rsidRPr="00AA66D1" w:rsidRDefault="009D1F29">
      <w:pPr>
        <w:pStyle w:val="Heading1"/>
        <w:numPr>
          <w:ilvl w:val="0"/>
          <w:numId w:val="0"/>
        </w:numPr>
        <w:ind w:left="-5"/>
        <w:rPr>
          <w:color w:val="auto"/>
        </w:rPr>
      </w:pPr>
      <w:bookmarkStart w:id="57" w:name="_Toc512979325"/>
      <w:bookmarkStart w:id="58" w:name="_Toc512979831"/>
      <w:r w:rsidRPr="00AA66D1">
        <w:rPr>
          <w:color w:val="auto"/>
        </w:rPr>
        <w:t>Závěr</w:t>
      </w:r>
      <w:bookmarkEnd w:id="57"/>
      <w:bookmarkEnd w:id="58"/>
      <w:r w:rsidRPr="00AA66D1">
        <w:rPr>
          <w:color w:val="auto"/>
        </w:rPr>
        <w:t xml:space="preserve"> </w:t>
      </w:r>
    </w:p>
    <w:p w:rsidR="009D1F29" w:rsidRDefault="009D1F29">
      <w:pPr>
        <w:spacing w:after="306" w:line="259" w:lineRule="auto"/>
        <w:ind w:left="0" w:right="0" w:firstLine="0"/>
        <w:jc w:val="left"/>
      </w:pPr>
      <w:r>
        <w:t xml:space="preserve"> </w:t>
      </w:r>
    </w:p>
    <w:p w:rsidR="009D1F29" w:rsidRDefault="009D1F29">
      <w:pPr>
        <w:ind w:left="-5" w:right="4"/>
      </w:pPr>
      <w:r>
        <w:t xml:space="preserve"> </w:t>
      </w:r>
      <w:r>
        <w:tab/>
        <w:t xml:space="preserve">Předkládaná rigorózní práce se skládá ze tří vzájemně propojených částí. První část se zabývá teoretickými úvahami o vlastnictví, o jeho definování, předmětu a přístupech k němu. Druhá část zkoumá ústavněprávní ochranu vlastnictví zakotvenou v ústavních dokumentech platných v českých zemích v průběhu 20. století. Ustanovení obsahující problematiku vlastnictví jsou podrobně rozebrána i s návrhy úpravy de lege ferenda. Cílem třetí kapitoly je prokázat či vyvrátit poměrně provokativní hypotézu, na jejímž základě by bylo možné hovořit o tom, že vlastník věci byl v určitých aspektech zákonodárcem lépe chráněn za účinnosti OZ/50 a OZ/64, než je tomu za současné právní úpravy, potažmo za účinnosti OZO, ze kterého současná právní úprava silně čerpá.          </w:t>
      </w:r>
    </w:p>
    <w:p w:rsidR="009D1F29" w:rsidRDefault="009D1F29" w:rsidP="006749F6">
      <w:pPr>
        <w:ind w:left="-5" w:right="4" w:firstLine="713"/>
      </w:pPr>
      <w:r>
        <w:t xml:space="preserve"> Při rozboru ústavněprávních a občanskoprávních historických úprav si nešlo nepovšimnout jejich vzájemné provázanosti. Ústavní zakotvení vlastnictví představuje určitý hodnotový základ, který je v občanském právu dále rozváděn. Ovšem provázanost a zároveň </w:t>
      </w:r>
      <w:r>
        <w:br/>
        <w:t xml:space="preserve">i aktuálnost tématu práce lze také spatřovat v oblasti inspiračních zdrojů, ze kterých zkoumané předpisy vycházejí. Vzhledem k historickým souvislostem byl náš právní řád silně spojen s právním řádem rakouským. K přetržení tohoto spojení došlo z velké míry nástupem komunistů a jejich orientací na sovětskou právní úpravu. Ovšem od rakouské právní tradice se odkláněla v některých oblastech již ústava z roku 1920 (např. u vyvlastnění).  Po roce 1990, kdy byla vydána nová ústava a LZPS, došlo vcelku nedávnou velkou rekodifikací občanského práva k dovršení návratu k rakouské právní tradici u obou právních odvětví.       </w:t>
      </w:r>
    </w:p>
    <w:p w:rsidR="009D1F29" w:rsidRDefault="009D1F29" w:rsidP="001162BE">
      <w:pPr>
        <w:ind w:left="-5" w:right="4" w:firstLine="713"/>
      </w:pPr>
      <w:r>
        <w:t xml:space="preserve"> Ústavněprávní charakter vlastnictví spatřuji v šesti vzájemně propojených oblastech. Jedná se o teoretické pojetí vlastnického práva (přirozenoprávní či pozitivistické), soulad stavu de iure a de facto v oblasti dodržování ochrany vlastnického práva, vymahatelnost této ochrany, obecná omezení vlastnického práva, vyvlastnění a konečně exkluzivitu státního vlastnictví.   Dle mého názoru je na vlastnické právo, jakožto jedno ze základních lidských práv, třeba hledět optikou přirozenoprávní, kdy stát je pouhým ochráncem tohoto práva, který nemůže svévolně mocensky rozhodovat o jeho odnímání. Tím pádem naprosto nemohu souhlasit s komunistickými názory hlásajícími, že vlastnické právo je odměna občanů za práci pro společnost. Jelikož dle přirozenoprávní teorie zde vlastnictví bylo již před vznikem státu, není ani možné, aby ho stát využíval jako formu odměny.     </w:t>
      </w:r>
    </w:p>
    <w:p w:rsidR="009D1F29" w:rsidRDefault="009D1F29">
      <w:pPr>
        <w:ind w:left="-5" w:right="4"/>
      </w:pPr>
      <w:r>
        <w:t xml:space="preserve"> </w:t>
      </w:r>
      <w:r>
        <w:tab/>
        <w:t xml:space="preserve"> Stav de iure a de facto by měl být samozřejmě souladný, stejně tak by mělo fungovat reálné dodržování ochrany vlastnického práva ze strany státu, a jistě je správné, že vlastnické právo je v určitých legitimních případech omezitelné. Tato správná řešení zmíněných oblastí jsou naprosto zřejmá, a není proto ani nutné je v závěru této práce rozebírat. Proto jsem se zaměřil spíše na shrnutí způsobu jejich porušování ze strany komunistického režimu. Nebezpečí obcházení ustanovení zakotvujících vlastnické právo tkvělo zejména ve dvou aspektech. Za prvé v tzv. </w:t>
      </w:r>
      <w:r>
        <w:rPr>
          <w:i/>
        </w:rPr>
        <w:t>„administrativní“</w:t>
      </w:r>
      <w:r>
        <w:t xml:space="preserve"> metodě obcházení. Ta se zakládala na tom, že ústava sice formálně obsahovala všechna ochranná ustanovení, ale následně odkazovala na zákonnou úpravu, která však byla s ústavou rozporná. Další způsob administrativního obcházení spočíval v tom, že text byl psán takovým způsobem, aby mohl být svévolně vykládán podle potřeby. Druhým aspektem obcházení bylo použití represivní moci státu, který nutil občany na základě politických procesů, propagandy a využití ozbrojených složek, aby se chovali podle jeho vůle, a tím teoreticky nedocházelo k porušování daných ustanovení.    </w:t>
      </w:r>
    </w:p>
    <w:p w:rsidR="009D1F29" w:rsidRDefault="009D1F29">
      <w:pPr>
        <w:ind w:left="-5" w:right="4"/>
      </w:pPr>
      <w:r>
        <w:t xml:space="preserve"> </w:t>
      </w:r>
      <w:r>
        <w:tab/>
        <w:t xml:space="preserve">Další oblastí je vyvlastnění. Ústava z roku 1920 umožňovala vyvlastnění bez náhrady. Za účinnosti ústavy z roku 1948 bylo možné vyvlastňovat i na základě podzákonné normy, což ulehčovalo státu jeho obohacování na úkor soukromého vlastnictví občanů. Za účinnosti ústavy z roku 1960 pak nebylo v této ústavě obsaženo vůbec. Jelikož se jedná o nejsilnější možný zásah do vlastnického práva, výjimku z ústavního pravidla o nedotknutelnosti vlastnictví, nepovažuji vůbec za správné, že bylo možné vyvlastňovat bez zákonného podkladu, i následnou situaci, kdy nebyla úprava v ústavě obsažena. Dnešní stav, kdy je vyvlastnění dle LZPS možné pouze za náhradu, na základě zákona a ve veřejném zájmu lze považovat za historicky nejvíce vyhovující. Přesto mi však chybí odkaz na subsidiaritu využití vyvlastnění, která je pouze dovozována. Stejně tak bych doplnil sousloví </w:t>
      </w:r>
      <w:r>
        <w:rPr>
          <w:i/>
        </w:rPr>
        <w:t>„za náhradu“</w:t>
      </w:r>
      <w:r>
        <w:t xml:space="preserve"> </w:t>
      </w:r>
      <w:r>
        <w:br/>
        <w:t xml:space="preserve">o slovo </w:t>
      </w:r>
      <w:r>
        <w:rPr>
          <w:i/>
        </w:rPr>
        <w:t>„spravedlivou“</w:t>
      </w:r>
      <w:r>
        <w:t xml:space="preserve">. Pokud dle článku 28 LZPS mají mít zaměstnanci právo na spravedlivou odměnu za práci, nevidím důvod, proč by toto adjektivum mělo u vyvlastnění absentovat, naopak by to přispělo k většímu zabezpečení právní jistoty.          </w:t>
      </w:r>
    </w:p>
    <w:p w:rsidR="009D1F29" w:rsidRDefault="009D1F29">
      <w:pPr>
        <w:ind w:left="-5" w:right="4"/>
      </w:pPr>
      <w:r>
        <w:t xml:space="preserve"> </w:t>
      </w:r>
      <w:r>
        <w:tab/>
        <w:t xml:space="preserve">Poslední oblastí je oblast exkluzivity státního vlastnictví. Jako nejlepší model úpravy hodnotím ústavu z roku 1948. Ta obsahovala jak účel a definici věcí patřících výlučně do státního vlastnictví, tak jejich demonstrativní výčet. Samozřejmě nesouhlasím s obsahem výčtu ani realitou, která v té době panovala, avšak zvolený model úpravy považuji za nejvhodnější. Jelikož jsou ústava a LZPS nejdůležitějšími a nejvyššími zákony země, měly by být co nejsrozumitelnější i pro běžné občany – právní laiky. Myslím si, že zmíněný demonstrativní výčet by byl pro pochopení dané problematiky velmi nápomocný.    </w:t>
      </w:r>
    </w:p>
    <w:p w:rsidR="009D1F29" w:rsidRDefault="009D1F29">
      <w:pPr>
        <w:ind w:left="-5" w:right="4"/>
      </w:pPr>
      <w:r>
        <w:t xml:space="preserve"> </w:t>
      </w:r>
      <w:r>
        <w:tab/>
        <w:t xml:space="preserve">Druhým zásadním tématem předkládané práce bylo přinést odpověď na otázku, zda nebyl vlastník věci za účinnosti socialistických občanských zákoníků v určitých situacích chráněn lépe, než tomu je dnes. Je nutné si uvědomit, že socialistická právní věda dělila vlastnictví dle subjektů do několika skupin s odlišnou preferencí na jejich ochraně. Po roce 1990 se vlastnictví stalo opět jednotným. Optikou socialistické doktríny tak byla obecně ochrana státního, družstevního a osobního vlastnictví snížena, a naopak ochrana soukromého vlastnictví zvýšena.          </w:t>
      </w:r>
    </w:p>
    <w:p w:rsidR="009D1F29" w:rsidRDefault="009D1F29" w:rsidP="001162BE">
      <w:pPr>
        <w:ind w:left="-5" w:right="4" w:firstLine="713"/>
      </w:pPr>
      <w:r>
        <w:t xml:space="preserve"> První demonstrovanou oblastí je situace u vydržení. Pokud se jednalo </w:t>
      </w:r>
      <w:r>
        <w:br/>
        <w:t xml:space="preserve">o socialistického vlastníka, tak ten byl chráněn lépe určitě, jelikož proti němu vydržet nešlo. </w:t>
      </w:r>
      <w:r>
        <w:br/>
        <w:t xml:space="preserve">A jak na tom byl vlastník – řadový občan? Za účinnosti OZ/50 ani OZ/64 neexistoval institut mimořádného vydržení, který dnes umožňuje nabýt vlastnictví k věci i bez řádného titulu za přijatelnou dvojnásobnou promlčecí lhůtu. Bez prokázání titulu šlo sice teoreticky nabýt vlastnické právo i tehdy, ale pouze za podmínky objektivní dobré víry držitele. Dnes postačuje, aby nebyl prokázán nepoctivý úmysl. Navíc za účinnosti OZ/64 nešlo až do dubna 1983 proti vlastníkovi věc vydržet vůbec. A i poté, co se vydržení navrátilo do OZ/64, bylo velmi omezené. Šlo vydržet pouze věci v osobním vlastnictví. Nezbývá než konstatovat, že pozbýt vlastnictví skrz institut vydržení bylo v období socialismu obtížnější než dnes, </w:t>
      </w:r>
      <w:r>
        <w:br/>
        <w:t xml:space="preserve">a vlastník disponoval vyšší ochranou.            </w:t>
      </w:r>
    </w:p>
    <w:p w:rsidR="009D1F29" w:rsidRDefault="009D1F29" w:rsidP="001162BE">
      <w:pPr>
        <w:ind w:left="-5" w:right="4" w:firstLine="713"/>
      </w:pPr>
      <w:r>
        <w:t xml:space="preserve"> Druhou oblastí je situace u nabytí vlastnického práva od neoprávněného. Dnes pokud vlastníkova věc přejde na jiného v zákonem stanovených případech, a za předpokladu jeho dobré víry, ztrácí tento původní vlastník své vlastnické právo. Může se tak stát, že vlastník je okraden, zloděj dá věc do bazaru, ten ji prodá a původní vlastník o své vlastnictví přichází, pokud nedokáže prokázat, že byl okraden, což u movitostí bývá obtížné. A pokud uplyne relativně krátká doba tří let, už mu k navrácení jeho vlastnictví nepomůže ani prokázání krádeže. Naopak za účinnosti OZ/64 nebylo až do dubna 1983 téměř možné ztratit vlastnictví k věci na základě toho, že by ji nabyl nabyvatel od neoprávněného. Neoprávněným převodcem mohla být totiž pouze socialistická organizace. A i po provedené novele byl tento institut velmi okrajově využitelný, protože k socialistickým organizacím se přidaly pouze subjekty, které získaly státní povolení k uspokojování hmotných a kulturních potřeb občanů za úplatu. Takovýchto subjektů bylo v kontextu celé populace velmi malé množství. Pokud řadový občan naplnil dnes stanovené podmínky pro nabytí vlastnictví od neoprávněného, toto vlastnictví na něj nepřecházelo, nýbrž zůstávalo původnímu vlastníkovi. Znovu nezbývá než konstatovat, že zbavit vlastníka jeho vlastnictví pomocí institutu nabytí vlastnictví od neoprávněného bylo v období socialismu, zejména za účinnosti OZ/64 obtížnější než dnes, </w:t>
      </w:r>
      <w:r>
        <w:br/>
        <w:t xml:space="preserve">a vlastník disponoval vyšší ochranou.      </w:t>
      </w:r>
    </w:p>
    <w:p w:rsidR="009D1F29" w:rsidRDefault="009D1F29">
      <w:pPr>
        <w:spacing w:after="207"/>
        <w:ind w:left="-5" w:right="4"/>
      </w:pPr>
      <w:r>
        <w:t xml:space="preserve"> </w:t>
      </w:r>
      <w:r>
        <w:tab/>
        <w:t xml:space="preserve">Třetí oblastí je situace u podmínek a příkazů u poslední vůle. Těmito vedlejšími doložkami jsou dnes nabývající dědici a odkazovníci, alias vlastníci omezováni ve svém vlastnictví na základě vůle zůstavitele. Dnes je tedy preferována vůle zemřelého, bývalého vlastníka před současným. V socialistických úpravách tomu bylo naopak. Ty upřednostňovaly živé aktuální vlastníky, aby mohli nakládat se svým majetkem svobodně, čistě podle své vůle. Znemožnění podmínek a příkazů tak znamenalo menší zásah do vlastnictví jako práva výlučné dispozice. I ve třetí příkladové situaci nezbývá než konstatovat, že vlastník disponoval vyšší ochranou před omezováním svého vlastnického práva, než tomu je dnes.  </w:t>
      </w:r>
      <w:r>
        <w:tab/>
      </w:r>
      <w:r>
        <w:tab/>
        <w:t xml:space="preserve">Výše zmíněná zjištění nutí k závěrečnému zamyšlení. Režim, který podporoval znárodňování, kolektivizaci, pozemkovou reformu či konfiskace majetku, poskytoval ve všech demonstrovaných oblastech vlastníku věci lepší ochranu, než je dnes. Pravdou zůstává, že hrubé zásahy do soukromého vlastnictví, ke kterým docházelo, dalece přesahují tato kladná zjištění. Přesto však, pokud se přeneseme přes obecné právní povědomí o tom, že ochrana vlastnictví za socialismu byla na velmi slabé úrovni, a pronikneme hlouběji do zkoumané problematiky, můžeme dospět k překvapivým zjištěním. Stejně tak jako ve většině situací </w:t>
      </w:r>
      <w:r>
        <w:br/>
        <w:t xml:space="preserve">a oblastí i zde platí okřídlené </w:t>
      </w:r>
      <w:r>
        <w:rPr>
          <w:i/>
        </w:rPr>
        <w:t>„nic není černobílé“</w:t>
      </w:r>
      <w:r>
        <w:t xml:space="preserve">. </w:t>
      </w:r>
    </w:p>
    <w:p w:rsidR="009D1F29" w:rsidRDefault="009D1F29">
      <w:pPr>
        <w:spacing w:after="115" w:line="259" w:lineRule="auto"/>
        <w:ind w:left="708" w:right="0" w:firstLine="0"/>
        <w:jc w:val="left"/>
      </w:pPr>
      <w:r>
        <w:t xml:space="preserve"> </w:t>
      </w:r>
    </w:p>
    <w:p w:rsidR="009D1F29" w:rsidRDefault="009D1F29">
      <w:pPr>
        <w:spacing w:after="113" w:line="259" w:lineRule="auto"/>
        <w:ind w:left="708" w:right="0" w:firstLine="0"/>
        <w:jc w:val="left"/>
      </w:pPr>
      <w:r>
        <w:t xml:space="preserve"> </w:t>
      </w:r>
    </w:p>
    <w:p w:rsidR="009D1F29" w:rsidRDefault="009D1F29">
      <w:pPr>
        <w:spacing w:after="115" w:line="259" w:lineRule="auto"/>
        <w:ind w:left="708" w:right="0" w:firstLine="0"/>
        <w:jc w:val="left"/>
      </w:pPr>
      <w:r>
        <w:t xml:space="preserve"> </w:t>
      </w:r>
    </w:p>
    <w:p w:rsidR="009D1F29" w:rsidRDefault="009D1F29">
      <w:pPr>
        <w:spacing w:after="112" w:line="259" w:lineRule="auto"/>
        <w:ind w:left="708" w:right="0" w:firstLine="0"/>
        <w:jc w:val="left"/>
      </w:pPr>
      <w:r>
        <w:t xml:space="preserve"> </w:t>
      </w:r>
    </w:p>
    <w:p w:rsidR="009D1F29" w:rsidRDefault="009D1F29">
      <w:pPr>
        <w:spacing w:after="115" w:line="259" w:lineRule="auto"/>
        <w:ind w:left="708" w:right="0" w:firstLine="0"/>
        <w:jc w:val="left"/>
      </w:pPr>
      <w:r>
        <w:t xml:space="preserve"> </w:t>
      </w:r>
    </w:p>
    <w:p w:rsidR="009D1F29" w:rsidRDefault="009D1F29" w:rsidP="00195A8F">
      <w:pPr>
        <w:spacing w:after="112" w:line="259" w:lineRule="auto"/>
        <w:ind w:right="0"/>
        <w:jc w:val="left"/>
      </w:pPr>
    </w:p>
    <w:p w:rsidR="009D1F29" w:rsidRDefault="009D1F29" w:rsidP="00195A8F">
      <w:pPr>
        <w:spacing w:after="112" w:line="259" w:lineRule="auto"/>
        <w:ind w:right="0"/>
        <w:jc w:val="left"/>
      </w:pPr>
    </w:p>
    <w:p w:rsidR="009D1F29" w:rsidRDefault="009D1F29">
      <w:pPr>
        <w:spacing w:after="115" w:line="259" w:lineRule="auto"/>
        <w:ind w:left="0" w:right="0" w:firstLine="0"/>
        <w:jc w:val="left"/>
      </w:pPr>
      <w:r>
        <w:t xml:space="preserve"> </w:t>
      </w:r>
    </w:p>
    <w:p w:rsidR="009D1F29" w:rsidRDefault="009D1F29" w:rsidP="001162BE">
      <w:pPr>
        <w:spacing w:after="112" w:line="259" w:lineRule="auto"/>
        <w:ind w:left="0" w:right="0" w:firstLine="0"/>
        <w:jc w:val="left"/>
      </w:pPr>
      <w:r>
        <w:t xml:space="preserve">  </w:t>
      </w:r>
    </w:p>
    <w:p w:rsidR="009D1F29" w:rsidRPr="001162BE" w:rsidRDefault="009D1F29">
      <w:pPr>
        <w:pStyle w:val="Heading1"/>
        <w:numPr>
          <w:ilvl w:val="0"/>
          <w:numId w:val="0"/>
        </w:numPr>
        <w:ind w:left="-5"/>
        <w:rPr>
          <w:color w:val="auto"/>
        </w:rPr>
      </w:pPr>
      <w:bookmarkStart w:id="59" w:name="_Toc512979326"/>
      <w:bookmarkStart w:id="60" w:name="_Toc512979832"/>
      <w:r w:rsidRPr="001162BE">
        <w:rPr>
          <w:color w:val="auto"/>
        </w:rPr>
        <w:t>Seznam použitých zdrojů</w:t>
      </w:r>
      <w:bookmarkEnd w:id="59"/>
      <w:bookmarkEnd w:id="60"/>
      <w:r w:rsidRPr="001162BE">
        <w:rPr>
          <w:color w:val="auto"/>
        </w:rPr>
        <w:t xml:space="preserve"> </w:t>
      </w:r>
    </w:p>
    <w:p w:rsidR="009D1F29" w:rsidRDefault="009D1F29">
      <w:pPr>
        <w:spacing w:after="274" w:line="259" w:lineRule="auto"/>
        <w:ind w:left="0" w:right="0" w:firstLine="0"/>
        <w:jc w:val="left"/>
      </w:pPr>
      <w:r>
        <w:t xml:space="preserve"> </w:t>
      </w:r>
    </w:p>
    <w:p w:rsidR="009D1F29" w:rsidRDefault="009D1F29">
      <w:pPr>
        <w:spacing w:after="292" w:line="261" w:lineRule="auto"/>
        <w:ind w:left="-5" w:right="0"/>
        <w:jc w:val="left"/>
      </w:pPr>
      <w:r>
        <w:rPr>
          <w:b/>
          <w:sz w:val="28"/>
        </w:rPr>
        <w:t xml:space="preserve">Právní předpisy </w:t>
      </w:r>
    </w:p>
    <w:p w:rsidR="009D1F29" w:rsidRDefault="009D1F29">
      <w:pPr>
        <w:spacing w:after="320" w:line="259" w:lineRule="auto"/>
        <w:ind w:left="-5" w:right="4"/>
      </w:pPr>
      <w:r>
        <w:t xml:space="preserve">Zákon č. 946/1811 Sb. z. s., obecný (všeobecný) zákoník občanský.  </w:t>
      </w:r>
    </w:p>
    <w:p w:rsidR="009D1F29" w:rsidRDefault="009D1F29">
      <w:pPr>
        <w:spacing w:after="311" w:line="259" w:lineRule="auto"/>
        <w:ind w:left="-5" w:right="4"/>
      </w:pPr>
      <w:r>
        <w:t xml:space="preserve">Zákon č. 142/1867 ř. z., o všeobecných občanských právech. </w:t>
      </w:r>
    </w:p>
    <w:p w:rsidR="009D1F29" w:rsidRDefault="009D1F29">
      <w:pPr>
        <w:spacing w:after="318" w:line="259" w:lineRule="auto"/>
        <w:ind w:left="-5" w:right="4"/>
      </w:pPr>
      <w:r>
        <w:t xml:space="preserve">Zákon č. 1/1863 ř. z., obecný (všeobecný) zákoník obchodní. </w:t>
      </w:r>
    </w:p>
    <w:p w:rsidR="009D1F29" w:rsidRDefault="009D1F29">
      <w:pPr>
        <w:spacing w:after="322" w:line="259" w:lineRule="auto"/>
        <w:ind w:left="-5" w:right="4"/>
      </w:pPr>
      <w:r>
        <w:t xml:space="preserve">Zákon č. 30/1878 ř. z., o vyvlastňování k účelu stavby železnic a provozování jízdy po nich. </w:t>
      </w:r>
    </w:p>
    <w:p w:rsidR="009D1F29" w:rsidRDefault="009D1F29">
      <w:pPr>
        <w:spacing w:after="316" w:line="259" w:lineRule="auto"/>
        <w:ind w:left="-5" w:right="4"/>
      </w:pPr>
      <w:r>
        <w:t xml:space="preserve">Zákon č. 79/1896 ř. z., o řízení exekučním a zajišťovacím.  </w:t>
      </w:r>
    </w:p>
    <w:p w:rsidR="009D1F29" w:rsidRDefault="009D1F29" w:rsidP="004D7BB1">
      <w:pPr>
        <w:spacing w:after="313" w:line="259" w:lineRule="auto"/>
        <w:ind w:left="-5" w:right="4"/>
      </w:pPr>
      <w:r>
        <w:t xml:space="preserve">Zákon č. 3/1918 Sb. z. a n., o nejvyšším správním soudě a o řešení kompetenčních konfliktů. </w:t>
      </w:r>
    </w:p>
    <w:p w:rsidR="009D1F29" w:rsidRDefault="009D1F29">
      <w:pPr>
        <w:spacing w:after="310" w:line="259" w:lineRule="auto"/>
        <w:ind w:left="-5" w:right="4"/>
        <w:rPr>
          <w:b/>
        </w:rPr>
      </w:pPr>
      <w:r>
        <w:t>Zákon č. 11/1918 Sb. z. a n., o zřízení samostatného státu československého.</w:t>
      </w:r>
      <w:r>
        <w:rPr>
          <w:b/>
        </w:rPr>
        <w:t xml:space="preserve"> </w:t>
      </w:r>
    </w:p>
    <w:p w:rsidR="009D1F29" w:rsidRDefault="009D1F29">
      <w:pPr>
        <w:spacing w:after="310" w:line="259" w:lineRule="auto"/>
        <w:ind w:left="-5" w:right="4"/>
      </w:pPr>
      <w:r>
        <w:t>Zákon č. 37/1918 Sb. z. n., o prozatímní ústavě.</w:t>
      </w:r>
    </w:p>
    <w:p w:rsidR="009D1F29" w:rsidRDefault="009D1F29">
      <w:pPr>
        <w:spacing w:after="315" w:line="259" w:lineRule="auto"/>
        <w:ind w:left="-5" w:right="4"/>
      </w:pPr>
      <w:r>
        <w:t xml:space="preserve">Zákon č. 81/1920 Sb. z. a n., přídělový zákon. </w:t>
      </w:r>
    </w:p>
    <w:p w:rsidR="009D1F29" w:rsidRDefault="009D1F29">
      <w:pPr>
        <w:spacing w:after="311" w:line="259" w:lineRule="auto"/>
        <w:ind w:left="-5" w:right="4"/>
      </w:pPr>
      <w:r>
        <w:t xml:space="preserve">Ústavní zákon č. 121/1920 Sb. z. a n., Ústavní listina Československé republiky. </w:t>
      </w:r>
    </w:p>
    <w:p w:rsidR="009D1F29" w:rsidRDefault="009D1F29">
      <w:pPr>
        <w:spacing w:after="318" w:line="259" w:lineRule="auto"/>
        <w:ind w:left="-5" w:right="4"/>
      </w:pPr>
      <w:r>
        <w:t xml:space="preserve">Zákon č. 122/1920 Sb. z. a n., jazykový zákon. </w:t>
      </w:r>
    </w:p>
    <w:p w:rsidR="009D1F29" w:rsidRDefault="009D1F29">
      <w:pPr>
        <w:spacing w:after="314" w:line="259" w:lineRule="auto"/>
        <w:ind w:left="-5" w:right="4"/>
      </w:pPr>
      <w:r>
        <w:t xml:space="preserve">Zákon č. 293/1920 Sb. z. a n., zákon o ochraně svobody osobní, domovní a tajemství listovního.  </w:t>
      </w:r>
    </w:p>
    <w:p w:rsidR="009D1F29" w:rsidRDefault="009D1F29">
      <w:pPr>
        <w:spacing w:after="313" w:line="259" w:lineRule="auto"/>
        <w:ind w:left="-5" w:right="4"/>
      </w:pPr>
      <w:r>
        <w:t xml:space="preserve">Ústavní zákon č. 294/1920 Sb. z. a n., o podpisování zákonů a nařízení. </w:t>
      </w:r>
    </w:p>
    <w:p w:rsidR="009D1F29" w:rsidRDefault="009D1F29">
      <w:pPr>
        <w:spacing w:after="318" w:line="259" w:lineRule="auto"/>
        <w:ind w:left="-5" w:right="4"/>
      </w:pPr>
      <w:r>
        <w:t xml:space="preserve">Zákon č. 1/1928 Sb. z. a n., zákon směnečný. </w:t>
      </w:r>
    </w:p>
    <w:p w:rsidR="009D1F29" w:rsidRDefault="009D1F29">
      <w:pPr>
        <w:spacing w:after="320" w:line="259" w:lineRule="auto"/>
        <w:ind w:left="-5" w:right="4"/>
      </w:pPr>
      <w:r>
        <w:t xml:space="preserve">Zákon č. 46/1948 Sb., o nové pozemkové reformě.  </w:t>
      </w:r>
    </w:p>
    <w:p w:rsidR="009D1F29" w:rsidRDefault="009D1F29">
      <w:pPr>
        <w:spacing w:after="318" w:line="259" w:lineRule="auto"/>
        <w:ind w:left="-5" w:right="4"/>
      </w:pPr>
      <w:r>
        <w:t xml:space="preserve">Ústavní zákon č. 150/1948 Sb., Ústava československé republiky. </w:t>
      </w:r>
    </w:p>
    <w:p w:rsidR="009D1F29" w:rsidRDefault="009D1F29">
      <w:pPr>
        <w:spacing w:after="323" w:line="259" w:lineRule="auto"/>
        <w:ind w:left="-5" w:right="4"/>
      </w:pPr>
      <w:r>
        <w:t xml:space="preserve">Zákon č. 319/1948 Sb., o zlidovění soudnictví. </w:t>
      </w:r>
    </w:p>
    <w:p w:rsidR="009D1F29" w:rsidRDefault="009D1F29">
      <w:pPr>
        <w:spacing w:after="319" w:line="259" w:lineRule="auto"/>
        <w:ind w:left="-5" w:right="4"/>
      </w:pPr>
      <w:r>
        <w:t xml:space="preserve">Zákon č. 52/1949 Sb., o hlášení obyvatelstva a povolování pobytu cizinců.  </w:t>
      </w:r>
    </w:p>
    <w:p w:rsidR="009D1F29" w:rsidRDefault="009D1F29">
      <w:pPr>
        <w:spacing w:after="318" w:line="259" w:lineRule="auto"/>
        <w:ind w:left="-5" w:right="4"/>
      </w:pPr>
      <w:r>
        <w:t xml:space="preserve">Zákon č. 53/1949 Sb., o cestovních pasech. </w:t>
      </w:r>
    </w:p>
    <w:p w:rsidR="009D1F29" w:rsidRDefault="009D1F29">
      <w:pPr>
        <w:spacing w:after="320" w:line="259" w:lineRule="auto"/>
        <w:ind w:left="-5" w:right="4"/>
      </w:pPr>
      <w:r>
        <w:t xml:space="preserve">Zákon č. 69/1949 Sb., o jednotných zemědělských družstvech.  </w:t>
      </w:r>
    </w:p>
    <w:p w:rsidR="009D1F29" w:rsidRDefault="009D1F29">
      <w:pPr>
        <w:ind w:left="-5" w:right="4"/>
      </w:pPr>
      <w:r>
        <w:t xml:space="preserve">Zákon č. 94/1949 Sb., o vydávání a rozšiřování knih, hudebnin a jiných neperiodických publikací.  </w:t>
      </w:r>
    </w:p>
    <w:p w:rsidR="009D1F29" w:rsidRDefault="009D1F29">
      <w:pPr>
        <w:spacing w:after="320" w:line="259" w:lineRule="auto"/>
        <w:ind w:left="-5" w:right="4"/>
      </w:pPr>
      <w:r>
        <w:t xml:space="preserve">Zákon č. 184/1949 Sb., o vydávání časopisů a o Svazu československých novinářů. </w:t>
      </w:r>
    </w:p>
    <w:p w:rsidR="009D1F29" w:rsidRDefault="009D1F29">
      <w:pPr>
        <w:spacing w:after="319" w:line="259" w:lineRule="auto"/>
        <w:ind w:left="-5" w:right="4"/>
      </w:pPr>
      <w:r>
        <w:t xml:space="preserve">Zákon č. 141/1950 Sb., občanský zákoník. </w:t>
      </w:r>
    </w:p>
    <w:p w:rsidR="009D1F29" w:rsidRDefault="009D1F29">
      <w:pPr>
        <w:spacing w:after="318" w:line="259" w:lineRule="auto"/>
        <w:ind w:left="-5" w:right="4"/>
      </w:pPr>
      <w:r>
        <w:t xml:space="preserve">Zákon č. 68/1951 Sb., o dobrovolných organizacích a shromážděních. </w:t>
      </w:r>
    </w:p>
    <w:p w:rsidR="009D1F29" w:rsidRDefault="009D1F29">
      <w:pPr>
        <w:spacing w:after="319" w:line="259" w:lineRule="auto"/>
        <w:ind w:left="-5" w:right="4"/>
      </w:pPr>
      <w:r>
        <w:t xml:space="preserve">Zákon č. 64/1952 Sb., o soudech a prokuratuře. </w:t>
      </w:r>
    </w:p>
    <w:p w:rsidR="009D1F29" w:rsidRDefault="009D1F29">
      <w:pPr>
        <w:spacing w:after="168"/>
        <w:ind w:left="-5" w:right="4"/>
      </w:pPr>
      <w:r>
        <w:t xml:space="preserve">Nařízení vlády č. 86/1953 Sb., o finanční pomoci jednotným zemědělským družstvům  </w:t>
      </w:r>
      <w:r>
        <w:br/>
        <w:t xml:space="preserve">a soukromě hospodařícím rolníkům. </w:t>
      </w:r>
    </w:p>
    <w:p w:rsidR="009D1F29" w:rsidRDefault="009D1F29">
      <w:pPr>
        <w:spacing w:after="274" w:line="259" w:lineRule="auto"/>
        <w:ind w:left="-5" w:right="4"/>
      </w:pPr>
      <w:r>
        <w:t xml:space="preserve">Vládní vyhláška č. 150/1958 Sb., o vyřizování stížností, oznámení a podnětů pracujících. </w:t>
      </w:r>
    </w:p>
    <w:p w:rsidR="009D1F29" w:rsidRDefault="009D1F29">
      <w:pPr>
        <w:spacing w:after="170"/>
        <w:ind w:left="-5" w:right="4"/>
      </w:pPr>
      <w:r>
        <w:t xml:space="preserve">Vládní nařízení č. 15/1959 Sb., o opatření týkajících se některých věcí užívaných organizacemi socialistického sektoru. </w:t>
      </w:r>
    </w:p>
    <w:p w:rsidR="009D1F29" w:rsidRDefault="009D1F29">
      <w:pPr>
        <w:spacing w:after="319" w:line="259" w:lineRule="auto"/>
        <w:ind w:left="-5" w:right="4"/>
      </w:pPr>
      <w:r>
        <w:t xml:space="preserve">Ústavní zákon č. 100/1960 Sb., Ústava československé socialistické republiky. </w:t>
      </w:r>
    </w:p>
    <w:p w:rsidR="009D1F29" w:rsidRDefault="009D1F29">
      <w:pPr>
        <w:spacing w:after="320" w:line="259" w:lineRule="auto"/>
        <w:ind w:left="-5" w:right="4"/>
      </w:pPr>
      <w:r>
        <w:t xml:space="preserve">Zákon č. 140/1961 Sb., trestní zákon. </w:t>
      </w:r>
    </w:p>
    <w:p w:rsidR="009D1F29" w:rsidRDefault="009D1F29">
      <w:pPr>
        <w:spacing w:after="320" w:line="259" w:lineRule="auto"/>
        <w:ind w:left="-5" w:right="4"/>
      </w:pPr>
      <w:r>
        <w:t xml:space="preserve">Zákon č. 101/1963 Sb., zákoník mezinárodního obchodu. </w:t>
      </w:r>
    </w:p>
    <w:p w:rsidR="009D1F29" w:rsidRDefault="009D1F29">
      <w:pPr>
        <w:spacing w:after="320" w:line="259" w:lineRule="auto"/>
        <w:ind w:left="-5" w:right="4"/>
      </w:pPr>
      <w:r>
        <w:t xml:space="preserve">Zákon č. 40/1964 Sb., občanský zákoník. </w:t>
      </w:r>
    </w:p>
    <w:p w:rsidR="009D1F29" w:rsidRDefault="009D1F29">
      <w:pPr>
        <w:spacing w:after="323" w:line="259" w:lineRule="auto"/>
        <w:ind w:left="-5" w:right="4"/>
      </w:pPr>
      <w:r>
        <w:t xml:space="preserve">Ústavní zákon č. 143/1968 Sb., o československé federaci. </w:t>
      </w:r>
    </w:p>
    <w:p w:rsidR="009D1F29" w:rsidRDefault="009D1F29">
      <w:pPr>
        <w:spacing w:after="124"/>
        <w:ind w:left="-5" w:right="4"/>
      </w:pPr>
      <w:r>
        <w:t xml:space="preserve">Vyhláška ministerstva zahraničních věcí č. 120/1976 Sb., o Mezinárodním paktu </w:t>
      </w:r>
      <w:r>
        <w:br/>
        <w:t xml:space="preserve">o občanských a politických právech a Mezinárodním paktu o hospodářských, sociálních </w:t>
      </w:r>
      <w:r>
        <w:br/>
        <w:t xml:space="preserve">a kulturních právech. </w:t>
      </w:r>
    </w:p>
    <w:p w:rsidR="009D1F29" w:rsidRDefault="009D1F29">
      <w:pPr>
        <w:spacing w:after="170"/>
        <w:ind w:left="-5" w:right="4"/>
      </w:pPr>
      <w:r>
        <w:t xml:space="preserve">Zákon č. 131/1982 Sb., kterým se mění zákon č. 40/1964 Sb., občanský zákoník, a některé další zákony. </w:t>
      </w:r>
    </w:p>
    <w:p w:rsidR="009D1F29" w:rsidRDefault="009D1F29">
      <w:pPr>
        <w:spacing w:after="320" w:line="259" w:lineRule="auto"/>
        <w:ind w:left="-5" w:right="4"/>
      </w:pPr>
      <w:r>
        <w:t xml:space="preserve">Zákon č. 44/1988 Sb., horní zákon, ve znění pozdějších předpisů. </w:t>
      </w:r>
    </w:p>
    <w:p w:rsidR="009D1F29" w:rsidRDefault="009D1F29">
      <w:pPr>
        <w:spacing w:after="130"/>
        <w:ind w:left="-5" w:right="4"/>
      </w:pPr>
      <w:r>
        <w:t xml:space="preserve">Ústavní zákon č. 100/1990 Sb., kterým se mění ústavní zákon č. 100/1960 Sb., Ústava československé socialistické republiky, a ústavní zákon č. 143/1968 Sb., o československé federaci. </w:t>
      </w:r>
    </w:p>
    <w:p w:rsidR="009D1F29" w:rsidRDefault="009D1F29">
      <w:pPr>
        <w:spacing w:after="170"/>
        <w:ind w:left="-5" w:right="4"/>
      </w:pPr>
      <w:r>
        <w:t xml:space="preserve">Zákon č. 509/1991 Sb., kterým se mění zákon č. 40/1964 Sb., občanský zákoník, a některé další zákony. </w:t>
      </w:r>
    </w:p>
    <w:p w:rsidR="009D1F29" w:rsidRDefault="009D1F29">
      <w:pPr>
        <w:spacing w:after="273" w:line="259" w:lineRule="auto"/>
        <w:ind w:left="-5" w:right="4"/>
      </w:pPr>
      <w:r>
        <w:t xml:space="preserve">Ústavní zákon č. 1/1993 Sb., Ústava České republiky, ve znění pozdějších předpisů. </w:t>
      </w:r>
    </w:p>
    <w:p w:rsidR="009D1F29" w:rsidRDefault="009D1F29">
      <w:pPr>
        <w:ind w:left="-5" w:right="4"/>
      </w:pPr>
      <w:r>
        <w:t xml:space="preserve">Usnesení předsednictva České národní rady č. 2/1993 Sb., o vyhlášení Listiny základních práv a svobod jakou součásti ústavního pořádku, ve znění pozdějších předpisů. </w:t>
      </w:r>
    </w:p>
    <w:p w:rsidR="009D1F29" w:rsidRDefault="009D1F29">
      <w:pPr>
        <w:spacing w:after="320" w:line="259" w:lineRule="auto"/>
        <w:ind w:left="-5" w:right="4"/>
      </w:pPr>
      <w:r>
        <w:t xml:space="preserve">Zákon č. 219/1995 Sb., devizový zákon. </w:t>
      </w:r>
    </w:p>
    <w:p w:rsidR="009D1F29" w:rsidRDefault="009D1F29">
      <w:pPr>
        <w:spacing w:after="320" w:line="259" w:lineRule="auto"/>
        <w:ind w:left="-5" w:right="4"/>
      </w:pPr>
      <w:r>
        <w:t xml:space="preserve">Zákon č. 13/1997 Sb., o pozemních komunikacích, ve znění pozdějších předpisů. </w:t>
      </w:r>
    </w:p>
    <w:p w:rsidR="009D1F29" w:rsidRDefault="009D1F29">
      <w:pPr>
        <w:spacing w:after="319" w:line="259" w:lineRule="auto"/>
        <w:ind w:left="-5" w:right="4"/>
      </w:pPr>
      <w:r>
        <w:t xml:space="preserve">Zákon č. 120/2001 Sb., exekuční řád, ve znění pozdějších předpisů. </w:t>
      </w:r>
    </w:p>
    <w:p w:rsidR="009D1F29" w:rsidRDefault="009D1F29">
      <w:pPr>
        <w:spacing w:after="370" w:line="259" w:lineRule="auto"/>
        <w:ind w:left="-5" w:right="4"/>
      </w:pPr>
      <w:r>
        <w:t xml:space="preserve">Zákon č. 89/2012 Sb., občanský zákoník, ve znění pozdějších předpisů. </w:t>
      </w:r>
    </w:p>
    <w:p w:rsidR="009D1F29" w:rsidRDefault="009D1F29">
      <w:pPr>
        <w:spacing w:after="183" w:line="261" w:lineRule="auto"/>
        <w:ind w:left="-5" w:right="0"/>
        <w:jc w:val="left"/>
      </w:pPr>
      <w:r>
        <w:rPr>
          <w:b/>
          <w:sz w:val="28"/>
        </w:rPr>
        <w:t xml:space="preserve">Důvodové zprávy </w:t>
      </w:r>
    </w:p>
    <w:p w:rsidR="009D1F29" w:rsidRDefault="009D1F29" w:rsidP="006749F6">
      <w:pPr>
        <w:spacing w:after="171" w:line="360" w:lineRule="auto"/>
        <w:ind w:left="-5" w:right="0"/>
      </w:pPr>
      <w:r>
        <w:rPr>
          <w:i/>
        </w:rPr>
        <w:t>Důvodová zpráva k ústavnímu zákonu č. 121/1920 Sb., ústavní listina Československé republiky</w:t>
      </w:r>
      <w:r>
        <w:t xml:space="preserve">. Sněmovní tisk 2421/01. </w:t>
      </w:r>
    </w:p>
    <w:p w:rsidR="009D1F29" w:rsidRDefault="009D1F29">
      <w:pPr>
        <w:spacing w:after="321" w:line="259" w:lineRule="auto"/>
        <w:ind w:left="-5" w:right="0"/>
      </w:pPr>
      <w:r>
        <w:rPr>
          <w:i/>
        </w:rPr>
        <w:t>Důvodová zpráva k zákonu č. 141/1950 Sb., občanský zákoník.</w:t>
      </w:r>
      <w:r>
        <w:t xml:space="preserve"> Sněmovní tisk 509/01. </w:t>
      </w:r>
    </w:p>
    <w:p w:rsidR="009D1F29" w:rsidRDefault="009D1F29" w:rsidP="006749F6">
      <w:pPr>
        <w:spacing w:after="158" w:line="360" w:lineRule="auto"/>
        <w:ind w:left="-5" w:right="0"/>
      </w:pPr>
      <w:r>
        <w:rPr>
          <w:i/>
        </w:rPr>
        <w:t xml:space="preserve">Důvodová zpráva k Ústavě Československé republiky. Ústava Československé republiky </w:t>
      </w:r>
      <w:r>
        <w:rPr>
          <w:i/>
        </w:rPr>
        <w:br/>
        <w:t>a předpisy s ní souvisící</w:t>
      </w:r>
      <w:r>
        <w:t>. Praha: Orbis, 1955, 297 s.</w:t>
      </w:r>
      <w:r>
        <w:rPr>
          <w:b/>
          <w:sz w:val="28"/>
        </w:rPr>
        <w:t xml:space="preserve"> </w:t>
      </w:r>
    </w:p>
    <w:p w:rsidR="009D1F29" w:rsidRDefault="009D1F29">
      <w:pPr>
        <w:spacing w:after="320" w:line="259" w:lineRule="auto"/>
        <w:ind w:left="-5" w:right="0"/>
      </w:pPr>
      <w:r>
        <w:rPr>
          <w:i/>
        </w:rPr>
        <w:t>Důvodová zpráva k zákonu č. 40/1964 Sb., občanský zákoník.</w:t>
      </w:r>
      <w:r>
        <w:t xml:space="preserve"> Sněmovní tisk 156/01. </w:t>
      </w:r>
    </w:p>
    <w:p w:rsidR="009D1F29" w:rsidRDefault="009D1F29">
      <w:pPr>
        <w:spacing w:after="191" w:line="368" w:lineRule="auto"/>
        <w:ind w:left="-5" w:right="0"/>
      </w:pPr>
      <w:r>
        <w:rPr>
          <w:i/>
        </w:rPr>
        <w:t>Důvodová zpráva k zákonu č. 509/1991 Sb., kterým se mění zákon č. 40/1964 Sb., občanský zákoník, a některé další zákony</w:t>
      </w:r>
      <w:r>
        <w:t xml:space="preserve">. Sněmovní tisk 685/01. </w:t>
      </w:r>
    </w:p>
    <w:p w:rsidR="009D1F29" w:rsidRDefault="009D1F29">
      <w:pPr>
        <w:spacing w:after="28" w:line="451" w:lineRule="auto"/>
        <w:ind w:left="-5" w:right="0"/>
      </w:pPr>
      <w:r>
        <w:rPr>
          <w:i/>
        </w:rPr>
        <w:t>Důvodová zpráva k zákonu č. 89/2012 Sb., občanský zákoník</w:t>
      </w:r>
      <w:r>
        <w:t xml:space="preserve">. Sněmovní tisk 839/0. </w:t>
      </w:r>
      <w:r>
        <w:rPr>
          <w:b/>
          <w:sz w:val="28"/>
        </w:rPr>
        <w:t xml:space="preserve">Judikatura  </w:t>
      </w:r>
    </w:p>
    <w:p w:rsidR="009D1F29" w:rsidRDefault="009D1F29">
      <w:pPr>
        <w:spacing w:after="304" w:line="259" w:lineRule="auto"/>
        <w:ind w:left="-5" w:right="4"/>
      </w:pPr>
      <w:r>
        <w:t xml:space="preserve">Rozhodnutí NS ČSR ze dne 21. ledna 1919, sp zn. Rv I 16/18. </w:t>
      </w:r>
    </w:p>
    <w:p w:rsidR="009D1F29" w:rsidRDefault="009D1F29">
      <w:pPr>
        <w:spacing w:after="320" w:line="259" w:lineRule="auto"/>
        <w:ind w:left="-5" w:right="4"/>
      </w:pPr>
      <w:r>
        <w:t xml:space="preserve">Nález NSS ČSR ze dne 20. května 1935, sp. zn. 15.754/35. </w:t>
      </w:r>
    </w:p>
    <w:p w:rsidR="009D1F29" w:rsidRDefault="009D1F29">
      <w:pPr>
        <w:spacing w:after="320" w:line="259" w:lineRule="auto"/>
        <w:ind w:left="-5" w:right="4"/>
      </w:pPr>
      <w:r>
        <w:t xml:space="preserve">Rozhodnutí NS ČSR ze dne 21. května 1937, sp. zn. Rv I 2046/36. </w:t>
      </w:r>
    </w:p>
    <w:p w:rsidR="009D1F29" w:rsidRDefault="009D1F29">
      <w:pPr>
        <w:spacing w:after="320" w:line="259" w:lineRule="auto"/>
        <w:ind w:left="-5" w:right="4"/>
      </w:pPr>
      <w:r>
        <w:t xml:space="preserve">Rozhodnutí NS ČSR ze dne 26. května 1937, sp. zn. Rv. I 1353/35. </w:t>
      </w:r>
    </w:p>
    <w:p w:rsidR="009D1F29" w:rsidRDefault="009D1F29">
      <w:pPr>
        <w:spacing w:after="320" w:line="259" w:lineRule="auto"/>
        <w:ind w:left="-5" w:right="4"/>
      </w:pPr>
      <w:r>
        <w:t xml:space="preserve">Rozsudek NS ČSSR ze dne 12. prosince 1952, sp. zn. Cz 648/52. </w:t>
      </w:r>
    </w:p>
    <w:p w:rsidR="009D1F29" w:rsidRDefault="009D1F29">
      <w:pPr>
        <w:spacing w:after="323" w:line="259" w:lineRule="auto"/>
        <w:ind w:left="-5" w:right="4"/>
      </w:pPr>
      <w:r>
        <w:t xml:space="preserve">Rozsudek NS ČR ze dne 2. srpna 1991, sp. zn. 4 Cz 56/91. </w:t>
      </w:r>
    </w:p>
    <w:p w:rsidR="009D1F29" w:rsidRDefault="009D1F29">
      <w:pPr>
        <w:spacing w:after="350" w:line="259" w:lineRule="auto"/>
        <w:ind w:left="-5" w:right="4"/>
      </w:pPr>
      <w:r>
        <w:t xml:space="preserve">Nález ÚS ČR ze dne 1. února 1994, III. ÚS 23/93. </w:t>
      </w:r>
    </w:p>
    <w:p w:rsidR="009D1F29" w:rsidRDefault="009D1F29">
      <w:pPr>
        <w:spacing w:after="278" w:line="259" w:lineRule="auto"/>
        <w:ind w:left="-5" w:right="4"/>
      </w:pPr>
      <w:r>
        <w:t>Nález ÚS ČR ze dne 11. října 1995, sp. zn. ÚS 3/95.</w:t>
      </w:r>
      <w:r>
        <w:rPr>
          <w:b/>
          <w:sz w:val="28"/>
        </w:rPr>
        <w:t xml:space="preserve"> </w:t>
      </w:r>
    </w:p>
    <w:p w:rsidR="009D1F29" w:rsidRDefault="009D1F29">
      <w:pPr>
        <w:spacing w:after="353" w:line="259" w:lineRule="auto"/>
        <w:ind w:left="-5" w:right="4"/>
      </w:pPr>
      <w:r>
        <w:t xml:space="preserve">Nález ÚS ČR ze dne 28. března 1996, sp. zn. I. ÚS 198/95. </w:t>
      </w:r>
    </w:p>
    <w:p w:rsidR="009D1F29" w:rsidRDefault="009D1F29">
      <w:pPr>
        <w:spacing w:after="247" w:line="259" w:lineRule="auto"/>
        <w:ind w:left="-5" w:right="4"/>
      </w:pPr>
      <w:r>
        <w:t>Nález ÚS ČR ze dne 4. dubna 1997, sp. zn. III. ÚS 66/97.</w:t>
      </w:r>
      <w:r>
        <w:rPr>
          <w:b/>
          <w:sz w:val="28"/>
        </w:rPr>
        <w:t xml:space="preserve"> </w:t>
      </w:r>
    </w:p>
    <w:p w:rsidR="009D1F29" w:rsidRDefault="009D1F29" w:rsidP="001162BE">
      <w:pPr>
        <w:spacing w:line="240" w:lineRule="auto"/>
        <w:ind w:left="-5" w:right="4"/>
      </w:pPr>
      <w:r>
        <w:t xml:space="preserve">Usnesení Městského soudu v Praze ze dne 28. ledna. 2001, sp. zn. 24 Co 51/2001. </w:t>
      </w:r>
    </w:p>
    <w:p w:rsidR="009D1F29" w:rsidRDefault="009D1F29" w:rsidP="001162BE">
      <w:pPr>
        <w:spacing w:line="240" w:lineRule="auto"/>
        <w:ind w:left="-5" w:right="4"/>
      </w:pPr>
    </w:p>
    <w:p w:rsidR="009D1F29" w:rsidRDefault="009D1F29" w:rsidP="001162BE">
      <w:pPr>
        <w:spacing w:after="356" w:line="240" w:lineRule="auto"/>
        <w:ind w:left="-5" w:right="4"/>
      </w:pPr>
      <w:r>
        <w:t xml:space="preserve">Usnesení Krajského soudu v Hradci Králové ze dne 5. května 2002, sp. zn. 17 Co 57/2002. </w:t>
      </w:r>
    </w:p>
    <w:p w:rsidR="009D1F29" w:rsidRDefault="009D1F29" w:rsidP="001162BE">
      <w:pPr>
        <w:spacing w:after="356" w:line="240" w:lineRule="auto"/>
        <w:ind w:left="-5" w:right="4"/>
      </w:pPr>
      <w:r>
        <w:t>Nález ÚS ČR ze dne 25. června 2002, sp. zn. ÚS 36/01.</w:t>
      </w:r>
      <w:r>
        <w:rPr>
          <w:b/>
          <w:sz w:val="28"/>
        </w:rPr>
        <w:t xml:space="preserve"> </w:t>
      </w:r>
    </w:p>
    <w:p w:rsidR="009D1F29" w:rsidRDefault="009D1F29">
      <w:pPr>
        <w:spacing w:after="311" w:line="259" w:lineRule="auto"/>
        <w:ind w:left="-5" w:right="4"/>
      </w:pPr>
      <w:r>
        <w:t xml:space="preserve">Nález ÚS ČR ze dne 16. června 2005, sp. zn. I. ÚS 353/04. </w:t>
      </w:r>
    </w:p>
    <w:p w:rsidR="009D1F29" w:rsidRDefault="009D1F29">
      <w:pPr>
        <w:spacing w:after="320" w:line="259" w:lineRule="auto"/>
        <w:ind w:left="-5" w:right="4"/>
      </w:pPr>
      <w:r>
        <w:t xml:space="preserve">Nález ÚS ČR ze dne 28. června 2006, sp. zn. III. ÚS 27/06. </w:t>
      </w:r>
    </w:p>
    <w:p w:rsidR="009D1F29" w:rsidRDefault="009D1F29">
      <w:pPr>
        <w:spacing w:after="358" w:line="259" w:lineRule="auto"/>
        <w:ind w:left="-5" w:right="4"/>
      </w:pPr>
      <w:r>
        <w:t xml:space="preserve">Rozsudek NS ČR ze dne 4. ledna 2007, sp. zn. 22 Cdo 2145/2006. </w:t>
      </w:r>
    </w:p>
    <w:p w:rsidR="009D1F29" w:rsidRDefault="009D1F29">
      <w:pPr>
        <w:spacing w:after="272" w:line="259" w:lineRule="auto"/>
        <w:ind w:left="-5" w:right="4"/>
      </w:pPr>
      <w:r>
        <w:t>Nález ÚS ČR ze dne 15. února 2007, sp. zn. ÚS 77/06.</w:t>
      </w:r>
      <w:r>
        <w:rPr>
          <w:b/>
          <w:sz w:val="28"/>
        </w:rPr>
        <w:t xml:space="preserve"> </w:t>
      </w:r>
    </w:p>
    <w:p w:rsidR="009D1F29" w:rsidRDefault="009D1F29">
      <w:pPr>
        <w:spacing w:after="321" w:line="259" w:lineRule="auto"/>
        <w:ind w:left="-5" w:right="4"/>
      </w:pPr>
      <w:r>
        <w:t xml:space="preserve">Nález ÚS ČR ze dne 20. prosince 2007, IV. ÚS 1133/07. </w:t>
      </w:r>
    </w:p>
    <w:p w:rsidR="009D1F29" w:rsidRDefault="009D1F29">
      <w:pPr>
        <w:spacing w:after="316" w:line="259" w:lineRule="auto"/>
        <w:ind w:left="-5" w:right="4"/>
      </w:pPr>
      <w:r>
        <w:t xml:space="preserve">Nález ÚS ČR ze dne 9. ledna 2008, sp. zn. II. ÚS 268/06. </w:t>
      </w:r>
    </w:p>
    <w:p w:rsidR="009D1F29" w:rsidRDefault="009D1F29">
      <w:pPr>
        <w:spacing w:after="356" w:line="259" w:lineRule="auto"/>
        <w:ind w:left="-5" w:right="4"/>
      </w:pPr>
      <w:r>
        <w:t xml:space="preserve">Rozsudek NS ČR ze dne 16. října 2008, sp. zn. 22 Cdo 3202/2008. </w:t>
      </w:r>
    </w:p>
    <w:p w:rsidR="009D1F29" w:rsidRDefault="009D1F29">
      <w:pPr>
        <w:spacing w:after="278" w:line="259" w:lineRule="auto"/>
        <w:ind w:left="-5" w:right="4"/>
      </w:pPr>
      <w:r>
        <w:t>Nález ÚS ČR ze dne 21. října 2008, sp. zn. IV. ÚS 1735/07.</w:t>
      </w:r>
      <w:r>
        <w:rPr>
          <w:b/>
          <w:sz w:val="28"/>
        </w:rPr>
        <w:t xml:space="preserve"> </w:t>
      </w:r>
    </w:p>
    <w:p w:rsidR="009D1F29" w:rsidRDefault="009D1F29">
      <w:pPr>
        <w:spacing w:after="312" w:line="259" w:lineRule="auto"/>
        <w:ind w:left="-5" w:right="4"/>
      </w:pPr>
      <w:r>
        <w:t xml:space="preserve">Rozsudek NS ČR ze dne 28. ledna 2010, sp. zn. 29 Cdo 852/2009. </w:t>
      </w:r>
    </w:p>
    <w:p w:rsidR="009D1F29" w:rsidRDefault="009D1F29">
      <w:pPr>
        <w:spacing w:after="320" w:line="259" w:lineRule="auto"/>
        <w:ind w:left="-5" w:right="4"/>
      </w:pPr>
      <w:r>
        <w:t xml:space="preserve">Rozsudek NS ČR ze dne 1. června. 2010, sp. zn. 22 Cdo 41/2009. </w:t>
      </w:r>
    </w:p>
    <w:p w:rsidR="009D1F29" w:rsidRDefault="009D1F29">
      <w:pPr>
        <w:spacing w:after="315" w:line="259" w:lineRule="auto"/>
        <w:ind w:left="-5" w:right="4"/>
      </w:pPr>
      <w:r>
        <w:t xml:space="preserve">Nález ÚS ČR ze dne 11. května 2011, sp. zn. II. ÚS 165/11. </w:t>
      </w:r>
    </w:p>
    <w:p w:rsidR="009D1F29" w:rsidRDefault="009D1F29">
      <w:pPr>
        <w:spacing w:after="312" w:line="259" w:lineRule="auto"/>
        <w:ind w:left="0" w:right="0" w:firstLine="0"/>
        <w:jc w:val="left"/>
      </w:pPr>
      <w:r>
        <w:rPr>
          <w:shd w:val="clear" w:color="auto" w:fill="FDFDFD"/>
        </w:rPr>
        <w:t>Nález ÚS ČR ze dne 27. ledna 2015, sp. zn.  ÚS</w:t>
      </w:r>
      <w:hyperlink r:id="rId7">
        <w:r>
          <w:rPr>
            <w:shd w:val="clear" w:color="auto" w:fill="FDFDFD"/>
          </w:rPr>
          <w:t xml:space="preserve"> </w:t>
        </w:r>
      </w:hyperlink>
      <w:hyperlink r:id="rId8">
        <w:r>
          <w:rPr>
            <w:shd w:val="clear" w:color="auto" w:fill="FDFDFD"/>
          </w:rPr>
          <w:t>16/14.</w:t>
        </w:r>
      </w:hyperlink>
      <w:r>
        <w:t xml:space="preserve"> </w:t>
      </w:r>
    </w:p>
    <w:p w:rsidR="009D1F29" w:rsidRDefault="009D1F29">
      <w:pPr>
        <w:spacing w:after="165" w:line="261" w:lineRule="auto"/>
        <w:ind w:left="-5" w:right="0"/>
        <w:jc w:val="left"/>
      </w:pPr>
      <w:r>
        <w:rPr>
          <w:b/>
          <w:sz w:val="28"/>
        </w:rPr>
        <w:t xml:space="preserve">Monografie </w:t>
      </w:r>
    </w:p>
    <w:p w:rsidR="009D1F29" w:rsidRDefault="009D1F29">
      <w:pPr>
        <w:spacing w:after="320" w:line="259" w:lineRule="auto"/>
        <w:ind w:left="-5" w:right="4"/>
      </w:pPr>
      <w:r>
        <w:t xml:space="preserve">BARTOŠEK, Milan. </w:t>
      </w:r>
      <w:r>
        <w:rPr>
          <w:i/>
        </w:rPr>
        <w:t>Encyklopedie římského práva</w:t>
      </w:r>
      <w:r>
        <w:t xml:space="preserve">. Praha: Panorama, 1981. 507 s. </w:t>
      </w:r>
    </w:p>
    <w:p w:rsidR="009D1F29" w:rsidRDefault="009D1F29">
      <w:pPr>
        <w:spacing w:after="316" w:line="259" w:lineRule="auto"/>
        <w:ind w:left="-5" w:right="4"/>
      </w:pPr>
      <w:r>
        <w:t xml:space="preserve">BEDNÁŘ, Václav. </w:t>
      </w:r>
      <w:r>
        <w:rPr>
          <w:i/>
        </w:rPr>
        <w:t>Testamentární dědická posloupnost</w:t>
      </w:r>
      <w:r>
        <w:t xml:space="preserve">. Plzeň: Aleš Čeněk, 2011. 304 s. </w:t>
      </w:r>
    </w:p>
    <w:p w:rsidR="009D1F29" w:rsidRDefault="009D1F29">
      <w:pPr>
        <w:spacing w:after="176"/>
        <w:ind w:left="-5" w:right="4"/>
      </w:pPr>
      <w:r>
        <w:t xml:space="preserve">BIČOVSKÝ, Jaroslav, HOLUB, Milan. </w:t>
      </w:r>
      <w:r>
        <w:rPr>
          <w:i/>
        </w:rPr>
        <w:t>Občanský zákoník a předpisy souvisící.</w:t>
      </w:r>
      <w:r>
        <w:t xml:space="preserve"> 3. vyd.  Praha: Panorama, 1984. 839 s. </w:t>
      </w:r>
    </w:p>
    <w:p w:rsidR="009D1F29" w:rsidRDefault="009D1F29">
      <w:pPr>
        <w:spacing w:after="177" w:line="368" w:lineRule="auto"/>
        <w:ind w:left="-5" w:right="0"/>
      </w:pPr>
      <w:r>
        <w:t xml:space="preserve">BÍLEK, Petr, ŠEŠINA, Martin. </w:t>
      </w:r>
      <w:r>
        <w:rPr>
          <w:i/>
        </w:rPr>
        <w:t xml:space="preserve">Dědické právo v předpisech let 1925-2001. Zákony </w:t>
      </w:r>
      <w:r>
        <w:rPr>
          <w:i/>
        </w:rPr>
        <w:br/>
        <w:t>s poznámkami</w:t>
      </w:r>
      <w:r>
        <w:t xml:space="preserve">. Praha: C.H. Beck, 2001. 508 s. </w:t>
      </w:r>
    </w:p>
    <w:p w:rsidR="009D1F29" w:rsidRDefault="009D1F29">
      <w:pPr>
        <w:spacing w:after="321" w:line="259" w:lineRule="auto"/>
        <w:ind w:left="-5" w:right="4"/>
      </w:pPr>
      <w:r>
        <w:t xml:space="preserve">BLAHOŽ, Josef a kol. </w:t>
      </w:r>
      <w:r>
        <w:rPr>
          <w:i/>
        </w:rPr>
        <w:t>Státní právo kapitalistických zemí</w:t>
      </w:r>
      <w:r>
        <w:t xml:space="preserve">. Praha: Panorama, 1985. 276 s. </w:t>
      </w:r>
    </w:p>
    <w:p w:rsidR="009D1F29" w:rsidRDefault="009D1F29">
      <w:pPr>
        <w:spacing w:after="163"/>
        <w:ind w:left="-5" w:right="4"/>
      </w:pPr>
      <w:r>
        <w:t xml:space="preserve">BOBEK, Michal, MOLEK, Pavel a ŠIMÍČEK, Vojtěch. </w:t>
      </w:r>
      <w:r>
        <w:rPr>
          <w:i/>
        </w:rPr>
        <w:t xml:space="preserve">Komunistické právo </w:t>
      </w:r>
      <w:r>
        <w:rPr>
          <w:i/>
        </w:rPr>
        <w:br/>
        <w:t>v Československu. kapitoly z dějin bezpráví</w:t>
      </w:r>
      <w:r>
        <w:t xml:space="preserve">. Brno: Masarykova univerzita, Mezinárodní politologický ústav, 2009. 983 s. </w:t>
      </w:r>
    </w:p>
    <w:p w:rsidR="009D1F29" w:rsidRDefault="009D1F29">
      <w:pPr>
        <w:spacing w:line="259" w:lineRule="auto"/>
        <w:ind w:left="-5" w:right="4"/>
      </w:pPr>
      <w:r>
        <w:t xml:space="preserve">BOURA, Ferdinand. </w:t>
      </w:r>
      <w:r>
        <w:rPr>
          <w:i/>
        </w:rPr>
        <w:t>O Ústavě 9. května</w:t>
      </w:r>
      <w:r>
        <w:t xml:space="preserve">. Praha: Mladá fronta, 1951. 23 s. </w:t>
      </w:r>
    </w:p>
    <w:p w:rsidR="009D1F29" w:rsidRDefault="009D1F29">
      <w:pPr>
        <w:spacing w:line="259" w:lineRule="auto"/>
        <w:ind w:left="-5" w:right="4"/>
      </w:pPr>
    </w:p>
    <w:p w:rsidR="009D1F29" w:rsidRDefault="009D1F29">
      <w:pPr>
        <w:spacing w:after="177"/>
        <w:ind w:left="-5" w:right="4"/>
      </w:pPr>
      <w:r>
        <w:t xml:space="preserve">BRUNNER, Otto, CONZE, Werner, KOSSELECK, Reinhart. </w:t>
      </w:r>
      <w:r>
        <w:rPr>
          <w:i/>
        </w:rPr>
        <w:t>Geschichtliche Grundbegriffe. Historiches Lexikon zur politisch-sozialen Sprache in Deutschland</w:t>
      </w:r>
      <w:r>
        <w:t xml:space="preserve">. 4. Aufl. Stuttgart: Klett, Cotta, 1998. 1082 s. </w:t>
      </w:r>
    </w:p>
    <w:p w:rsidR="009D1F29" w:rsidRDefault="009D1F29">
      <w:pPr>
        <w:spacing w:after="297" w:line="259" w:lineRule="auto"/>
        <w:ind w:left="-5" w:right="4"/>
      </w:pPr>
      <w:r>
        <w:t xml:space="preserve">CVETLER, Jiří. </w:t>
      </w:r>
      <w:r>
        <w:rPr>
          <w:i/>
        </w:rPr>
        <w:t>Právo římské.</w:t>
      </w:r>
      <w:r>
        <w:t xml:space="preserve"> Brno: Univerzita Jana Evangelisty Purkyně, 1974. 119 s. </w:t>
      </w:r>
    </w:p>
    <w:p w:rsidR="009D1F29" w:rsidRDefault="009D1F29">
      <w:pPr>
        <w:spacing w:after="297" w:line="259" w:lineRule="auto"/>
        <w:ind w:left="-5" w:right="4"/>
      </w:pPr>
      <w:r>
        <w:t xml:space="preserve">ČAPEK, Karel. </w:t>
      </w:r>
      <w:r>
        <w:rPr>
          <w:i/>
        </w:rPr>
        <w:t>Občanský zákoník</w:t>
      </w:r>
      <w:r>
        <w:t xml:space="preserve">. 2. vyd. Praha: Orbis, 1951. 324 s. </w:t>
      </w:r>
    </w:p>
    <w:p w:rsidR="009D1F29" w:rsidRDefault="009D1F29">
      <w:pPr>
        <w:spacing w:after="273" w:line="259" w:lineRule="auto"/>
        <w:ind w:left="-5" w:right="4"/>
      </w:pPr>
      <w:r>
        <w:t xml:space="preserve">ČAPEK, Karel. </w:t>
      </w:r>
      <w:r>
        <w:rPr>
          <w:i/>
        </w:rPr>
        <w:t>Občanský zákoník.</w:t>
      </w:r>
      <w:r>
        <w:t xml:space="preserve"> 3. vyd. Praha: Orbis, 1956. 406 s. </w:t>
      </w:r>
    </w:p>
    <w:p w:rsidR="009D1F29" w:rsidRDefault="009D1F29">
      <w:pPr>
        <w:spacing w:after="161" w:line="259" w:lineRule="auto"/>
        <w:ind w:left="-5" w:right="4"/>
      </w:pPr>
      <w:r>
        <w:t xml:space="preserve">DOSTÁL, Antonín, FRENDLOVSKÝ, František, MACHAČ, Bedřich, UHER, Bohumil. </w:t>
      </w:r>
    </w:p>
    <w:p w:rsidR="009D1F29" w:rsidRDefault="009D1F29">
      <w:pPr>
        <w:spacing w:after="320" w:line="259" w:lineRule="auto"/>
        <w:ind w:left="-5" w:right="4"/>
      </w:pPr>
      <w:r>
        <w:rPr>
          <w:i/>
        </w:rPr>
        <w:t>Ústava ČSR a SSSR</w:t>
      </w:r>
      <w:r>
        <w:t xml:space="preserve">. Praha: Státní pedagogické nakladatelství, 1953. 183 s. </w:t>
      </w:r>
    </w:p>
    <w:p w:rsidR="009D1F29" w:rsidRDefault="009D1F29">
      <w:pPr>
        <w:spacing w:after="176"/>
        <w:ind w:left="-5" w:right="4"/>
      </w:pPr>
      <w:r>
        <w:t xml:space="preserve">DVOŘÁK, Jan., MALÝ, Karel a kol. </w:t>
      </w:r>
      <w:r>
        <w:rPr>
          <w:i/>
        </w:rPr>
        <w:t>200 let Všeobecného občanského zákoníku</w:t>
      </w:r>
      <w:r>
        <w:t xml:space="preserve">.  </w:t>
      </w:r>
      <w:r>
        <w:br/>
        <w:t xml:space="preserve">Praha: Wolters Kluwer, 2011. 866 s. </w:t>
      </w:r>
    </w:p>
    <w:p w:rsidR="009D1F29" w:rsidRDefault="009D1F29">
      <w:pPr>
        <w:spacing w:after="182" w:line="368" w:lineRule="auto"/>
        <w:ind w:left="-5" w:right="0"/>
      </w:pPr>
      <w:r>
        <w:t>ELIÁŠ, Karel a kol</w:t>
      </w:r>
      <w:r>
        <w:rPr>
          <w:i/>
        </w:rPr>
        <w:t xml:space="preserve">. Nový občanský zákoník s aktualizovanou důvodovou zprávou </w:t>
      </w:r>
      <w:r>
        <w:rPr>
          <w:i/>
        </w:rPr>
        <w:br/>
        <w:t>a rejstříkem</w:t>
      </w:r>
      <w:r>
        <w:t xml:space="preserve">. Ostrava: Sagit, 2012. 1119 s. </w:t>
      </w:r>
    </w:p>
    <w:p w:rsidR="009D1F29" w:rsidRDefault="009D1F29">
      <w:pPr>
        <w:spacing w:after="176" w:line="368" w:lineRule="auto"/>
        <w:ind w:left="-5" w:right="0"/>
      </w:pPr>
      <w:r>
        <w:t xml:space="preserve">FABIAN, Kamil. </w:t>
      </w:r>
      <w:r>
        <w:rPr>
          <w:i/>
        </w:rPr>
        <w:t xml:space="preserve">Kritika buržoazních a revizionistických koncepcí státu a práva.  </w:t>
      </w:r>
      <w:r>
        <w:rPr>
          <w:i/>
        </w:rPr>
        <w:br/>
      </w:r>
      <w:r>
        <w:t xml:space="preserve">Praha: Academia, 1975. 616 s. </w:t>
      </w:r>
    </w:p>
    <w:p w:rsidR="009D1F29" w:rsidRDefault="009D1F29">
      <w:pPr>
        <w:spacing w:after="305" w:line="259" w:lineRule="auto"/>
        <w:ind w:left="-5" w:right="4"/>
      </w:pPr>
      <w:r>
        <w:t xml:space="preserve">FIALA, Josef a kol. </w:t>
      </w:r>
      <w:r>
        <w:rPr>
          <w:i/>
        </w:rPr>
        <w:t>Občanské právo hmotné</w:t>
      </w:r>
      <w:r>
        <w:t xml:space="preserve">. 3. vyd. Brno: Doplněk, 2002. 436 s. </w:t>
      </w:r>
    </w:p>
    <w:p w:rsidR="009D1F29" w:rsidRDefault="009D1F29">
      <w:pPr>
        <w:spacing w:after="115" w:line="259" w:lineRule="auto"/>
        <w:ind w:left="-5" w:right="4"/>
      </w:pPr>
      <w:r>
        <w:t>FIALA, Josef, KINDL, Milan</w:t>
      </w:r>
      <w:r>
        <w:rPr>
          <w:i/>
        </w:rPr>
        <w:t>. Občanské právo hmotné.</w:t>
      </w:r>
      <w:r>
        <w:t xml:space="preserve"> 2. vyd. Plzeň: Aleš Čeněk, 2009. </w:t>
      </w:r>
    </w:p>
    <w:p w:rsidR="009D1F29" w:rsidRDefault="009D1F29">
      <w:pPr>
        <w:spacing w:after="301" w:line="259" w:lineRule="auto"/>
        <w:ind w:left="-5" w:right="4"/>
      </w:pPr>
      <w:r>
        <w:t xml:space="preserve"> 656 s. </w:t>
      </w:r>
    </w:p>
    <w:p w:rsidR="009D1F29" w:rsidRDefault="009D1F29">
      <w:pPr>
        <w:spacing w:after="165"/>
        <w:ind w:left="-5" w:right="4"/>
      </w:pPr>
      <w:r>
        <w:t xml:space="preserve">FILIP, Jan. </w:t>
      </w:r>
      <w:r>
        <w:rPr>
          <w:i/>
        </w:rPr>
        <w:t>Podstata, obsah a forma ústavy socialistického typu</w:t>
      </w:r>
      <w:r>
        <w:t xml:space="preserve">. Brno: Univerzita Jana Evangelisty Purkyně, 1987. 152 s. </w:t>
      </w:r>
    </w:p>
    <w:p w:rsidR="009D1F29" w:rsidRDefault="009D1F29">
      <w:pPr>
        <w:spacing w:after="302" w:line="259" w:lineRule="auto"/>
        <w:ind w:left="-5" w:right="4"/>
      </w:pPr>
      <w:r>
        <w:t xml:space="preserve">FILIP, Jan. </w:t>
      </w:r>
      <w:r>
        <w:rPr>
          <w:i/>
        </w:rPr>
        <w:t>Ústavní právo České republiky</w:t>
      </w:r>
      <w:r>
        <w:t xml:space="preserve">. 1. díl. Brno: Masarykova univerzita, 2003. 556 s. </w:t>
      </w:r>
    </w:p>
    <w:p w:rsidR="009D1F29" w:rsidRDefault="009D1F29">
      <w:pPr>
        <w:spacing w:after="196" w:line="368" w:lineRule="auto"/>
        <w:ind w:left="-5" w:right="0"/>
      </w:pPr>
      <w:r>
        <w:t xml:space="preserve">FLEGL, Vladimír. </w:t>
      </w:r>
      <w:r>
        <w:rPr>
          <w:i/>
        </w:rPr>
        <w:t>Listina základních práv a svobod v aplikační praxi ČR</w:t>
      </w:r>
      <w:r>
        <w:t xml:space="preserve">. Praha: C.H. Beck, 1997. 237 s. </w:t>
      </w:r>
    </w:p>
    <w:p w:rsidR="009D1F29" w:rsidRDefault="009D1F29">
      <w:pPr>
        <w:spacing w:after="163"/>
        <w:ind w:left="-5" w:right="4"/>
      </w:pPr>
      <w:r>
        <w:t xml:space="preserve">GERLOCH, Aleš, HŘEBEJK, Jiří, ZOUBEK, Vladimír. </w:t>
      </w:r>
      <w:r>
        <w:rPr>
          <w:i/>
        </w:rPr>
        <w:t>Ústavní systém České republiky</w:t>
      </w:r>
      <w:r>
        <w:t xml:space="preserve">. Praha: Prospektorum, 1996. 319 s. </w:t>
      </w:r>
    </w:p>
    <w:p w:rsidR="009D1F29" w:rsidRDefault="009D1F29">
      <w:pPr>
        <w:spacing w:after="174"/>
        <w:ind w:left="-5" w:right="4"/>
      </w:pPr>
      <w:r>
        <w:t xml:space="preserve">GRONSKÝ, Ján. </w:t>
      </w:r>
      <w:r>
        <w:rPr>
          <w:i/>
        </w:rPr>
        <w:t>Dokumenty k ústavnímu vývoji Československa</w:t>
      </w:r>
      <w:r>
        <w:t xml:space="preserve"> </w:t>
      </w:r>
      <w:r>
        <w:rPr>
          <w:i/>
        </w:rPr>
        <w:t>2</w:t>
      </w:r>
      <w:r>
        <w:t xml:space="preserve">. Praha: Karolinum, 1999. 497 s. </w:t>
      </w:r>
    </w:p>
    <w:p w:rsidR="009D1F29" w:rsidRDefault="009D1F29" w:rsidP="00576E89">
      <w:pPr>
        <w:spacing w:after="28" w:line="360" w:lineRule="auto"/>
        <w:ind w:left="-5" w:right="0"/>
      </w:pPr>
      <w:r>
        <w:t xml:space="preserve">GRONSKÝ Ján. </w:t>
      </w:r>
      <w:r>
        <w:rPr>
          <w:i/>
        </w:rPr>
        <w:t>Komentované dokumenty k ústavním dějinám Československa II. 1945-1960</w:t>
      </w:r>
      <w:r>
        <w:t xml:space="preserve">. Praha: Karolinum, 2006. 512 s. </w:t>
      </w:r>
    </w:p>
    <w:p w:rsidR="009D1F29" w:rsidRDefault="009D1F29">
      <w:pPr>
        <w:spacing w:after="191" w:line="368" w:lineRule="auto"/>
        <w:ind w:left="-5" w:right="0"/>
      </w:pPr>
      <w:r>
        <w:t xml:space="preserve">GRONSKÝ, Ján. </w:t>
      </w:r>
      <w:r>
        <w:rPr>
          <w:i/>
        </w:rPr>
        <w:t>Komentované dokumenty k ústavním dějinám Československa III</w:t>
      </w:r>
      <w:r>
        <w:t xml:space="preserve">. </w:t>
      </w:r>
      <w:r>
        <w:br/>
      </w:r>
      <w:r>
        <w:rPr>
          <w:i/>
        </w:rPr>
        <w:t>1960-1989.</w:t>
      </w:r>
      <w:r>
        <w:t xml:space="preserve"> Praha: Karolinum, 2007. 448 s. </w:t>
      </w:r>
    </w:p>
    <w:p w:rsidR="009D1F29" w:rsidRDefault="009D1F29">
      <w:pPr>
        <w:spacing w:after="309" w:line="259" w:lineRule="auto"/>
        <w:ind w:left="-5" w:right="4"/>
      </w:pPr>
      <w:r>
        <w:t xml:space="preserve">HARVÁNEK, Jaromír a kol. </w:t>
      </w:r>
      <w:r>
        <w:rPr>
          <w:i/>
        </w:rPr>
        <w:t>Teorie práva.</w:t>
      </w:r>
      <w:r>
        <w:t xml:space="preserve"> Plzeň: Aleš Čeněk, 2008. 501 s. </w:t>
      </w:r>
    </w:p>
    <w:p w:rsidR="009D1F29" w:rsidRDefault="009D1F29">
      <w:pPr>
        <w:spacing w:after="189" w:line="259" w:lineRule="auto"/>
        <w:ind w:left="-5" w:right="4"/>
      </w:pPr>
      <w:r>
        <w:t>HECK, Philipp</w:t>
      </w:r>
      <w:r>
        <w:rPr>
          <w:i/>
        </w:rPr>
        <w:t>. Grundriß des Sachenrechts</w:t>
      </w:r>
      <w:r>
        <w:t xml:space="preserve">. Tübingen: J. C. B. Mohr, 1930. 540 s. </w:t>
      </w:r>
    </w:p>
    <w:p w:rsidR="009D1F29" w:rsidRDefault="009D1F29">
      <w:pPr>
        <w:spacing w:after="319" w:line="259" w:lineRule="auto"/>
        <w:ind w:left="-5" w:right="4"/>
      </w:pPr>
      <w:r>
        <w:t xml:space="preserve">HEGEL, Georg Wilhelm Fridrich. </w:t>
      </w:r>
      <w:r>
        <w:rPr>
          <w:i/>
        </w:rPr>
        <w:t>Základy filosofie práva</w:t>
      </w:r>
      <w:r>
        <w:t xml:space="preserve">. Praha: Academia, 1992. 378 s. </w:t>
      </w:r>
    </w:p>
    <w:p w:rsidR="009D1F29" w:rsidRDefault="009D1F29">
      <w:pPr>
        <w:spacing w:after="320" w:line="259" w:lineRule="auto"/>
        <w:ind w:left="-5" w:right="4"/>
      </w:pPr>
      <w:r>
        <w:t xml:space="preserve">HENDRYCH, Dušan. </w:t>
      </w:r>
      <w:r>
        <w:rPr>
          <w:i/>
        </w:rPr>
        <w:t>Právnický slovník.</w:t>
      </w:r>
      <w:r>
        <w:t xml:space="preserve"> 3. pods. rozš. vyd. Praha: C.H. Beck, 2009. 1450 s. </w:t>
      </w:r>
    </w:p>
    <w:p w:rsidR="009D1F29" w:rsidRDefault="009D1F29">
      <w:pPr>
        <w:spacing w:after="112" w:line="259" w:lineRule="auto"/>
        <w:ind w:left="-5" w:right="0"/>
      </w:pPr>
      <w:r>
        <w:t xml:space="preserve">HOLUB, Milan., BIČOVSKÝ, Jaroslav. </w:t>
      </w:r>
      <w:r>
        <w:rPr>
          <w:i/>
        </w:rPr>
        <w:t>Občan a vlastnictví v čs. právním řádu</w:t>
      </w:r>
      <w:r>
        <w:t xml:space="preserve">.  </w:t>
      </w:r>
    </w:p>
    <w:p w:rsidR="009D1F29" w:rsidRDefault="009D1F29">
      <w:pPr>
        <w:spacing w:after="321" w:line="259" w:lineRule="auto"/>
        <w:ind w:left="-5" w:right="4"/>
      </w:pPr>
      <w:r>
        <w:t xml:space="preserve">Praha: Panorama, 1985. 488 s.   </w:t>
      </w:r>
    </w:p>
    <w:p w:rsidR="009D1F29" w:rsidRDefault="009D1F29">
      <w:pPr>
        <w:spacing w:after="125"/>
        <w:ind w:left="-5" w:right="4"/>
      </w:pPr>
      <w:r>
        <w:t>JÁNOŠÍKOVÁ, Petra, KNOLL, Vilém, RUNDOVÁ, Alena</w:t>
      </w:r>
      <w:r>
        <w:rPr>
          <w:i/>
        </w:rPr>
        <w:t>. Mezníky českých právních dějin</w:t>
      </w:r>
      <w:r>
        <w:t xml:space="preserve">. 3. vyd. Plzeň: Aleš Čeněk, 2010. 208 s. </w:t>
      </w:r>
    </w:p>
    <w:p w:rsidR="009D1F29" w:rsidRDefault="009D1F29">
      <w:pPr>
        <w:spacing w:after="161"/>
        <w:ind w:left="-5" w:right="4"/>
      </w:pPr>
      <w:r>
        <w:t xml:space="preserve">JIČINSKÝ, Zdeněk, LEVIT, Pavel. </w:t>
      </w:r>
      <w:r>
        <w:rPr>
          <w:i/>
        </w:rPr>
        <w:t>Socialistická ústava ČSSR</w:t>
      </w:r>
      <w:r>
        <w:t xml:space="preserve">. Praha: Státní nakladatelství politické literatury, 1961. 176 s. </w:t>
      </w:r>
    </w:p>
    <w:p w:rsidR="009D1F29" w:rsidRDefault="009D1F29">
      <w:pPr>
        <w:spacing w:after="274" w:line="259" w:lineRule="auto"/>
        <w:ind w:left="-5" w:right="4"/>
      </w:pPr>
      <w:r>
        <w:t xml:space="preserve">LOCKE, John. </w:t>
      </w:r>
      <w:r>
        <w:rPr>
          <w:i/>
        </w:rPr>
        <w:t>Dvě pojednání o vládě.</w:t>
      </w:r>
      <w:r>
        <w:t xml:space="preserve"> Praha: Československá akademie věd, 1965. 278 s. </w:t>
      </w:r>
    </w:p>
    <w:p w:rsidR="009D1F29" w:rsidRDefault="009D1F29">
      <w:pPr>
        <w:spacing w:after="158"/>
        <w:ind w:left="-5" w:right="4"/>
      </w:pPr>
      <w:r>
        <w:t xml:space="preserve">KADLECOVÁ, Marta, SCHELLE Karel, VESELÁ Renata, VLČEK, Eduard. </w:t>
      </w:r>
      <w:r>
        <w:rPr>
          <w:i/>
        </w:rPr>
        <w:t>Dějiny soukromého práva</w:t>
      </w:r>
      <w:r>
        <w:t xml:space="preserve">. Plzeň: Aleš Čeněk, 2007. 279 s. </w:t>
      </w:r>
    </w:p>
    <w:p w:rsidR="009D1F29" w:rsidRDefault="009D1F29">
      <w:pPr>
        <w:spacing w:after="168"/>
        <w:ind w:left="-5" w:right="4"/>
      </w:pPr>
      <w:r>
        <w:t>KINCL, Jaromír, URFUS, Valentin, SKŘEJPEK, Michal.</w:t>
      </w:r>
      <w:r>
        <w:rPr>
          <w:i/>
        </w:rPr>
        <w:t xml:space="preserve"> Římské právo</w:t>
      </w:r>
      <w:r>
        <w:t xml:space="preserve">. 2. vyd. Praha: C.H. Beck, 1995. 386 s. </w:t>
      </w:r>
    </w:p>
    <w:p w:rsidR="009D1F29" w:rsidRDefault="009D1F29">
      <w:pPr>
        <w:spacing w:after="273" w:line="259" w:lineRule="auto"/>
        <w:ind w:left="-5" w:right="4"/>
      </w:pPr>
      <w:r>
        <w:t xml:space="preserve">KLÍMA, Karel. </w:t>
      </w:r>
      <w:r>
        <w:rPr>
          <w:i/>
        </w:rPr>
        <w:t>Ústavní právo</w:t>
      </w:r>
      <w:r>
        <w:t xml:space="preserve">. 5. vyd. Plzeň: Aleš Čeněk, 2016. 812 s. </w:t>
      </w:r>
    </w:p>
    <w:p w:rsidR="009D1F29" w:rsidRDefault="009D1F29">
      <w:pPr>
        <w:spacing w:after="143"/>
        <w:ind w:left="-5" w:right="4"/>
      </w:pPr>
      <w:r>
        <w:t xml:space="preserve">KLOUBEK, Vilém. </w:t>
      </w:r>
      <w:r>
        <w:rPr>
          <w:i/>
        </w:rPr>
        <w:t>Ústavní zákony republiky Československé</w:t>
      </w:r>
      <w:r>
        <w:t xml:space="preserve">. Svazek II. Praha: Česká grafická unie, 1926. 506 s. </w:t>
      </w:r>
    </w:p>
    <w:p w:rsidR="009D1F29" w:rsidRDefault="009D1F29">
      <w:pPr>
        <w:spacing w:after="294" w:line="259" w:lineRule="auto"/>
        <w:ind w:left="-5" w:right="4"/>
      </w:pPr>
      <w:r>
        <w:t xml:space="preserve">KNAPP, Viktor. </w:t>
      </w:r>
      <w:r>
        <w:rPr>
          <w:i/>
        </w:rPr>
        <w:t>Vlastnictví v lidové demokracii.</w:t>
      </w:r>
      <w:r>
        <w:t xml:space="preserve"> Praha: Orbis, 1952. 510 s. </w:t>
      </w:r>
    </w:p>
    <w:p w:rsidR="009D1F29" w:rsidRDefault="009D1F29">
      <w:pPr>
        <w:spacing w:after="115" w:line="259" w:lineRule="auto"/>
        <w:ind w:left="-5" w:right="4"/>
      </w:pPr>
      <w:r>
        <w:t xml:space="preserve">KNAPP, Viktor a kol. </w:t>
      </w:r>
      <w:r>
        <w:rPr>
          <w:i/>
        </w:rPr>
        <w:t xml:space="preserve">Učebnice občanského a rodinného práva. </w:t>
      </w:r>
      <w:r>
        <w:t xml:space="preserve">Svazek I. Praha: Orbis, 1953. </w:t>
      </w:r>
    </w:p>
    <w:p w:rsidR="009D1F29" w:rsidRDefault="009D1F29">
      <w:pPr>
        <w:spacing w:after="303" w:line="259" w:lineRule="auto"/>
        <w:ind w:left="-5" w:right="4"/>
      </w:pPr>
      <w:r>
        <w:t xml:space="preserve">330 s. </w:t>
      </w:r>
    </w:p>
    <w:p w:rsidR="009D1F29" w:rsidRDefault="009D1F29">
      <w:pPr>
        <w:spacing w:after="166"/>
        <w:ind w:left="-5" w:right="4"/>
      </w:pPr>
      <w:r>
        <w:t xml:space="preserve">KNAPP, Viktor, PLANK, Karol. </w:t>
      </w:r>
      <w:r>
        <w:rPr>
          <w:i/>
        </w:rPr>
        <w:t xml:space="preserve">Československé občanské právo. </w:t>
      </w:r>
      <w:r>
        <w:t xml:space="preserve">Svazek II. Praha: Státní pedagogické nakladatelství, 1971. 314 s. </w:t>
      </w:r>
    </w:p>
    <w:p w:rsidR="009D1F29" w:rsidRDefault="009D1F29">
      <w:pPr>
        <w:ind w:left="-5" w:right="4"/>
      </w:pPr>
      <w:r>
        <w:t xml:space="preserve">KNAPP, Viktor, LUBY, Štefan. </w:t>
      </w:r>
      <w:r>
        <w:rPr>
          <w:i/>
        </w:rPr>
        <w:t>Československé občanské právo. Vysokošk. učebnice</w:t>
      </w:r>
      <w:r>
        <w:t xml:space="preserve">. Svazek II. 2. přeprac. a doplň. vyd. Praha: Orbis, 1974. 651 s. </w:t>
      </w:r>
    </w:p>
    <w:p w:rsidR="009D1F29" w:rsidRDefault="009D1F29">
      <w:pPr>
        <w:spacing w:after="284" w:line="259" w:lineRule="auto"/>
        <w:ind w:left="-5" w:right="4"/>
      </w:pPr>
      <w:r>
        <w:t xml:space="preserve">KOSAŘ, David a kol. </w:t>
      </w:r>
      <w:r>
        <w:rPr>
          <w:i/>
        </w:rPr>
        <w:t>Ústavní právo. Casebook</w:t>
      </w:r>
      <w:r>
        <w:t xml:space="preserve">. Praha: Wolters Kluwer, 2014. 636 s. </w:t>
      </w:r>
    </w:p>
    <w:p w:rsidR="009D1F29" w:rsidRDefault="009D1F29">
      <w:pPr>
        <w:spacing w:after="181" w:line="368" w:lineRule="auto"/>
        <w:ind w:left="-5" w:right="0"/>
      </w:pPr>
      <w:r>
        <w:t>KOZIOL, Helmut</w:t>
      </w:r>
      <w:r>
        <w:rPr>
          <w:i/>
        </w:rPr>
        <w:t>. Grundriss des bürgerlichen Rechts. Band I, Allgemeiner Teil, Sachenrecht, Familienrecht.</w:t>
      </w:r>
      <w:r>
        <w:t xml:space="preserve"> 12. Aufl.</w:t>
      </w:r>
      <w:r>
        <w:rPr>
          <w:i/>
        </w:rPr>
        <w:t xml:space="preserve"> </w:t>
      </w:r>
      <w:r>
        <w:t xml:space="preserve">Wien: Manzsche Verlags und Universitätsbuchhandlung, 2002. </w:t>
      </w:r>
      <w:r>
        <w:br/>
        <w:t xml:space="preserve">563 s. </w:t>
      </w:r>
    </w:p>
    <w:p w:rsidR="009D1F29" w:rsidRDefault="009D1F29">
      <w:pPr>
        <w:spacing w:after="320" w:line="259" w:lineRule="auto"/>
        <w:ind w:left="-5" w:right="4"/>
      </w:pPr>
      <w:r>
        <w:t xml:space="preserve">KRATOCHVÍL, Zdeněk a kol.  </w:t>
      </w:r>
      <w:r>
        <w:rPr>
          <w:i/>
        </w:rPr>
        <w:t>Nové občanské právo</w:t>
      </w:r>
      <w:r>
        <w:t xml:space="preserve">. Praha: Orbis, 1965. 716 s. </w:t>
      </w:r>
    </w:p>
    <w:p w:rsidR="009D1F29" w:rsidRDefault="009D1F29">
      <w:pPr>
        <w:spacing w:after="166"/>
        <w:ind w:left="-5" w:right="4"/>
      </w:pPr>
      <w:r>
        <w:t xml:space="preserve">KREJČÍ, Jaroslav. </w:t>
      </w:r>
      <w:r>
        <w:rPr>
          <w:i/>
        </w:rPr>
        <w:t>Základní</w:t>
      </w:r>
      <w:r>
        <w:t xml:space="preserve"> </w:t>
      </w:r>
      <w:r>
        <w:rPr>
          <w:i/>
        </w:rPr>
        <w:t>práva občanská a rovnost před zákonem</w:t>
      </w:r>
      <w:r>
        <w:t xml:space="preserve">. Praha: Moderní stát, 1929. 215 s. </w:t>
      </w:r>
    </w:p>
    <w:p w:rsidR="009D1F29" w:rsidRDefault="009D1F29">
      <w:pPr>
        <w:spacing w:after="300" w:line="259" w:lineRule="auto"/>
        <w:ind w:left="-5" w:right="4"/>
      </w:pPr>
      <w:r>
        <w:t xml:space="preserve">KROFTA, Jaroslav. </w:t>
      </w:r>
      <w:r>
        <w:rPr>
          <w:i/>
        </w:rPr>
        <w:t>Ústava ČSR</w:t>
      </w:r>
      <w:r>
        <w:t xml:space="preserve">. Praha: Státní pedagogické nakladatelství, 1957. 278 s. </w:t>
      </w:r>
    </w:p>
    <w:p w:rsidR="009D1F29" w:rsidRDefault="009D1F29">
      <w:pPr>
        <w:spacing w:after="306" w:line="259" w:lineRule="auto"/>
        <w:ind w:left="-5" w:right="4"/>
      </w:pPr>
      <w:r>
        <w:t xml:space="preserve">KUBEŠ, Vladimír. </w:t>
      </w:r>
      <w:r>
        <w:rPr>
          <w:i/>
        </w:rPr>
        <w:t>O novou ústavu</w:t>
      </w:r>
      <w:r>
        <w:t xml:space="preserve">. Praha: Melantrich, 1948. 140 s. </w:t>
      </w:r>
    </w:p>
    <w:p w:rsidR="009D1F29" w:rsidRDefault="009D1F29">
      <w:pPr>
        <w:spacing w:after="302" w:line="259" w:lineRule="auto"/>
        <w:ind w:left="-5" w:right="4"/>
      </w:pPr>
      <w:r>
        <w:t xml:space="preserve">KUBŮ, Lubomír, HUNGR, Pavel, OSINA, Petr. </w:t>
      </w:r>
      <w:r>
        <w:rPr>
          <w:i/>
        </w:rPr>
        <w:t>Teorie práva</w:t>
      </w:r>
      <w:r>
        <w:t xml:space="preserve">. Praha: Linde, 2007. 335 s.  </w:t>
      </w:r>
    </w:p>
    <w:p w:rsidR="009D1F29" w:rsidRDefault="009D1F29">
      <w:pPr>
        <w:spacing w:after="317" w:line="259" w:lineRule="auto"/>
        <w:ind w:left="-5" w:right="4"/>
      </w:pPr>
      <w:r>
        <w:t xml:space="preserve">KUKLÍK, Jan a kol. </w:t>
      </w:r>
      <w:r>
        <w:rPr>
          <w:i/>
        </w:rPr>
        <w:t>Dějiny československého práva</w:t>
      </w:r>
      <w:r>
        <w:t xml:space="preserve">. Praha: Auditorium, 2011. 426 s. </w:t>
      </w:r>
    </w:p>
    <w:p w:rsidR="009D1F29" w:rsidRDefault="009D1F29" w:rsidP="006749F6">
      <w:pPr>
        <w:spacing w:after="161" w:line="360" w:lineRule="auto"/>
        <w:ind w:left="-5" w:right="0"/>
      </w:pPr>
      <w:r>
        <w:t xml:space="preserve">LANGÁŠEK, Tomáš. </w:t>
      </w:r>
      <w:r>
        <w:rPr>
          <w:i/>
        </w:rPr>
        <w:t xml:space="preserve">Ústavní soud Československé republiky a jeho osudy v letech </w:t>
      </w:r>
      <w:r>
        <w:rPr>
          <w:i/>
        </w:rPr>
        <w:br/>
        <w:t>1920-1948.</w:t>
      </w:r>
      <w:r>
        <w:t xml:space="preserve"> Plzeň: Aleš Čeněk, 2011. 319 s. </w:t>
      </w:r>
    </w:p>
    <w:p w:rsidR="009D1F29" w:rsidRDefault="009D1F29" w:rsidP="006749F6">
      <w:pPr>
        <w:spacing w:after="207" w:line="360" w:lineRule="auto"/>
        <w:ind w:left="-5" w:right="4"/>
      </w:pPr>
      <w:r>
        <w:t>LARENZ, Karl, CANARIS, Claus Wilhelm.</w:t>
      </w:r>
      <w:r>
        <w:rPr>
          <w:i/>
        </w:rPr>
        <w:t xml:space="preserve"> Mehtodenlehre der Rechtswissenschaft</w:t>
      </w:r>
      <w:r>
        <w:t xml:space="preserve">. 3. Aufl. Berlin: Springer, 1995. 325 s. </w:t>
      </w:r>
    </w:p>
    <w:p w:rsidR="009D1F29" w:rsidRDefault="009D1F29" w:rsidP="006749F6">
      <w:pPr>
        <w:spacing w:after="190" w:line="360" w:lineRule="auto"/>
        <w:ind w:left="-5" w:right="0"/>
      </w:pPr>
      <w:r>
        <w:t xml:space="preserve">LAZAR, Ján. </w:t>
      </w:r>
      <w:r>
        <w:rPr>
          <w:i/>
        </w:rPr>
        <w:t>Buržoázne vlastnícke koncepcie z hľadiska marxistickej právnej vedy</w:t>
      </w:r>
      <w:r>
        <w:t xml:space="preserve">. Bratislava: Veda, 1984. 204 s.  </w:t>
      </w:r>
    </w:p>
    <w:p w:rsidR="009D1F29" w:rsidRDefault="009D1F29">
      <w:pPr>
        <w:spacing w:after="320" w:line="259" w:lineRule="auto"/>
        <w:ind w:left="-5" w:right="4"/>
      </w:pPr>
      <w:r>
        <w:t xml:space="preserve">LUKEŠ, Zdeněk a kol. </w:t>
      </w:r>
      <w:r>
        <w:rPr>
          <w:i/>
        </w:rPr>
        <w:t>Československé správní právo</w:t>
      </w:r>
      <w:r>
        <w:t xml:space="preserve">. Praha: Panorama, 1981. 281 s. </w:t>
      </w:r>
    </w:p>
    <w:p w:rsidR="009D1F29" w:rsidRDefault="009D1F29">
      <w:pPr>
        <w:spacing w:after="176"/>
        <w:ind w:left="-5" w:right="4"/>
      </w:pPr>
      <w:r>
        <w:t xml:space="preserve">MACHALOVÁ, Tatiana. </w:t>
      </w:r>
      <w:r>
        <w:rPr>
          <w:i/>
        </w:rPr>
        <w:t>Úvod do právní filozofie (Základní pojmy)</w:t>
      </w:r>
      <w:r>
        <w:t xml:space="preserve"> 1. díl. Brno: Masarykova univerzita, 2001. 164 s. </w:t>
      </w:r>
    </w:p>
    <w:p w:rsidR="009D1F29" w:rsidRDefault="009D1F29" w:rsidP="006749F6">
      <w:pPr>
        <w:spacing w:after="159" w:line="360" w:lineRule="auto"/>
        <w:ind w:left="-5" w:right="0"/>
      </w:pPr>
      <w:r>
        <w:t xml:space="preserve">MAREČKOVÁ, Marie. </w:t>
      </w:r>
      <w:r>
        <w:rPr>
          <w:i/>
        </w:rPr>
        <w:t>České právní a ústavní dějiny: stručný přehled a dokumenty</w:t>
      </w:r>
      <w:r>
        <w:t xml:space="preserve">.  Olomouc: Univerzita Palackého, 2006. 449 s. </w:t>
      </w:r>
    </w:p>
    <w:p w:rsidR="009D1F29" w:rsidRDefault="009D1F29">
      <w:pPr>
        <w:spacing w:after="165"/>
        <w:ind w:left="-5" w:right="4"/>
      </w:pPr>
      <w:r>
        <w:t xml:space="preserve">MARX, Karel, ENGELS, Friedrich. </w:t>
      </w:r>
      <w:r>
        <w:rPr>
          <w:i/>
        </w:rPr>
        <w:t>Manifest Komunistické strany</w:t>
      </w:r>
      <w:r>
        <w:t xml:space="preserve">. 2. vyd. Praha: Svoboda, 1949. 97 s. </w:t>
      </w:r>
    </w:p>
    <w:p w:rsidR="009D1F29" w:rsidRDefault="009D1F29">
      <w:pPr>
        <w:tabs>
          <w:tab w:val="center" w:pos="1448"/>
          <w:tab w:val="center" w:pos="2553"/>
          <w:tab w:val="center" w:pos="3864"/>
          <w:tab w:val="center" w:pos="5054"/>
          <w:tab w:val="center" w:pos="5971"/>
          <w:tab w:val="center" w:pos="6821"/>
          <w:tab w:val="center" w:pos="7671"/>
          <w:tab w:val="right" w:pos="9080"/>
        </w:tabs>
        <w:spacing w:after="157" w:line="259" w:lineRule="auto"/>
        <w:ind w:left="-15" w:right="0" w:firstLine="0"/>
        <w:jc w:val="left"/>
      </w:pPr>
      <w:r>
        <w:t xml:space="preserve">MAYR, </w:t>
      </w:r>
      <w:r>
        <w:tab/>
        <w:t xml:space="preserve">Robert. </w:t>
      </w:r>
      <w:r>
        <w:tab/>
      </w:r>
      <w:r>
        <w:rPr>
          <w:i/>
        </w:rPr>
        <w:t xml:space="preserve">Soustava </w:t>
      </w:r>
      <w:r>
        <w:rPr>
          <w:i/>
        </w:rPr>
        <w:tab/>
        <w:t xml:space="preserve">občanského </w:t>
      </w:r>
      <w:r>
        <w:rPr>
          <w:i/>
        </w:rPr>
        <w:tab/>
        <w:t xml:space="preserve">práva. </w:t>
      </w:r>
      <w:r>
        <w:rPr>
          <w:i/>
        </w:rPr>
        <w:tab/>
        <w:t xml:space="preserve">Kniha </w:t>
      </w:r>
      <w:r>
        <w:rPr>
          <w:i/>
        </w:rPr>
        <w:tab/>
        <w:t xml:space="preserve">pátá. </w:t>
      </w:r>
      <w:r>
        <w:rPr>
          <w:i/>
        </w:rPr>
        <w:tab/>
        <w:t xml:space="preserve">Právo </w:t>
      </w:r>
      <w:r>
        <w:rPr>
          <w:i/>
        </w:rPr>
        <w:tab/>
        <w:t>dědické</w:t>
      </w:r>
      <w:r>
        <w:t xml:space="preserve">.  </w:t>
      </w:r>
    </w:p>
    <w:p w:rsidR="009D1F29" w:rsidRDefault="009D1F29" w:rsidP="00413655">
      <w:pPr>
        <w:spacing w:after="323" w:line="259" w:lineRule="auto"/>
        <w:ind w:left="0" w:right="4" w:firstLine="0"/>
      </w:pPr>
      <w:r>
        <w:t xml:space="preserve">Brno: Barvič &amp; Novotný, 1927. 143 s. </w:t>
      </w:r>
    </w:p>
    <w:p w:rsidR="009D1F29" w:rsidRDefault="009D1F29">
      <w:pPr>
        <w:spacing w:after="28" w:line="368" w:lineRule="auto"/>
        <w:ind w:left="-5" w:right="0"/>
      </w:pPr>
      <w:r>
        <w:t xml:space="preserve">PAVLÍČEK, Václav a kol. </w:t>
      </w:r>
      <w:r>
        <w:rPr>
          <w:i/>
        </w:rPr>
        <w:t>Ústavní právo a státověda – 2. díl: Ústavní právo České republiky. Část 1</w:t>
      </w:r>
      <w:r>
        <w:t xml:space="preserve">. Praha: Linde, 2001. 552 s. </w:t>
      </w:r>
    </w:p>
    <w:p w:rsidR="009D1F29" w:rsidRDefault="009D1F29">
      <w:pPr>
        <w:spacing w:after="129"/>
        <w:ind w:left="-5" w:right="4"/>
      </w:pPr>
      <w:r>
        <w:t xml:space="preserve">PAVLÍČEK, Václav, HOFMANNOVÁ, Helena a kol. </w:t>
      </w:r>
      <w:r>
        <w:rPr>
          <w:i/>
        </w:rPr>
        <w:t>Občanská a lidská práva v současné době</w:t>
      </w:r>
      <w:r>
        <w:t xml:space="preserve">. Praha: Auditorium, 2014. 308 s. </w:t>
      </w:r>
    </w:p>
    <w:p w:rsidR="009D1F29" w:rsidRDefault="009D1F29">
      <w:pPr>
        <w:spacing w:after="170"/>
        <w:ind w:left="-5" w:right="4"/>
      </w:pPr>
      <w:r>
        <w:t xml:space="preserve">PEŠKA, Zdeněk. </w:t>
      </w:r>
      <w:r>
        <w:rPr>
          <w:i/>
        </w:rPr>
        <w:t>Československá ústava a zákony s ní souvislé</w:t>
      </w:r>
      <w:r>
        <w:t xml:space="preserve">. 1. díl. Praha: Československý kompas, 1935. 948 s. </w:t>
      </w:r>
    </w:p>
    <w:p w:rsidR="009D1F29" w:rsidRDefault="009D1F29">
      <w:pPr>
        <w:spacing w:after="144"/>
        <w:ind w:left="-5" w:right="4"/>
      </w:pPr>
      <w:r>
        <w:t>PEŠKA Pavel, RATTINGER Bedřich, DRESSLER Alfréd</w:t>
      </w:r>
      <w:r>
        <w:rPr>
          <w:i/>
        </w:rPr>
        <w:t>. Ústavní právo ČSSR</w:t>
      </w:r>
      <w:r>
        <w:t xml:space="preserve">. </w:t>
      </w:r>
      <w:r>
        <w:br/>
        <w:t xml:space="preserve">Orbis: Praha, 1965. 267 s. </w:t>
      </w:r>
    </w:p>
    <w:p w:rsidR="009D1F29" w:rsidRDefault="009D1F29">
      <w:pPr>
        <w:spacing w:after="295" w:line="259" w:lineRule="auto"/>
        <w:ind w:left="-5" w:right="4"/>
      </w:pPr>
      <w:r>
        <w:t xml:space="preserve">PETR, Bohuslav. </w:t>
      </w:r>
      <w:r>
        <w:rPr>
          <w:i/>
        </w:rPr>
        <w:t>Vydržení v českém právu.</w:t>
      </w:r>
      <w:r>
        <w:t xml:space="preserve"> 2. vyd. Praha: C.H. Beck, 2008. 255 s. </w:t>
      </w:r>
    </w:p>
    <w:p w:rsidR="009D1F29" w:rsidRDefault="009D1F29">
      <w:pPr>
        <w:spacing w:after="298" w:line="259" w:lineRule="auto"/>
        <w:ind w:left="-5" w:right="4"/>
      </w:pPr>
      <w:r>
        <w:t xml:space="preserve">PETR, Bohuslav. </w:t>
      </w:r>
      <w:r>
        <w:rPr>
          <w:i/>
        </w:rPr>
        <w:t>Nabývání vlastnictví originárním způsobem</w:t>
      </w:r>
      <w:r>
        <w:t xml:space="preserve">. Praha: C.H. Beck, 2011. 200 s. </w:t>
      </w:r>
    </w:p>
    <w:p w:rsidR="009D1F29" w:rsidRDefault="009D1F29">
      <w:pPr>
        <w:spacing w:after="147"/>
        <w:ind w:left="-5" w:right="4"/>
      </w:pPr>
      <w:r>
        <w:t xml:space="preserve">PLANK, Karol, KNAPP, Viktor a kol. </w:t>
      </w:r>
      <w:r>
        <w:rPr>
          <w:i/>
        </w:rPr>
        <w:t xml:space="preserve">Učebnice československého občanského práva. </w:t>
      </w:r>
      <w:r>
        <w:t xml:space="preserve">Svazek I. Praha: Orbis, 1965. 651 s. </w:t>
      </w:r>
    </w:p>
    <w:p w:rsidR="009D1F29" w:rsidRDefault="009D1F29">
      <w:pPr>
        <w:spacing w:after="320" w:line="259" w:lineRule="auto"/>
        <w:ind w:left="-5" w:right="4"/>
      </w:pPr>
      <w:r>
        <w:t xml:space="preserve">PLATÓN. </w:t>
      </w:r>
      <w:r>
        <w:rPr>
          <w:i/>
        </w:rPr>
        <w:t>Ústava</w:t>
      </w:r>
      <w:r>
        <w:t xml:space="preserve">. Praha: Svoboda, 1993. 524 s. </w:t>
      </w:r>
    </w:p>
    <w:p w:rsidR="009D1F29" w:rsidRDefault="009D1F29">
      <w:pPr>
        <w:spacing w:after="71"/>
        <w:ind w:left="-5" w:right="4"/>
      </w:pPr>
      <w:r>
        <w:t xml:space="preserve">PRAŽÁK, Jiří. Das Recht der Enteignung in Österreich unter Berücksichtigung der auswärtigen Gesetzgebungen und der einheimischen Praxis. Prag: Heinr. Mercy, 1877. 255 s. </w:t>
      </w:r>
    </w:p>
    <w:p w:rsidR="009D1F29" w:rsidRDefault="009D1F29">
      <w:pPr>
        <w:spacing w:after="177"/>
        <w:ind w:left="-5" w:right="4"/>
      </w:pPr>
      <w:r>
        <w:t xml:space="preserve">PRAŽÁK, Jiří. </w:t>
      </w:r>
      <w:r>
        <w:rPr>
          <w:i/>
        </w:rPr>
        <w:t>Základní rysy všeobecného práva státního</w:t>
      </w:r>
      <w:r>
        <w:t xml:space="preserve">. Praha: Jednota právnická, 1900. </w:t>
      </w:r>
      <w:r>
        <w:br/>
        <w:t xml:space="preserve">66 s. </w:t>
      </w:r>
    </w:p>
    <w:p w:rsidR="009D1F29" w:rsidRDefault="009D1F29" w:rsidP="00EF30FB">
      <w:pPr>
        <w:spacing w:after="155" w:line="360" w:lineRule="auto"/>
        <w:ind w:left="-5" w:right="0"/>
      </w:pPr>
      <w:r>
        <w:t xml:space="preserve">PRAŽÁK, Jiří. </w:t>
      </w:r>
      <w:r>
        <w:rPr>
          <w:i/>
        </w:rPr>
        <w:t>Rakouské právo veřejné. 1. díl: Právo ústavní. 3. část: Ústava říšská</w:t>
      </w:r>
      <w:r>
        <w:t xml:space="preserve">. </w:t>
      </w:r>
      <w:r>
        <w:br/>
        <w:t xml:space="preserve">Praha: Jednota právnická, 1902. 478 s. </w:t>
      </w:r>
    </w:p>
    <w:p w:rsidR="009D1F29" w:rsidRDefault="009D1F29" w:rsidP="00EF30FB">
      <w:pPr>
        <w:spacing w:after="193" w:line="360" w:lineRule="auto"/>
        <w:ind w:left="-5" w:right="0"/>
      </w:pPr>
      <w:r>
        <w:t>PROVAZNÍK, Vítězslav</w:t>
      </w:r>
      <w:r>
        <w:rPr>
          <w:i/>
        </w:rPr>
        <w:t>. O základních právech a povinnostech občanských</w:t>
      </w:r>
      <w:r>
        <w:t xml:space="preserve">. Praha: Orbis, 1952. 107 s. </w:t>
      </w:r>
    </w:p>
    <w:p w:rsidR="009D1F29" w:rsidRDefault="009D1F29">
      <w:pPr>
        <w:spacing w:after="155" w:line="259" w:lineRule="auto"/>
        <w:ind w:left="-5" w:right="0"/>
      </w:pPr>
      <w:r>
        <w:t>RANDA, Antonín</w:t>
      </w:r>
      <w:r>
        <w:rPr>
          <w:i/>
        </w:rPr>
        <w:t>. Právo vlastnické dle rakouského práva v pořádku systematickém</w:t>
      </w:r>
      <w:r>
        <w:t xml:space="preserve">. 7. vyd. </w:t>
      </w:r>
    </w:p>
    <w:p w:rsidR="009D1F29" w:rsidRDefault="009D1F29">
      <w:pPr>
        <w:spacing w:after="296" w:line="259" w:lineRule="auto"/>
        <w:ind w:left="-5" w:right="4"/>
      </w:pPr>
      <w:r>
        <w:t xml:space="preserve">Praha: Česká akademie pro vědy, slovesnost a umění, 1922. 340 s. </w:t>
      </w:r>
    </w:p>
    <w:p w:rsidR="009D1F29" w:rsidRDefault="009D1F29">
      <w:pPr>
        <w:spacing w:after="116" w:line="259" w:lineRule="auto"/>
        <w:ind w:left="-5" w:right="4"/>
      </w:pPr>
      <w:r>
        <w:t xml:space="preserve">RÁZKOVÁ, Renata. </w:t>
      </w:r>
      <w:r>
        <w:rPr>
          <w:i/>
        </w:rPr>
        <w:t>Dějiny právní filozofie</w:t>
      </w:r>
      <w:r>
        <w:t xml:space="preserve">. 2. vyd. Brno: Masarykova univerzita, 1998.  </w:t>
      </w:r>
    </w:p>
    <w:p w:rsidR="009D1F29" w:rsidRDefault="009D1F29">
      <w:pPr>
        <w:spacing w:after="290" w:line="259" w:lineRule="auto"/>
        <w:ind w:left="-5" w:right="4"/>
      </w:pPr>
      <w:r>
        <w:t xml:space="preserve">221 s. </w:t>
      </w:r>
    </w:p>
    <w:p w:rsidR="009D1F29" w:rsidRDefault="009D1F29">
      <w:pPr>
        <w:spacing w:after="320" w:line="259" w:lineRule="auto"/>
        <w:ind w:left="-5" w:right="4"/>
      </w:pPr>
      <w:r>
        <w:t xml:space="preserve">ROUSSEAU, Jean Jacques. </w:t>
      </w:r>
      <w:r>
        <w:rPr>
          <w:i/>
        </w:rPr>
        <w:t>O původu nerovnosti mezi lidmi.</w:t>
      </w:r>
      <w:r>
        <w:t xml:space="preserve"> Praha: Svoboda, 1949. 119 s. </w:t>
      </w:r>
    </w:p>
    <w:p w:rsidR="009D1F29" w:rsidRDefault="009D1F29">
      <w:pPr>
        <w:spacing w:after="286" w:line="259" w:lineRule="auto"/>
        <w:ind w:left="-5" w:right="4"/>
      </w:pPr>
      <w:r>
        <w:t xml:space="preserve">SEDLÁČEK, Jaromír. </w:t>
      </w:r>
      <w:r>
        <w:rPr>
          <w:i/>
        </w:rPr>
        <w:t>Vlastnictví a vlastnické právo</w:t>
      </w:r>
      <w:r>
        <w:t xml:space="preserve">. Brno: Barvič &amp; Novotný, 1919. 58 s. </w:t>
      </w:r>
    </w:p>
    <w:p w:rsidR="009D1F29" w:rsidRDefault="009D1F29">
      <w:pPr>
        <w:spacing w:line="259" w:lineRule="auto"/>
        <w:ind w:left="-5" w:right="4"/>
      </w:pPr>
      <w:r>
        <w:t xml:space="preserve">SCHELLE, Karel. </w:t>
      </w:r>
      <w:r>
        <w:rPr>
          <w:i/>
        </w:rPr>
        <w:t>Dějiny ústavního práva</w:t>
      </w:r>
      <w:r>
        <w:t xml:space="preserve">. 2. vyd. Praha: Wolters Kluwer, 2016. 392 s. </w:t>
      </w:r>
    </w:p>
    <w:p w:rsidR="009D1F29" w:rsidRDefault="009D1F29">
      <w:pPr>
        <w:spacing w:line="259" w:lineRule="auto"/>
        <w:ind w:left="-5" w:right="4"/>
      </w:pPr>
    </w:p>
    <w:p w:rsidR="009D1F29" w:rsidRDefault="009D1F29">
      <w:pPr>
        <w:spacing w:after="163"/>
        <w:ind w:left="-5" w:right="4"/>
      </w:pPr>
      <w:r>
        <w:t xml:space="preserve">SOMMER, Otakar. </w:t>
      </w:r>
      <w:r>
        <w:rPr>
          <w:i/>
        </w:rPr>
        <w:t>Učebnice soukromého práva římského</w:t>
      </w:r>
      <w:r>
        <w:t>. 2. díl</w:t>
      </w:r>
      <w:r>
        <w:rPr>
          <w:i/>
        </w:rPr>
        <w:t>.</w:t>
      </w:r>
      <w:r>
        <w:t xml:space="preserve"> Praha: Wolters Kluwer, 2011. 356 s. </w:t>
      </w:r>
    </w:p>
    <w:p w:rsidR="009D1F29" w:rsidRDefault="009D1F29">
      <w:pPr>
        <w:spacing w:after="156"/>
        <w:ind w:left="-5" w:right="4"/>
      </w:pPr>
      <w:r>
        <w:t xml:space="preserve">SPÁČIL, Jiří. </w:t>
      </w:r>
      <w:r>
        <w:rPr>
          <w:i/>
        </w:rPr>
        <w:t>Ochrana vlastnictví a držby v občanském zákoníku</w:t>
      </w:r>
      <w:r>
        <w:t xml:space="preserve">. 2. vyd. Praha: C.H. Beck, 2005. 275 s. </w:t>
      </w:r>
    </w:p>
    <w:p w:rsidR="009D1F29" w:rsidRDefault="009D1F29" w:rsidP="00DB5EF4">
      <w:pPr>
        <w:spacing w:after="196" w:line="360" w:lineRule="auto"/>
        <w:ind w:left="-5" w:right="0"/>
      </w:pPr>
      <w:r>
        <w:t xml:space="preserve">SVOBODA, Emil. </w:t>
      </w:r>
      <w:r>
        <w:rPr>
          <w:i/>
        </w:rPr>
        <w:t>Výbor z prací z práva občanského a z právní filosofie</w:t>
      </w:r>
      <w:r>
        <w:t xml:space="preserve">. Praha: Melantrich, 1939. 312 s. </w:t>
      </w:r>
    </w:p>
    <w:p w:rsidR="009D1F29" w:rsidRDefault="009D1F29">
      <w:pPr>
        <w:spacing w:after="319" w:line="259" w:lineRule="auto"/>
        <w:ind w:left="-5" w:right="4"/>
      </w:pPr>
      <w:r>
        <w:t xml:space="preserve">SVOBODA, Emil. </w:t>
      </w:r>
      <w:r>
        <w:rPr>
          <w:i/>
        </w:rPr>
        <w:t>Dědické právo</w:t>
      </w:r>
      <w:r>
        <w:t xml:space="preserve">. Praha: Československý kompas, 1946. 86 s. </w:t>
      </w:r>
    </w:p>
    <w:p w:rsidR="009D1F29" w:rsidRDefault="009D1F29" w:rsidP="00DB5EF4">
      <w:pPr>
        <w:spacing w:after="319" w:line="360" w:lineRule="auto"/>
        <w:ind w:left="-5" w:right="4"/>
      </w:pPr>
      <w:r>
        <w:t xml:space="preserve">ŠVESTKA, Jiří, DVOŘÁK, Jan, KNAPPOVÁ, Marta a kol.  </w:t>
      </w:r>
      <w:r w:rsidRPr="00DB5EF4">
        <w:rPr>
          <w:i/>
        </w:rPr>
        <w:t>Občanské právo hmotné</w:t>
      </w:r>
      <w:r>
        <w:t>. 4. vyd. Praha: ASPI, 2005. 524 s.</w:t>
      </w:r>
    </w:p>
    <w:p w:rsidR="009D1F29" w:rsidRDefault="009D1F29">
      <w:pPr>
        <w:spacing w:after="153"/>
        <w:ind w:left="-5" w:right="4"/>
      </w:pPr>
      <w:r>
        <w:t xml:space="preserve">TOBOLKA, Zdeněk. </w:t>
      </w:r>
      <w:r>
        <w:rPr>
          <w:i/>
        </w:rPr>
        <w:t>Jak vznikla ústava Československé republiky</w:t>
      </w:r>
      <w:r>
        <w:t xml:space="preserve">. Praha: Československá sociální demokracie, 1946. 38 s. </w:t>
      </w:r>
    </w:p>
    <w:p w:rsidR="009D1F29" w:rsidRDefault="009D1F29">
      <w:pPr>
        <w:spacing w:after="156"/>
        <w:ind w:left="-5" w:right="4"/>
      </w:pPr>
      <w:r>
        <w:t xml:space="preserve">TOMEK, Václav, SLAČÁLEK, Ondřej.  </w:t>
      </w:r>
      <w:r>
        <w:rPr>
          <w:i/>
        </w:rPr>
        <w:t>Anarchismus. Svoboda proti moci.</w:t>
      </w:r>
      <w:r>
        <w:t xml:space="preserve"> Praha: Vyšehrad, 2006. 672 s. </w:t>
      </w:r>
    </w:p>
    <w:p w:rsidR="009D1F29" w:rsidRDefault="009D1F29">
      <w:pPr>
        <w:spacing w:after="161"/>
        <w:ind w:left="-5" w:right="4"/>
      </w:pPr>
      <w:r>
        <w:t xml:space="preserve">URFUS, Valentin. </w:t>
      </w:r>
      <w:r>
        <w:rPr>
          <w:i/>
        </w:rPr>
        <w:t>Obecné dějiny státu a práva. Římské právo soukromé</w:t>
      </w:r>
      <w:r>
        <w:t xml:space="preserve">. Brno: Univerzita Jana Evangelisty  Purkyně, 1979. 95 s. </w:t>
      </w:r>
    </w:p>
    <w:p w:rsidR="009D1F29" w:rsidRDefault="009D1F29">
      <w:pPr>
        <w:spacing w:after="193" w:line="368" w:lineRule="auto"/>
        <w:ind w:left="-5" w:right="0"/>
      </w:pPr>
      <w:r>
        <w:t xml:space="preserve">URFUS, Valentin. </w:t>
      </w:r>
      <w:r>
        <w:rPr>
          <w:i/>
        </w:rPr>
        <w:t xml:space="preserve">Historické základy novodobého práva soukromého; římskoprávní dědictví a soukromé právo kontinentální Evropy. </w:t>
      </w:r>
      <w:r>
        <w:t xml:space="preserve">2. vyd. Praha: C.H. Beck, 2001. 131 s. </w:t>
      </w:r>
    </w:p>
    <w:p w:rsidR="009D1F29" w:rsidRDefault="009D1F29">
      <w:pPr>
        <w:spacing w:after="159" w:line="259" w:lineRule="auto"/>
        <w:ind w:left="-5" w:right="0"/>
      </w:pPr>
      <w:r>
        <w:t xml:space="preserve">VAVŘÍNEK, František. </w:t>
      </w:r>
      <w:r>
        <w:rPr>
          <w:i/>
        </w:rPr>
        <w:t>Základy práva ústavního. Ústavní řád našeho státu</w:t>
      </w:r>
      <w:r>
        <w:t xml:space="preserve"> 1. díl. 4. vyd. </w:t>
      </w:r>
    </w:p>
    <w:p w:rsidR="009D1F29" w:rsidRDefault="009D1F29">
      <w:pPr>
        <w:spacing w:after="276" w:line="259" w:lineRule="auto"/>
        <w:ind w:left="-5" w:right="4"/>
      </w:pPr>
      <w:r>
        <w:t xml:space="preserve">Praha: Spolek Československých právníků Všehrd, 1920. 208 s. </w:t>
      </w:r>
    </w:p>
    <w:p w:rsidR="009D1F29" w:rsidRDefault="009D1F29">
      <w:pPr>
        <w:spacing w:after="155"/>
        <w:ind w:left="-5" w:right="4"/>
      </w:pPr>
      <w:r>
        <w:t>VAVŘÍNEK, František</w:t>
      </w:r>
      <w:r>
        <w:rPr>
          <w:i/>
        </w:rPr>
        <w:t>. Základy práva ústavního. 2.díl. Ústavní řád a veřejné právo našeho státu.</w:t>
      </w:r>
      <w:r>
        <w:t xml:space="preserve"> 4. vyd. Praha: Spolek Československých právníků Všehrd, 1921. 251 s. </w:t>
      </w:r>
    </w:p>
    <w:p w:rsidR="009D1F29" w:rsidRDefault="009D1F29">
      <w:pPr>
        <w:spacing w:after="164"/>
        <w:ind w:left="-5" w:right="4"/>
      </w:pPr>
      <w:r>
        <w:t xml:space="preserve">VARVAŘOVSKÝ, Pavel. </w:t>
      </w:r>
      <w:r>
        <w:rPr>
          <w:i/>
        </w:rPr>
        <w:t>Základy práva – o právu, státě a moci</w:t>
      </w:r>
      <w:r>
        <w:t xml:space="preserve">. Praha: Wolters Kluwer, 2004. 400 s. </w:t>
      </w:r>
    </w:p>
    <w:p w:rsidR="009D1F29" w:rsidRDefault="009D1F29">
      <w:pPr>
        <w:spacing w:after="159"/>
        <w:ind w:left="-5" w:right="4"/>
      </w:pPr>
      <w:r>
        <w:t xml:space="preserve">VEBERA, Zdeněk. </w:t>
      </w:r>
      <w:r>
        <w:rPr>
          <w:i/>
        </w:rPr>
        <w:t>Ústava – základ ústavnosti a zákonnosti v ČSSR</w:t>
      </w:r>
      <w:r>
        <w:t xml:space="preserve">. Brno: Univerzita Jana Evangelisty Purkyně, 1988. 247 s. </w:t>
      </w:r>
    </w:p>
    <w:p w:rsidR="009D1F29" w:rsidRDefault="009D1F29">
      <w:pPr>
        <w:spacing w:after="288" w:line="259" w:lineRule="auto"/>
        <w:ind w:left="-5" w:right="4"/>
      </w:pPr>
      <w:r>
        <w:t xml:space="preserve">VEČEŘA, Miloš. </w:t>
      </w:r>
      <w:r>
        <w:rPr>
          <w:i/>
        </w:rPr>
        <w:t>Sociální stát. Východiska a přístupy.</w:t>
      </w:r>
      <w:r>
        <w:t xml:space="preserve"> Praha: Slon, 2001. 112 s. </w:t>
      </w:r>
    </w:p>
    <w:p w:rsidR="009D1F29" w:rsidRDefault="009D1F29">
      <w:pPr>
        <w:spacing w:after="113" w:line="259" w:lineRule="auto"/>
        <w:ind w:left="-5" w:right="4"/>
      </w:pPr>
      <w:r>
        <w:t xml:space="preserve">VENEDIKTOV, Anatolij Vasil. </w:t>
      </w:r>
      <w:r>
        <w:rPr>
          <w:i/>
        </w:rPr>
        <w:t>Státní socialistické vlastnictví</w:t>
      </w:r>
      <w:r>
        <w:t xml:space="preserve">. Svazek I. Praha: Orbis, 1952. </w:t>
      </w:r>
    </w:p>
    <w:p w:rsidR="009D1F29" w:rsidRDefault="009D1F29">
      <w:pPr>
        <w:spacing w:after="273" w:line="259" w:lineRule="auto"/>
        <w:ind w:left="-5" w:right="4"/>
      </w:pPr>
      <w:r>
        <w:t xml:space="preserve">292 s. </w:t>
      </w:r>
    </w:p>
    <w:p w:rsidR="009D1F29" w:rsidRDefault="009D1F29">
      <w:pPr>
        <w:ind w:left="-5" w:right="4"/>
      </w:pPr>
      <w:r>
        <w:t>WEYR, František</w:t>
      </w:r>
      <w:r>
        <w:rPr>
          <w:i/>
        </w:rPr>
        <w:t>. Stručný výklad ústavy republiky Československé</w:t>
      </w:r>
      <w:r>
        <w:t xml:space="preserve">. Brno: Barvič &amp; Novotný, 1919. 42 s. </w:t>
      </w:r>
    </w:p>
    <w:p w:rsidR="009D1F29" w:rsidRDefault="009D1F29">
      <w:pPr>
        <w:spacing w:after="158"/>
        <w:ind w:left="-5" w:right="4"/>
      </w:pPr>
      <w:r>
        <w:t xml:space="preserve">WEYR, František. </w:t>
      </w:r>
      <w:r>
        <w:rPr>
          <w:i/>
        </w:rPr>
        <w:t xml:space="preserve">Soustava československého práva státního. </w:t>
      </w:r>
      <w:r>
        <w:t xml:space="preserve">Brno: Barvič &amp; Novotný, 1921. 374 s. </w:t>
      </w:r>
    </w:p>
    <w:p w:rsidR="009D1F29" w:rsidRDefault="009D1F29">
      <w:pPr>
        <w:spacing w:after="319" w:line="259" w:lineRule="auto"/>
        <w:ind w:left="-5" w:right="4"/>
      </w:pPr>
      <w:r>
        <w:t>WEYR, František</w:t>
      </w:r>
      <w:r>
        <w:rPr>
          <w:i/>
        </w:rPr>
        <w:t>. Československé právo ústavní</w:t>
      </w:r>
      <w:r>
        <w:t xml:space="preserve">. Praha: Melantrich, 1937. 340 s. </w:t>
      </w:r>
    </w:p>
    <w:p w:rsidR="009D1F29" w:rsidRDefault="009D1F29">
      <w:pPr>
        <w:spacing w:after="143"/>
        <w:ind w:left="-5" w:right="4"/>
      </w:pPr>
      <w:r>
        <w:t xml:space="preserve">WEYR, František, NEUBAUER, Zdeněk. </w:t>
      </w:r>
      <w:r>
        <w:rPr>
          <w:i/>
        </w:rPr>
        <w:t>Ústavní listina Československé republiky – její znění s poznámkami.</w:t>
      </w:r>
      <w:r>
        <w:t xml:space="preserve"> Praha, Brno: Orbis, 1931. 180 s. </w:t>
      </w:r>
    </w:p>
    <w:p w:rsidR="009D1F29" w:rsidRDefault="009D1F29">
      <w:pPr>
        <w:spacing w:after="311" w:line="259" w:lineRule="auto"/>
        <w:ind w:left="-5" w:right="4"/>
      </w:pPr>
      <w:r>
        <w:t xml:space="preserve">ZIMEK, Josef. </w:t>
      </w:r>
      <w:r>
        <w:rPr>
          <w:i/>
        </w:rPr>
        <w:t>Ústavní vývoj českého státu</w:t>
      </w:r>
      <w:r>
        <w:t xml:space="preserve">. Brno: Masarykova univerzita, 1996. 177 s. </w:t>
      </w:r>
    </w:p>
    <w:p w:rsidR="009D1F29" w:rsidRDefault="009D1F29">
      <w:pPr>
        <w:spacing w:after="173"/>
        <w:ind w:left="-5" w:right="4"/>
      </w:pPr>
      <w:r>
        <w:t xml:space="preserve">ZDOBINSKÝ, Stanislav, MATOUŠEK, Stanislav a kol. </w:t>
      </w:r>
      <w:r>
        <w:rPr>
          <w:i/>
        </w:rPr>
        <w:t>Státní právo ČSSR</w:t>
      </w:r>
      <w:r>
        <w:t xml:space="preserve">. </w:t>
      </w:r>
      <w:r>
        <w:br/>
        <w:t xml:space="preserve">Praha: Panorama, 1985. 376 s. </w:t>
      </w:r>
    </w:p>
    <w:p w:rsidR="009D1F29" w:rsidRDefault="009D1F29">
      <w:pPr>
        <w:spacing w:after="167"/>
        <w:ind w:left="-5" w:right="4"/>
      </w:pPr>
      <w:r>
        <w:t xml:space="preserve">ZDOBINSKÝ, Stanislav, ZLATOPOLSKIJ, David L. a kol. </w:t>
      </w:r>
      <w:r>
        <w:rPr>
          <w:i/>
        </w:rPr>
        <w:t>Ústavní systémy socialistických zemí</w:t>
      </w:r>
      <w:r>
        <w:t xml:space="preserve">. Praha: Panorama, 1988. 479 s. </w:t>
      </w:r>
    </w:p>
    <w:p w:rsidR="009D1F29" w:rsidRDefault="009D1F29">
      <w:pPr>
        <w:spacing w:after="211"/>
        <w:ind w:left="-5" w:right="4"/>
      </w:pPr>
      <w:r>
        <w:t xml:space="preserve">ZDOBINSKÝ, Stanislav a kol. </w:t>
      </w:r>
      <w:r>
        <w:rPr>
          <w:i/>
        </w:rPr>
        <w:t>Československé ústava. Historie a současnost</w:t>
      </w:r>
      <w:r>
        <w:t xml:space="preserve">. </w:t>
      </w:r>
      <w:r>
        <w:br/>
        <w:t xml:space="preserve">Praha: Svoboda, 1989. 97 s. </w:t>
      </w:r>
    </w:p>
    <w:p w:rsidR="009D1F29" w:rsidRDefault="009D1F29">
      <w:pPr>
        <w:spacing w:after="170" w:line="261" w:lineRule="auto"/>
        <w:ind w:left="-5" w:right="0"/>
        <w:jc w:val="left"/>
      </w:pPr>
      <w:r>
        <w:rPr>
          <w:b/>
          <w:sz w:val="28"/>
        </w:rPr>
        <w:t xml:space="preserve">Komentáře </w:t>
      </w:r>
    </w:p>
    <w:p w:rsidR="009D1F29" w:rsidRDefault="009D1F29">
      <w:pPr>
        <w:spacing w:after="311" w:line="259" w:lineRule="auto"/>
        <w:ind w:left="-5" w:right="4"/>
      </w:pPr>
      <w:r>
        <w:t xml:space="preserve">BAHÝLOVÁ, Lenka a kol. </w:t>
      </w:r>
      <w:r>
        <w:rPr>
          <w:i/>
        </w:rPr>
        <w:t>Ústava České republiky.</w:t>
      </w:r>
      <w:r>
        <w:t xml:space="preserve"> </w:t>
      </w:r>
      <w:r>
        <w:rPr>
          <w:i/>
        </w:rPr>
        <w:t>Komentář.</w:t>
      </w:r>
      <w:r>
        <w:t xml:space="preserve"> Praha: Linde, 2010. 1536 s. </w:t>
      </w:r>
    </w:p>
    <w:p w:rsidR="009D1F29" w:rsidRDefault="009D1F29">
      <w:pPr>
        <w:spacing w:after="163" w:line="368" w:lineRule="auto"/>
        <w:ind w:left="-5" w:right="0"/>
      </w:pPr>
      <w:r>
        <w:t xml:space="preserve">DAVID, Roman. </w:t>
      </w:r>
      <w:r>
        <w:rPr>
          <w:i/>
        </w:rPr>
        <w:t>Ústava České republiky. Listina základních práv a svobod</w:t>
      </w:r>
      <w:r>
        <w:t xml:space="preserve">. </w:t>
      </w:r>
      <w:r>
        <w:rPr>
          <w:i/>
        </w:rPr>
        <w:t>Komentář.</w:t>
      </w:r>
      <w:r>
        <w:t xml:space="preserve"> Olomouc: Fin, 1996. 254 s. </w:t>
      </w:r>
    </w:p>
    <w:p w:rsidR="009D1F29" w:rsidRDefault="009D1F29">
      <w:pPr>
        <w:spacing w:after="177"/>
        <w:ind w:left="-5" w:right="4"/>
      </w:pPr>
      <w:r>
        <w:t xml:space="preserve">FIALA, Josef, KINDL, Milan a kol. </w:t>
      </w:r>
      <w:r>
        <w:rPr>
          <w:i/>
        </w:rPr>
        <w:t>Občanský zákoník. Komentář</w:t>
      </w:r>
      <w:r>
        <w:t xml:space="preserve">. Praha: Wolters Kluwer, 2009. 1692 s. </w:t>
      </w:r>
    </w:p>
    <w:p w:rsidR="009D1F29" w:rsidRDefault="009D1F29">
      <w:pPr>
        <w:spacing w:after="169"/>
        <w:ind w:left="-5" w:right="4"/>
      </w:pPr>
      <w:r>
        <w:t xml:space="preserve">FIALA, Roman, DRÁPAL, Ljubomír a kol. </w:t>
      </w:r>
      <w:r>
        <w:rPr>
          <w:i/>
        </w:rPr>
        <w:t>Občanský zákoník IV. Dědické právo (§14751720). Komentář</w:t>
      </w:r>
      <w:r>
        <w:t xml:space="preserve">. Praha: C.H. Beck, 2015. 648 s. </w:t>
      </w:r>
    </w:p>
    <w:p w:rsidR="009D1F29" w:rsidRDefault="009D1F29">
      <w:pPr>
        <w:spacing w:after="153"/>
        <w:ind w:left="-5" w:right="4"/>
      </w:pPr>
      <w:r>
        <w:t xml:space="preserve">HENDRYCH, Dušan, SVOBODA, Cyril a kol. </w:t>
      </w:r>
      <w:r>
        <w:rPr>
          <w:i/>
        </w:rPr>
        <w:t>Ústava České republiky. Komentář</w:t>
      </w:r>
      <w:r>
        <w:t xml:space="preserve">. </w:t>
      </w:r>
      <w:r>
        <w:br/>
        <w:t xml:space="preserve">Praha: C.H. Beck, 1997. 242 s. </w:t>
      </w:r>
    </w:p>
    <w:p w:rsidR="009D1F29" w:rsidRDefault="009D1F29" w:rsidP="00340C1B">
      <w:pPr>
        <w:spacing w:after="319" w:line="259" w:lineRule="auto"/>
        <w:ind w:left="-5" w:right="0"/>
      </w:pPr>
      <w:r>
        <w:t xml:space="preserve">HOLUB, Rudolf. </w:t>
      </w:r>
      <w:r>
        <w:rPr>
          <w:i/>
        </w:rPr>
        <w:t>Komentář k občanskému zákoníku. Právo dědické</w:t>
      </w:r>
      <w:r>
        <w:t xml:space="preserve">. Praha: Orbis, 1957. </w:t>
      </w:r>
      <w:r>
        <w:br/>
        <w:t xml:space="preserve">380 s. </w:t>
      </w:r>
    </w:p>
    <w:p w:rsidR="009D1F29" w:rsidRDefault="009D1F29">
      <w:pPr>
        <w:spacing w:after="166"/>
        <w:ind w:left="-5" w:right="4"/>
      </w:pPr>
      <w:r>
        <w:t>KLÍMA, Karel a kol.</w:t>
      </w:r>
      <w:r>
        <w:rPr>
          <w:i/>
        </w:rPr>
        <w:t xml:space="preserve"> Komentář k Ústavě a Listině. 2. díl.</w:t>
      </w:r>
      <w:r>
        <w:t xml:space="preserve"> 2. vyd. Plzeň: Aleš Čeněk, 2009. 1448 s. </w:t>
      </w:r>
    </w:p>
    <w:p w:rsidR="009D1F29" w:rsidRDefault="009D1F29">
      <w:pPr>
        <w:ind w:left="-5" w:right="4"/>
      </w:pPr>
      <w:r>
        <w:t xml:space="preserve">KRČMÁŘ, Jan. </w:t>
      </w:r>
      <w:r>
        <w:rPr>
          <w:i/>
        </w:rPr>
        <w:t>Právo občanské. Díl II. Práva věcná. Komentář.</w:t>
      </w:r>
      <w:r>
        <w:t xml:space="preserve"> Praha: Spolek Československých právníků Všehrd, 1930. 355 s. </w:t>
      </w:r>
    </w:p>
    <w:p w:rsidR="009D1F29" w:rsidRDefault="009D1F29">
      <w:pPr>
        <w:spacing w:after="162"/>
        <w:ind w:left="-5" w:right="4"/>
      </w:pPr>
      <w:r>
        <w:t xml:space="preserve">KRČMÁŘ, Jan. </w:t>
      </w:r>
      <w:r>
        <w:rPr>
          <w:i/>
        </w:rPr>
        <w:t>Právo občanské. Díl II. Práva věcná</w:t>
      </w:r>
      <w:r>
        <w:t xml:space="preserve">. </w:t>
      </w:r>
      <w:r>
        <w:rPr>
          <w:i/>
        </w:rPr>
        <w:t>Komentář</w:t>
      </w:r>
      <w:r>
        <w:t xml:space="preserve">. 3. dopl. vyd. </w:t>
      </w:r>
      <w:r>
        <w:br/>
        <w:t xml:space="preserve">Praha: Knihovna sborníku věd právních a státních, 1946. 403 s. </w:t>
      </w:r>
    </w:p>
    <w:p w:rsidR="009D1F29" w:rsidRDefault="009D1F29">
      <w:pPr>
        <w:spacing w:after="185" w:line="368" w:lineRule="auto"/>
        <w:ind w:left="-5" w:right="0"/>
      </w:pPr>
      <w:r>
        <w:t>LAVICKÝ, Petr a kol.</w:t>
      </w:r>
      <w:r>
        <w:rPr>
          <w:i/>
        </w:rPr>
        <w:t xml:space="preserve"> Občanský zákoník I. Obecná část (§ 1−654). Komentář.</w:t>
      </w:r>
      <w:r>
        <w:t xml:space="preserve">  Praha: C.H. Beck, 2014. 2400 s. </w:t>
      </w:r>
    </w:p>
    <w:p w:rsidR="009D1F29" w:rsidRDefault="009D1F29">
      <w:pPr>
        <w:spacing w:after="171"/>
        <w:ind w:left="-5" w:right="4"/>
      </w:pPr>
      <w:r>
        <w:t xml:space="preserve">MELZER, Filip, TÉGL, Petr a kol. </w:t>
      </w:r>
      <w:r>
        <w:rPr>
          <w:i/>
        </w:rPr>
        <w:t>Občanský zákoník. Velký komentář. Svazek III. § 419-654</w:t>
      </w:r>
      <w:r>
        <w:t xml:space="preserve">. Praha: Leges, 2014. 1264 s. </w:t>
      </w:r>
    </w:p>
    <w:p w:rsidR="009D1F29" w:rsidRDefault="009D1F29">
      <w:pPr>
        <w:spacing w:after="177"/>
        <w:ind w:left="-5" w:right="4"/>
      </w:pPr>
      <w:r>
        <w:t xml:space="preserve">PAVLÍČEK, Václav. </w:t>
      </w:r>
      <w:r>
        <w:rPr>
          <w:i/>
        </w:rPr>
        <w:t>Ústava a ústavní řád České republiky</w:t>
      </w:r>
      <w:r>
        <w:t xml:space="preserve">. </w:t>
      </w:r>
      <w:r>
        <w:rPr>
          <w:i/>
        </w:rPr>
        <w:t>Komentář.</w:t>
      </w:r>
      <w:r>
        <w:t xml:space="preserve"> </w:t>
      </w:r>
      <w:r>
        <w:rPr>
          <w:i/>
        </w:rPr>
        <w:t>2. díl</w:t>
      </w:r>
      <w:r>
        <w:t xml:space="preserve">. 2. vyd.  </w:t>
      </w:r>
      <w:r>
        <w:br/>
        <w:t xml:space="preserve">Praha: Linde, 1999. 1164 s. </w:t>
      </w:r>
    </w:p>
    <w:p w:rsidR="009D1F29" w:rsidRDefault="009D1F29">
      <w:pPr>
        <w:spacing w:after="148" w:line="368" w:lineRule="auto"/>
        <w:ind w:left="-5" w:right="0"/>
      </w:pPr>
      <w:r>
        <w:t xml:space="preserve">ROUČEK, František., SEDLÁČEK, Jaromír. </w:t>
      </w:r>
      <w:r>
        <w:rPr>
          <w:i/>
        </w:rPr>
        <w:t xml:space="preserve">Komentář k československému obecnému zákoníku občanskému a občanské právo platné na Slovensku a v Podkarpatské Rusi. Díl II. </w:t>
      </w:r>
      <w:r>
        <w:t xml:space="preserve">Praha: V. Linhart, 1935. 970 s. </w:t>
      </w:r>
    </w:p>
    <w:p w:rsidR="009D1F29" w:rsidRDefault="009D1F29">
      <w:pPr>
        <w:spacing w:after="176" w:line="368" w:lineRule="auto"/>
        <w:ind w:left="-5" w:right="0"/>
      </w:pPr>
      <w:r>
        <w:t>ROUČEK, František, SEDLÁČEK, Jaromír</w:t>
      </w:r>
      <w:r>
        <w:rPr>
          <w:i/>
        </w:rPr>
        <w:t>. Komentář k československému obecnému zákoníku občanskému a občanské právo platné na Slovensku a v Podkarpatské Rusi</w:t>
      </w:r>
      <w:r>
        <w:t xml:space="preserve">. </w:t>
      </w:r>
      <w:r>
        <w:rPr>
          <w:i/>
        </w:rPr>
        <w:t>Díl VI</w:t>
      </w:r>
      <w:r>
        <w:t xml:space="preserve">. Praha: V. Linhart, 1937. 600 s. </w:t>
      </w:r>
    </w:p>
    <w:p w:rsidR="009D1F29" w:rsidRDefault="009D1F29">
      <w:pPr>
        <w:spacing w:after="274" w:line="259" w:lineRule="auto"/>
        <w:ind w:left="-5" w:right="4"/>
      </w:pPr>
      <w:r>
        <w:t xml:space="preserve">SEDLÁČEK, Jaromír. </w:t>
      </w:r>
      <w:r>
        <w:rPr>
          <w:i/>
        </w:rPr>
        <w:t>Vlastnické právo</w:t>
      </w:r>
      <w:r>
        <w:t xml:space="preserve">. </w:t>
      </w:r>
      <w:r>
        <w:rPr>
          <w:i/>
        </w:rPr>
        <w:t>Komentář</w:t>
      </w:r>
      <w:r>
        <w:t xml:space="preserve">. Praha: V. Linhart, 1935. 428 s. </w:t>
      </w:r>
    </w:p>
    <w:p w:rsidR="009D1F29" w:rsidRDefault="009D1F29">
      <w:pPr>
        <w:spacing w:after="164"/>
        <w:ind w:left="-5" w:right="4"/>
      </w:pPr>
      <w:r>
        <w:t xml:space="preserve">SLÁDEČEK, Vladimír, MIKULE, Vladimír, SUCHÁNEK, Radovan, SYLLOVÁ, Jindřiška. </w:t>
      </w:r>
      <w:r>
        <w:rPr>
          <w:i/>
        </w:rPr>
        <w:t>Ústava České republiky. Komentář.</w:t>
      </w:r>
      <w:r>
        <w:t xml:space="preserve"> 2. vyd. Praha: C.H. Beck, 2016. 1301 s. </w:t>
      </w:r>
    </w:p>
    <w:p w:rsidR="009D1F29" w:rsidRDefault="009D1F29">
      <w:pPr>
        <w:spacing w:after="195" w:line="368" w:lineRule="auto"/>
        <w:ind w:left="-5" w:right="0"/>
      </w:pPr>
      <w:r>
        <w:t xml:space="preserve">SPÁČIL, Jiří. </w:t>
      </w:r>
      <w:r>
        <w:rPr>
          <w:i/>
        </w:rPr>
        <w:t>Občanský zákoník III. věcná práva (§ 976-1474). Komentář</w:t>
      </w:r>
      <w:r>
        <w:t xml:space="preserve">. Praha: C.H. Beck, 2013. 1276 s. </w:t>
      </w:r>
    </w:p>
    <w:p w:rsidR="009D1F29" w:rsidRDefault="009D1F29">
      <w:pPr>
        <w:spacing w:after="129"/>
        <w:ind w:left="-5" w:right="4"/>
      </w:pPr>
      <w:r>
        <w:t>ŠVESTKA, Jiří, SPÁČIL Jiří, ŠKÁROVÁ, Marta, HULMÁK, Milan a kol</w:t>
      </w:r>
      <w:r>
        <w:rPr>
          <w:i/>
        </w:rPr>
        <w:t>. Občanský zákoník I, II</w:t>
      </w:r>
      <w:r>
        <w:t xml:space="preserve">. </w:t>
      </w:r>
      <w:r>
        <w:rPr>
          <w:i/>
        </w:rPr>
        <w:t>Komentář</w:t>
      </w:r>
      <w:r>
        <w:t xml:space="preserve">. 2. vyd. Praha: C.H. Beck, 2009. 2321 s. </w:t>
      </w:r>
    </w:p>
    <w:p w:rsidR="009D1F29" w:rsidRDefault="009D1F29">
      <w:pPr>
        <w:spacing w:after="150"/>
        <w:ind w:left="-5" w:right="4"/>
      </w:pPr>
      <w:r>
        <w:t xml:space="preserve">ŠVESTKA, Jiří, DVOŘÁK, Jan, FIALA, Josef a kol. </w:t>
      </w:r>
      <w:r>
        <w:rPr>
          <w:i/>
        </w:rPr>
        <w:t>Občanský zákoník. Komentář. Svazek IV. Dědické právo (§1475 až 1720).</w:t>
      </w:r>
      <w:r>
        <w:t xml:space="preserve"> Praha: Wolters Kluwer, 2014. 720 s. </w:t>
      </w:r>
    </w:p>
    <w:p w:rsidR="009D1F29" w:rsidRDefault="009D1F29">
      <w:pPr>
        <w:spacing w:after="115" w:line="259" w:lineRule="auto"/>
        <w:ind w:left="-5" w:right="4"/>
      </w:pPr>
      <w:r>
        <w:t>ŠTENGLOVÁ, Ivana a kol</w:t>
      </w:r>
      <w:r>
        <w:rPr>
          <w:i/>
        </w:rPr>
        <w:t>. Obchodní zákoník.</w:t>
      </w:r>
      <w:r>
        <w:t xml:space="preserve"> </w:t>
      </w:r>
      <w:r>
        <w:rPr>
          <w:i/>
        </w:rPr>
        <w:t>Komentář</w:t>
      </w:r>
      <w:r>
        <w:t xml:space="preserve">. 13. vyd. Praha: C.H. Beck, 2010. </w:t>
      </w:r>
    </w:p>
    <w:p w:rsidR="009D1F29" w:rsidRDefault="009D1F29">
      <w:pPr>
        <w:spacing w:after="315" w:line="259" w:lineRule="auto"/>
        <w:ind w:left="-5" w:right="4"/>
      </w:pPr>
      <w:r>
        <w:t xml:space="preserve">1477 s. </w:t>
      </w:r>
    </w:p>
    <w:p w:rsidR="009D1F29" w:rsidRDefault="009D1F29">
      <w:pPr>
        <w:spacing w:after="160"/>
        <w:ind w:left="-5" w:right="4"/>
      </w:pPr>
      <w:r>
        <w:t xml:space="preserve">WAGNEROVÁ, Eliška, ŠIMÍČEK, Vojtěch, LANGÁŠEK, Tomáš, POSPÍŠIL, Ivo. </w:t>
      </w:r>
      <w:r>
        <w:rPr>
          <w:i/>
        </w:rPr>
        <w:t>Listina základních práv a svobod. Komentář.</w:t>
      </w:r>
      <w:r>
        <w:t xml:space="preserve"> Praha: Wolters Kluwer, 2012. 931 s. </w:t>
      </w:r>
    </w:p>
    <w:p w:rsidR="009D1F29" w:rsidRDefault="009D1F29" w:rsidP="00446ADC">
      <w:pPr>
        <w:spacing w:line="259" w:lineRule="auto"/>
        <w:ind w:left="-5" w:right="4"/>
      </w:pPr>
      <w:r>
        <w:t xml:space="preserve">ZDOBINSKÝ, Stanislav. </w:t>
      </w:r>
      <w:r>
        <w:rPr>
          <w:i/>
        </w:rPr>
        <w:t>Československá ústava. Komentář</w:t>
      </w:r>
      <w:r>
        <w:t xml:space="preserve">. Praha: Panorama, 1988. 531 s. </w:t>
      </w:r>
    </w:p>
    <w:p w:rsidR="009D1F29" w:rsidRDefault="009D1F29" w:rsidP="00446ADC">
      <w:pPr>
        <w:spacing w:line="259" w:lineRule="auto"/>
        <w:ind w:left="-5" w:right="4"/>
      </w:pPr>
    </w:p>
    <w:p w:rsidR="009D1F29" w:rsidRDefault="009D1F29">
      <w:pPr>
        <w:spacing w:after="139" w:line="261" w:lineRule="auto"/>
        <w:ind w:left="-5" w:right="0"/>
        <w:jc w:val="left"/>
      </w:pPr>
      <w:r>
        <w:rPr>
          <w:b/>
          <w:sz w:val="28"/>
        </w:rPr>
        <w:t xml:space="preserve">Články v časopisech </w:t>
      </w:r>
    </w:p>
    <w:p w:rsidR="009D1F29" w:rsidRDefault="009D1F29">
      <w:pPr>
        <w:spacing w:after="164"/>
        <w:ind w:left="-5" w:right="4"/>
      </w:pPr>
      <w:r>
        <w:t xml:space="preserve">BEZOUŠKOVÁ, Lenka. Nabytí vlastnického práva k movité věci od neoprávněného podle německé právní úpravy a návrhu občanského zákoníku. </w:t>
      </w:r>
      <w:r>
        <w:rPr>
          <w:i/>
        </w:rPr>
        <w:t>Právní rozhledy</w:t>
      </w:r>
      <w:r>
        <w:t xml:space="preserve">, 2009, roč. 17, č. 7,  s. 246-252. </w:t>
      </w:r>
    </w:p>
    <w:p w:rsidR="009D1F29" w:rsidRDefault="009D1F29">
      <w:pPr>
        <w:spacing w:after="128"/>
        <w:ind w:left="-5" w:right="4"/>
      </w:pPr>
      <w:r>
        <w:t>BĚLOVSKÝ, Petr. Vydržení v římském právu a komparativním pohledu</w:t>
      </w:r>
      <w:r>
        <w:rPr>
          <w:i/>
        </w:rPr>
        <w:t>. Ad Notam</w:t>
      </w:r>
      <w:r>
        <w:t xml:space="preserve">, 2007, roč. 13, č. 4, s. 110-118. </w:t>
      </w:r>
    </w:p>
    <w:p w:rsidR="009D1F29" w:rsidRDefault="009D1F29">
      <w:pPr>
        <w:spacing w:after="170"/>
        <w:ind w:left="-5" w:right="4"/>
      </w:pPr>
      <w:r>
        <w:t xml:space="preserve">BORSÍK, Daniel. Nadobudnutie vlastníctva od neoprávneného ako prejav ochrany dobrej viery v komparatívnom súkromnom práve. </w:t>
      </w:r>
      <w:r>
        <w:rPr>
          <w:i/>
        </w:rPr>
        <w:t>Právní rozhledy</w:t>
      </w:r>
      <w:r>
        <w:t xml:space="preserve">, 2013, roč. 21, č. 7, s. 239-246. </w:t>
      </w:r>
    </w:p>
    <w:p w:rsidR="009D1F29" w:rsidRDefault="009D1F29">
      <w:pPr>
        <w:spacing w:after="125"/>
        <w:ind w:left="-5" w:right="4"/>
      </w:pPr>
      <w:r>
        <w:t xml:space="preserve">ELIÁŠ, Karel. Základní pojetí návrhu úpravy dědického práva pro nový občanský zákoník. </w:t>
      </w:r>
      <w:r>
        <w:rPr>
          <w:i/>
        </w:rPr>
        <w:t>Ad Notam</w:t>
      </w:r>
      <w:r>
        <w:t xml:space="preserve">, 2003, roč. 9, č. 5, s. 97-104. </w:t>
      </w:r>
    </w:p>
    <w:p w:rsidR="009D1F29" w:rsidRDefault="009D1F29">
      <w:pPr>
        <w:spacing w:after="172"/>
        <w:ind w:left="-5" w:right="4"/>
      </w:pPr>
      <w:r>
        <w:t xml:space="preserve">ELIÁŠ, Karel. Vlastnické právo. Paradigmata českého pojetí pod zkušebním kamenem kontinentální právní kultury. </w:t>
      </w:r>
      <w:r>
        <w:rPr>
          <w:i/>
        </w:rPr>
        <w:t>Právní rozhledy</w:t>
      </w:r>
      <w:r>
        <w:t xml:space="preserve">, 2005, roč. 13, č. 22, s. 807-812. </w:t>
      </w:r>
    </w:p>
    <w:p w:rsidR="009D1F29" w:rsidRDefault="009D1F29">
      <w:pPr>
        <w:spacing w:after="175"/>
        <w:ind w:left="-5" w:right="420"/>
      </w:pPr>
      <w:r>
        <w:t xml:space="preserve">ELIÁŠ, Karel. Věc jako pojem soukromého práva. </w:t>
      </w:r>
      <w:r>
        <w:rPr>
          <w:i/>
        </w:rPr>
        <w:t>Právní rozhledy</w:t>
      </w:r>
      <w:r>
        <w:t xml:space="preserve">, 2007, roč. 15, č. 4, </w:t>
      </w:r>
      <w:r>
        <w:br/>
        <w:t xml:space="preserve">s. 119-126.  </w:t>
      </w:r>
    </w:p>
    <w:p w:rsidR="009D1F29" w:rsidRDefault="009D1F29" w:rsidP="00DB7B23">
      <w:pPr>
        <w:spacing w:after="156" w:line="259" w:lineRule="auto"/>
        <w:ind w:left="-5" w:right="4"/>
      </w:pPr>
      <w:r>
        <w:t xml:space="preserve">ELIÁŠ, Karel. Mobilia non habent sequelam (O nabytí vlastnického práva od neoprávněného). </w:t>
      </w:r>
      <w:r>
        <w:rPr>
          <w:i/>
        </w:rPr>
        <w:t>Obchodněprávní revue</w:t>
      </w:r>
      <w:r>
        <w:t xml:space="preserve">, 2009, roč. 1, č. 3, s. 61-67. </w:t>
      </w:r>
    </w:p>
    <w:p w:rsidR="009D1F29" w:rsidRDefault="009D1F29">
      <w:pPr>
        <w:spacing w:after="173"/>
        <w:ind w:left="-5" w:right="4"/>
      </w:pPr>
      <w:r>
        <w:t xml:space="preserve">FILIP, Jan. Občanský zákoník bez ústavy (ke 200. výročí ABGB). </w:t>
      </w:r>
      <w:r>
        <w:rPr>
          <w:i/>
        </w:rPr>
        <w:t xml:space="preserve">Časopis pro právní vědu </w:t>
      </w:r>
      <w:r>
        <w:rPr>
          <w:i/>
        </w:rPr>
        <w:br/>
        <w:t>a praxi</w:t>
      </w:r>
      <w:r>
        <w:t>, 2011, roč. 19, č. 2, s. 99–108.</w:t>
      </w:r>
      <w:r>
        <w:rPr>
          <w:b/>
        </w:rPr>
        <w:t xml:space="preserve"> </w:t>
      </w:r>
    </w:p>
    <w:p w:rsidR="009D1F29" w:rsidRDefault="009D1F29">
      <w:pPr>
        <w:spacing w:after="174"/>
        <w:ind w:left="-5" w:right="4"/>
      </w:pPr>
      <w:r>
        <w:t xml:space="preserve">GROSPIČ, Jiří., MATULA, Miloš. K demokratické tradici československého konstitucionalismu. </w:t>
      </w:r>
      <w:r>
        <w:rPr>
          <w:i/>
        </w:rPr>
        <w:t>Právník</w:t>
      </w:r>
      <w:r>
        <w:t xml:space="preserve">, 1991, roč. 130, č. 7-8, s. 608-625. </w:t>
      </w:r>
    </w:p>
    <w:p w:rsidR="009D1F29" w:rsidRDefault="009D1F29">
      <w:pPr>
        <w:spacing w:after="171"/>
        <w:ind w:left="-5" w:right="4"/>
      </w:pPr>
      <w:r>
        <w:t xml:space="preserve">HORÁK, Ondřej. Tzv. nepominutelný dědic v novém občanském zákoníku. </w:t>
      </w:r>
      <w:r>
        <w:rPr>
          <w:i/>
        </w:rPr>
        <w:t>Právní rozhledy</w:t>
      </w:r>
      <w:r>
        <w:t xml:space="preserve">, 2014, roč. 22, č. 11, s. 381-387. </w:t>
      </w:r>
    </w:p>
    <w:p w:rsidR="009D1F29" w:rsidRDefault="009D1F29">
      <w:pPr>
        <w:spacing w:after="171"/>
        <w:ind w:left="-5" w:right="4"/>
      </w:pPr>
      <w:r>
        <w:t xml:space="preserve">HORÁK, Ondřej. K proměnám koncepce vlastnického práva od rakouských ústav do současnosti. </w:t>
      </w:r>
      <w:r>
        <w:rPr>
          <w:i/>
        </w:rPr>
        <w:t>Právník</w:t>
      </w:r>
      <w:r>
        <w:t xml:space="preserve">, 2017, roč. 155, č. 12, s. 1109-1123. </w:t>
      </w:r>
    </w:p>
    <w:p w:rsidR="009D1F29" w:rsidRDefault="009D1F29">
      <w:pPr>
        <w:ind w:left="-5" w:right="156"/>
      </w:pPr>
      <w:r>
        <w:t xml:space="preserve">HORÁK, Ondřej, DOSTALÍK, Petr. Věc v právním smyslu v novém občanském zákoníku </w:t>
      </w:r>
      <w:r>
        <w:br/>
        <w:t xml:space="preserve">z právněhistorické perspektivy. </w:t>
      </w:r>
      <w:r>
        <w:rPr>
          <w:i/>
        </w:rPr>
        <w:t>Časopis pro právní vědu a praxi</w:t>
      </w:r>
      <w:r>
        <w:t xml:space="preserve">, 2013, roč. 21, č. 1, </w:t>
      </w:r>
      <w:r>
        <w:br/>
        <w:t xml:space="preserve">s. 14-21. </w:t>
      </w:r>
    </w:p>
    <w:p w:rsidR="009D1F29" w:rsidRDefault="009D1F29">
      <w:pPr>
        <w:spacing w:after="165"/>
        <w:ind w:left="-5" w:right="4"/>
      </w:pPr>
      <w:r>
        <w:t xml:space="preserve">KINDL, Milan. Peripetie nabývání vlastnictví (od nevlastníků). </w:t>
      </w:r>
      <w:r>
        <w:rPr>
          <w:i/>
        </w:rPr>
        <w:t>Právní rozhledy</w:t>
      </w:r>
      <w:r>
        <w:t xml:space="preserve">, 1998, roč. 5, č. 5, s. 236-238. </w:t>
      </w:r>
    </w:p>
    <w:p w:rsidR="009D1F29" w:rsidRDefault="009D1F29">
      <w:pPr>
        <w:spacing w:after="124"/>
        <w:ind w:left="-5" w:right="4"/>
      </w:pPr>
      <w:r>
        <w:t xml:space="preserve">KLEIN, Šimon. Okamžik přechodu vlastnického práva k pozůstalosti v NOZ. </w:t>
      </w:r>
      <w:r>
        <w:rPr>
          <w:i/>
        </w:rPr>
        <w:t>Ad Notam</w:t>
      </w:r>
      <w:r>
        <w:t xml:space="preserve">, 2013, roč. 19, č. 3, s. 5-7. </w:t>
      </w:r>
    </w:p>
    <w:p w:rsidR="009D1F29" w:rsidRDefault="009D1F29">
      <w:pPr>
        <w:spacing w:after="174"/>
        <w:ind w:left="-5" w:right="4"/>
      </w:pPr>
      <w:r>
        <w:t xml:space="preserve">KOŽUŠNÍKOVÁ, Vanda. Porovnání a výklad některých ustanovení nového občanského zákoníku a obecného zákoníku občanského týkajících se závěti. </w:t>
      </w:r>
      <w:r>
        <w:rPr>
          <w:i/>
        </w:rPr>
        <w:t>Ad Notam</w:t>
      </w:r>
      <w:r>
        <w:t xml:space="preserve">, 2013, roč. 19, č. 2, s. 3-5. </w:t>
      </w:r>
    </w:p>
    <w:p w:rsidR="009D1F29" w:rsidRDefault="009D1F29">
      <w:pPr>
        <w:spacing w:after="171"/>
        <w:ind w:left="-5" w:right="4"/>
      </w:pPr>
      <w:r>
        <w:t xml:space="preserve">MATES, Pavel, MAZANEC, Michal. Úvahy a fakta o správním soudnictví – 2. díl. </w:t>
      </w:r>
      <w:r>
        <w:rPr>
          <w:i/>
        </w:rPr>
        <w:t>Právní rozhledy</w:t>
      </w:r>
      <w:r>
        <w:t>, 1995, roč. 2, č. 8, s. 283-287.</w:t>
      </w:r>
      <w:r>
        <w:rPr>
          <w:i/>
        </w:rPr>
        <w:t xml:space="preserve"> </w:t>
      </w:r>
    </w:p>
    <w:p w:rsidR="009D1F29" w:rsidRDefault="009D1F29">
      <w:pPr>
        <w:spacing w:after="132"/>
        <w:ind w:left="-5" w:right="4"/>
      </w:pPr>
      <w:r>
        <w:t xml:space="preserve">MELZER, Filip. Pojem věci v návrhu občanského zákoníku. </w:t>
      </w:r>
      <w:r>
        <w:rPr>
          <w:i/>
        </w:rPr>
        <w:t>Právník</w:t>
      </w:r>
      <w:r>
        <w:t xml:space="preserve">, 2007, roč. 156, č. 11,  </w:t>
      </w:r>
      <w:r>
        <w:br/>
        <w:t xml:space="preserve">s. 1217-1229. </w:t>
      </w:r>
    </w:p>
    <w:p w:rsidR="009D1F29" w:rsidRDefault="009D1F29" w:rsidP="00192AF3">
      <w:pPr>
        <w:spacing w:after="152" w:line="360" w:lineRule="auto"/>
        <w:ind w:left="-5" w:right="4"/>
      </w:pPr>
      <w:r>
        <w:t xml:space="preserve">PAVLÍČEK, Václav. Poznámky k úpravě občanských práv a k osudu Československa. </w:t>
      </w:r>
      <w:r>
        <w:rPr>
          <w:i/>
        </w:rPr>
        <w:t>Právník</w:t>
      </w:r>
      <w:r>
        <w:t>, 1993, roč. 132, č. 3, s. 229-237.</w:t>
      </w:r>
      <w:r>
        <w:rPr>
          <w:b/>
        </w:rPr>
        <w:t xml:space="preserve"> </w:t>
      </w:r>
    </w:p>
    <w:p w:rsidR="009D1F29" w:rsidRDefault="009D1F29">
      <w:pPr>
        <w:spacing w:after="319" w:line="259" w:lineRule="auto"/>
        <w:ind w:left="-5" w:right="4"/>
      </w:pPr>
      <w:r>
        <w:t>RUŽIČ, Dušan</w:t>
      </w:r>
      <w:r>
        <w:rPr>
          <w:i/>
        </w:rPr>
        <w:t xml:space="preserve">. </w:t>
      </w:r>
      <w:r>
        <w:t xml:space="preserve">Vydržení v českém právu. </w:t>
      </w:r>
      <w:r>
        <w:rPr>
          <w:i/>
        </w:rPr>
        <w:t>Ad Notam,</w:t>
      </w:r>
      <w:r>
        <w:t xml:space="preserve"> 2009,</w:t>
      </w:r>
      <w:r>
        <w:rPr>
          <w:i/>
        </w:rPr>
        <w:t xml:space="preserve"> </w:t>
      </w:r>
      <w:r>
        <w:t>roč. 15,</w:t>
      </w:r>
      <w:r>
        <w:rPr>
          <w:i/>
        </w:rPr>
        <w:t xml:space="preserve"> </w:t>
      </w:r>
      <w:r>
        <w:t xml:space="preserve">č. 6, s. 196-198. </w:t>
      </w:r>
    </w:p>
    <w:p w:rsidR="009D1F29" w:rsidRDefault="009D1F29">
      <w:pPr>
        <w:spacing w:after="320" w:line="259" w:lineRule="auto"/>
        <w:ind w:left="-5" w:right="4"/>
      </w:pPr>
      <w:r>
        <w:t xml:space="preserve">SPÁČIL, Jiří. Právnická osoba, stát a vydržení. </w:t>
      </w:r>
      <w:r>
        <w:rPr>
          <w:i/>
        </w:rPr>
        <w:t>Právo a podnikání</w:t>
      </w:r>
      <w:r>
        <w:t xml:space="preserve">, 2004, roč. 13, č. 5, s. 2-7. </w:t>
      </w:r>
    </w:p>
    <w:p w:rsidR="009D1F29" w:rsidRDefault="009D1F29">
      <w:pPr>
        <w:spacing w:after="124"/>
        <w:ind w:left="-5" w:right="4"/>
      </w:pPr>
      <w:r>
        <w:t>TÉGL, Petr</w:t>
      </w:r>
      <w:r>
        <w:rPr>
          <w:i/>
        </w:rPr>
        <w:t>.</w:t>
      </w:r>
      <w:r>
        <w:t xml:space="preserve"> Ochrana poctivého nabyvatele při nabývání vlastnického práva od nevlastníka  </w:t>
      </w:r>
      <w:r>
        <w:br/>
        <w:t xml:space="preserve">k movitým věcem nezapsaným ve veřejných seznamech. </w:t>
      </w:r>
      <w:r>
        <w:rPr>
          <w:i/>
        </w:rPr>
        <w:t>Ad Notam</w:t>
      </w:r>
      <w:r>
        <w:t xml:space="preserve">, 2007, roč. 5, č. 2, </w:t>
      </w:r>
      <w:r>
        <w:br/>
        <w:t xml:space="preserve">s. 43-49. </w:t>
      </w:r>
    </w:p>
    <w:p w:rsidR="009D1F29" w:rsidRDefault="009D1F29">
      <w:pPr>
        <w:spacing w:after="214"/>
        <w:ind w:left="-5" w:right="4"/>
      </w:pPr>
      <w:r>
        <w:t>VANĚK, Jakub. Nabytí vlastnického práva od neoprávněného podle nového občanského zákoníku</w:t>
      </w:r>
      <w:r>
        <w:rPr>
          <w:i/>
        </w:rPr>
        <w:t>. Právní rozhledy</w:t>
      </w:r>
      <w:r>
        <w:t>, 2014, roč. 22, č. 2, s. 44-48.</w:t>
      </w:r>
      <w:r>
        <w:rPr>
          <w:rFonts w:ascii="Calibri" w:hAnsi="Calibri" w:cs="Calibri"/>
        </w:rPr>
        <w:t xml:space="preserve"> </w:t>
      </w:r>
    </w:p>
    <w:p w:rsidR="009D1F29" w:rsidRDefault="009D1F29">
      <w:pPr>
        <w:spacing w:after="180" w:line="261" w:lineRule="auto"/>
        <w:ind w:left="-5" w:right="0"/>
        <w:jc w:val="left"/>
      </w:pPr>
      <w:r>
        <w:rPr>
          <w:b/>
          <w:sz w:val="28"/>
        </w:rPr>
        <w:t xml:space="preserve">Články ve sbornících </w:t>
      </w:r>
    </w:p>
    <w:p w:rsidR="009D1F29" w:rsidRDefault="009D1F29">
      <w:pPr>
        <w:spacing w:after="173"/>
        <w:ind w:left="-5" w:right="4"/>
      </w:pPr>
      <w:r>
        <w:t xml:space="preserve">GERLOCH, Aleš. K otázce právní povahy Listiny základních práv a svobod. In </w:t>
      </w:r>
      <w:r>
        <w:rPr>
          <w:i/>
        </w:rPr>
        <w:t>Realizace listiny základních práv a svobod v právním řádu ČR</w:t>
      </w:r>
      <w:r>
        <w:t xml:space="preserve">. Brno: PF MU, 1994, s. 70-75. </w:t>
      </w:r>
    </w:p>
    <w:p w:rsidR="009D1F29" w:rsidRDefault="009D1F29">
      <w:pPr>
        <w:spacing w:after="146" w:line="259" w:lineRule="auto"/>
        <w:ind w:left="-5" w:right="4"/>
      </w:pPr>
      <w:r>
        <w:t xml:space="preserve">HOETZEL Jiří. Ústavní listina Československé republiky. In </w:t>
      </w:r>
      <w:r>
        <w:rPr>
          <w:i/>
        </w:rPr>
        <w:t>Sborník věd právních a státních</w:t>
      </w:r>
      <w:r>
        <w:t xml:space="preserve">. </w:t>
      </w:r>
    </w:p>
    <w:p w:rsidR="009D1F29" w:rsidRDefault="009D1F29">
      <w:pPr>
        <w:spacing w:after="320" w:line="259" w:lineRule="auto"/>
        <w:ind w:left="-5" w:right="4"/>
      </w:pPr>
      <w:r>
        <w:t xml:space="preserve">Praha: Bursík a Kohout, 1920, s. 1-39. </w:t>
      </w:r>
    </w:p>
    <w:p w:rsidR="009D1F29" w:rsidRDefault="009D1F29">
      <w:pPr>
        <w:ind w:left="-5" w:right="4"/>
      </w:pPr>
      <w:r>
        <w:t xml:space="preserve">HORÁČEK, Cyril ml. Právní význam základních práv občanských. In </w:t>
      </w:r>
      <w:r>
        <w:rPr>
          <w:i/>
        </w:rPr>
        <w:t xml:space="preserve">Sborník věd právních </w:t>
      </w:r>
      <w:r>
        <w:rPr>
          <w:i/>
        </w:rPr>
        <w:br/>
        <w:t>a státních</w:t>
      </w:r>
      <w:r>
        <w:t xml:space="preserve">.  Praha: Bursík a Kohout, 1925, s. 148-158. </w:t>
      </w:r>
    </w:p>
    <w:p w:rsidR="009D1F29" w:rsidRDefault="009D1F29">
      <w:pPr>
        <w:spacing w:after="175"/>
        <w:ind w:left="-5" w:right="4"/>
      </w:pPr>
      <w:r>
        <w:t xml:space="preserve">HORÁK, Ondřej. Tzv. dělené vlastnictví v 19. a 20. století (k proměnám chápání tradičního pojmu v domácí právní vědě). In </w:t>
      </w:r>
      <w:r>
        <w:rPr>
          <w:i/>
        </w:rPr>
        <w:t>Sborník z konference Dny práva</w:t>
      </w:r>
      <w:r>
        <w:t xml:space="preserve">. Brno: Masarykova univerzita, 2010, s. 1513-1523.  </w:t>
      </w:r>
    </w:p>
    <w:p w:rsidR="009D1F29" w:rsidRDefault="009D1F29">
      <w:pPr>
        <w:spacing w:after="174"/>
        <w:ind w:left="-5" w:right="4"/>
      </w:pPr>
      <w:r>
        <w:t xml:space="preserve">HORÁK, Ondřej. Historické zdroje úpravy nabytí od nevlastníka. Kapitolka z dějin právního myšlení. In </w:t>
      </w:r>
      <w:r>
        <w:rPr>
          <w:i/>
        </w:rPr>
        <w:t>150 let Všeobecného obchodního zákoníku</w:t>
      </w:r>
      <w:r>
        <w:t xml:space="preserve">. Olomouc: Univerzita Palackého, 2012, s. 23-30. </w:t>
      </w:r>
    </w:p>
    <w:p w:rsidR="009D1F29" w:rsidRDefault="009D1F29">
      <w:pPr>
        <w:spacing w:after="128"/>
        <w:ind w:left="-5" w:right="4"/>
      </w:pPr>
      <w:r>
        <w:t xml:space="preserve">HORÁK, Ondřej, ŠŤACHOVÁ, Naďa. Věc v právním smyslu: historicko-srovnávací úvaha. In </w:t>
      </w:r>
      <w:r>
        <w:rPr>
          <w:i/>
        </w:rPr>
        <w:t>Interakce českého a evropského práva</w:t>
      </w:r>
      <w:r>
        <w:t>. Brno: Masarykova univerzita, 2009, s. 405-435.</w:t>
      </w:r>
      <w:r>
        <w:rPr>
          <w:sz w:val="21"/>
        </w:rPr>
        <w:t xml:space="preserve"> </w:t>
      </w:r>
    </w:p>
    <w:p w:rsidR="009D1F29" w:rsidRDefault="009D1F29">
      <w:pPr>
        <w:spacing w:after="141" w:line="259" w:lineRule="auto"/>
        <w:ind w:left="-5" w:right="4"/>
      </w:pPr>
      <w:r>
        <w:t xml:space="preserve">JAKUBEC, Ivan. Ekonomické parametry československé ústavní listiny. In </w:t>
      </w:r>
      <w:r>
        <w:rPr>
          <w:i/>
        </w:rPr>
        <w:t xml:space="preserve">Ústava 1920. </w:t>
      </w:r>
    </w:p>
    <w:p w:rsidR="009D1F29" w:rsidRDefault="009D1F29">
      <w:pPr>
        <w:spacing w:after="273" w:line="259" w:lineRule="auto"/>
        <w:ind w:left="-5" w:right="0"/>
      </w:pPr>
      <w:r>
        <w:rPr>
          <w:i/>
        </w:rPr>
        <w:t>Vyvrcholení konstituování československého státu.</w:t>
      </w:r>
      <w:r>
        <w:t xml:space="preserve"> Praha: Leges, 2011, s. 170-179. </w:t>
      </w:r>
    </w:p>
    <w:p w:rsidR="009D1F29" w:rsidRDefault="009D1F29" w:rsidP="00192AF3">
      <w:pPr>
        <w:spacing w:after="156" w:line="360" w:lineRule="auto"/>
        <w:ind w:left="-5" w:right="4"/>
      </w:pPr>
      <w:r>
        <w:t xml:space="preserve">MAZANEC, Michal. Zánik bývalého Nevyššího správního soudu ve světle dokumentů Státního ústředního archivu. In </w:t>
      </w:r>
      <w:r>
        <w:rPr>
          <w:i/>
        </w:rPr>
        <w:t>Pocta doc. JUDr. Vladimíru Mikule k 65. narozeninám</w:t>
      </w:r>
      <w:r>
        <w:t xml:space="preserve">.  Praha: ASPI, 2002, s. 159-182. </w:t>
      </w:r>
    </w:p>
    <w:p w:rsidR="009D1F29" w:rsidRDefault="009D1F29" w:rsidP="00192AF3">
      <w:pPr>
        <w:spacing w:after="187" w:line="360" w:lineRule="auto"/>
        <w:ind w:left="-5" w:right="4"/>
      </w:pPr>
      <w:r>
        <w:t xml:space="preserve">MAYR, Robert. Deutsches Recht im A.B.G.B. In </w:t>
      </w:r>
      <w:r>
        <w:rPr>
          <w:i/>
        </w:rPr>
        <w:t xml:space="preserve">Festschrift für Otto Peterka zum </w:t>
      </w:r>
      <w:r>
        <w:rPr>
          <w:i/>
        </w:rPr>
        <w:br/>
        <w:t>60. Geburtstag</w:t>
      </w:r>
      <w:r>
        <w:t xml:space="preserve">. Brünn, Prag, Leipzig, Wien: R.M. Rohrer, 1936, s. 59-65. </w:t>
      </w:r>
    </w:p>
    <w:p w:rsidR="009D1F29" w:rsidRDefault="009D1F29">
      <w:pPr>
        <w:spacing w:after="174"/>
        <w:ind w:left="-5" w:right="4"/>
      </w:pPr>
      <w:r>
        <w:t xml:space="preserve">PEŠKA, Pavel. Úvahy nad popřením ústavnosti v letech 1948–1989. In </w:t>
      </w:r>
      <w:r>
        <w:rPr>
          <w:i/>
        </w:rPr>
        <w:t xml:space="preserve">Vývoj práva </w:t>
      </w:r>
      <w:r>
        <w:rPr>
          <w:i/>
        </w:rPr>
        <w:br/>
        <w:t>v Československu v letech 1945–1989</w:t>
      </w:r>
      <w:r>
        <w:t xml:space="preserve">. Praha: Karolinum, 2004, s. 192-209. </w:t>
      </w:r>
    </w:p>
    <w:p w:rsidR="009D1F29" w:rsidRDefault="009D1F29" w:rsidP="00340C1B">
      <w:pPr>
        <w:spacing w:after="155" w:line="360" w:lineRule="auto"/>
        <w:ind w:left="-6" w:right="6" w:hanging="11"/>
      </w:pPr>
      <w:r>
        <w:t xml:space="preserve">POKORNÝ, Richard. Postavení sociálních práv v Listině a jeho ústavněprávní následky.  </w:t>
      </w:r>
    </w:p>
    <w:p w:rsidR="009D1F29" w:rsidRDefault="009D1F29" w:rsidP="00340C1B">
      <w:pPr>
        <w:spacing w:after="311" w:line="360" w:lineRule="auto"/>
        <w:ind w:left="-6" w:right="6" w:hanging="11"/>
      </w:pPr>
      <w:r>
        <w:t xml:space="preserve">In </w:t>
      </w:r>
      <w:r>
        <w:rPr>
          <w:i/>
        </w:rPr>
        <w:t>Listina a současnost.</w:t>
      </w:r>
      <w:r>
        <w:t xml:space="preserve"> Olomouc: Univerzita Palackého, 2010, s. 175-208. </w:t>
      </w:r>
    </w:p>
    <w:p w:rsidR="009D1F29" w:rsidRDefault="009D1F29">
      <w:pPr>
        <w:spacing w:after="193" w:line="368" w:lineRule="auto"/>
        <w:ind w:left="-5" w:right="0"/>
      </w:pPr>
      <w:r>
        <w:t xml:space="preserve">SCHELLE, Karel. Názory prof. JUDr. PhDr. Bohumila Baxy na organizaci veřejné správy.  In </w:t>
      </w:r>
      <w:r>
        <w:rPr>
          <w:i/>
        </w:rPr>
        <w:t>Aktuální otázky českého a československého konstitucionalismu</w:t>
      </w:r>
      <w:r>
        <w:t xml:space="preserve"> (</w:t>
      </w:r>
      <w:r>
        <w:rPr>
          <w:i/>
        </w:rPr>
        <w:t>Sborník příspěvků z vědecké konference věnované prof. JUDr. Bohumilu Baxovi)</w:t>
      </w:r>
      <w:r>
        <w:t xml:space="preserve">. Brno: Masarykova univerzita, 1993, </w:t>
      </w:r>
      <w:r>
        <w:br/>
        <w:t xml:space="preserve">s. 209-211. </w:t>
      </w:r>
    </w:p>
    <w:p w:rsidR="009D1F29" w:rsidRDefault="009D1F29" w:rsidP="002D42D4">
      <w:pPr>
        <w:spacing w:after="128"/>
        <w:ind w:left="-5" w:right="4"/>
      </w:pPr>
      <w:r>
        <w:t>SCHELLEOVÁ, Ilona, SCHELLE, Karel. Vývoj kodifikace občanského práva.</w:t>
      </w:r>
      <w:r>
        <w:rPr>
          <w:i/>
        </w:rPr>
        <w:t xml:space="preserve"> </w:t>
      </w:r>
      <w:r>
        <w:t xml:space="preserve">In </w:t>
      </w:r>
      <w:r>
        <w:rPr>
          <w:i/>
        </w:rPr>
        <w:t>Vývoj právních kodifikací</w:t>
      </w:r>
      <w:r>
        <w:t xml:space="preserve">. Brno: Masarykova univerzita, 2004, s. 9-36. </w:t>
      </w:r>
    </w:p>
    <w:p w:rsidR="009D1F29" w:rsidRDefault="009D1F29">
      <w:pPr>
        <w:spacing w:after="177" w:line="259" w:lineRule="auto"/>
        <w:ind w:left="0" w:right="0" w:firstLine="0"/>
        <w:jc w:val="left"/>
      </w:pPr>
    </w:p>
    <w:p w:rsidR="009D1F29" w:rsidRDefault="009D1F29">
      <w:pPr>
        <w:spacing w:after="177" w:line="259" w:lineRule="auto"/>
        <w:ind w:left="0" w:right="0" w:firstLine="0"/>
        <w:jc w:val="left"/>
      </w:pPr>
    </w:p>
    <w:p w:rsidR="009D1F29" w:rsidRDefault="009D1F29">
      <w:pPr>
        <w:spacing w:after="177" w:line="259" w:lineRule="auto"/>
        <w:ind w:left="0" w:right="0" w:firstLine="0"/>
        <w:jc w:val="left"/>
      </w:pPr>
    </w:p>
    <w:p w:rsidR="009D1F29" w:rsidRDefault="009D1F29">
      <w:pPr>
        <w:spacing w:after="177" w:line="259" w:lineRule="auto"/>
        <w:ind w:left="0" w:right="0" w:firstLine="0"/>
        <w:jc w:val="left"/>
      </w:pPr>
    </w:p>
    <w:p w:rsidR="009D1F29" w:rsidRDefault="009D1F29">
      <w:pPr>
        <w:spacing w:after="177" w:line="259" w:lineRule="auto"/>
        <w:ind w:left="0" w:right="0" w:firstLine="0"/>
        <w:jc w:val="left"/>
      </w:pPr>
    </w:p>
    <w:p w:rsidR="009D1F29" w:rsidRDefault="009D1F29">
      <w:pPr>
        <w:spacing w:after="0" w:line="259" w:lineRule="auto"/>
        <w:ind w:left="0" w:right="0" w:firstLine="0"/>
        <w:jc w:val="left"/>
      </w:pPr>
      <w:r>
        <w:t xml:space="preserve"> </w:t>
      </w:r>
    </w:p>
    <w:p w:rsidR="009D1F29" w:rsidRPr="00AA66D1" w:rsidRDefault="009D1F29">
      <w:pPr>
        <w:pStyle w:val="Heading1"/>
        <w:numPr>
          <w:ilvl w:val="0"/>
          <w:numId w:val="0"/>
        </w:numPr>
        <w:spacing w:after="237"/>
        <w:ind w:left="-5"/>
        <w:rPr>
          <w:color w:val="auto"/>
        </w:rPr>
      </w:pPr>
      <w:bookmarkStart w:id="61" w:name="_Toc512979327"/>
      <w:bookmarkStart w:id="62" w:name="_Toc512979833"/>
      <w:r w:rsidRPr="00AA66D1">
        <w:rPr>
          <w:color w:val="auto"/>
        </w:rPr>
        <w:t>Shrnutí</w:t>
      </w:r>
      <w:bookmarkEnd w:id="61"/>
      <w:bookmarkEnd w:id="62"/>
      <w:r w:rsidRPr="00AA66D1">
        <w:rPr>
          <w:color w:val="auto"/>
        </w:rPr>
        <w:t xml:space="preserve"> </w:t>
      </w:r>
    </w:p>
    <w:p w:rsidR="009D1F29" w:rsidRDefault="009D1F29">
      <w:pPr>
        <w:ind w:left="-15" w:right="4" w:firstLine="708"/>
      </w:pPr>
      <w:r>
        <w:t xml:space="preserve">Tato rigorózní práce zpracovává problematiku ochrany vlastnictví v Československu </w:t>
      </w:r>
      <w:r>
        <w:br/>
        <w:t xml:space="preserve">v letech 1918 až 1989 z pohledu ústavního a občanského práva. Zjištěné závěry dále komparuje s aktuální právní úpravou. V části zabývající se ústavním právem analyzuje ve vybraných ústavněprávních dokumentech vlastnické právo jakožto základní lidské právo, přičemž zkoumá ochranu jednotlivých forem vlastnictví. Z pohledu občanského práva na vybraných institutech demonstruje, že v určitých případech měl vlastník za socialismu vyšší ochranu než za aktuálně účinné právní úpravy.         </w:t>
      </w:r>
    </w:p>
    <w:p w:rsidR="009D1F29" w:rsidRDefault="009D1F29">
      <w:pPr>
        <w:ind w:left="-5" w:right="4"/>
      </w:pPr>
      <w:r>
        <w:t xml:space="preserve"> </w:t>
      </w:r>
      <w:r>
        <w:tab/>
        <w:t xml:space="preserve">Rigorózní práce je rozčleněna do tří kapitol, úvodu a závěru. První kapitola se zabývá teoretickými otázkami spojenými s vlastnictvím. Zkoumá pojem vlastnictví, předmět vlastnictví a základní přístupy k vlastnictví.  Kromě rozboru uvedených otázek podává autor ke každé z nich vlastní názory k jejich řešení.     </w:t>
      </w:r>
    </w:p>
    <w:p w:rsidR="009D1F29" w:rsidRDefault="009D1F29">
      <w:pPr>
        <w:ind w:left="-5" w:right="4"/>
      </w:pPr>
      <w:r>
        <w:t xml:space="preserve"> </w:t>
      </w:r>
      <w:r>
        <w:tab/>
        <w:t xml:space="preserve">Druhá kapitola pojednává o ústavněprávním zakotvení vlastnictví a jeho ochraně ve vybraných ústavních předpisech. Dle autora se vlastnictví v ústavněprávním pojetí skládá ze šesti aspektů. Těmi jsou teoretické pojetí vlastnického práva (přirozenoprávní či pozitivistické), soulad stavu de iure a de facto v oblasti dodržování ochrany vlastnického práva, vymahatelnost této ochrany, obecná omezení vlastnického práva, vyvlastnění </w:t>
      </w:r>
      <w:r>
        <w:br/>
        <w:t xml:space="preserve">a konečně exkluzivita státního vlastnictví. Kromě toho podává základní informace o ústavách samotných a o základních právech, které obsahují.          </w:t>
      </w:r>
    </w:p>
    <w:p w:rsidR="009D1F29" w:rsidRDefault="009D1F29" w:rsidP="00192AF3">
      <w:pPr>
        <w:ind w:left="-5" w:right="4"/>
      </w:pPr>
      <w:r>
        <w:t xml:space="preserve"> </w:t>
      </w:r>
      <w:r>
        <w:tab/>
        <w:t xml:space="preserve">Třetí kapitola se zabývá občanskoprávní ochranou vlastnictví v občanském zákoníku </w:t>
      </w:r>
      <w:r>
        <w:br/>
        <w:t xml:space="preserve">z roku 1811, 1950 a 1964 a komparuje ji s ochranou v aktuálně účinném občanském zákoníku. Tato ochrana však není zkoumána klasickou formou, kdy dochází k rozboru vlastnických žalob či institutu svépomoci. Autor zkoumá rozsah občanskoprávní ochrany netradičně, pomocí vybraných soukromoprávních institutů. Jedná se o vydržení, nabytí vlastnického práva od neoprávněného a o podmínky a příkazy u poslední vůle. Úprava ustanovení těchto institutů v dříve platných předpisech je porovnána s účinnou úpravou, přičemž je zkoumáno zejména postavení vlastníka. </w:t>
      </w:r>
    </w:p>
    <w:p w:rsidR="009D1F29" w:rsidRDefault="009D1F29">
      <w:pPr>
        <w:spacing w:after="177" w:line="259" w:lineRule="auto"/>
        <w:ind w:left="0" w:right="0" w:firstLine="0"/>
        <w:jc w:val="left"/>
      </w:pPr>
    </w:p>
    <w:p w:rsidR="009D1F29" w:rsidRDefault="009D1F29">
      <w:pPr>
        <w:spacing w:after="177" w:line="259" w:lineRule="auto"/>
        <w:ind w:left="0" w:right="0" w:firstLine="0"/>
        <w:jc w:val="left"/>
      </w:pPr>
    </w:p>
    <w:p w:rsidR="009D1F29" w:rsidRDefault="009D1F29">
      <w:pPr>
        <w:spacing w:after="177" w:line="259" w:lineRule="auto"/>
        <w:ind w:left="0" w:right="0" w:firstLine="0"/>
        <w:jc w:val="left"/>
      </w:pPr>
    </w:p>
    <w:p w:rsidR="009D1F29" w:rsidRDefault="009D1F29">
      <w:pPr>
        <w:spacing w:after="0" w:line="259" w:lineRule="auto"/>
        <w:ind w:left="0" w:right="0" w:firstLine="0"/>
        <w:jc w:val="left"/>
      </w:pPr>
      <w:r>
        <w:t xml:space="preserve"> </w:t>
      </w:r>
    </w:p>
    <w:p w:rsidR="009D1F29" w:rsidRPr="00AA66D1" w:rsidRDefault="009D1F29">
      <w:pPr>
        <w:pStyle w:val="Heading1"/>
        <w:numPr>
          <w:ilvl w:val="0"/>
          <w:numId w:val="0"/>
        </w:numPr>
        <w:spacing w:after="201"/>
        <w:ind w:left="-5"/>
        <w:rPr>
          <w:color w:val="auto"/>
        </w:rPr>
      </w:pPr>
      <w:bookmarkStart w:id="63" w:name="_Toc512979328"/>
      <w:bookmarkStart w:id="64" w:name="_Toc512979834"/>
      <w:r w:rsidRPr="00AA66D1">
        <w:rPr>
          <w:color w:val="auto"/>
        </w:rPr>
        <w:t>Summary</w:t>
      </w:r>
      <w:bookmarkEnd w:id="63"/>
      <w:bookmarkEnd w:id="64"/>
      <w:r w:rsidRPr="00AA66D1">
        <w:rPr>
          <w:color w:val="auto"/>
        </w:rPr>
        <w:t xml:space="preserve"> </w:t>
      </w:r>
    </w:p>
    <w:p w:rsidR="009D1F29" w:rsidRDefault="009D1F29">
      <w:pPr>
        <w:ind w:left="-15" w:right="4" w:firstLine="708"/>
      </w:pPr>
      <w:r>
        <w:t xml:space="preserve">This rigorosum thesis deals with protection of ownership in Czechoslovakia between 1918 and 1989 in view of constitutional and civil law. The discovered conclusions are compared to effective legislation. I analyse property right as a fundamental human right in the constitutional part of thesis. I research protection of individual forms of ownership in Constitution 1948 and Constitution 1960. In view of civil law I illustrate that in certain cases the owner had a higher protection than in effective legislation.    </w:t>
      </w:r>
    </w:p>
    <w:p w:rsidR="009D1F29" w:rsidRDefault="009D1F29" w:rsidP="00192AF3">
      <w:pPr>
        <w:ind w:left="-5" w:right="4" w:firstLine="698"/>
      </w:pPr>
      <w:r>
        <w:t xml:space="preserve"> The rigorosum thesis is divided into three chapters, introduction and conclusion. The first chapter addresses analysis of theoretical questions connected with the ownership. </w:t>
      </w:r>
      <w:r>
        <w:br/>
        <w:t xml:space="preserve">I explore the definition of ownership, the subject of ownership and basic attitudes to the ownership. Besides studying these questions I give my own opinions for their solution.  </w:t>
      </w:r>
    </w:p>
    <w:p w:rsidR="009D1F29" w:rsidRDefault="009D1F29">
      <w:pPr>
        <w:ind w:left="-5" w:right="4"/>
      </w:pPr>
      <w:r>
        <w:t xml:space="preserve"> </w:t>
      </w:r>
      <w:r>
        <w:tab/>
        <w:t xml:space="preserve">The second chapter deals with constitutional enshrining ownership and its protection in chosen constitutional documents. I consider that the constitutional view of ownership is consist of six aspects. Namely it is theoretic concept of property law (natural or positivist), conformity of status de iure with status de facto in protection of ownership area, enforceability of this protection, common restrictions of property law, expropriation and finally the exclusiveness of state ownership. Besides these aspects I provide basic information about constitutions and about fundamental human rights.         </w:t>
      </w:r>
    </w:p>
    <w:p w:rsidR="009D1F29" w:rsidRDefault="009D1F29" w:rsidP="00192AF3">
      <w:pPr>
        <w:spacing w:after="130"/>
        <w:ind w:left="-5" w:right="4" w:firstLine="713"/>
      </w:pPr>
      <w:r>
        <w:t xml:space="preserve"> The third chapter concerns about civil law protection of ownership in civil codes from years 1811, 1950 and 1964. This protection is compared with protection in effective legislation. I do not study civil law protection by classic form. It means by analysis of actions or self-help. I study law protection by chosen civil law institutes such as </w:t>
      </w:r>
      <w:r>
        <w:rPr>
          <w:color w:val="222222"/>
        </w:rPr>
        <w:t>acquisitive prescription</w:t>
      </w:r>
      <w:r>
        <w:t xml:space="preserve">, acquisition of property from unlawful possessor or conditions and orders in last will. I compare regulation of these institutes in previous civil codes with effective legislation. The main orientatiton is focus on position of owner. </w:t>
      </w:r>
    </w:p>
    <w:p w:rsidR="009D1F29" w:rsidRDefault="009D1F29">
      <w:pPr>
        <w:spacing w:after="274" w:line="259" w:lineRule="auto"/>
        <w:ind w:left="0" w:right="0" w:firstLine="0"/>
        <w:jc w:val="left"/>
      </w:pPr>
      <w:r>
        <w:t xml:space="preserve"> </w:t>
      </w:r>
    </w:p>
    <w:p w:rsidR="009D1F29" w:rsidRDefault="009D1F29">
      <w:pPr>
        <w:spacing w:after="273" w:line="259" w:lineRule="auto"/>
        <w:ind w:left="708" w:right="0" w:firstLine="0"/>
        <w:jc w:val="left"/>
      </w:pPr>
      <w:r>
        <w:t xml:space="preserve"> </w:t>
      </w:r>
    </w:p>
    <w:p w:rsidR="009D1F29" w:rsidRDefault="009D1F29">
      <w:pPr>
        <w:spacing w:after="276" w:line="259" w:lineRule="auto"/>
        <w:ind w:left="0" w:right="0" w:firstLine="0"/>
        <w:jc w:val="left"/>
      </w:pPr>
      <w:r>
        <w:t xml:space="preserve"> </w:t>
      </w:r>
    </w:p>
    <w:p w:rsidR="009D1F29" w:rsidRDefault="009D1F29">
      <w:pPr>
        <w:spacing w:after="273" w:line="259" w:lineRule="auto"/>
        <w:ind w:left="0" w:right="0" w:firstLine="0"/>
        <w:jc w:val="left"/>
      </w:pPr>
      <w:r>
        <w:t xml:space="preserve"> </w:t>
      </w:r>
    </w:p>
    <w:p w:rsidR="009D1F29" w:rsidRPr="00AA66D1" w:rsidRDefault="009D1F29">
      <w:pPr>
        <w:spacing w:after="0" w:line="259" w:lineRule="auto"/>
        <w:ind w:left="0" w:right="0" w:firstLine="0"/>
        <w:jc w:val="left"/>
        <w:rPr>
          <w:color w:val="auto"/>
        </w:rPr>
      </w:pPr>
      <w:r>
        <w:t xml:space="preserve"> </w:t>
      </w:r>
    </w:p>
    <w:p w:rsidR="009D1F29" w:rsidRPr="00AA66D1" w:rsidRDefault="009D1F29">
      <w:pPr>
        <w:pStyle w:val="Heading1"/>
        <w:numPr>
          <w:ilvl w:val="0"/>
          <w:numId w:val="0"/>
        </w:numPr>
        <w:spacing w:after="248"/>
        <w:ind w:left="-5"/>
        <w:rPr>
          <w:color w:val="auto"/>
        </w:rPr>
      </w:pPr>
      <w:bookmarkStart w:id="65" w:name="_Toc512979329"/>
      <w:bookmarkStart w:id="66" w:name="_Toc512979835"/>
      <w:r w:rsidRPr="00AA66D1">
        <w:rPr>
          <w:color w:val="auto"/>
        </w:rPr>
        <w:t>Klíčová slova</w:t>
      </w:r>
      <w:bookmarkEnd w:id="65"/>
      <w:bookmarkEnd w:id="66"/>
      <w:r w:rsidRPr="00AA66D1">
        <w:rPr>
          <w:color w:val="auto"/>
        </w:rPr>
        <w:t xml:space="preserve"> </w:t>
      </w:r>
    </w:p>
    <w:p w:rsidR="009D1F29" w:rsidRDefault="009D1F29">
      <w:pPr>
        <w:spacing w:after="319" w:line="259" w:lineRule="auto"/>
        <w:ind w:left="-5" w:right="4"/>
      </w:pPr>
      <w:r>
        <w:t xml:space="preserve">Nabytí vlastnictví od neoprávněného </w:t>
      </w:r>
    </w:p>
    <w:p w:rsidR="009D1F29" w:rsidRDefault="009D1F29">
      <w:pPr>
        <w:spacing w:after="319" w:line="259" w:lineRule="auto"/>
        <w:ind w:left="-5" w:right="4"/>
      </w:pPr>
      <w:r>
        <w:t xml:space="preserve">Občanský zákoník </w:t>
      </w:r>
    </w:p>
    <w:p w:rsidR="009D1F29" w:rsidRDefault="009D1F29">
      <w:pPr>
        <w:spacing w:after="319" w:line="259" w:lineRule="auto"/>
        <w:ind w:left="-5" w:right="4"/>
      </w:pPr>
      <w:r>
        <w:t xml:space="preserve">Občanské právo </w:t>
      </w:r>
    </w:p>
    <w:p w:rsidR="009D1F29" w:rsidRDefault="009D1F29">
      <w:pPr>
        <w:spacing w:after="320" w:line="259" w:lineRule="auto"/>
        <w:ind w:left="-5" w:right="4"/>
      </w:pPr>
      <w:r>
        <w:t xml:space="preserve">Ochrana vlastnictví </w:t>
      </w:r>
    </w:p>
    <w:p w:rsidR="009D1F29" w:rsidRDefault="009D1F29">
      <w:pPr>
        <w:spacing w:after="276" w:line="259" w:lineRule="auto"/>
        <w:ind w:left="-5" w:right="4"/>
      </w:pPr>
      <w:r>
        <w:t xml:space="preserve">Podmínky a příkazy u poslední vůle </w:t>
      </w:r>
    </w:p>
    <w:p w:rsidR="009D1F29" w:rsidRDefault="009D1F29">
      <w:pPr>
        <w:spacing w:after="317" w:line="259" w:lineRule="auto"/>
        <w:ind w:left="-5" w:right="4"/>
      </w:pPr>
      <w:r>
        <w:t xml:space="preserve">Socialismus </w:t>
      </w:r>
    </w:p>
    <w:p w:rsidR="009D1F29" w:rsidRDefault="009D1F29">
      <w:pPr>
        <w:spacing w:after="319" w:line="259" w:lineRule="auto"/>
        <w:ind w:left="-5" w:right="4"/>
      </w:pPr>
      <w:r>
        <w:t xml:space="preserve">Ústava </w:t>
      </w:r>
    </w:p>
    <w:p w:rsidR="009D1F29" w:rsidRDefault="009D1F29">
      <w:pPr>
        <w:spacing w:after="319" w:line="259" w:lineRule="auto"/>
        <w:ind w:left="-5" w:right="4"/>
      </w:pPr>
      <w:r>
        <w:t xml:space="preserve">Ústavní právo </w:t>
      </w:r>
    </w:p>
    <w:p w:rsidR="009D1F29" w:rsidRDefault="009D1F29">
      <w:pPr>
        <w:spacing w:after="318" w:line="259" w:lineRule="auto"/>
        <w:ind w:left="-5" w:right="4"/>
      </w:pPr>
      <w:r>
        <w:t xml:space="preserve">Vlastnické právo </w:t>
      </w:r>
    </w:p>
    <w:p w:rsidR="009D1F29" w:rsidRDefault="009D1F29">
      <w:pPr>
        <w:spacing w:after="318" w:line="259" w:lineRule="auto"/>
        <w:ind w:left="-5" w:right="4"/>
      </w:pPr>
      <w:r>
        <w:t xml:space="preserve">Vlastnictví </w:t>
      </w:r>
    </w:p>
    <w:p w:rsidR="009D1F29" w:rsidRDefault="009D1F29" w:rsidP="002D42D4">
      <w:pPr>
        <w:spacing w:after="273" w:line="259" w:lineRule="auto"/>
        <w:ind w:left="-5" w:right="4"/>
      </w:pPr>
      <w:r>
        <w:t xml:space="preserve">Vydržení </w:t>
      </w: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rsidP="002D42D4">
      <w:pPr>
        <w:spacing w:after="273" w:line="259" w:lineRule="auto"/>
        <w:ind w:left="-5" w:right="4"/>
      </w:pPr>
    </w:p>
    <w:p w:rsidR="009D1F29" w:rsidRDefault="009D1F29">
      <w:pPr>
        <w:spacing w:after="0" w:line="259" w:lineRule="auto"/>
        <w:ind w:left="0" w:right="0" w:firstLine="0"/>
        <w:jc w:val="left"/>
      </w:pPr>
      <w:r>
        <w:t xml:space="preserve"> </w:t>
      </w:r>
    </w:p>
    <w:p w:rsidR="009D1F29" w:rsidRPr="00AA66D1" w:rsidRDefault="009D1F29" w:rsidP="002D42D4">
      <w:pPr>
        <w:pStyle w:val="Heading1"/>
        <w:numPr>
          <w:ilvl w:val="0"/>
          <w:numId w:val="0"/>
        </w:numPr>
        <w:spacing w:after="201"/>
        <w:rPr>
          <w:color w:val="auto"/>
        </w:rPr>
      </w:pPr>
      <w:bookmarkStart w:id="67" w:name="_Toc512979330"/>
      <w:bookmarkStart w:id="68" w:name="_Toc512979836"/>
      <w:r w:rsidRPr="00AA66D1">
        <w:rPr>
          <w:color w:val="auto"/>
        </w:rPr>
        <w:t>Key words</w:t>
      </w:r>
      <w:bookmarkEnd w:id="67"/>
      <w:bookmarkEnd w:id="68"/>
      <w:r w:rsidRPr="00AA66D1">
        <w:rPr>
          <w:color w:val="auto"/>
        </w:rPr>
        <w:t xml:space="preserve"> </w:t>
      </w:r>
    </w:p>
    <w:p w:rsidR="009D1F29" w:rsidRDefault="009D1F29">
      <w:pPr>
        <w:spacing w:after="273" w:line="259" w:lineRule="auto"/>
        <w:ind w:left="-5" w:right="4"/>
      </w:pPr>
      <w:r>
        <w:t xml:space="preserve">Acquisition of property from unlawful possessor </w:t>
      </w:r>
    </w:p>
    <w:p w:rsidR="009D1F29" w:rsidRDefault="009D1F29">
      <w:pPr>
        <w:spacing w:after="273" w:line="259" w:lineRule="auto"/>
        <w:ind w:left="-5" w:right="4"/>
      </w:pPr>
      <w:r>
        <w:t xml:space="preserve">Civil code </w:t>
      </w:r>
    </w:p>
    <w:p w:rsidR="009D1F29" w:rsidRDefault="009D1F29">
      <w:pPr>
        <w:spacing w:after="273" w:line="259" w:lineRule="auto"/>
        <w:ind w:left="-5" w:right="4"/>
      </w:pPr>
      <w:r>
        <w:t xml:space="preserve">Civil law </w:t>
      </w:r>
    </w:p>
    <w:p w:rsidR="009D1F29" w:rsidRDefault="009D1F29">
      <w:pPr>
        <w:spacing w:after="273" w:line="259" w:lineRule="auto"/>
        <w:ind w:left="-5" w:right="4"/>
      </w:pPr>
      <w:r>
        <w:t xml:space="preserve">Protection of ownership </w:t>
      </w:r>
    </w:p>
    <w:p w:rsidR="009D1F29" w:rsidRDefault="009D1F29">
      <w:pPr>
        <w:spacing w:after="276" w:line="259" w:lineRule="auto"/>
        <w:ind w:left="-5" w:right="4"/>
      </w:pPr>
      <w:r>
        <w:t xml:space="preserve">Conditions and orders in last will </w:t>
      </w:r>
    </w:p>
    <w:p w:rsidR="009D1F29" w:rsidRDefault="009D1F29">
      <w:pPr>
        <w:spacing w:after="274" w:line="259" w:lineRule="auto"/>
        <w:ind w:left="-5" w:right="4"/>
      </w:pPr>
      <w:r>
        <w:t xml:space="preserve">Socialism </w:t>
      </w:r>
    </w:p>
    <w:p w:rsidR="009D1F29" w:rsidRDefault="009D1F29">
      <w:pPr>
        <w:spacing w:after="273" w:line="259" w:lineRule="auto"/>
        <w:ind w:left="-5" w:right="4"/>
      </w:pPr>
      <w:r>
        <w:t xml:space="preserve">Constitution </w:t>
      </w:r>
    </w:p>
    <w:p w:rsidR="009D1F29" w:rsidRDefault="009D1F29">
      <w:pPr>
        <w:spacing w:after="273" w:line="259" w:lineRule="auto"/>
        <w:ind w:left="-5" w:right="4"/>
      </w:pPr>
      <w:r>
        <w:t xml:space="preserve">Constitutional law </w:t>
      </w:r>
    </w:p>
    <w:p w:rsidR="009D1F29" w:rsidRDefault="009D1F29">
      <w:pPr>
        <w:spacing w:after="273" w:line="259" w:lineRule="auto"/>
        <w:ind w:left="-5" w:right="4"/>
      </w:pPr>
      <w:r>
        <w:t xml:space="preserve">Property right </w:t>
      </w:r>
    </w:p>
    <w:p w:rsidR="009D1F29" w:rsidRDefault="009D1F29">
      <w:pPr>
        <w:spacing w:after="273" w:line="259" w:lineRule="auto"/>
        <w:ind w:left="-5" w:right="4"/>
      </w:pPr>
      <w:r>
        <w:t xml:space="preserve">Ownership </w:t>
      </w:r>
    </w:p>
    <w:p w:rsidR="009D1F29" w:rsidRDefault="009D1F29">
      <w:pPr>
        <w:spacing w:after="273" w:line="259" w:lineRule="auto"/>
        <w:ind w:left="0" w:right="0" w:firstLine="0"/>
        <w:jc w:val="left"/>
      </w:pPr>
      <w:r>
        <w:rPr>
          <w:color w:val="222222"/>
        </w:rPr>
        <w:t>Acquisitive prescription</w:t>
      </w:r>
      <w:r>
        <w:t xml:space="preserve"> </w:t>
      </w:r>
    </w:p>
    <w:p w:rsidR="009D1F29" w:rsidRDefault="009D1F29">
      <w:pPr>
        <w:spacing w:after="0" w:line="259" w:lineRule="auto"/>
        <w:ind w:left="0" w:right="0" w:firstLine="0"/>
        <w:jc w:val="left"/>
      </w:pPr>
      <w:r>
        <w:t xml:space="preserve"> </w:t>
      </w:r>
    </w:p>
    <w:sectPr w:rsidR="009D1F29" w:rsidSect="00F74355">
      <w:footerReference w:type="even" r:id="rId9"/>
      <w:footerReference w:type="default" r:id="rId10"/>
      <w:footerReference w:type="first" r:id="rId11"/>
      <w:pgSz w:w="11906" w:h="16838"/>
      <w:pgMar w:top="1418" w:right="1134" w:bottom="1418" w:left="1701" w:header="709" w:footer="70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F29" w:rsidRDefault="009D1F29">
      <w:pPr>
        <w:spacing w:after="0" w:line="240" w:lineRule="auto"/>
      </w:pPr>
      <w:r>
        <w:separator/>
      </w:r>
    </w:p>
  </w:endnote>
  <w:endnote w:type="continuationSeparator" w:id="0">
    <w:p w:rsidR="009D1F29" w:rsidRDefault="009D1F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F29" w:rsidRDefault="009D1F29">
    <w:pPr>
      <w:spacing w:after="0" w:line="259" w:lineRule="auto"/>
      <w:ind w:left="0" w:right="7" w:firstLine="0"/>
      <w:jc w:val="center"/>
    </w:pPr>
    <w:fldSimple w:instr=" PAGE   \* MERGEFORMAT ">
      <w:r>
        <w:t>2</w:t>
      </w:r>
    </w:fldSimple>
    <w:r>
      <w:t xml:space="preserve"> </w:t>
    </w:r>
  </w:p>
  <w:p w:rsidR="009D1F29" w:rsidRDefault="009D1F29">
    <w:pPr>
      <w:spacing w:after="0" w:line="259" w:lineRule="auto"/>
      <w:ind w:left="0" w:right="0" w:firstLine="0"/>
      <w:jc w:val="left"/>
    </w:pPr>
    <w: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F29" w:rsidRDefault="009D1F29">
    <w:pPr>
      <w:spacing w:after="0" w:line="259" w:lineRule="auto"/>
      <w:ind w:left="0" w:right="7" w:firstLine="0"/>
      <w:jc w:val="center"/>
    </w:pPr>
    <w:fldSimple w:instr=" PAGE   \* MERGEFORMAT ">
      <w:r>
        <w:rPr>
          <w:noProof/>
        </w:rPr>
        <w:t>3</w:t>
      </w:r>
    </w:fldSimple>
    <w:r>
      <w:t xml:space="preserve"> </w:t>
    </w:r>
  </w:p>
  <w:p w:rsidR="009D1F29" w:rsidRDefault="009D1F29">
    <w:pPr>
      <w:spacing w:after="0" w:line="259" w:lineRule="auto"/>
      <w:ind w:left="0" w:right="0" w:firstLine="0"/>
      <w:jc w:val="left"/>
    </w:pPr>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F29" w:rsidRDefault="009D1F29">
    <w:pPr>
      <w:spacing w:after="16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F29" w:rsidRDefault="009D1F29">
      <w:pPr>
        <w:spacing w:after="12" w:line="259" w:lineRule="auto"/>
        <w:ind w:left="0" w:right="0" w:firstLine="0"/>
        <w:jc w:val="left"/>
      </w:pPr>
      <w:r>
        <w:separator/>
      </w:r>
    </w:p>
  </w:footnote>
  <w:footnote w:type="continuationSeparator" w:id="0">
    <w:p w:rsidR="009D1F29" w:rsidRDefault="009D1F29">
      <w:pPr>
        <w:spacing w:after="12" w:line="259" w:lineRule="auto"/>
        <w:ind w:left="0" w:right="0" w:firstLine="0"/>
        <w:jc w:val="left"/>
      </w:pPr>
      <w:r>
        <w:continuationSeparator/>
      </w:r>
    </w:p>
  </w:footnote>
  <w:footnote w:id="1">
    <w:p w:rsidR="009D1F29" w:rsidRDefault="009D1F29" w:rsidP="00C5328D">
      <w:pPr>
        <w:pStyle w:val="footnotedescription"/>
        <w:spacing w:after="12" w:line="240" w:lineRule="auto"/>
        <w:jc w:val="both"/>
      </w:pPr>
      <w:r w:rsidRPr="0093406B">
        <w:rPr>
          <w:rStyle w:val="footnotemark"/>
          <w:szCs w:val="20"/>
        </w:rPr>
        <w:footnoteRef/>
      </w:r>
      <w:r w:rsidRPr="0093406B">
        <w:rPr>
          <w:sz w:val="20"/>
          <w:szCs w:val="20"/>
        </w:rPr>
        <w:t xml:space="preserve"> KLÍMA, Karel a kol.</w:t>
      </w:r>
      <w:r w:rsidRPr="0093406B">
        <w:rPr>
          <w:i/>
          <w:sz w:val="20"/>
          <w:szCs w:val="20"/>
        </w:rPr>
        <w:t xml:space="preserve"> Komentář k Ústavě a Listině. 2. díl.</w:t>
      </w:r>
      <w:r>
        <w:rPr>
          <w:sz w:val="20"/>
          <w:szCs w:val="20"/>
        </w:rPr>
        <w:t xml:space="preserve"> 2. vyd. Plzeň: Aleš Čeněk, </w:t>
      </w:r>
      <w:r w:rsidRPr="0093406B">
        <w:rPr>
          <w:sz w:val="20"/>
          <w:szCs w:val="20"/>
        </w:rPr>
        <w:t>2009, s. 1045.</w:t>
      </w:r>
      <w:r w:rsidRPr="0093406B">
        <w:rPr>
          <w:rFonts w:ascii="Book Antiqua" w:hAnsi="Book Antiqua" w:cs="Book Antiqua"/>
          <w:sz w:val="20"/>
          <w:szCs w:val="20"/>
        </w:rPr>
        <w:t xml:space="preserve"> </w:t>
      </w:r>
    </w:p>
  </w:footnote>
  <w:footnote w:id="2">
    <w:p w:rsidR="009D1F29" w:rsidRDefault="009D1F29" w:rsidP="00C5328D">
      <w:pPr>
        <w:pStyle w:val="footnotedescription"/>
        <w:spacing w:after="0" w:line="240" w:lineRule="auto"/>
        <w:jc w:val="both"/>
      </w:pPr>
      <w:r w:rsidRPr="0093406B">
        <w:rPr>
          <w:rStyle w:val="footnotemark"/>
          <w:szCs w:val="20"/>
        </w:rPr>
        <w:footnoteRef/>
      </w:r>
      <w:r w:rsidRPr="0093406B">
        <w:rPr>
          <w:sz w:val="20"/>
          <w:szCs w:val="20"/>
        </w:rPr>
        <w:t xml:space="preserve"> FILIP, Jan. Občanský zákoník bez ústavy (ke 200. výročí ABGB). </w:t>
      </w:r>
      <w:r w:rsidRPr="0093406B">
        <w:rPr>
          <w:i/>
          <w:sz w:val="20"/>
          <w:szCs w:val="20"/>
        </w:rPr>
        <w:t>Časopis pro právní vědu a praxi</w:t>
      </w:r>
      <w:r w:rsidRPr="0093406B">
        <w:rPr>
          <w:sz w:val="20"/>
          <w:szCs w:val="20"/>
        </w:rPr>
        <w:t xml:space="preserve">, 2011, </w:t>
      </w:r>
      <w:r>
        <w:rPr>
          <w:sz w:val="20"/>
          <w:szCs w:val="20"/>
        </w:rPr>
        <w:br/>
      </w:r>
      <w:r w:rsidRPr="0093406B">
        <w:rPr>
          <w:sz w:val="20"/>
          <w:szCs w:val="20"/>
        </w:rPr>
        <w:t>roč. 19, č. 2, s. 103-107.</w:t>
      </w:r>
      <w:r>
        <w:rPr>
          <w:rFonts w:ascii="Calibri" w:hAnsi="Calibri" w:cs="Calibri"/>
          <w:sz w:val="21"/>
        </w:rPr>
        <w:t xml:space="preserve"> </w:t>
      </w:r>
    </w:p>
  </w:footnote>
  <w:footnote w:id="3">
    <w:p w:rsidR="009D1F29" w:rsidRDefault="009D1F29">
      <w:pPr>
        <w:pStyle w:val="footnotedescription"/>
        <w:spacing w:after="0"/>
      </w:pPr>
      <w:r w:rsidRPr="007E7EA7">
        <w:rPr>
          <w:rStyle w:val="footnotemark"/>
          <w:szCs w:val="20"/>
        </w:rPr>
        <w:footnoteRef/>
      </w:r>
      <w:r w:rsidRPr="007E7EA7">
        <w:rPr>
          <w:sz w:val="20"/>
          <w:szCs w:val="20"/>
        </w:rPr>
        <w:t xml:space="preserve"> VARVAŘOVSKÝ, Pavel. </w:t>
      </w:r>
      <w:r w:rsidRPr="007E7EA7">
        <w:rPr>
          <w:i/>
          <w:sz w:val="20"/>
          <w:szCs w:val="20"/>
        </w:rPr>
        <w:t>Základy práva – o právu, státě a moci</w:t>
      </w:r>
      <w:r w:rsidRPr="007E7EA7">
        <w:rPr>
          <w:sz w:val="20"/>
          <w:szCs w:val="20"/>
        </w:rPr>
        <w:t>. Praha: Wolters Kluwer, 2004, s. 163.</w:t>
      </w:r>
      <w:r w:rsidRPr="007E7EA7">
        <w:rPr>
          <w:rFonts w:ascii="Book Antiqua" w:hAnsi="Book Antiqua" w:cs="Book Antiqua"/>
          <w:sz w:val="20"/>
          <w:szCs w:val="20"/>
        </w:rPr>
        <w:t xml:space="preserve"> </w:t>
      </w:r>
    </w:p>
  </w:footnote>
  <w:footnote w:id="4">
    <w:p w:rsidR="009D1F29" w:rsidRDefault="009D1F29" w:rsidP="00C5328D">
      <w:pPr>
        <w:pStyle w:val="footnotedescription"/>
        <w:spacing w:after="8" w:line="240" w:lineRule="auto"/>
      </w:pPr>
      <w:r w:rsidRPr="007E7EA7">
        <w:rPr>
          <w:rStyle w:val="footnotemark"/>
          <w:szCs w:val="20"/>
        </w:rPr>
        <w:footnoteRef/>
      </w:r>
      <w:r w:rsidRPr="007E7EA7">
        <w:rPr>
          <w:sz w:val="20"/>
          <w:szCs w:val="20"/>
        </w:rPr>
        <w:t xml:space="preserve"> PLATÓN. </w:t>
      </w:r>
      <w:r w:rsidRPr="007E7EA7">
        <w:rPr>
          <w:i/>
          <w:sz w:val="20"/>
          <w:szCs w:val="20"/>
        </w:rPr>
        <w:t>Ústava</w:t>
      </w:r>
      <w:r w:rsidRPr="007E7EA7">
        <w:rPr>
          <w:sz w:val="20"/>
          <w:szCs w:val="20"/>
        </w:rPr>
        <w:t>. Praha: Svoboda, 1993, s. 187.</w:t>
      </w:r>
      <w:r w:rsidRPr="007E7EA7">
        <w:rPr>
          <w:rFonts w:ascii="Calibri" w:hAnsi="Calibri" w:cs="Calibri"/>
          <w:sz w:val="20"/>
          <w:szCs w:val="20"/>
        </w:rPr>
        <w:t xml:space="preserve"> </w:t>
      </w:r>
    </w:p>
  </w:footnote>
  <w:footnote w:id="5">
    <w:p w:rsidR="009D1F29" w:rsidRDefault="009D1F29" w:rsidP="00C5328D">
      <w:pPr>
        <w:pStyle w:val="footnotedescription"/>
        <w:spacing w:after="0" w:line="240" w:lineRule="auto"/>
      </w:pPr>
      <w:r w:rsidRPr="007E7EA7">
        <w:rPr>
          <w:rStyle w:val="footnotemark"/>
          <w:szCs w:val="20"/>
        </w:rPr>
        <w:footnoteRef/>
      </w:r>
      <w:r w:rsidRPr="007E7EA7">
        <w:rPr>
          <w:sz w:val="20"/>
          <w:szCs w:val="20"/>
        </w:rPr>
        <w:t xml:space="preserve"> LOCKE, John. </w:t>
      </w:r>
      <w:r w:rsidRPr="007E7EA7">
        <w:rPr>
          <w:i/>
          <w:sz w:val="20"/>
          <w:szCs w:val="20"/>
        </w:rPr>
        <w:t>Dvě pojednání o vládě.</w:t>
      </w:r>
      <w:r w:rsidRPr="007E7EA7">
        <w:rPr>
          <w:sz w:val="20"/>
          <w:szCs w:val="20"/>
        </w:rPr>
        <w:t xml:space="preserve"> Praha: Československá akademie věd, 1965, s. 152-154.</w:t>
      </w:r>
      <w:r w:rsidRPr="007E7EA7">
        <w:rPr>
          <w:rFonts w:ascii="Calibri" w:hAnsi="Calibri" w:cs="Calibri"/>
          <w:sz w:val="20"/>
          <w:szCs w:val="20"/>
        </w:rPr>
        <w:t xml:space="preserve"> </w:t>
      </w:r>
    </w:p>
  </w:footnote>
  <w:footnote w:id="6">
    <w:p w:rsidR="009D1F29" w:rsidRDefault="009D1F29" w:rsidP="00C5328D">
      <w:pPr>
        <w:pStyle w:val="footnotedescription"/>
        <w:spacing w:after="0" w:line="240" w:lineRule="auto"/>
      </w:pPr>
      <w:r w:rsidRPr="007E7EA7">
        <w:rPr>
          <w:rStyle w:val="footnotemark"/>
          <w:szCs w:val="20"/>
        </w:rPr>
        <w:footnoteRef/>
      </w:r>
      <w:r w:rsidRPr="007E7EA7">
        <w:rPr>
          <w:sz w:val="20"/>
          <w:szCs w:val="20"/>
        </w:rPr>
        <w:t xml:space="preserve"> ROUSSEAU, Jean Jacques. </w:t>
      </w:r>
      <w:r w:rsidRPr="007E7EA7">
        <w:rPr>
          <w:i/>
          <w:sz w:val="20"/>
          <w:szCs w:val="20"/>
        </w:rPr>
        <w:t>O původu nerovnosti mezi lidmi.</w:t>
      </w:r>
      <w:r w:rsidRPr="007E7EA7">
        <w:rPr>
          <w:sz w:val="20"/>
          <w:szCs w:val="20"/>
        </w:rPr>
        <w:t xml:space="preserve"> Praha: Svoboda, 1949, s. 61.</w:t>
      </w:r>
      <w:r w:rsidRPr="007E7EA7">
        <w:rPr>
          <w:rFonts w:ascii="Calibri" w:hAnsi="Calibri" w:cs="Calibri"/>
          <w:sz w:val="20"/>
          <w:szCs w:val="20"/>
        </w:rPr>
        <w:t xml:space="preserve"> </w:t>
      </w:r>
    </w:p>
  </w:footnote>
  <w:footnote w:id="7">
    <w:p w:rsidR="009D1F29" w:rsidRDefault="009D1F29" w:rsidP="00C5328D">
      <w:pPr>
        <w:pStyle w:val="footnotedescription"/>
        <w:spacing w:after="21" w:line="240" w:lineRule="auto"/>
        <w:jc w:val="both"/>
      </w:pPr>
      <w:r w:rsidRPr="007E7EA7">
        <w:rPr>
          <w:rStyle w:val="footnotemark"/>
          <w:szCs w:val="20"/>
        </w:rPr>
        <w:footnoteRef/>
      </w:r>
      <w:r w:rsidRPr="007E7EA7">
        <w:rPr>
          <w:sz w:val="20"/>
          <w:szCs w:val="20"/>
        </w:rPr>
        <w:t xml:space="preserve"> KUDRNA, Jaroslav. K Hegelovým základům filosofie práva. In </w:t>
      </w:r>
      <w:r w:rsidRPr="007E7EA7">
        <w:rPr>
          <w:i/>
          <w:sz w:val="20"/>
          <w:szCs w:val="20"/>
        </w:rPr>
        <w:t>Základy filosofie práva</w:t>
      </w:r>
      <w:r w:rsidRPr="007E7EA7">
        <w:rPr>
          <w:sz w:val="20"/>
          <w:szCs w:val="20"/>
        </w:rPr>
        <w:t>. Praha: Academia, 1992, s. 12-15.</w:t>
      </w:r>
      <w:r w:rsidRPr="007E7EA7">
        <w:rPr>
          <w:rFonts w:ascii="Calibri" w:hAnsi="Calibri" w:cs="Calibri"/>
          <w:sz w:val="20"/>
          <w:szCs w:val="20"/>
        </w:rPr>
        <w:t xml:space="preserve"> </w:t>
      </w:r>
    </w:p>
  </w:footnote>
  <w:footnote w:id="8">
    <w:p w:rsidR="009D1F29" w:rsidRDefault="009D1F29" w:rsidP="00C5328D">
      <w:pPr>
        <w:pStyle w:val="footnotedescription"/>
        <w:spacing w:after="0" w:line="240" w:lineRule="auto"/>
      </w:pPr>
      <w:r w:rsidRPr="007E7EA7">
        <w:rPr>
          <w:rStyle w:val="footnotemark"/>
          <w:szCs w:val="20"/>
        </w:rPr>
        <w:footnoteRef/>
      </w:r>
      <w:r w:rsidRPr="007E7EA7">
        <w:rPr>
          <w:sz w:val="20"/>
          <w:szCs w:val="20"/>
        </w:rPr>
        <w:t xml:space="preserve"> TOMEK, Václav, SLAČÁLEK, Ondřej.  </w:t>
      </w:r>
      <w:r w:rsidRPr="007E7EA7">
        <w:rPr>
          <w:i/>
          <w:sz w:val="20"/>
          <w:szCs w:val="20"/>
        </w:rPr>
        <w:t>Anarchismus. Svoboda proti moci.</w:t>
      </w:r>
      <w:r w:rsidRPr="007E7EA7">
        <w:rPr>
          <w:sz w:val="20"/>
          <w:szCs w:val="20"/>
        </w:rPr>
        <w:t xml:space="preserve"> Praha: Vyšehrad, 2006, s. 26.</w:t>
      </w:r>
      <w:r>
        <w:rPr>
          <w:rFonts w:ascii="Calibri" w:hAnsi="Calibri" w:cs="Calibri"/>
          <w:sz w:val="21"/>
        </w:rPr>
        <w:t xml:space="preserve"> </w:t>
      </w:r>
    </w:p>
  </w:footnote>
  <w:footnote w:id="9">
    <w:p w:rsidR="009D1F29" w:rsidRDefault="009D1F29" w:rsidP="00C5328D">
      <w:pPr>
        <w:pStyle w:val="footnotedescription"/>
        <w:spacing w:after="0" w:line="240" w:lineRule="auto"/>
        <w:jc w:val="both"/>
      </w:pPr>
      <w:r w:rsidRPr="00CD3852">
        <w:rPr>
          <w:rStyle w:val="footnotemark"/>
          <w:szCs w:val="20"/>
        </w:rPr>
        <w:footnoteRef/>
      </w:r>
      <w:r w:rsidRPr="00CD3852">
        <w:rPr>
          <w:sz w:val="20"/>
          <w:szCs w:val="20"/>
        </w:rPr>
        <w:t xml:space="preserve"> MARX, Karel, ENGELS, Friedrich. </w:t>
      </w:r>
      <w:r w:rsidRPr="00CD3852">
        <w:rPr>
          <w:i/>
          <w:sz w:val="20"/>
          <w:szCs w:val="20"/>
        </w:rPr>
        <w:t>Manifest Komunistické strany</w:t>
      </w:r>
      <w:r w:rsidRPr="00CD3852">
        <w:rPr>
          <w:sz w:val="20"/>
          <w:szCs w:val="20"/>
        </w:rPr>
        <w:t>. 2. vyd. Praha: Svoboda, 1949, s. 40-45.</w:t>
      </w:r>
      <w:r w:rsidRPr="00CD3852">
        <w:rPr>
          <w:rFonts w:ascii="Calibri" w:hAnsi="Calibri" w:cs="Calibri"/>
          <w:sz w:val="20"/>
          <w:szCs w:val="20"/>
        </w:rPr>
        <w:t xml:space="preserve"> </w:t>
      </w:r>
    </w:p>
  </w:footnote>
  <w:footnote w:id="10">
    <w:p w:rsidR="009D1F29" w:rsidRDefault="009D1F29" w:rsidP="00C5328D">
      <w:pPr>
        <w:pStyle w:val="footnotedescription"/>
        <w:spacing w:after="25" w:line="240" w:lineRule="auto"/>
        <w:jc w:val="both"/>
      </w:pPr>
      <w:r w:rsidRPr="00CD3852">
        <w:rPr>
          <w:rStyle w:val="footnotemark"/>
          <w:szCs w:val="20"/>
        </w:rPr>
        <w:footnoteRef/>
      </w:r>
      <w:r w:rsidRPr="00CD3852">
        <w:rPr>
          <w:sz w:val="20"/>
          <w:szCs w:val="20"/>
        </w:rPr>
        <w:t xml:space="preserve"> ŠVESTKA, Jiří, SPÁČIL Jiří, ŠKÁROVÁ, Marta, HULMÁK, Milan a kol. </w:t>
      </w:r>
      <w:r w:rsidRPr="00CD3852">
        <w:rPr>
          <w:i/>
          <w:sz w:val="20"/>
          <w:szCs w:val="20"/>
        </w:rPr>
        <w:t>Občanský zákoník I, II</w:t>
      </w:r>
      <w:r w:rsidRPr="00CD3852">
        <w:rPr>
          <w:sz w:val="20"/>
          <w:szCs w:val="20"/>
        </w:rPr>
        <w:t xml:space="preserve">. </w:t>
      </w:r>
      <w:r w:rsidRPr="00CD3852">
        <w:rPr>
          <w:i/>
          <w:sz w:val="20"/>
          <w:szCs w:val="20"/>
        </w:rPr>
        <w:t>Komentář</w:t>
      </w:r>
      <w:r w:rsidRPr="00CD3852">
        <w:rPr>
          <w:sz w:val="20"/>
          <w:szCs w:val="20"/>
        </w:rPr>
        <w:t>. 2. vyd. Praha: C.H. Beck, 2009, s. 620.</w:t>
      </w:r>
      <w:r>
        <w:rPr>
          <w:rFonts w:ascii="Book Antiqua" w:hAnsi="Book Antiqua" w:cs="Book Antiqua"/>
        </w:rPr>
        <w:t xml:space="preserve"> </w:t>
      </w:r>
    </w:p>
  </w:footnote>
  <w:footnote w:id="11">
    <w:p w:rsidR="009D1F29" w:rsidRDefault="009D1F29" w:rsidP="00C5328D">
      <w:pPr>
        <w:pStyle w:val="footnotedescription"/>
        <w:spacing w:after="0" w:line="240" w:lineRule="auto"/>
        <w:jc w:val="both"/>
      </w:pPr>
      <w:r w:rsidRPr="00D77CB5">
        <w:rPr>
          <w:rStyle w:val="footnotemark"/>
          <w:szCs w:val="20"/>
        </w:rPr>
        <w:footnoteRef/>
      </w:r>
      <w:r w:rsidRPr="00D77CB5">
        <w:rPr>
          <w:sz w:val="20"/>
          <w:szCs w:val="20"/>
        </w:rPr>
        <w:t xml:space="preserve"> KINCL, Jaromír, URFUS, Valentin, SKŘEJPEK, Michal.</w:t>
      </w:r>
      <w:r w:rsidRPr="00D77CB5">
        <w:rPr>
          <w:i/>
          <w:sz w:val="20"/>
          <w:szCs w:val="20"/>
        </w:rPr>
        <w:t xml:space="preserve"> Římské právo</w:t>
      </w:r>
      <w:r w:rsidRPr="00D77CB5">
        <w:rPr>
          <w:sz w:val="20"/>
          <w:szCs w:val="20"/>
        </w:rPr>
        <w:t xml:space="preserve">. 2. vyd. Praha: C.H. Beck, 1995, </w:t>
      </w:r>
      <w:r>
        <w:rPr>
          <w:sz w:val="20"/>
          <w:szCs w:val="20"/>
        </w:rPr>
        <w:br/>
      </w:r>
      <w:r w:rsidRPr="00D77CB5">
        <w:rPr>
          <w:sz w:val="20"/>
          <w:szCs w:val="20"/>
        </w:rPr>
        <w:t>s. 153.</w:t>
      </w:r>
      <w:r w:rsidRPr="00D77CB5">
        <w:rPr>
          <w:rFonts w:ascii="Book Antiqua" w:hAnsi="Book Antiqua" w:cs="Book Antiqua"/>
          <w:sz w:val="20"/>
          <w:szCs w:val="20"/>
        </w:rPr>
        <w:t xml:space="preserve"> </w:t>
      </w:r>
    </w:p>
  </w:footnote>
  <w:footnote w:id="12">
    <w:p w:rsidR="009D1F29" w:rsidRDefault="009D1F29" w:rsidP="00C5328D">
      <w:pPr>
        <w:pStyle w:val="FootnoteText"/>
        <w:spacing w:line="240" w:lineRule="auto"/>
      </w:pPr>
      <w:r w:rsidRPr="00D77CB5">
        <w:rPr>
          <w:rStyle w:val="FootnoteReference"/>
        </w:rPr>
        <w:footnoteRef/>
      </w:r>
      <w:r w:rsidRPr="00D77CB5">
        <w:t xml:space="preserve"> PETR, Bohuslav. </w:t>
      </w:r>
      <w:r w:rsidRPr="00D77CB5">
        <w:rPr>
          <w:i/>
        </w:rPr>
        <w:t>Nabývání vlastnictví originárním způsobem</w:t>
      </w:r>
      <w:r w:rsidRPr="00D77CB5">
        <w:t>. Praha: C.H. Beck, 2011, s. 3-4.</w:t>
      </w:r>
    </w:p>
  </w:footnote>
  <w:footnote w:id="13">
    <w:p w:rsidR="009D1F29" w:rsidRDefault="009D1F29" w:rsidP="00C5328D">
      <w:pPr>
        <w:pStyle w:val="footnotedescription"/>
        <w:spacing w:after="8" w:line="240" w:lineRule="auto"/>
        <w:jc w:val="both"/>
      </w:pPr>
      <w:r w:rsidRPr="00D77CB5">
        <w:rPr>
          <w:rStyle w:val="footnotemark"/>
          <w:szCs w:val="20"/>
        </w:rPr>
        <w:footnoteRef/>
      </w:r>
      <w:r w:rsidRPr="00D77CB5">
        <w:rPr>
          <w:sz w:val="20"/>
          <w:szCs w:val="20"/>
        </w:rPr>
        <w:t xml:space="preserve"> RANDA, Antonín</w:t>
      </w:r>
      <w:r w:rsidRPr="00D77CB5">
        <w:rPr>
          <w:i/>
          <w:sz w:val="20"/>
          <w:szCs w:val="20"/>
        </w:rPr>
        <w:t>. Právo vlastnické dle rakouského práva v pořádku systematickém</w:t>
      </w:r>
      <w:r w:rsidRPr="00D77CB5">
        <w:rPr>
          <w:sz w:val="20"/>
          <w:szCs w:val="20"/>
        </w:rPr>
        <w:t>. 7. vyd. Praha: Česká akademie pro vědy, slovesnost a umění, 1922, s. 1.</w:t>
      </w:r>
      <w:r w:rsidRPr="00D77CB5">
        <w:rPr>
          <w:rFonts w:ascii="Calibri" w:hAnsi="Calibri" w:cs="Calibri"/>
          <w:sz w:val="20"/>
          <w:szCs w:val="20"/>
        </w:rPr>
        <w:t xml:space="preserve"> </w:t>
      </w:r>
    </w:p>
  </w:footnote>
  <w:footnote w:id="14">
    <w:p w:rsidR="009D1F29" w:rsidRDefault="009D1F29" w:rsidP="00C5328D">
      <w:pPr>
        <w:pStyle w:val="footnotedescription"/>
        <w:spacing w:after="0" w:line="240" w:lineRule="auto"/>
        <w:ind w:right="13"/>
        <w:jc w:val="both"/>
      </w:pPr>
      <w:r w:rsidRPr="00D77CB5">
        <w:rPr>
          <w:rStyle w:val="footnotemark"/>
          <w:szCs w:val="20"/>
        </w:rPr>
        <w:footnoteRef/>
      </w:r>
      <w:r w:rsidRPr="00D77CB5">
        <w:rPr>
          <w:sz w:val="20"/>
          <w:szCs w:val="20"/>
        </w:rPr>
        <w:t xml:space="preserve"> ROUČEK, František., SEDLÁČEK, Jaromír.</w:t>
      </w:r>
      <w:r w:rsidRPr="00D77CB5">
        <w:rPr>
          <w:i/>
          <w:sz w:val="20"/>
          <w:szCs w:val="20"/>
        </w:rPr>
        <w:t xml:space="preserve"> Komentář k československému obecnému zákoníku občanskému a občanské právo platné na Slovensku a v Podkarpatské Rusi.</w:t>
      </w:r>
      <w:r w:rsidRPr="00D77CB5">
        <w:rPr>
          <w:sz w:val="20"/>
          <w:szCs w:val="20"/>
        </w:rPr>
        <w:t xml:space="preserve"> Díl II. Praha: V. Linhart, 1935, s. 198 a násl.</w:t>
      </w:r>
      <w:r w:rsidRPr="00382934">
        <w:rPr>
          <w:rFonts w:ascii="Calibri" w:hAnsi="Calibri" w:cs="Calibri"/>
          <w:sz w:val="20"/>
          <w:szCs w:val="20"/>
        </w:rPr>
        <w:t xml:space="preserve"> </w:t>
      </w:r>
    </w:p>
  </w:footnote>
  <w:footnote w:id="15">
    <w:p w:rsidR="009D1F29" w:rsidRDefault="009D1F29" w:rsidP="00BB3214">
      <w:pPr>
        <w:pStyle w:val="FootnoteText"/>
        <w:spacing w:line="240" w:lineRule="auto"/>
      </w:pPr>
      <w:r w:rsidRPr="00074E5A">
        <w:rPr>
          <w:rStyle w:val="FootnoteReference"/>
        </w:rPr>
        <w:footnoteRef/>
      </w:r>
      <w:r w:rsidRPr="00074E5A">
        <w:t xml:space="preserve"> VENEDIKTOV, Anatolij Vasil. </w:t>
      </w:r>
      <w:r w:rsidRPr="00074E5A">
        <w:rPr>
          <w:i/>
        </w:rPr>
        <w:t>Státní socialistické vlastnictví</w:t>
      </w:r>
      <w:r w:rsidRPr="00074E5A">
        <w:t>. Svazek I. Praha: Orbis, 1952, s 31.</w:t>
      </w:r>
    </w:p>
  </w:footnote>
  <w:footnote w:id="16">
    <w:p w:rsidR="009D1F29" w:rsidRDefault="009D1F29" w:rsidP="00BB3214">
      <w:pPr>
        <w:pStyle w:val="footnotedescription"/>
        <w:spacing w:after="12" w:line="240" w:lineRule="auto"/>
        <w:jc w:val="both"/>
      </w:pPr>
      <w:r w:rsidRPr="00074E5A">
        <w:rPr>
          <w:rStyle w:val="footnotemark"/>
          <w:szCs w:val="20"/>
        </w:rPr>
        <w:footnoteRef/>
      </w:r>
      <w:r w:rsidRPr="00074E5A">
        <w:rPr>
          <w:sz w:val="20"/>
          <w:szCs w:val="20"/>
        </w:rPr>
        <w:t xml:space="preserve"> KNAPP, Viktor. </w:t>
      </w:r>
      <w:r w:rsidRPr="00074E5A">
        <w:rPr>
          <w:i/>
          <w:sz w:val="20"/>
          <w:szCs w:val="20"/>
        </w:rPr>
        <w:t>Vlastnictví v lidové demokracii.</w:t>
      </w:r>
      <w:r w:rsidRPr="00074E5A">
        <w:rPr>
          <w:sz w:val="20"/>
          <w:szCs w:val="20"/>
        </w:rPr>
        <w:t xml:space="preserve"> Praha: Orbis, 1952, s. 41 a násl.</w:t>
      </w:r>
      <w:r w:rsidRPr="00074E5A">
        <w:rPr>
          <w:rFonts w:ascii="Calibri" w:hAnsi="Calibri" w:cs="Calibri"/>
          <w:sz w:val="20"/>
          <w:szCs w:val="20"/>
        </w:rPr>
        <w:t xml:space="preserve"> </w:t>
      </w:r>
    </w:p>
  </w:footnote>
  <w:footnote w:id="17">
    <w:p w:rsidR="009D1F29" w:rsidRDefault="009D1F29" w:rsidP="00BB3214">
      <w:pPr>
        <w:pStyle w:val="footnotedescription"/>
        <w:spacing w:after="11" w:line="240" w:lineRule="auto"/>
        <w:jc w:val="both"/>
      </w:pPr>
      <w:r w:rsidRPr="00074E5A">
        <w:rPr>
          <w:rStyle w:val="footnotemark"/>
          <w:szCs w:val="20"/>
        </w:rPr>
        <w:footnoteRef/>
      </w:r>
      <w:r w:rsidRPr="00074E5A">
        <w:rPr>
          <w:sz w:val="20"/>
          <w:szCs w:val="20"/>
        </w:rPr>
        <w:t xml:space="preserve"> </w:t>
      </w:r>
      <w:r w:rsidRPr="00074E5A">
        <w:rPr>
          <w:i/>
          <w:sz w:val="20"/>
          <w:szCs w:val="20"/>
        </w:rPr>
        <w:t>Důvodová zpráva k zákonu č. 89/2012 Sb., občanský zákoník.</w:t>
      </w:r>
      <w:r w:rsidRPr="00074E5A">
        <w:rPr>
          <w:sz w:val="20"/>
          <w:szCs w:val="20"/>
        </w:rPr>
        <w:t xml:space="preserve"> Sněmovní tisk 839/0.</w:t>
      </w:r>
      <w:r>
        <w:rPr>
          <w:rFonts w:ascii="Calibri" w:hAnsi="Calibri" w:cs="Calibri"/>
          <w:sz w:val="21"/>
        </w:rPr>
        <w:t xml:space="preserve"> </w:t>
      </w:r>
    </w:p>
  </w:footnote>
  <w:footnote w:id="18">
    <w:p w:rsidR="009D1F29" w:rsidRDefault="009D1F29" w:rsidP="00C5328D">
      <w:pPr>
        <w:pStyle w:val="footnotedescription"/>
        <w:spacing w:after="18" w:line="240" w:lineRule="auto"/>
        <w:jc w:val="both"/>
      </w:pPr>
      <w:r w:rsidRPr="00C5328D">
        <w:rPr>
          <w:rStyle w:val="footnotemark"/>
          <w:szCs w:val="20"/>
        </w:rPr>
        <w:footnoteRef/>
      </w:r>
      <w:r w:rsidRPr="00C5328D">
        <w:rPr>
          <w:sz w:val="20"/>
          <w:szCs w:val="20"/>
        </w:rPr>
        <w:t xml:space="preserve"> KRČMÁŘ, Jan. </w:t>
      </w:r>
      <w:r w:rsidRPr="00C5328D">
        <w:rPr>
          <w:i/>
          <w:sz w:val="20"/>
          <w:szCs w:val="20"/>
        </w:rPr>
        <w:t>Právo občanské. Díl II. Práva věcná</w:t>
      </w:r>
      <w:r w:rsidRPr="00C5328D">
        <w:rPr>
          <w:sz w:val="20"/>
          <w:szCs w:val="20"/>
        </w:rPr>
        <w:t xml:space="preserve">. </w:t>
      </w:r>
      <w:r w:rsidRPr="00C5328D">
        <w:rPr>
          <w:i/>
          <w:sz w:val="20"/>
          <w:szCs w:val="20"/>
        </w:rPr>
        <w:t>Komentář</w:t>
      </w:r>
      <w:r w:rsidRPr="00C5328D">
        <w:rPr>
          <w:sz w:val="20"/>
          <w:szCs w:val="20"/>
        </w:rPr>
        <w:t>. 3. dopl. vyd. Praha: Knihovna sborníku věd právních a státních, 1946, s. 95.</w:t>
      </w:r>
      <w:r w:rsidRPr="00C5328D">
        <w:rPr>
          <w:rFonts w:ascii="Book Antiqua" w:hAnsi="Book Antiqua" w:cs="Book Antiqua"/>
          <w:sz w:val="20"/>
          <w:szCs w:val="20"/>
        </w:rPr>
        <w:t xml:space="preserve"> </w:t>
      </w:r>
    </w:p>
  </w:footnote>
  <w:footnote w:id="19">
    <w:p w:rsidR="009D1F29" w:rsidRDefault="009D1F29" w:rsidP="00C5328D">
      <w:pPr>
        <w:pStyle w:val="footnotedescription"/>
        <w:spacing w:after="0" w:line="240" w:lineRule="auto"/>
        <w:jc w:val="both"/>
      </w:pPr>
      <w:r w:rsidRPr="00C5328D">
        <w:rPr>
          <w:rStyle w:val="footnotemark"/>
          <w:szCs w:val="20"/>
        </w:rPr>
        <w:footnoteRef/>
      </w:r>
      <w:r w:rsidRPr="00C5328D">
        <w:rPr>
          <w:sz w:val="20"/>
          <w:szCs w:val="20"/>
        </w:rPr>
        <w:t xml:space="preserve"> ELIÁŠ, Karel. Vlastnické právo. Paradigmata českého pojetí pod zkušebním kamenem kontinentální právní kultury. </w:t>
      </w:r>
      <w:r w:rsidRPr="00C5328D">
        <w:rPr>
          <w:i/>
          <w:sz w:val="20"/>
          <w:szCs w:val="20"/>
        </w:rPr>
        <w:t>Právní rozhledy</w:t>
      </w:r>
      <w:r w:rsidRPr="00C5328D">
        <w:rPr>
          <w:sz w:val="20"/>
          <w:szCs w:val="20"/>
        </w:rPr>
        <w:t>, 2005, roč. 13, č. 22, s. 808.</w:t>
      </w:r>
      <w:r w:rsidRPr="00C5328D">
        <w:rPr>
          <w:rFonts w:ascii="Book Antiqua" w:hAnsi="Book Antiqua" w:cs="Book Antiqua"/>
          <w:sz w:val="20"/>
          <w:szCs w:val="20"/>
        </w:rPr>
        <w:t xml:space="preserve"> </w:t>
      </w:r>
    </w:p>
  </w:footnote>
  <w:footnote w:id="20">
    <w:p w:rsidR="009D1F29" w:rsidRDefault="009D1F29" w:rsidP="00C5328D">
      <w:pPr>
        <w:pStyle w:val="footnotedescription"/>
        <w:spacing w:line="240" w:lineRule="auto"/>
        <w:jc w:val="both"/>
      </w:pPr>
      <w:r w:rsidRPr="00C5328D">
        <w:rPr>
          <w:rStyle w:val="footnotemark"/>
          <w:szCs w:val="20"/>
        </w:rPr>
        <w:footnoteRef/>
      </w:r>
      <w:r w:rsidRPr="00C5328D">
        <w:rPr>
          <w:sz w:val="20"/>
          <w:szCs w:val="20"/>
        </w:rPr>
        <w:t xml:space="preserve"> SPÁČIL: </w:t>
      </w:r>
      <w:r w:rsidRPr="00C5328D">
        <w:rPr>
          <w:i/>
          <w:sz w:val="20"/>
          <w:szCs w:val="20"/>
        </w:rPr>
        <w:t>Občanský zákoník…</w:t>
      </w:r>
      <w:r w:rsidRPr="00C5328D">
        <w:rPr>
          <w:sz w:val="20"/>
          <w:szCs w:val="20"/>
        </w:rPr>
        <w:t>, s. 136.</w:t>
      </w:r>
      <w:r w:rsidRPr="00C5328D">
        <w:rPr>
          <w:rFonts w:ascii="Calibri" w:hAnsi="Calibri" w:cs="Calibri"/>
          <w:sz w:val="20"/>
          <w:szCs w:val="20"/>
        </w:rPr>
        <w:t xml:space="preserve"> </w:t>
      </w:r>
    </w:p>
  </w:footnote>
  <w:footnote w:id="21">
    <w:p w:rsidR="009D1F29" w:rsidRDefault="009D1F29" w:rsidP="00C5328D">
      <w:pPr>
        <w:pStyle w:val="footnotedescription"/>
        <w:spacing w:after="21" w:line="240" w:lineRule="auto"/>
        <w:jc w:val="both"/>
      </w:pPr>
      <w:r w:rsidRPr="00C5328D">
        <w:rPr>
          <w:rStyle w:val="footnotemark"/>
          <w:szCs w:val="20"/>
        </w:rPr>
        <w:footnoteRef/>
      </w:r>
      <w:r w:rsidRPr="00C5328D">
        <w:rPr>
          <w:sz w:val="20"/>
          <w:szCs w:val="20"/>
        </w:rPr>
        <w:t xml:space="preserve"> Občanský zákoník německý, polský, švýcarský, španělský, italský.</w:t>
      </w:r>
      <w:r w:rsidRPr="00C5328D">
        <w:rPr>
          <w:rFonts w:ascii="Calibri" w:hAnsi="Calibri" w:cs="Calibri"/>
          <w:sz w:val="20"/>
          <w:szCs w:val="20"/>
        </w:rPr>
        <w:t xml:space="preserve"> </w:t>
      </w:r>
    </w:p>
  </w:footnote>
  <w:footnote w:id="22">
    <w:p w:rsidR="009D1F29" w:rsidRPr="00C5328D" w:rsidRDefault="009D1F29" w:rsidP="00C5328D">
      <w:pPr>
        <w:pStyle w:val="footnotedescription"/>
        <w:spacing w:after="0" w:line="240" w:lineRule="auto"/>
        <w:ind w:right="6"/>
        <w:jc w:val="both"/>
        <w:rPr>
          <w:sz w:val="20"/>
          <w:szCs w:val="20"/>
        </w:rPr>
      </w:pPr>
      <w:r w:rsidRPr="00C5328D">
        <w:rPr>
          <w:rStyle w:val="footnotemark"/>
          <w:szCs w:val="20"/>
        </w:rPr>
        <w:footnoteRef/>
      </w:r>
      <w:r w:rsidRPr="00C5328D">
        <w:rPr>
          <w:sz w:val="20"/>
          <w:szCs w:val="20"/>
        </w:rPr>
        <w:t xml:space="preserve"> V období platnosti OZO SEDLÁČEK, Jaromír. </w:t>
      </w:r>
      <w:r w:rsidRPr="00C5328D">
        <w:rPr>
          <w:i/>
          <w:sz w:val="20"/>
          <w:szCs w:val="20"/>
        </w:rPr>
        <w:t>Vlastnictví a vlastnické právo</w:t>
      </w:r>
      <w:r w:rsidRPr="00C5328D">
        <w:rPr>
          <w:sz w:val="20"/>
          <w:szCs w:val="20"/>
        </w:rPr>
        <w:t xml:space="preserve">. Brno: Barvič &amp; Novotný, 1919, s. 38. V období socialismu KNAPP, Viktor. </w:t>
      </w:r>
      <w:r w:rsidRPr="00C5328D">
        <w:rPr>
          <w:i/>
          <w:sz w:val="20"/>
          <w:szCs w:val="20"/>
        </w:rPr>
        <w:t>Vlastnictví v lidové demokracii.</w:t>
      </w:r>
      <w:r w:rsidRPr="00C5328D">
        <w:rPr>
          <w:sz w:val="20"/>
          <w:szCs w:val="20"/>
        </w:rPr>
        <w:t xml:space="preserve"> Praha: Orbis, 1952, s. 21 a násl. Po roce 1989 FIALA, Josef a kol. </w:t>
      </w:r>
      <w:r w:rsidRPr="00C5328D">
        <w:rPr>
          <w:i/>
          <w:sz w:val="20"/>
          <w:szCs w:val="20"/>
        </w:rPr>
        <w:t>Občanské právo hmotné</w:t>
      </w:r>
      <w:r w:rsidRPr="00C5328D">
        <w:rPr>
          <w:sz w:val="20"/>
          <w:szCs w:val="20"/>
        </w:rPr>
        <w:t xml:space="preserve">. 3. vyd. Brno: Doplněk, 2002, s. 105. </w:t>
      </w:r>
    </w:p>
    <w:p w:rsidR="009D1F29" w:rsidRDefault="009D1F29">
      <w:pPr>
        <w:pStyle w:val="footnotedescription"/>
        <w:spacing w:after="0"/>
      </w:pPr>
      <w:r>
        <w:rPr>
          <w:rFonts w:ascii="Calibri" w:hAnsi="Calibri" w:cs="Calibri"/>
          <w:sz w:val="21"/>
        </w:rPr>
        <w:t xml:space="preserve"> </w:t>
      </w:r>
    </w:p>
  </w:footnote>
  <w:footnote w:id="23">
    <w:p w:rsidR="009D1F29" w:rsidRDefault="009D1F29" w:rsidP="00AC3F14">
      <w:pPr>
        <w:pStyle w:val="footnotedescription"/>
        <w:spacing w:after="24" w:line="240" w:lineRule="auto"/>
        <w:jc w:val="both"/>
      </w:pPr>
      <w:r w:rsidRPr="008316E3">
        <w:rPr>
          <w:rStyle w:val="footnotemark"/>
          <w:szCs w:val="20"/>
        </w:rPr>
        <w:footnoteRef/>
      </w:r>
      <w:r w:rsidRPr="008316E3">
        <w:rPr>
          <w:sz w:val="20"/>
          <w:szCs w:val="20"/>
        </w:rPr>
        <w:t xml:space="preserve"> LAVICKÝ, Petr a kol.</w:t>
      </w:r>
      <w:r w:rsidRPr="008316E3">
        <w:rPr>
          <w:i/>
          <w:sz w:val="20"/>
          <w:szCs w:val="20"/>
        </w:rPr>
        <w:t xml:space="preserve"> Občanský zákoník I. Obecná část (§ 1−654). Komentář.</w:t>
      </w:r>
      <w:r w:rsidRPr="008316E3">
        <w:rPr>
          <w:sz w:val="20"/>
          <w:szCs w:val="20"/>
        </w:rPr>
        <w:t xml:space="preserve">  Praha: C.H. Beck, 2014,  </w:t>
      </w:r>
      <w:r>
        <w:rPr>
          <w:sz w:val="20"/>
          <w:szCs w:val="20"/>
        </w:rPr>
        <w:br/>
      </w:r>
      <w:r w:rsidRPr="008316E3">
        <w:rPr>
          <w:sz w:val="20"/>
          <w:szCs w:val="20"/>
        </w:rPr>
        <w:t>s. 1753-1758.</w:t>
      </w:r>
      <w:r w:rsidRPr="008316E3">
        <w:rPr>
          <w:rFonts w:ascii="Calibri" w:hAnsi="Calibri" w:cs="Calibri"/>
          <w:sz w:val="20"/>
          <w:szCs w:val="20"/>
        </w:rPr>
        <w:t xml:space="preserve"> </w:t>
      </w:r>
    </w:p>
  </w:footnote>
  <w:footnote w:id="24">
    <w:p w:rsidR="009D1F29" w:rsidRDefault="009D1F29" w:rsidP="00AC3F14">
      <w:pPr>
        <w:pStyle w:val="footnotedescription"/>
        <w:spacing w:after="12" w:line="240" w:lineRule="auto"/>
        <w:ind w:right="2019"/>
        <w:jc w:val="both"/>
      </w:pPr>
      <w:r w:rsidRPr="008316E3">
        <w:rPr>
          <w:rStyle w:val="footnotemark"/>
          <w:szCs w:val="20"/>
        </w:rPr>
        <w:footnoteRef/>
      </w:r>
      <w:r w:rsidRPr="008316E3">
        <w:rPr>
          <w:sz w:val="20"/>
          <w:szCs w:val="20"/>
        </w:rPr>
        <w:t xml:space="preserve"> BARTOŠEK, Milan. </w:t>
      </w:r>
      <w:r w:rsidRPr="008316E3">
        <w:rPr>
          <w:i/>
          <w:sz w:val="20"/>
          <w:szCs w:val="20"/>
        </w:rPr>
        <w:t>Encyklopedie římského práva</w:t>
      </w:r>
      <w:r w:rsidRPr="008316E3">
        <w:rPr>
          <w:sz w:val="20"/>
          <w:szCs w:val="20"/>
        </w:rPr>
        <w:t>. Praha: Panorama, 1981, s. 139.</w:t>
      </w:r>
      <w:r w:rsidRPr="008316E3">
        <w:rPr>
          <w:rFonts w:ascii="Book Antiqua" w:hAnsi="Book Antiqua" w:cs="Book Antiqua"/>
          <w:sz w:val="20"/>
          <w:szCs w:val="20"/>
        </w:rPr>
        <w:t xml:space="preserve"> </w:t>
      </w:r>
    </w:p>
  </w:footnote>
  <w:footnote w:id="25">
    <w:p w:rsidR="009D1F29" w:rsidRDefault="009D1F29" w:rsidP="00AC3F14">
      <w:pPr>
        <w:pStyle w:val="FootnoteText"/>
        <w:spacing w:line="240" w:lineRule="auto"/>
      </w:pPr>
      <w:r>
        <w:rPr>
          <w:rStyle w:val="FootnoteReference"/>
        </w:rPr>
        <w:footnoteRef/>
      </w:r>
      <w:r>
        <w:t xml:space="preserve"> </w:t>
      </w:r>
      <w:r w:rsidRPr="008316E3">
        <w:t xml:space="preserve">SEDLÁČEK, Jaromír. </w:t>
      </w:r>
      <w:r w:rsidRPr="008316E3">
        <w:rPr>
          <w:i/>
        </w:rPr>
        <w:t>Vlastnické právo</w:t>
      </w:r>
      <w:r w:rsidRPr="008316E3">
        <w:t xml:space="preserve">. </w:t>
      </w:r>
      <w:r w:rsidRPr="008316E3">
        <w:rPr>
          <w:i/>
        </w:rPr>
        <w:t>Komentář</w:t>
      </w:r>
      <w:r w:rsidRPr="008316E3">
        <w:t>. Praha: V. Linhart, 1935, s. 18.</w:t>
      </w:r>
    </w:p>
  </w:footnote>
  <w:footnote w:id="26">
    <w:p w:rsidR="009D1F29" w:rsidRDefault="009D1F29" w:rsidP="009E4BD4">
      <w:pPr>
        <w:pStyle w:val="FootnoteText"/>
        <w:spacing w:line="240" w:lineRule="auto"/>
      </w:pPr>
      <w:r>
        <w:rPr>
          <w:rStyle w:val="FootnoteReference"/>
        </w:rPr>
        <w:footnoteRef/>
      </w:r>
      <w:r>
        <w:t xml:space="preserve"> </w:t>
      </w:r>
      <w:r w:rsidRPr="002B4EC3">
        <w:t xml:space="preserve">KRČMÁŘ, Jan. </w:t>
      </w:r>
      <w:r w:rsidRPr="002B4EC3">
        <w:rPr>
          <w:i/>
        </w:rPr>
        <w:t>Právo občanské.  Díl II. Práva věcná. Komentář</w:t>
      </w:r>
      <w:r w:rsidRPr="002B4EC3">
        <w:t>. Praha: Spolek Československých právníků Všehrd, 1930, s. 136.</w:t>
      </w:r>
    </w:p>
  </w:footnote>
  <w:footnote w:id="27">
    <w:p w:rsidR="009D1F29" w:rsidRDefault="009D1F29" w:rsidP="009E4BD4">
      <w:pPr>
        <w:pStyle w:val="footnotedescription"/>
        <w:spacing w:after="6" w:line="240" w:lineRule="auto"/>
        <w:jc w:val="both"/>
      </w:pPr>
      <w:r w:rsidRPr="002B4EC3">
        <w:rPr>
          <w:rStyle w:val="footnotemark"/>
          <w:szCs w:val="20"/>
        </w:rPr>
        <w:footnoteRef/>
      </w:r>
      <w:r w:rsidRPr="002B4EC3">
        <w:rPr>
          <w:sz w:val="20"/>
          <w:szCs w:val="20"/>
        </w:rPr>
        <w:t xml:space="preserve"> </w:t>
      </w:r>
      <w:r w:rsidRPr="002B4EC3">
        <w:rPr>
          <w:i/>
          <w:sz w:val="20"/>
          <w:szCs w:val="20"/>
        </w:rPr>
        <w:t>Důvodová zpráva k zákonu č. 141/1950 Sb., občanský zákoník.</w:t>
      </w:r>
      <w:r w:rsidRPr="002B4EC3">
        <w:rPr>
          <w:sz w:val="20"/>
          <w:szCs w:val="20"/>
        </w:rPr>
        <w:t xml:space="preserve"> Sněmovní tisk 509/01.</w:t>
      </w:r>
      <w:r>
        <w:rPr>
          <w:rFonts w:ascii="Book Antiqua" w:hAnsi="Book Antiqua" w:cs="Book Antiqua"/>
        </w:rPr>
        <w:t xml:space="preserve"> </w:t>
      </w:r>
    </w:p>
  </w:footnote>
  <w:footnote w:id="28">
    <w:p w:rsidR="009D1F29" w:rsidRDefault="009D1F29" w:rsidP="00DB5EF4">
      <w:pPr>
        <w:pStyle w:val="FootnoteText"/>
        <w:spacing w:line="240" w:lineRule="auto"/>
      </w:pPr>
      <w:r>
        <w:rPr>
          <w:rStyle w:val="FootnoteReference"/>
        </w:rPr>
        <w:footnoteRef/>
      </w:r>
      <w:r>
        <w:t xml:space="preserve"> ŠVESTKA, Jiří, DVOŘÁK, Jan, KNAPPOVÁ, Marta a kol.  </w:t>
      </w:r>
      <w:r w:rsidRPr="00DB5EF4">
        <w:rPr>
          <w:i/>
        </w:rPr>
        <w:t>Občanské právo hmotné</w:t>
      </w:r>
      <w:r>
        <w:t>. 4. vyd. Praha: ASPI, 2005, s. 272.</w:t>
      </w:r>
    </w:p>
  </w:footnote>
  <w:footnote w:id="29">
    <w:p w:rsidR="009D1F29" w:rsidRDefault="009D1F29" w:rsidP="00DB5EF4">
      <w:pPr>
        <w:pStyle w:val="footnotedescription"/>
        <w:spacing w:after="17" w:line="240" w:lineRule="auto"/>
        <w:jc w:val="both"/>
      </w:pPr>
      <w:r w:rsidRPr="00732B57">
        <w:rPr>
          <w:rStyle w:val="footnotemark"/>
          <w:szCs w:val="20"/>
        </w:rPr>
        <w:footnoteRef/>
      </w:r>
      <w:r w:rsidRPr="00732B57">
        <w:rPr>
          <w:sz w:val="20"/>
          <w:szCs w:val="20"/>
        </w:rPr>
        <w:t xml:space="preserve"> KRATOCHVÍL, Zdeněk a kol.  </w:t>
      </w:r>
      <w:r w:rsidRPr="00732B57">
        <w:rPr>
          <w:i/>
          <w:sz w:val="20"/>
          <w:szCs w:val="20"/>
        </w:rPr>
        <w:t>Nové občanské právo</w:t>
      </w:r>
      <w:r w:rsidRPr="00732B57">
        <w:rPr>
          <w:sz w:val="20"/>
          <w:szCs w:val="20"/>
        </w:rPr>
        <w:t>. Praha: Orbis, 1965, s. 186.</w:t>
      </w:r>
      <w:r w:rsidRPr="00732B57">
        <w:rPr>
          <w:rFonts w:ascii="Book Antiqua" w:hAnsi="Book Antiqua" w:cs="Book Antiqua"/>
          <w:sz w:val="20"/>
          <w:szCs w:val="20"/>
        </w:rPr>
        <w:t xml:space="preserve"> </w:t>
      </w:r>
    </w:p>
  </w:footnote>
  <w:footnote w:id="30">
    <w:p w:rsidR="009D1F29" w:rsidRDefault="009D1F29" w:rsidP="00DB5EF4">
      <w:pPr>
        <w:pStyle w:val="footnotedescription"/>
        <w:spacing w:after="0" w:line="240" w:lineRule="auto"/>
        <w:jc w:val="both"/>
      </w:pPr>
      <w:r w:rsidRPr="00732B57">
        <w:rPr>
          <w:rStyle w:val="footnotemark"/>
          <w:szCs w:val="20"/>
        </w:rPr>
        <w:footnoteRef/>
      </w:r>
      <w:r w:rsidRPr="00732B57">
        <w:rPr>
          <w:sz w:val="20"/>
          <w:szCs w:val="20"/>
        </w:rPr>
        <w:t xml:space="preserve"> ELIÁŠ, Karel. Věc jako pojem soukromého práva. </w:t>
      </w:r>
      <w:r w:rsidRPr="00732B57">
        <w:rPr>
          <w:i/>
          <w:sz w:val="20"/>
          <w:szCs w:val="20"/>
        </w:rPr>
        <w:t>Právní rozhledy</w:t>
      </w:r>
      <w:r w:rsidRPr="00732B57">
        <w:rPr>
          <w:sz w:val="20"/>
          <w:szCs w:val="20"/>
        </w:rPr>
        <w:t>, 2007, roč. 15, č. 4, s. 119.</w:t>
      </w:r>
      <w:r w:rsidRPr="00732B57">
        <w:rPr>
          <w:rFonts w:ascii="Book Antiqua" w:hAnsi="Book Antiqua" w:cs="Book Antiqua"/>
          <w:sz w:val="20"/>
          <w:szCs w:val="20"/>
        </w:rPr>
        <w:t xml:space="preserve"> </w:t>
      </w:r>
    </w:p>
  </w:footnote>
  <w:footnote w:id="31">
    <w:p w:rsidR="009D1F29" w:rsidRDefault="009D1F29" w:rsidP="00DB5EF4">
      <w:pPr>
        <w:pStyle w:val="footnotedescription"/>
        <w:spacing w:after="0" w:line="240" w:lineRule="auto"/>
        <w:jc w:val="both"/>
      </w:pPr>
      <w:r w:rsidRPr="00732B57">
        <w:rPr>
          <w:rStyle w:val="footnotemark"/>
          <w:szCs w:val="20"/>
        </w:rPr>
        <w:footnoteRef/>
      </w:r>
      <w:r w:rsidRPr="00732B57">
        <w:rPr>
          <w:sz w:val="20"/>
          <w:szCs w:val="20"/>
        </w:rPr>
        <w:t xml:space="preserve"> PLANK, Karol, KNAPP, Viktor a kol. </w:t>
      </w:r>
      <w:r w:rsidRPr="00732B57">
        <w:rPr>
          <w:i/>
          <w:sz w:val="20"/>
          <w:szCs w:val="20"/>
        </w:rPr>
        <w:t xml:space="preserve">Učebnice československého občanského práva. </w:t>
      </w:r>
      <w:r w:rsidRPr="00732B57">
        <w:rPr>
          <w:sz w:val="20"/>
          <w:szCs w:val="20"/>
        </w:rPr>
        <w:t>Svazek I. Praha: Orbis, 1965, s. 148.</w:t>
      </w:r>
      <w:r w:rsidRPr="00732B57">
        <w:rPr>
          <w:rFonts w:ascii="Calibri" w:hAnsi="Calibri" w:cs="Calibri"/>
          <w:sz w:val="20"/>
          <w:szCs w:val="20"/>
        </w:rPr>
        <w:t xml:space="preserve"> </w:t>
      </w:r>
    </w:p>
  </w:footnote>
  <w:footnote w:id="32">
    <w:p w:rsidR="009D1F29" w:rsidRDefault="009D1F29" w:rsidP="00DB5EF4">
      <w:pPr>
        <w:pStyle w:val="footnotedescription"/>
        <w:spacing w:after="12" w:line="240" w:lineRule="auto"/>
        <w:jc w:val="both"/>
      </w:pPr>
      <w:r w:rsidRPr="00732B57">
        <w:rPr>
          <w:rStyle w:val="footnotemark"/>
          <w:szCs w:val="20"/>
        </w:rPr>
        <w:footnoteRef/>
      </w:r>
      <w:r w:rsidRPr="00732B57">
        <w:rPr>
          <w:sz w:val="20"/>
          <w:szCs w:val="20"/>
        </w:rPr>
        <w:t xml:space="preserve"> </w:t>
      </w:r>
      <w:r w:rsidRPr="00732B57">
        <w:rPr>
          <w:i/>
          <w:sz w:val="20"/>
          <w:szCs w:val="20"/>
        </w:rPr>
        <w:t>Důvodová zpráva k zákonu č. 89/2012 Sb., občanský zákoník</w:t>
      </w:r>
      <w:r w:rsidRPr="00732B57">
        <w:rPr>
          <w:sz w:val="20"/>
          <w:szCs w:val="20"/>
        </w:rPr>
        <w:t>. Sněmovní tisk 839/0.</w:t>
      </w:r>
      <w:r>
        <w:rPr>
          <w:rFonts w:ascii="Book Antiqua" w:hAnsi="Book Antiqua" w:cs="Book Antiqua"/>
        </w:rPr>
        <w:t xml:space="preserve"> </w:t>
      </w:r>
    </w:p>
  </w:footnote>
  <w:footnote w:id="33">
    <w:p w:rsidR="009D1F29" w:rsidRDefault="009D1F29">
      <w:pPr>
        <w:pStyle w:val="footnotedescription"/>
        <w:spacing w:after="32" w:line="240" w:lineRule="auto"/>
        <w:jc w:val="both"/>
      </w:pPr>
      <w:r w:rsidRPr="00732B57">
        <w:rPr>
          <w:rStyle w:val="footnotemark"/>
          <w:szCs w:val="20"/>
        </w:rPr>
        <w:footnoteRef/>
      </w:r>
      <w:r w:rsidRPr="00732B57">
        <w:rPr>
          <w:sz w:val="20"/>
          <w:szCs w:val="20"/>
        </w:rPr>
        <w:t xml:space="preserve"> MELZER, Filip, TÉGL, Petr a kol. </w:t>
      </w:r>
      <w:r w:rsidRPr="00732B57">
        <w:rPr>
          <w:i/>
          <w:sz w:val="20"/>
          <w:szCs w:val="20"/>
        </w:rPr>
        <w:t>Občanský zákoník. Velký komentář. Svazek III. § 419-654</w:t>
      </w:r>
      <w:r w:rsidRPr="00732B57">
        <w:rPr>
          <w:sz w:val="20"/>
          <w:szCs w:val="20"/>
        </w:rPr>
        <w:t>. Praha: Leges, 2014, s. 199.</w:t>
      </w:r>
      <w:r w:rsidRPr="00732B57">
        <w:rPr>
          <w:rFonts w:ascii="Book Antiqua" w:hAnsi="Book Antiqua" w:cs="Book Antiqua"/>
          <w:sz w:val="20"/>
          <w:szCs w:val="20"/>
        </w:rPr>
        <w:t xml:space="preserve"> </w:t>
      </w:r>
    </w:p>
  </w:footnote>
  <w:footnote w:id="34">
    <w:p w:rsidR="009D1F29" w:rsidRDefault="009D1F29" w:rsidP="00732B57">
      <w:pPr>
        <w:pStyle w:val="footnotedescription"/>
        <w:spacing w:after="19" w:line="240" w:lineRule="auto"/>
        <w:jc w:val="both"/>
      </w:pPr>
      <w:r w:rsidRPr="00732B57">
        <w:rPr>
          <w:rStyle w:val="footnotemark"/>
          <w:szCs w:val="20"/>
        </w:rPr>
        <w:footnoteRef/>
      </w:r>
      <w:r w:rsidRPr="00732B57">
        <w:rPr>
          <w:sz w:val="20"/>
          <w:szCs w:val="20"/>
        </w:rPr>
        <w:t xml:space="preserve"> MELZER, Filip. Pojem věci v návrhu občanského zákoníku. </w:t>
      </w:r>
      <w:r w:rsidRPr="00732B57">
        <w:rPr>
          <w:i/>
          <w:sz w:val="20"/>
          <w:szCs w:val="20"/>
        </w:rPr>
        <w:t>Právník</w:t>
      </w:r>
      <w:r w:rsidRPr="00732B57">
        <w:rPr>
          <w:sz w:val="20"/>
          <w:szCs w:val="20"/>
        </w:rPr>
        <w:t>, 2007, roč. 156, č. 11, s. 1218.</w:t>
      </w:r>
      <w:r w:rsidRPr="00732B57">
        <w:rPr>
          <w:rFonts w:ascii="Book Antiqua" w:hAnsi="Book Antiqua" w:cs="Book Antiqua"/>
          <w:sz w:val="20"/>
          <w:szCs w:val="20"/>
        </w:rPr>
        <w:t xml:space="preserve"> </w:t>
      </w:r>
    </w:p>
  </w:footnote>
  <w:footnote w:id="35">
    <w:p w:rsidR="009D1F29" w:rsidRDefault="009D1F29" w:rsidP="00732B57">
      <w:pPr>
        <w:pStyle w:val="footnotedescription"/>
        <w:spacing w:after="0" w:line="240" w:lineRule="auto"/>
        <w:jc w:val="both"/>
      </w:pPr>
      <w:r w:rsidRPr="00732B57">
        <w:rPr>
          <w:rStyle w:val="footnotemark"/>
          <w:szCs w:val="20"/>
        </w:rPr>
        <w:footnoteRef/>
      </w:r>
      <w:r w:rsidRPr="00732B57">
        <w:rPr>
          <w:sz w:val="20"/>
          <w:szCs w:val="20"/>
        </w:rPr>
        <w:t xml:space="preserve"> HORÁK, Ondřej, DOSTALÍK, Petr. Věc v právním smyslu v novém občanském zákoníku z právněhistorické perspektivy. </w:t>
      </w:r>
      <w:r w:rsidRPr="00732B57">
        <w:rPr>
          <w:i/>
          <w:sz w:val="20"/>
          <w:szCs w:val="20"/>
        </w:rPr>
        <w:t>Časopis pro právní vědu a praxi</w:t>
      </w:r>
      <w:r w:rsidRPr="00732B57">
        <w:rPr>
          <w:sz w:val="20"/>
          <w:szCs w:val="20"/>
        </w:rPr>
        <w:t>, 2013, roč. 21, č. 1, s. 15.</w:t>
      </w:r>
      <w:r>
        <w:rPr>
          <w:rFonts w:ascii="Book Antiqua" w:hAnsi="Book Antiqua" w:cs="Book Antiqua"/>
        </w:rPr>
        <w:t xml:space="preserve"> </w:t>
      </w:r>
    </w:p>
  </w:footnote>
  <w:footnote w:id="36">
    <w:p w:rsidR="009D1F29" w:rsidRDefault="009D1F29" w:rsidP="00732B57">
      <w:pPr>
        <w:pStyle w:val="footnotedescription"/>
        <w:spacing w:after="24" w:line="240" w:lineRule="auto"/>
        <w:jc w:val="both"/>
      </w:pPr>
      <w:r w:rsidRPr="00732B57">
        <w:rPr>
          <w:rStyle w:val="footnotemark"/>
          <w:szCs w:val="20"/>
        </w:rPr>
        <w:footnoteRef/>
      </w:r>
      <w:r w:rsidRPr="00732B57">
        <w:rPr>
          <w:sz w:val="20"/>
          <w:szCs w:val="20"/>
        </w:rPr>
        <w:t xml:space="preserve"> SPÁČIL, Jiří.</w:t>
      </w:r>
      <w:r w:rsidRPr="00732B57">
        <w:rPr>
          <w:rFonts w:ascii="Book Antiqua" w:hAnsi="Book Antiqua" w:cs="Book Antiqua"/>
          <w:sz w:val="20"/>
          <w:szCs w:val="20"/>
        </w:rPr>
        <w:t xml:space="preserve"> </w:t>
      </w:r>
      <w:r w:rsidRPr="00732B57">
        <w:rPr>
          <w:i/>
          <w:sz w:val="20"/>
          <w:szCs w:val="20"/>
        </w:rPr>
        <w:t>Občanský zákoník III. věcná práva (§ 976-1474). Komentář</w:t>
      </w:r>
      <w:r w:rsidRPr="00732B57">
        <w:rPr>
          <w:sz w:val="20"/>
          <w:szCs w:val="20"/>
        </w:rPr>
        <w:t xml:space="preserve">. Praha: C.H. Beck, 2013, </w:t>
      </w:r>
      <w:r>
        <w:rPr>
          <w:sz w:val="20"/>
          <w:szCs w:val="20"/>
        </w:rPr>
        <w:br/>
      </w:r>
      <w:r w:rsidRPr="00732B57">
        <w:rPr>
          <w:sz w:val="20"/>
          <w:szCs w:val="20"/>
        </w:rPr>
        <w:t>s. 133-144.</w:t>
      </w:r>
      <w:r w:rsidRPr="00732B57">
        <w:rPr>
          <w:rFonts w:ascii="Book Antiqua" w:hAnsi="Book Antiqua" w:cs="Book Antiqua"/>
          <w:sz w:val="20"/>
          <w:szCs w:val="20"/>
        </w:rPr>
        <w:t xml:space="preserve"> </w:t>
      </w:r>
    </w:p>
  </w:footnote>
  <w:footnote w:id="37">
    <w:p w:rsidR="009D1F29" w:rsidRDefault="009D1F29" w:rsidP="00B162E0">
      <w:pPr>
        <w:pStyle w:val="footnotedescription"/>
        <w:spacing w:after="21" w:line="240" w:lineRule="auto"/>
        <w:jc w:val="both"/>
      </w:pPr>
      <w:r w:rsidRPr="00B162E0">
        <w:rPr>
          <w:rStyle w:val="footnotemark"/>
          <w:szCs w:val="20"/>
        </w:rPr>
        <w:footnoteRef/>
      </w:r>
      <w:r w:rsidRPr="00B162E0">
        <w:rPr>
          <w:sz w:val="20"/>
          <w:szCs w:val="20"/>
        </w:rPr>
        <w:t xml:space="preserve"> CVETLER, Jiří. </w:t>
      </w:r>
      <w:r w:rsidRPr="00B162E0">
        <w:rPr>
          <w:i/>
          <w:sz w:val="20"/>
          <w:szCs w:val="20"/>
        </w:rPr>
        <w:t>Právo římské.</w:t>
      </w:r>
      <w:r w:rsidRPr="00B162E0">
        <w:rPr>
          <w:sz w:val="20"/>
          <w:szCs w:val="20"/>
        </w:rPr>
        <w:t xml:space="preserve"> Brno: Univerzita Jana Evangelisty Purkyně, 1974, s. 78.</w:t>
      </w:r>
      <w:r w:rsidRPr="00B162E0">
        <w:rPr>
          <w:rFonts w:ascii="Book Antiqua" w:hAnsi="Book Antiqua" w:cs="Book Antiqua"/>
          <w:sz w:val="20"/>
          <w:szCs w:val="20"/>
        </w:rPr>
        <w:t xml:space="preserve"> </w:t>
      </w:r>
    </w:p>
  </w:footnote>
  <w:footnote w:id="38">
    <w:p w:rsidR="009D1F29" w:rsidRDefault="009D1F29" w:rsidP="00B162E0">
      <w:pPr>
        <w:pStyle w:val="footnotedescription"/>
        <w:spacing w:after="0" w:line="240" w:lineRule="auto"/>
        <w:ind w:right="185"/>
        <w:jc w:val="both"/>
      </w:pPr>
      <w:r w:rsidRPr="00B162E0">
        <w:rPr>
          <w:rStyle w:val="footnotemark"/>
          <w:szCs w:val="20"/>
        </w:rPr>
        <w:footnoteRef/>
      </w:r>
      <w:r w:rsidRPr="00B162E0">
        <w:rPr>
          <w:sz w:val="20"/>
          <w:szCs w:val="20"/>
        </w:rPr>
        <w:t xml:space="preserve"> Neomezené panství nad věcí se projevovalo např. tím, že z půdy v kviritském vlastnictví se neplatily daně.</w:t>
      </w:r>
      <w:r w:rsidRPr="00B162E0">
        <w:rPr>
          <w:rFonts w:ascii="Book Antiqua" w:hAnsi="Book Antiqua" w:cs="Book Antiqua"/>
          <w:sz w:val="20"/>
          <w:szCs w:val="20"/>
        </w:rPr>
        <w:t xml:space="preserve"> </w:t>
      </w:r>
    </w:p>
  </w:footnote>
  <w:footnote w:id="39">
    <w:p w:rsidR="009D1F29" w:rsidRDefault="009D1F29" w:rsidP="00B162E0">
      <w:pPr>
        <w:pStyle w:val="footnotedescription"/>
        <w:spacing w:after="0" w:line="240" w:lineRule="auto"/>
        <w:ind w:right="185"/>
        <w:jc w:val="both"/>
      </w:pPr>
      <w:r w:rsidRPr="00B162E0">
        <w:rPr>
          <w:rStyle w:val="FootnoteReference"/>
          <w:sz w:val="20"/>
          <w:szCs w:val="20"/>
        </w:rPr>
        <w:footnoteRef/>
      </w:r>
      <w:r w:rsidRPr="00B162E0">
        <w:rPr>
          <w:sz w:val="20"/>
          <w:szCs w:val="20"/>
        </w:rPr>
        <w:t xml:space="preserve"> HECK, Philipp</w:t>
      </w:r>
      <w:r w:rsidRPr="00B162E0">
        <w:rPr>
          <w:i/>
          <w:sz w:val="20"/>
          <w:szCs w:val="20"/>
        </w:rPr>
        <w:t>. Grundriß des Sachenrechts</w:t>
      </w:r>
      <w:r w:rsidRPr="00B162E0">
        <w:rPr>
          <w:sz w:val="20"/>
          <w:szCs w:val="20"/>
        </w:rPr>
        <w:t>. Tübingen: J. C. B. Mohr, 1930, s. 210.</w:t>
      </w:r>
      <w:r>
        <w:rPr>
          <w:rFonts w:ascii="Book Antiqua" w:hAnsi="Book Antiqua" w:cs="Book Antiqua"/>
        </w:rPr>
        <w:t xml:space="preserve"> </w:t>
      </w:r>
    </w:p>
  </w:footnote>
  <w:footnote w:id="40">
    <w:p w:rsidR="009D1F29" w:rsidRDefault="009D1F29" w:rsidP="007316E7">
      <w:pPr>
        <w:pStyle w:val="footnotedescription"/>
        <w:spacing w:line="240" w:lineRule="auto"/>
        <w:jc w:val="both"/>
      </w:pPr>
      <w:r w:rsidRPr="007316E7">
        <w:rPr>
          <w:rStyle w:val="footnotemark"/>
          <w:szCs w:val="20"/>
        </w:rPr>
        <w:footnoteRef/>
      </w:r>
      <w:r w:rsidRPr="007316E7">
        <w:rPr>
          <w:sz w:val="20"/>
          <w:szCs w:val="20"/>
        </w:rPr>
        <w:t xml:space="preserve"> Třetí názor lze charakterizovat jako myšlenkovou abstrakci pro poměry, kdy je vlastník dlouhodobě omezen velice širokým právem jiného, které je dědičné a zcizitelné.</w:t>
      </w:r>
      <w:r w:rsidRPr="007316E7">
        <w:rPr>
          <w:rFonts w:ascii="Book Antiqua" w:hAnsi="Book Antiqua" w:cs="Book Antiqua"/>
          <w:sz w:val="20"/>
          <w:szCs w:val="20"/>
        </w:rPr>
        <w:t xml:space="preserve"> </w:t>
      </w:r>
    </w:p>
  </w:footnote>
  <w:footnote w:id="41">
    <w:p w:rsidR="009D1F29" w:rsidRDefault="009D1F29" w:rsidP="007316E7">
      <w:pPr>
        <w:pStyle w:val="footnotedescription"/>
        <w:spacing w:after="23" w:line="240" w:lineRule="auto"/>
        <w:jc w:val="both"/>
      </w:pPr>
      <w:r w:rsidRPr="007316E7">
        <w:rPr>
          <w:rStyle w:val="footnotemark"/>
          <w:szCs w:val="20"/>
        </w:rPr>
        <w:footnoteRef/>
      </w:r>
      <w:r w:rsidRPr="007316E7">
        <w:rPr>
          <w:sz w:val="20"/>
          <w:szCs w:val="20"/>
        </w:rPr>
        <w:t xml:space="preserve"> HORÁK, Ondřej, ŠŤACHOVÁ, Naďa. Věc v právním smyslu: historicko-srovnávací úvaha. In </w:t>
      </w:r>
      <w:r w:rsidRPr="007316E7">
        <w:rPr>
          <w:i/>
          <w:sz w:val="20"/>
          <w:szCs w:val="20"/>
        </w:rPr>
        <w:t>Interakce českého a evropského práva</w:t>
      </w:r>
      <w:r w:rsidRPr="007316E7">
        <w:rPr>
          <w:sz w:val="20"/>
          <w:szCs w:val="20"/>
        </w:rPr>
        <w:t>. Brno: Masarykova univerzita, 2009, s. 421.</w:t>
      </w:r>
      <w:r w:rsidRPr="007316E7">
        <w:rPr>
          <w:rFonts w:ascii="Book Antiqua" w:hAnsi="Book Antiqua" w:cs="Book Antiqua"/>
          <w:sz w:val="20"/>
          <w:szCs w:val="20"/>
        </w:rPr>
        <w:t xml:space="preserve"> </w:t>
      </w:r>
    </w:p>
  </w:footnote>
  <w:footnote w:id="42">
    <w:p w:rsidR="009D1F29" w:rsidRPr="007316E7" w:rsidRDefault="009D1F29" w:rsidP="007316E7">
      <w:pPr>
        <w:pStyle w:val="footnotedescription"/>
        <w:spacing w:after="23" w:line="240" w:lineRule="auto"/>
        <w:jc w:val="both"/>
        <w:rPr>
          <w:sz w:val="20"/>
          <w:szCs w:val="20"/>
        </w:rPr>
      </w:pPr>
      <w:r w:rsidRPr="007316E7">
        <w:rPr>
          <w:rStyle w:val="footnotemark"/>
          <w:szCs w:val="20"/>
        </w:rPr>
        <w:footnoteRef/>
      </w:r>
      <w:r w:rsidRPr="007316E7">
        <w:rPr>
          <w:sz w:val="20"/>
          <w:szCs w:val="20"/>
        </w:rPr>
        <w:t xml:space="preserve"> KADLECOVÁ, Marta, SCHELLE Karel, VESELÁ Renata, VLČEK, Eduard. </w:t>
      </w:r>
      <w:r w:rsidRPr="007316E7">
        <w:rPr>
          <w:i/>
          <w:sz w:val="20"/>
          <w:szCs w:val="20"/>
        </w:rPr>
        <w:t>Dějiny soukromého práva</w:t>
      </w:r>
      <w:r w:rsidRPr="007316E7">
        <w:rPr>
          <w:sz w:val="20"/>
          <w:szCs w:val="20"/>
        </w:rPr>
        <w:t xml:space="preserve">.  </w:t>
      </w:r>
    </w:p>
    <w:p w:rsidR="009D1F29" w:rsidRDefault="009D1F29" w:rsidP="007316E7">
      <w:pPr>
        <w:pStyle w:val="footnotedescription"/>
        <w:spacing w:after="0" w:line="240" w:lineRule="auto"/>
        <w:jc w:val="both"/>
      </w:pPr>
      <w:r w:rsidRPr="007316E7">
        <w:rPr>
          <w:sz w:val="20"/>
          <w:szCs w:val="20"/>
        </w:rPr>
        <w:t>Plzeň: Aleš Čeněk, 2007, s. 57.</w:t>
      </w:r>
      <w:r w:rsidRPr="007316E7">
        <w:rPr>
          <w:rFonts w:ascii="Book Antiqua" w:hAnsi="Book Antiqua" w:cs="Book Antiqua"/>
          <w:sz w:val="20"/>
          <w:szCs w:val="20"/>
        </w:rPr>
        <w:t xml:space="preserve"> </w:t>
      </w:r>
    </w:p>
  </w:footnote>
  <w:footnote w:id="43">
    <w:p w:rsidR="009D1F29" w:rsidRDefault="009D1F29" w:rsidP="007316E7">
      <w:pPr>
        <w:pStyle w:val="footnotedescription"/>
        <w:spacing w:after="0" w:line="240" w:lineRule="auto"/>
        <w:jc w:val="both"/>
      </w:pPr>
      <w:r w:rsidRPr="007316E7">
        <w:rPr>
          <w:rStyle w:val="footnotemark"/>
          <w:szCs w:val="20"/>
        </w:rPr>
        <w:footnoteRef/>
      </w:r>
      <w:r w:rsidRPr="007316E7">
        <w:rPr>
          <w:sz w:val="20"/>
          <w:szCs w:val="20"/>
        </w:rPr>
        <w:t xml:space="preserve"> URFUS, Valentin. </w:t>
      </w:r>
      <w:r w:rsidRPr="007316E7">
        <w:rPr>
          <w:i/>
          <w:sz w:val="20"/>
          <w:szCs w:val="20"/>
        </w:rPr>
        <w:t xml:space="preserve">Historické základy novodobého práva soukromého; římskoprávní dědictví a soukromé právo kontinentální Evropy. </w:t>
      </w:r>
      <w:r w:rsidRPr="007316E7">
        <w:rPr>
          <w:sz w:val="20"/>
          <w:szCs w:val="20"/>
        </w:rPr>
        <w:t>2. vyd. Praha: C.H. Beck, 2001, s. 36 a násl.</w:t>
      </w:r>
      <w:r>
        <w:rPr>
          <w:rFonts w:ascii="Book Antiqua" w:hAnsi="Book Antiqua" w:cs="Book Antiqua"/>
        </w:rPr>
        <w:t xml:space="preserve"> </w:t>
      </w:r>
    </w:p>
  </w:footnote>
  <w:footnote w:id="44">
    <w:p w:rsidR="009D1F29" w:rsidRDefault="009D1F29" w:rsidP="007316E7">
      <w:pPr>
        <w:pStyle w:val="footnotedescription"/>
        <w:spacing w:after="0" w:line="240" w:lineRule="auto"/>
        <w:jc w:val="both"/>
      </w:pPr>
      <w:r w:rsidRPr="007316E7">
        <w:rPr>
          <w:rStyle w:val="footnotemark"/>
          <w:szCs w:val="20"/>
        </w:rPr>
        <w:footnoteRef/>
      </w:r>
      <w:r w:rsidRPr="007316E7">
        <w:rPr>
          <w:sz w:val="20"/>
          <w:szCs w:val="20"/>
        </w:rPr>
        <w:t xml:space="preserve"> BRUNNER, Otto, CONZE, Werner, KOSSELECK, Reinhart. </w:t>
      </w:r>
      <w:r w:rsidRPr="007316E7">
        <w:rPr>
          <w:i/>
          <w:sz w:val="20"/>
          <w:szCs w:val="20"/>
        </w:rPr>
        <w:t>Geschichtliche Grundbegriffe. Historiches Lexikon zur politisch-sozialen Sprache in Deutschland</w:t>
      </w:r>
      <w:r w:rsidRPr="007316E7">
        <w:rPr>
          <w:sz w:val="20"/>
          <w:szCs w:val="20"/>
        </w:rPr>
        <w:t xml:space="preserve">. 4. Aufl. Stuttgart: Klett, Cotta, 1998, s. 68-115. </w:t>
      </w:r>
    </w:p>
  </w:footnote>
  <w:footnote w:id="45">
    <w:p w:rsidR="009D1F29" w:rsidRDefault="009D1F29" w:rsidP="007316E7">
      <w:pPr>
        <w:pStyle w:val="footnotedescription"/>
        <w:spacing w:after="0" w:line="240" w:lineRule="auto"/>
        <w:jc w:val="both"/>
      </w:pPr>
      <w:r w:rsidRPr="007316E7">
        <w:rPr>
          <w:rStyle w:val="footnotemark"/>
          <w:szCs w:val="20"/>
        </w:rPr>
        <w:footnoteRef/>
      </w:r>
      <w:r w:rsidRPr="007316E7">
        <w:rPr>
          <w:sz w:val="20"/>
          <w:szCs w:val="20"/>
        </w:rPr>
        <w:t xml:space="preserve"> SVOBODA, Emil. Nabývání věcných práv k nemovitostem a stavbám nezapsaným do knihy pozemkové.  In </w:t>
      </w:r>
      <w:r w:rsidRPr="007316E7">
        <w:rPr>
          <w:i/>
          <w:sz w:val="20"/>
          <w:szCs w:val="20"/>
        </w:rPr>
        <w:t>Výbor z prací z práva občanského a z právní filosofie</w:t>
      </w:r>
      <w:r w:rsidRPr="007316E7">
        <w:rPr>
          <w:sz w:val="20"/>
          <w:szCs w:val="20"/>
        </w:rPr>
        <w:t>. Praha: Melantrich, 1939, s. 92.</w:t>
      </w:r>
      <w:r w:rsidRPr="007316E7">
        <w:rPr>
          <w:rFonts w:ascii="Book Antiqua" w:hAnsi="Book Antiqua" w:cs="Book Antiqua"/>
          <w:sz w:val="20"/>
          <w:szCs w:val="20"/>
        </w:rPr>
        <w:t xml:space="preserve"> </w:t>
      </w:r>
    </w:p>
  </w:footnote>
  <w:footnote w:id="46">
    <w:p w:rsidR="009D1F29" w:rsidRDefault="009D1F29" w:rsidP="007316E7">
      <w:pPr>
        <w:pStyle w:val="footnotedescription"/>
        <w:spacing w:after="0" w:line="240" w:lineRule="auto"/>
        <w:jc w:val="both"/>
      </w:pPr>
      <w:r w:rsidRPr="007316E7">
        <w:rPr>
          <w:rStyle w:val="footnotemark"/>
          <w:szCs w:val="20"/>
        </w:rPr>
        <w:footnoteRef/>
      </w:r>
      <w:r w:rsidRPr="007316E7">
        <w:rPr>
          <w:sz w:val="20"/>
          <w:szCs w:val="20"/>
        </w:rPr>
        <w:t xml:space="preserve"> LUBY, Štefan. Buržoázne a revizionistické vlastnícke teorie. In </w:t>
      </w:r>
      <w:r w:rsidRPr="007316E7">
        <w:rPr>
          <w:i/>
          <w:sz w:val="20"/>
          <w:szCs w:val="20"/>
        </w:rPr>
        <w:t xml:space="preserve">Kritika buržoazních a revizionistických koncepcí státu a práva. </w:t>
      </w:r>
      <w:r w:rsidRPr="007316E7">
        <w:rPr>
          <w:sz w:val="20"/>
          <w:szCs w:val="20"/>
        </w:rPr>
        <w:t>Praha: Academia, 1975, s. 561-601.</w:t>
      </w:r>
      <w:r w:rsidRPr="007316E7">
        <w:rPr>
          <w:rFonts w:ascii="Book Antiqua" w:hAnsi="Book Antiqua" w:cs="Book Antiqua"/>
          <w:sz w:val="20"/>
          <w:szCs w:val="20"/>
        </w:rPr>
        <w:t xml:space="preserve"> </w:t>
      </w:r>
    </w:p>
  </w:footnote>
  <w:footnote w:id="47">
    <w:p w:rsidR="009D1F29" w:rsidRDefault="009D1F29" w:rsidP="007316E7">
      <w:pPr>
        <w:pStyle w:val="footnotedescription"/>
        <w:spacing w:after="0" w:line="240" w:lineRule="auto"/>
        <w:jc w:val="both"/>
      </w:pPr>
      <w:r w:rsidRPr="007316E7">
        <w:rPr>
          <w:rStyle w:val="footnotemark"/>
          <w:szCs w:val="20"/>
        </w:rPr>
        <w:footnoteRef/>
      </w:r>
      <w:r w:rsidRPr="007316E7">
        <w:rPr>
          <w:sz w:val="20"/>
          <w:szCs w:val="20"/>
        </w:rPr>
        <w:t xml:space="preserve"> HORÁK, Ondřej. Tzv. dělené vlastnictví v 19. a 20. století (k proměnám chápání tradičního pojmu v domácí právní vědě). In </w:t>
      </w:r>
      <w:r w:rsidRPr="007316E7">
        <w:rPr>
          <w:i/>
          <w:sz w:val="20"/>
          <w:szCs w:val="20"/>
        </w:rPr>
        <w:t>Sborník z konference Dny práva</w:t>
      </w:r>
      <w:r w:rsidRPr="007316E7">
        <w:rPr>
          <w:sz w:val="20"/>
          <w:szCs w:val="20"/>
        </w:rPr>
        <w:t>. Brno: Masarykova univerzita, 2010, s. 1521.</w:t>
      </w:r>
      <w:r>
        <w:rPr>
          <w:rFonts w:ascii="Book Antiqua" w:hAnsi="Book Antiqua" w:cs="Book Antiqua"/>
        </w:rPr>
        <w:t xml:space="preserve"> </w:t>
      </w:r>
    </w:p>
  </w:footnote>
  <w:footnote w:id="48">
    <w:p w:rsidR="009D1F29" w:rsidRDefault="009D1F29" w:rsidP="00A006DD">
      <w:pPr>
        <w:pStyle w:val="footnotedescription"/>
        <w:spacing w:after="0" w:line="240" w:lineRule="auto"/>
        <w:ind w:right="11"/>
        <w:jc w:val="both"/>
      </w:pPr>
      <w:r w:rsidRPr="009F376F">
        <w:rPr>
          <w:rStyle w:val="footnotemark"/>
          <w:szCs w:val="20"/>
        </w:rPr>
        <w:footnoteRef/>
      </w:r>
      <w:r w:rsidRPr="009F376F">
        <w:rPr>
          <w:sz w:val="20"/>
          <w:szCs w:val="20"/>
        </w:rPr>
        <w:t xml:space="preserve"> Příkladem Mezinárodní pakt o občanských a politických právech, Mezinárodní pakt o hospodářských, sociálních a kulturních právech, dodatkový protokol k Úmluvě o ochraně lidských práv a základních svobod, Listina základních práv EU.</w:t>
      </w:r>
      <w:r w:rsidRPr="009F376F">
        <w:rPr>
          <w:rFonts w:ascii="Book Antiqua" w:hAnsi="Book Antiqua" w:cs="Book Antiqua"/>
          <w:sz w:val="20"/>
          <w:szCs w:val="20"/>
        </w:rPr>
        <w:t xml:space="preserve"> </w:t>
      </w:r>
    </w:p>
  </w:footnote>
  <w:footnote w:id="49">
    <w:p w:rsidR="009D1F29" w:rsidRDefault="009D1F29" w:rsidP="00A006DD">
      <w:pPr>
        <w:pStyle w:val="footnotedescription"/>
        <w:spacing w:after="20" w:line="240" w:lineRule="auto"/>
        <w:jc w:val="both"/>
      </w:pPr>
      <w:r w:rsidRPr="009F376F">
        <w:rPr>
          <w:rStyle w:val="footnotemark"/>
          <w:szCs w:val="20"/>
        </w:rPr>
        <w:footnoteRef/>
      </w:r>
      <w:r w:rsidRPr="009F376F">
        <w:rPr>
          <w:sz w:val="20"/>
          <w:szCs w:val="20"/>
        </w:rPr>
        <w:t xml:space="preserve"> KOSAŘ, David a kol. </w:t>
      </w:r>
      <w:r w:rsidRPr="009F376F">
        <w:rPr>
          <w:i/>
          <w:sz w:val="20"/>
          <w:szCs w:val="20"/>
        </w:rPr>
        <w:t>Ústavní právo. Casebook</w:t>
      </w:r>
      <w:r w:rsidRPr="009F376F">
        <w:rPr>
          <w:sz w:val="20"/>
          <w:szCs w:val="20"/>
        </w:rPr>
        <w:t>. Praha: Wolters Kluwer, 2014, s. 567.</w:t>
      </w:r>
      <w:r w:rsidRPr="009F376F">
        <w:rPr>
          <w:rFonts w:ascii="Book Antiqua" w:hAnsi="Book Antiqua" w:cs="Book Antiqua"/>
          <w:sz w:val="20"/>
          <w:szCs w:val="20"/>
        </w:rPr>
        <w:t xml:space="preserve"> </w:t>
      </w:r>
    </w:p>
  </w:footnote>
  <w:footnote w:id="50">
    <w:p w:rsidR="009D1F29" w:rsidRDefault="009D1F29" w:rsidP="00A006DD">
      <w:pPr>
        <w:pStyle w:val="footnotedescription"/>
        <w:spacing w:after="0" w:line="240" w:lineRule="auto"/>
        <w:ind w:right="948"/>
        <w:jc w:val="both"/>
      </w:pPr>
      <w:r w:rsidRPr="009F376F">
        <w:rPr>
          <w:rStyle w:val="footnotemark"/>
          <w:szCs w:val="20"/>
        </w:rPr>
        <w:footnoteRef/>
      </w:r>
      <w:r w:rsidRPr="009F376F">
        <w:rPr>
          <w:sz w:val="20"/>
          <w:szCs w:val="20"/>
        </w:rPr>
        <w:t xml:space="preserve"> PRAŽÁK, Jiří. </w:t>
      </w:r>
      <w:r w:rsidRPr="009F376F">
        <w:rPr>
          <w:i/>
          <w:sz w:val="20"/>
          <w:szCs w:val="20"/>
        </w:rPr>
        <w:t>Základní rysy všeobecného práva státního</w:t>
      </w:r>
      <w:r w:rsidRPr="009F376F">
        <w:rPr>
          <w:sz w:val="20"/>
          <w:szCs w:val="20"/>
        </w:rPr>
        <w:t>. Praha: Jednota právnická, 1900, s. 30.</w:t>
      </w:r>
    </w:p>
  </w:footnote>
  <w:footnote w:id="51">
    <w:p w:rsidR="009D1F29" w:rsidRDefault="009D1F29" w:rsidP="00A006DD">
      <w:pPr>
        <w:pStyle w:val="FootnoteText"/>
        <w:spacing w:line="240" w:lineRule="auto"/>
      </w:pPr>
      <w:r>
        <w:rPr>
          <w:rStyle w:val="FootnoteReference"/>
        </w:rPr>
        <w:footnoteRef/>
      </w:r>
      <w:r>
        <w:t xml:space="preserve"> </w:t>
      </w:r>
      <w:r w:rsidRPr="009F376F">
        <w:t>Nález ÚS ČR ze dne 9. ledna 2008, sp. zn. II. ÚS 268/06.</w:t>
      </w:r>
    </w:p>
  </w:footnote>
  <w:footnote w:id="52">
    <w:p w:rsidR="009D1F29" w:rsidRDefault="009D1F29" w:rsidP="00A006DD">
      <w:pPr>
        <w:pStyle w:val="footnotedescription"/>
        <w:spacing w:after="19" w:line="240" w:lineRule="auto"/>
        <w:jc w:val="both"/>
      </w:pPr>
      <w:r w:rsidRPr="009F376F">
        <w:rPr>
          <w:rStyle w:val="footnotemark"/>
          <w:szCs w:val="20"/>
        </w:rPr>
        <w:footnoteRef/>
      </w:r>
      <w:r w:rsidRPr="009F376F">
        <w:rPr>
          <w:sz w:val="20"/>
          <w:szCs w:val="20"/>
        </w:rPr>
        <w:t xml:space="preserve"> LARENZ, Karl, CANARIS, Claus Wilhelm.</w:t>
      </w:r>
      <w:r w:rsidRPr="009F376F">
        <w:rPr>
          <w:i/>
          <w:sz w:val="20"/>
          <w:szCs w:val="20"/>
        </w:rPr>
        <w:t xml:space="preserve"> Mehtodenlehre der Rechtswissenschaft</w:t>
      </w:r>
      <w:r w:rsidRPr="009F376F">
        <w:rPr>
          <w:sz w:val="20"/>
          <w:szCs w:val="20"/>
        </w:rPr>
        <w:t>. 3. Aufl. Berlin: Springer, 1995, s. 231.</w:t>
      </w:r>
      <w:r w:rsidRPr="009F376F">
        <w:rPr>
          <w:rFonts w:ascii="Book Antiqua" w:hAnsi="Book Antiqua" w:cs="Book Antiqua"/>
          <w:sz w:val="20"/>
          <w:szCs w:val="20"/>
        </w:rPr>
        <w:t xml:space="preserve"> </w:t>
      </w:r>
    </w:p>
  </w:footnote>
  <w:footnote w:id="53">
    <w:p w:rsidR="009D1F29" w:rsidRDefault="009D1F29" w:rsidP="00A006DD">
      <w:pPr>
        <w:pStyle w:val="footnotedescription"/>
        <w:spacing w:after="0" w:line="240" w:lineRule="auto"/>
        <w:jc w:val="both"/>
      </w:pPr>
      <w:r w:rsidRPr="009F376F">
        <w:rPr>
          <w:rStyle w:val="footnotemark"/>
          <w:szCs w:val="20"/>
        </w:rPr>
        <w:footnoteRef/>
      </w:r>
      <w:r w:rsidRPr="009F376F">
        <w:rPr>
          <w:sz w:val="20"/>
          <w:szCs w:val="20"/>
        </w:rPr>
        <w:t xml:space="preserve"> Nález ÚS ČR ze dne 16. června 2005, sp. zn. I. ÚS 353/04.</w:t>
      </w:r>
      <w:r>
        <w:rPr>
          <w:rFonts w:ascii="Book Antiqua" w:hAnsi="Book Antiqua" w:cs="Book Antiqua"/>
        </w:rPr>
        <w:t xml:space="preserve"> </w:t>
      </w:r>
    </w:p>
  </w:footnote>
  <w:footnote w:id="54">
    <w:p w:rsidR="009D1F29" w:rsidRDefault="009D1F29" w:rsidP="00E05C04">
      <w:pPr>
        <w:pStyle w:val="footnotedescription"/>
        <w:spacing w:after="6" w:line="240" w:lineRule="auto"/>
        <w:jc w:val="both"/>
      </w:pPr>
      <w:r w:rsidRPr="00E05C04">
        <w:rPr>
          <w:rStyle w:val="footnotemark"/>
          <w:szCs w:val="20"/>
        </w:rPr>
        <w:footnoteRef/>
      </w:r>
      <w:r w:rsidRPr="00E05C04">
        <w:rPr>
          <w:sz w:val="20"/>
          <w:szCs w:val="20"/>
        </w:rPr>
        <w:t xml:space="preserve"> WAGNEROVÁ, Eliška, ŠIMÍČEK, Vojtěch, LANGÁŠEK, Tomáš, POSPÍŠIL, Ivo. </w:t>
      </w:r>
      <w:r w:rsidRPr="00E05C04">
        <w:rPr>
          <w:i/>
          <w:sz w:val="20"/>
          <w:szCs w:val="20"/>
        </w:rPr>
        <w:t xml:space="preserve">Listina základních práv  </w:t>
      </w:r>
      <w:r>
        <w:rPr>
          <w:i/>
          <w:sz w:val="20"/>
          <w:szCs w:val="20"/>
        </w:rPr>
        <w:br/>
      </w:r>
      <w:r w:rsidRPr="00E05C04">
        <w:rPr>
          <w:i/>
          <w:sz w:val="20"/>
          <w:szCs w:val="20"/>
        </w:rPr>
        <w:t>a svobod. Komentář.</w:t>
      </w:r>
      <w:r w:rsidRPr="00E05C04">
        <w:rPr>
          <w:sz w:val="20"/>
          <w:szCs w:val="20"/>
        </w:rPr>
        <w:t xml:space="preserve"> Praha: Wolters Kluwer, 2012, s. 310.</w:t>
      </w:r>
      <w:r w:rsidRPr="00E05C04">
        <w:rPr>
          <w:rFonts w:ascii="Book Antiqua" w:hAnsi="Book Antiqua" w:cs="Book Antiqua"/>
          <w:sz w:val="20"/>
          <w:szCs w:val="20"/>
        </w:rPr>
        <w:t xml:space="preserve"> </w:t>
      </w:r>
    </w:p>
  </w:footnote>
  <w:footnote w:id="55">
    <w:p w:rsidR="009D1F29" w:rsidRDefault="009D1F29" w:rsidP="00E05C04">
      <w:pPr>
        <w:pStyle w:val="footnotedescription"/>
        <w:spacing w:after="14" w:line="240" w:lineRule="auto"/>
        <w:jc w:val="both"/>
      </w:pPr>
      <w:r w:rsidRPr="00E05C04">
        <w:rPr>
          <w:rStyle w:val="footnotemark"/>
          <w:szCs w:val="20"/>
        </w:rPr>
        <w:footnoteRef/>
      </w:r>
      <w:r w:rsidRPr="00E05C04">
        <w:rPr>
          <w:sz w:val="20"/>
          <w:szCs w:val="20"/>
        </w:rPr>
        <w:t xml:space="preserve"> KLÍMA: </w:t>
      </w:r>
      <w:r w:rsidRPr="00E05C04">
        <w:rPr>
          <w:i/>
          <w:sz w:val="20"/>
          <w:szCs w:val="20"/>
        </w:rPr>
        <w:t>Komentář k Ústavě...</w:t>
      </w:r>
      <w:r w:rsidRPr="00E05C04">
        <w:rPr>
          <w:sz w:val="20"/>
          <w:szCs w:val="20"/>
        </w:rPr>
        <w:t>, s. 1045.</w:t>
      </w:r>
      <w:r w:rsidRPr="00E05C04">
        <w:rPr>
          <w:rFonts w:ascii="Book Antiqua" w:hAnsi="Book Antiqua" w:cs="Book Antiqua"/>
          <w:sz w:val="20"/>
          <w:szCs w:val="20"/>
        </w:rPr>
        <w:t xml:space="preserve"> </w:t>
      </w:r>
    </w:p>
  </w:footnote>
  <w:footnote w:id="56">
    <w:p w:rsidR="009D1F29" w:rsidRDefault="009D1F29" w:rsidP="00E05C04">
      <w:pPr>
        <w:pStyle w:val="footnotedescription"/>
        <w:spacing w:after="0" w:line="240" w:lineRule="auto"/>
        <w:jc w:val="both"/>
      </w:pPr>
      <w:r w:rsidRPr="00E05C04">
        <w:rPr>
          <w:rStyle w:val="footnotemark"/>
          <w:szCs w:val="20"/>
        </w:rPr>
        <w:footnoteRef/>
      </w:r>
      <w:r w:rsidRPr="00E05C04">
        <w:rPr>
          <w:sz w:val="20"/>
          <w:szCs w:val="20"/>
        </w:rPr>
        <w:t xml:space="preserve"> Příkladem OZ, zákon o majetku ČR a jejím vystupování v právních vztazích, horní zákon, lesní zákon, vodní zákon, zákon o půdě, stavební zákon, vyvlastňovací zákon, zákon o pozemkových komunikacích</w:t>
      </w:r>
      <w:r>
        <w:t>.</w:t>
      </w:r>
      <w:r>
        <w:rPr>
          <w:rFonts w:ascii="Book Antiqua" w:hAnsi="Book Antiqua" w:cs="Book Antiqua"/>
        </w:rPr>
        <w:t xml:space="preserve"> </w:t>
      </w:r>
    </w:p>
  </w:footnote>
  <w:footnote w:id="57">
    <w:p w:rsidR="009D1F29" w:rsidRDefault="009D1F29" w:rsidP="006271DE">
      <w:pPr>
        <w:pStyle w:val="footnotedescription"/>
        <w:spacing w:after="15" w:line="240" w:lineRule="auto"/>
        <w:ind w:right="11"/>
        <w:jc w:val="both"/>
      </w:pPr>
      <w:r w:rsidRPr="00AC3F14">
        <w:rPr>
          <w:rStyle w:val="footnotemark"/>
          <w:szCs w:val="20"/>
        </w:rPr>
        <w:footnoteRef/>
      </w:r>
      <w:r w:rsidRPr="00AC3F14">
        <w:rPr>
          <w:sz w:val="20"/>
          <w:szCs w:val="20"/>
        </w:rPr>
        <w:t xml:space="preserve"> GERLOCH, Aleš, HŘEBEJK, Jiří, ZOUBEK, Vladimír. </w:t>
      </w:r>
      <w:r w:rsidRPr="00AC3F14">
        <w:rPr>
          <w:i/>
          <w:sz w:val="20"/>
          <w:szCs w:val="20"/>
        </w:rPr>
        <w:t>Ústavní systém České republiky</w:t>
      </w:r>
      <w:r w:rsidRPr="00AC3F14">
        <w:rPr>
          <w:sz w:val="20"/>
          <w:szCs w:val="20"/>
        </w:rPr>
        <w:t xml:space="preserve">. </w:t>
      </w:r>
      <w:r>
        <w:rPr>
          <w:sz w:val="20"/>
          <w:szCs w:val="20"/>
        </w:rPr>
        <w:br/>
      </w:r>
      <w:r w:rsidRPr="00AC3F14">
        <w:rPr>
          <w:sz w:val="20"/>
          <w:szCs w:val="20"/>
        </w:rPr>
        <w:t>Praha: Prospektorum, 1996, s. 18.</w:t>
      </w:r>
      <w:r w:rsidRPr="00AC3F14">
        <w:rPr>
          <w:rFonts w:ascii="Book Antiqua" w:hAnsi="Book Antiqua" w:cs="Book Antiqua"/>
          <w:sz w:val="20"/>
          <w:szCs w:val="20"/>
        </w:rPr>
        <w:t xml:space="preserve"> </w:t>
      </w:r>
    </w:p>
  </w:footnote>
  <w:footnote w:id="58">
    <w:p w:rsidR="009D1F29" w:rsidRDefault="009D1F29" w:rsidP="006271DE">
      <w:pPr>
        <w:pStyle w:val="FootnoteText"/>
        <w:spacing w:line="240" w:lineRule="auto"/>
      </w:pPr>
      <w:r>
        <w:rPr>
          <w:rStyle w:val="FootnoteReference"/>
        </w:rPr>
        <w:footnoteRef/>
      </w:r>
      <w:r>
        <w:t xml:space="preserve"> </w:t>
      </w:r>
      <w:r w:rsidRPr="00AC3F14">
        <w:t xml:space="preserve">TOBOLKA, Zdeněk. </w:t>
      </w:r>
      <w:r w:rsidRPr="00AC3F14">
        <w:rPr>
          <w:i/>
        </w:rPr>
        <w:t>Jak vznikla ústava Československé republiky</w:t>
      </w:r>
      <w:r w:rsidRPr="00AC3F14">
        <w:t>. Praha: Československá sociální demokracie, 1946, s. 7.</w:t>
      </w:r>
    </w:p>
  </w:footnote>
  <w:footnote w:id="59">
    <w:p w:rsidR="009D1F29" w:rsidRDefault="009D1F29" w:rsidP="003D64D8">
      <w:pPr>
        <w:pStyle w:val="footnotedescription"/>
        <w:spacing w:after="0" w:line="240" w:lineRule="auto"/>
        <w:jc w:val="both"/>
      </w:pPr>
      <w:r w:rsidRPr="003D64D8">
        <w:rPr>
          <w:rStyle w:val="footnotemark"/>
          <w:szCs w:val="20"/>
        </w:rPr>
        <w:footnoteRef/>
      </w:r>
      <w:r w:rsidRPr="003D64D8">
        <w:rPr>
          <w:sz w:val="20"/>
          <w:szCs w:val="20"/>
        </w:rPr>
        <w:t xml:space="preserve"> VAVŘÍNEK, František. </w:t>
      </w:r>
      <w:r w:rsidRPr="003D64D8">
        <w:rPr>
          <w:i/>
          <w:sz w:val="20"/>
          <w:szCs w:val="20"/>
        </w:rPr>
        <w:t>Základy práva ústavního. Ústavní řád našeho státu</w:t>
      </w:r>
      <w:r w:rsidRPr="003D64D8">
        <w:rPr>
          <w:sz w:val="20"/>
          <w:szCs w:val="20"/>
        </w:rPr>
        <w:t xml:space="preserve"> 1. díl. 4. vyd. Praha: Spolek Československých právníků Všehrd, 1920, s. 195.</w:t>
      </w:r>
      <w:r w:rsidRPr="003D64D8">
        <w:rPr>
          <w:rFonts w:ascii="Book Antiqua" w:hAnsi="Book Antiqua" w:cs="Book Antiqua"/>
          <w:sz w:val="20"/>
          <w:szCs w:val="20"/>
        </w:rPr>
        <w:t xml:space="preserve"> </w:t>
      </w:r>
    </w:p>
  </w:footnote>
  <w:footnote w:id="60">
    <w:p w:rsidR="009D1F29" w:rsidRDefault="009D1F29" w:rsidP="003D64D8">
      <w:pPr>
        <w:pStyle w:val="footnotedescription"/>
        <w:spacing w:after="0" w:line="240" w:lineRule="auto"/>
        <w:jc w:val="both"/>
      </w:pPr>
      <w:r w:rsidRPr="003D64D8">
        <w:rPr>
          <w:rStyle w:val="footnotemark"/>
          <w:szCs w:val="20"/>
        </w:rPr>
        <w:footnoteRef/>
      </w:r>
      <w:r w:rsidRPr="003D64D8">
        <w:rPr>
          <w:sz w:val="20"/>
          <w:szCs w:val="20"/>
        </w:rPr>
        <w:t xml:space="preserve"> HORÁČEK, Cyril ml. Právní význam základních práv občanských. In </w:t>
      </w:r>
      <w:r w:rsidRPr="003D64D8">
        <w:rPr>
          <w:i/>
          <w:sz w:val="20"/>
          <w:szCs w:val="20"/>
        </w:rPr>
        <w:t>Sborník věd právních a státních</w:t>
      </w:r>
      <w:r>
        <w:rPr>
          <w:sz w:val="20"/>
          <w:szCs w:val="20"/>
        </w:rPr>
        <w:t xml:space="preserve">.   </w:t>
      </w:r>
      <w:r w:rsidRPr="003D64D8">
        <w:rPr>
          <w:sz w:val="20"/>
          <w:szCs w:val="20"/>
        </w:rPr>
        <w:t>Praha: Bursík a Kohout, 1925, s. 148.</w:t>
      </w:r>
      <w:r w:rsidRPr="003D64D8">
        <w:rPr>
          <w:rFonts w:ascii="Book Antiqua" w:hAnsi="Book Antiqua" w:cs="Book Antiqua"/>
          <w:sz w:val="20"/>
          <w:szCs w:val="20"/>
        </w:rPr>
        <w:t xml:space="preserve"> </w:t>
      </w:r>
    </w:p>
  </w:footnote>
  <w:footnote w:id="61">
    <w:p w:rsidR="009D1F29" w:rsidRDefault="009D1F29" w:rsidP="003D64D8">
      <w:pPr>
        <w:pStyle w:val="footnotedescription"/>
        <w:spacing w:after="7" w:line="240" w:lineRule="auto"/>
        <w:jc w:val="both"/>
      </w:pPr>
      <w:r w:rsidRPr="003D64D8">
        <w:rPr>
          <w:rStyle w:val="footnotemark"/>
          <w:szCs w:val="20"/>
        </w:rPr>
        <w:footnoteRef/>
      </w:r>
      <w:r w:rsidRPr="003D64D8">
        <w:rPr>
          <w:sz w:val="20"/>
          <w:szCs w:val="20"/>
        </w:rPr>
        <w:t xml:space="preserve"> PRAŽÁK, Jiří. </w:t>
      </w:r>
      <w:r w:rsidRPr="003D64D8">
        <w:rPr>
          <w:i/>
          <w:sz w:val="20"/>
          <w:szCs w:val="20"/>
        </w:rPr>
        <w:t>Rakouské právo veřejné. 1. díl: Právo ústavní. 3. část: Ústava říšská</w:t>
      </w:r>
      <w:r w:rsidRPr="003D64D8">
        <w:rPr>
          <w:sz w:val="20"/>
          <w:szCs w:val="20"/>
        </w:rPr>
        <w:t>. Praha: Jednota právnická, 1902, s. 51, či WEYR, František</w:t>
      </w:r>
      <w:r w:rsidRPr="003D64D8">
        <w:rPr>
          <w:i/>
          <w:sz w:val="20"/>
          <w:szCs w:val="20"/>
        </w:rPr>
        <w:t>. Československé právo ústavní</w:t>
      </w:r>
      <w:r w:rsidRPr="003D64D8">
        <w:rPr>
          <w:sz w:val="20"/>
          <w:szCs w:val="20"/>
        </w:rPr>
        <w:t>. Praha: Melantrich, 1937, s. 249.</w:t>
      </w:r>
      <w:r w:rsidRPr="003D64D8">
        <w:rPr>
          <w:rFonts w:ascii="Book Antiqua" w:hAnsi="Book Antiqua" w:cs="Book Antiqua"/>
          <w:sz w:val="20"/>
          <w:szCs w:val="20"/>
        </w:rPr>
        <w:t xml:space="preserve"> </w:t>
      </w:r>
    </w:p>
  </w:footnote>
  <w:footnote w:id="62">
    <w:p w:rsidR="009D1F29" w:rsidRDefault="009D1F29" w:rsidP="003D64D8">
      <w:pPr>
        <w:pStyle w:val="footnotedescription"/>
        <w:spacing w:after="14" w:line="240" w:lineRule="auto"/>
        <w:ind w:right="7"/>
        <w:jc w:val="both"/>
      </w:pPr>
      <w:r w:rsidRPr="003D64D8">
        <w:rPr>
          <w:rStyle w:val="footnotemark"/>
          <w:szCs w:val="20"/>
        </w:rPr>
        <w:footnoteRef/>
      </w:r>
      <w:r w:rsidRPr="003D64D8">
        <w:rPr>
          <w:sz w:val="20"/>
          <w:szCs w:val="20"/>
        </w:rPr>
        <w:t xml:space="preserve"> KREJČÍ, Jaroslav. </w:t>
      </w:r>
      <w:r w:rsidRPr="003D64D8">
        <w:rPr>
          <w:i/>
          <w:sz w:val="20"/>
          <w:szCs w:val="20"/>
        </w:rPr>
        <w:t>Základní</w:t>
      </w:r>
      <w:r w:rsidRPr="003D64D8">
        <w:rPr>
          <w:sz w:val="20"/>
          <w:szCs w:val="20"/>
        </w:rPr>
        <w:t xml:space="preserve"> </w:t>
      </w:r>
      <w:r w:rsidRPr="003D64D8">
        <w:rPr>
          <w:i/>
          <w:sz w:val="20"/>
          <w:szCs w:val="20"/>
        </w:rPr>
        <w:t>práva občanská a rovnost před zákonem</w:t>
      </w:r>
      <w:r w:rsidRPr="003D64D8">
        <w:rPr>
          <w:sz w:val="20"/>
          <w:szCs w:val="20"/>
        </w:rPr>
        <w:t xml:space="preserve">. Praha: Moderní stát, 1929, s. 55-56, či PEŠKA, Zdeněk. </w:t>
      </w:r>
      <w:r w:rsidRPr="003D64D8">
        <w:rPr>
          <w:i/>
          <w:sz w:val="20"/>
          <w:szCs w:val="20"/>
        </w:rPr>
        <w:t>Československá ústava a zákony s ní souvislé</w:t>
      </w:r>
      <w:r w:rsidRPr="003D64D8">
        <w:rPr>
          <w:sz w:val="20"/>
          <w:szCs w:val="20"/>
        </w:rPr>
        <w:t>. 1. díl. Praha</w:t>
      </w:r>
      <w:r>
        <w:rPr>
          <w:sz w:val="20"/>
          <w:szCs w:val="20"/>
        </w:rPr>
        <w:t xml:space="preserve">: Československý kompas, 1935, </w:t>
      </w:r>
      <w:r>
        <w:rPr>
          <w:sz w:val="20"/>
          <w:szCs w:val="20"/>
        </w:rPr>
        <w:br/>
      </w:r>
      <w:r w:rsidRPr="003D64D8">
        <w:rPr>
          <w:sz w:val="20"/>
          <w:szCs w:val="20"/>
        </w:rPr>
        <w:t>s. 294-295.</w:t>
      </w:r>
      <w:r>
        <w:rPr>
          <w:rFonts w:ascii="Book Antiqua" w:hAnsi="Book Antiqua" w:cs="Book Antiqua"/>
        </w:rPr>
        <w:t xml:space="preserve"> </w:t>
      </w:r>
    </w:p>
  </w:footnote>
  <w:footnote w:id="63">
    <w:p w:rsidR="009D1F29" w:rsidRDefault="009D1F29" w:rsidP="00F73634">
      <w:pPr>
        <w:pStyle w:val="footnotedescription"/>
        <w:spacing w:after="0" w:line="240" w:lineRule="auto"/>
        <w:ind w:right="7"/>
        <w:jc w:val="both"/>
      </w:pPr>
      <w:r w:rsidRPr="00F73634">
        <w:rPr>
          <w:rStyle w:val="footnotemark"/>
          <w:szCs w:val="20"/>
        </w:rPr>
        <w:footnoteRef/>
      </w:r>
      <w:r w:rsidRPr="00F73634">
        <w:rPr>
          <w:sz w:val="20"/>
          <w:szCs w:val="20"/>
        </w:rPr>
        <w:t xml:space="preserve"> HOETZEL Jiří. Ústavní listina Československé republiky. In </w:t>
      </w:r>
      <w:r w:rsidRPr="00F73634">
        <w:rPr>
          <w:i/>
          <w:sz w:val="20"/>
          <w:szCs w:val="20"/>
        </w:rPr>
        <w:t>Sborník věd právních a státních</w:t>
      </w:r>
      <w:r w:rsidRPr="00F73634">
        <w:rPr>
          <w:sz w:val="20"/>
          <w:szCs w:val="20"/>
        </w:rPr>
        <w:t xml:space="preserve">. Praha: Bursík  </w:t>
      </w:r>
      <w:r>
        <w:rPr>
          <w:sz w:val="20"/>
          <w:szCs w:val="20"/>
        </w:rPr>
        <w:br/>
      </w:r>
      <w:r w:rsidRPr="00F73634">
        <w:rPr>
          <w:sz w:val="20"/>
          <w:szCs w:val="20"/>
        </w:rPr>
        <w:t>a Kohout, 1920, s. 21-23.</w:t>
      </w:r>
    </w:p>
  </w:footnote>
  <w:footnote w:id="64">
    <w:p w:rsidR="009D1F29" w:rsidRDefault="009D1F29" w:rsidP="00F73634">
      <w:pPr>
        <w:pStyle w:val="FootnoteText"/>
        <w:spacing w:line="240" w:lineRule="auto"/>
      </w:pPr>
      <w:r>
        <w:rPr>
          <w:rStyle w:val="FootnoteReference"/>
        </w:rPr>
        <w:footnoteRef/>
      </w:r>
      <w:r>
        <w:t xml:space="preserve"> </w:t>
      </w:r>
      <w:r w:rsidRPr="00F73634">
        <w:t xml:space="preserve">PAVLÍČEK, Václav a kol. </w:t>
      </w:r>
      <w:r w:rsidRPr="00F73634">
        <w:rPr>
          <w:i/>
        </w:rPr>
        <w:t>Ústavní právo a státověda – 2. díl: Ústavní právo České republiky. Část 1</w:t>
      </w:r>
      <w:r w:rsidRPr="00F73634">
        <w:t xml:space="preserve">.  </w:t>
      </w:r>
      <w:r>
        <w:br/>
      </w:r>
      <w:r w:rsidRPr="00F73634">
        <w:t>Praha: Linde, 2001, s. 59.</w:t>
      </w:r>
    </w:p>
  </w:footnote>
  <w:footnote w:id="65">
    <w:p w:rsidR="009D1F29" w:rsidRDefault="009D1F29" w:rsidP="00F73634">
      <w:pPr>
        <w:pStyle w:val="FootnoteText"/>
        <w:spacing w:line="240" w:lineRule="auto"/>
      </w:pPr>
      <w:r>
        <w:rPr>
          <w:rStyle w:val="FootnoteReference"/>
        </w:rPr>
        <w:footnoteRef/>
      </w:r>
      <w:r>
        <w:t xml:space="preserve"> </w:t>
      </w:r>
      <w:r w:rsidRPr="00F73634">
        <w:t>VAVŘÍNEK, František</w:t>
      </w:r>
      <w:r w:rsidRPr="00F73634">
        <w:rPr>
          <w:i/>
        </w:rPr>
        <w:t>. Základy práva ústavního. 2.díl. Ústavní řád a veřejné právo našeho státu.</w:t>
      </w:r>
      <w:r w:rsidRPr="00F73634">
        <w:t xml:space="preserve"> 4. vyd.  Praha: Spolek Českosloven</w:t>
      </w:r>
      <w:r>
        <w:t xml:space="preserve">ských právníků Všehrd, 1921, s. </w:t>
      </w:r>
      <w:r w:rsidRPr="00F73634">
        <w:t>21.</w:t>
      </w:r>
    </w:p>
  </w:footnote>
  <w:footnote w:id="66">
    <w:p w:rsidR="009D1F29" w:rsidRDefault="009D1F29" w:rsidP="00F73634">
      <w:pPr>
        <w:pStyle w:val="FootnoteText"/>
        <w:spacing w:line="240" w:lineRule="auto"/>
      </w:pPr>
      <w:r>
        <w:rPr>
          <w:rStyle w:val="FootnoteReference"/>
        </w:rPr>
        <w:footnoteRef/>
      </w:r>
      <w:r>
        <w:t xml:space="preserve"> </w:t>
      </w:r>
      <w:r w:rsidRPr="00F73634">
        <w:t xml:space="preserve">MATES, Pavel, MAZANEC, Michal. Úvahy a fakta o správním soudnictví – 2. díl. </w:t>
      </w:r>
      <w:r w:rsidRPr="00F73634">
        <w:rPr>
          <w:i/>
        </w:rPr>
        <w:t>Právní rozhledy</w:t>
      </w:r>
      <w:r>
        <w:t xml:space="preserve">, 1995, </w:t>
      </w:r>
      <w:r w:rsidRPr="00F73634">
        <w:t>roč. 2, č. 8, s. 283.</w:t>
      </w:r>
    </w:p>
  </w:footnote>
  <w:footnote w:id="67">
    <w:p w:rsidR="009D1F29" w:rsidRDefault="009D1F29" w:rsidP="00F73634">
      <w:pPr>
        <w:pStyle w:val="footnotedescription"/>
        <w:spacing w:after="29" w:line="240" w:lineRule="auto"/>
        <w:jc w:val="both"/>
      </w:pPr>
      <w:r w:rsidRPr="00F73634">
        <w:rPr>
          <w:rStyle w:val="footnotemark"/>
          <w:szCs w:val="20"/>
        </w:rPr>
        <w:footnoteRef/>
      </w:r>
      <w:r w:rsidRPr="00F73634">
        <w:rPr>
          <w:sz w:val="20"/>
          <w:szCs w:val="20"/>
        </w:rPr>
        <w:t xml:space="preserve"> LANGÁŠEK, Tomáš. </w:t>
      </w:r>
      <w:r w:rsidRPr="00F73634">
        <w:rPr>
          <w:i/>
          <w:sz w:val="20"/>
          <w:szCs w:val="20"/>
        </w:rPr>
        <w:t>Ústavní soud Československé republiky a jeho osudy v letech 1920-1948.</w:t>
      </w:r>
      <w:r w:rsidRPr="00F73634">
        <w:rPr>
          <w:sz w:val="20"/>
          <w:szCs w:val="20"/>
        </w:rPr>
        <w:t xml:space="preserve"> Plzeň: Aleš Čeněk, 2011, s. 25.</w:t>
      </w:r>
      <w:r w:rsidRPr="00F73634">
        <w:rPr>
          <w:rFonts w:ascii="Book Antiqua" w:hAnsi="Book Antiqua" w:cs="Book Antiqua"/>
          <w:sz w:val="20"/>
          <w:szCs w:val="20"/>
        </w:rPr>
        <w:t xml:space="preserve"> </w:t>
      </w:r>
    </w:p>
  </w:footnote>
  <w:footnote w:id="68">
    <w:p w:rsidR="009D1F29" w:rsidRDefault="009D1F29" w:rsidP="00F73634">
      <w:pPr>
        <w:pStyle w:val="footnotedescription"/>
        <w:spacing w:after="5" w:line="240" w:lineRule="auto"/>
        <w:jc w:val="both"/>
      </w:pPr>
      <w:r w:rsidRPr="00F73634">
        <w:rPr>
          <w:rStyle w:val="footnotemark"/>
          <w:szCs w:val="20"/>
        </w:rPr>
        <w:footnoteRef/>
      </w:r>
      <w:r w:rsidRPr="00F73634">
        <w:rPr>
          <w:sz w:val="20"/>
          <w:szCs w:val="20"/>
        </w:rPr>
        <w:t xml:space="preserve"> GROSPIČ, Jiří., MATULA, Miloš. K demokratické tradici československého konstitucionalismu. </w:t>
      </w:r>
      <w:r w:rsidRPr="00F73634">
        <w:rPr>
          <w:i/>
          <w:sz w:val="20"/>
          <w:szCs w:val="20"/>
        </w:rPr>
        <w:t>Právník</w:t>
      </w:r>
      <w:r w:rsidRPr="00F73634">
        <w:rPr>
          <w:sz w:val="20"/>
          <w:szCs w:val="20"/>
        </w:rPr>
        <w:t>, 1991, roč. 130, č. 7-8, s. 619.</w:t>
      </w:r>
      <w:r w:rsidRPr="00F73634">
        <w:rPr>
          <w:rFonts w:ascii="Book Antiqua" w:hAnsi="Book Antiqua" w:cs="Book Antiqua"/>
          <w:sz w:val="20"/>
          <w:szCs w:val="20"/>
        </w:rPr>
        <w:t xml:space="preserve"> </w:t>
      </w:r>
    </w:p>
  </w:footnote>
  <w:footnote w:id="69">
    <w:p w:rsidR="009D1F29" w:rsidRDefault="009D1F29" w:rsidP="00F73634">
      <w:pPr>
        <w:pStyle w:val="footnotedescription"/>
        <w:spacing w:after="19" w:line="240" w:lineRule="auto"/>
        <w:jc w:val="both"/>
      </w:pPr>
      <w:r w:rsidRPr="00F73634">
        <w:rPr>
          <w:rStyle w:val="footnotemark"/>
          <w:szCs w:val="20"/>
        </w:rPr>
        <w:footnoteRef/>
      </w:r>
      <w:r w:rsidRPr="00F73634">
        <w:rPr>
          <w:sz w:val="20"/>
          <w:szCs w:val="20"/>
        </w:rPr>
        <w:t xml:space="preserve"> KLOUBEK, Vilém. </w:t>
      </w:r>
      <w:r w:rsidRPr="00F73634">
        <w:rPr>
          <w:i/>
          <w:sz w:val="20"/>
          <w:szCs w:val="20"/>
        </w:rPr>
        <w:t>Ústavní zákony republiky Československé</w:t>
      </w:r>
      <w:r w:rsidRPr="00F73634">
        <w:rPr>
          <w:sz w:val="20"/>
          <w:szCs w:val="20"/>
        </w:rPr>
        <w:t xml:space="preserve">. Svazek II. Praha: Česká grafická unie, 1926,  </w:t>
      </w:r>
      <w:r>
        <w:rPr>
          <w:sz w:val="20"/>
          <w:szCs w:val="20"/>
        </w:rPr>
        <w:br/>
      </w:r>
      <w:r w:rsidRPr="00F73634">
        <w:rPr>
          <w:sz w:val="20"/>
          <w:szCs w:val="20"/>
        </w:rPr>
        <w:t>s. 64-65.</w:t>
      </w:r>
      <w:r>
        <w:rPr>
          <w:rFonts w:ascii="Book Antiqua" w:hAnsi="Book Antiqua" w:cs="Book Antiqua"/>
        </w:rPr>
        <w:t xml:space="preserve"> </w:t>
      </w:r>
    </w:p>
  </w:footnote>
  <w:footnote w:id="70">
    <w:p w:rsidR="009D1F29" w:rsidRDefault="009D1F29" w:rsidP="00ED0677">
      <w:pPr>
        <w:pStyle w:val="footnotedescription"/>
        <w:spacing w:after="0" w:line="240" w:lineRule="auto"/>
        <w:jc w:val="both"/>
      </w:pPr>
      <w:r w:rsidRPr="00ED0677">
        <w:rPr>
          <w:rStyle w:val="footnotemark"/>
          <w:szCs w:val="20"/>
        </w:rPr>
        <w:footnoteRef/>
      </w:r>
      <w:r w:rsidRPr="00ED0677">
        <w:rPr>
          <w:sz w:val="20"/>
          <w:szCs w:val="20"/>
        </w:rPr>
        <w:t xml:space="preserve"> JAKUBEC, Ivan. Ekonomické parametry československé ústavní listiny. In </w:t>
      </w:r>
      <w:r w:rsidRPr="00ED0677">
        <w:rPr>
          <w:i/>
          <w:sz w:val="20"/>
          <w:szCs w:val="20"/>
        </w:rPr>
        <w:t>Ústava 1920. Vyvrcholení konstituování československého státu.</w:t>
      </w:r>
      <w:r w:rsidRPr="00ED0677">
        <w:rPr>
          <w:sz w:val="20"/>
          <w:szCs w:val="20"/>
        </w:rPr>
        <w:t xml:space="preserve"> Praha: Leges, 2011, s. 178-179.</w:t>
      </w:r>
      <w:r w:rsidRPr="00ED0677">
        <w:rPr>
          <w:rFonts w:ascii="Book Antiqua" w:hAnsi="Book Antiqua" w:cs="Book Antiqua"/>
          <w:sz w:val="20"/>
          <w:szCs w:val="20"/>
        </w:rPr>
        <w:t xml:space="preserve"> </w:t>
      </w:r>
    </w:p>
  </w:footnote>
  <w:footnote w:id="71">
    <w:p w:rsidR="009D1F29" w:rsidRDefault="009D1F29" w:rsidP="00ED0677">
      <w:pPr>
        <w:pStyle w:val="footnotedescription"/>
        <w:spacing w:after="42" w:line="240" w:lineRule="auto"/>
        <w:jc w:val="both"/>
      </w:pPr>
      <w:r w:rsidRPr="00ED0677">
        <w:rPr>
          <w:rStyle w:val="footnotemark"/>
          <w:szCs w:val="20"/>
        </w:rPr>
        <w:footnoteRef/>
      </w:r>
      <w:r w:rsidRPr="00ED0677">
        <w:rPr>
          <w:sz w:val="20"/>
          <w:szCs w:val="20"/>
        </w:rPr>
        <w:t xml:space="preserve"> WEYR, František, NEUBAUER, Zdeněk. </w:t>
      </w:r>
      <w:r w:rsidRPr="00ED0677">
        <w:rPr>
          <w:i/>
          <w:sz w:val="20"/>
          <w:szCs w:val="20"/>
        </w:rPr>
        <w:t>Ústavní listina Československé republiky – její znění s poznámkami.</w:t>
      </w:r>
      <w:r w:rsidRPr="00ED0677">
        <w:rPr>
          <w:sz w:val="20"/>
          <w:szCs w:val="20"/>
        </w:rPr>
        <w:t xml:space="preserve"> Praha, Brno: Orbis, 1931, s. 68-69.</w:t>
      </w:r>
      <w:r>
        <w:rPr>
          <w:rFonts w:ascii="Book Antiqua" w:hAnsi="Book Antiqua" w:cs="Book Antiqua"/>
        </w:rPr>
        <w:t xml:space="preserve"> </w:t>
      </w:r>
    </w:p>
  </w:footnote>
  <w:footnote w:id="72">
    <w:p w:rsidR="009D1F29" w:rsidRDefault="009D1F29">
      <w:pPr>
        <w:pStyle w:val="footnotedescription"/>
        <w:spacing w:after="37" w:line="248" w:lineRule="auto"/>
        <w:jc w:val="both"/>
      </w:pPr>
      <w:r w:rsidRPr="00ED0677">
        <w:rPr>
          <w:rStyle w:val="footnotemark"/>
          <w:szCs w:val="20"/>
        </w:rPr>
        <w:footnoteRef/>
      </w:r>
      <w:r w:rsidRPr="00ED0677">
        <w:rPr>
          <w:sz w:val="20"/>
          <w:szCs w:val="20"/>
        </w:rPr>
        <w:t xml:space="preserve"> HORÁK,</w:t>
      </w:r>
      <w:r w:rsidRPr="00ED0677">
        <w:rPr>
          <w:color w:val="222222"/>
          <w:sz w:val="20"/>
          <w:szCs w:val="20"/>
        </w:rPr>
        <w:t xml:space="preserve"> Ondřej. K proměnám koncepce vlastnického práva od rakouských ústav do současnosti. </w:t>
      </w:r>
      <w:r w:rsidRPr="00ED0677">
        <w:rPr>
          <w:i/>
          <w:color w:val="222222"/>
          <w:sz w:val="20"/>
          <w:szCs w:val="20"/>
        </w:rPr>
        <w:t>Právník</w:t>
      </w:r>
      <w:r w:rsidRPr="00ED0677">
        <w:rPr>
          <w:color w:val="222222"/>
          <w:sz w:val="20"/>
          <w:szCs w:val="20"/>
        </w:rPr>
        <w:t>, 2017, roč. 155, č. 12, s. 1113.</w:t>
      </w:r>
      <w:r w:rsidRPr="00ED0677">
        <w:rPr>
          <w:rFonts w:ascii="Book Antiqua" w:hAnsi="Book Antiqua" w:cs="Book Antiqua"/>
          <w:sz w:val="20"/>
          <w:szCs w:val="20"/>
        </w:rPr>
        <w:t xml:space="preserve"> </w:t>
      </w:r>
    </w:p>
  </w:footnote>
  <w:footnote w:id="73">
    <w:p w:rsidR="009D1F29" w:rsidRDefault="009D1F29">
      <w:pPr>
        <w:pStyle w:val="footnotedescription"/>
        <w:spacing w:after="0" w:line="252" w:lineRule="auto"/>
        <w:jc w:val="both"/>
      </w:pPr>
      <w:r w:rsidRPr="00ED0677">
        <w:rPr>
          <w:rStyle w:val="footnotemark"/>
          <w:szCs w:val="20"/>
        </w:rPr>
        <w:footnoteRef/>
      </w:r>
      <w:r w:rsidRPr="00ED0677">
        <w:rPr>
          <w:sz w:val="20"/>
          <w:szCs w:val="20"/>
        </w:rPr>
        <w:t xml:space="preserve"> PRAŽÁK, Jiří</w:t>
      </w:r>
      <w:r w:rsidRPr="00ED0677">
        <w:rPr>
          <w:i/>
          <w:sz w:val="20"/>
          <w:szCs w:val="20"/>
        </w:rPr>
        <w:t>. Das Recht der Enteignung in Österreich unter Berücksichtigung der auswärtigen Gesetzgebungen und der einheimischen Praxis</w:t>
      </w:r>
      <w:r w:rsidRPr="00ED0677">
        <w:rPr>
          <w:sz w:val="20"/>
          <w:szCs w:val="20"/>
        </w:rPr>
        <w:t>. Prag: Heinr. Mercy, 1877, s. 130.</w:t>
      </w:r>
      <w:r w:rsidRPr="00ED0677">
        <w:rPr>
          <w:i/>
          <w:sz w:val="20"/>
          <w:szCs w:val="20"/>
        </w:rPr>
        <w:t xml:space="preserve"> </w:t>
      </w:r>
    </w:p>
  </w:footnote>
  <w:footnote w:id="74">
    <w:p w:rsidR="009D1F29" w:rsidRDefault="009D1F29">
      <w:pPr>
        <w:pStyle w:val="footnotedescription"/>
        <w:spacing w:after="23"/>
      </w:pPr>
      <w:r w:rsidRPr="00ED0677">
        <w:rPr>
          <w:rStyle w:val="footnotemark"/>
          <w:szCs w:val="20"/>
        </w:rPr>
        <w:footnoteRef/>
      </w:r>
      <w:r w:rsidRPr="00ED0677">
        <w:rPr>
          <w:sz w:val="20"/>
          <w:szCs w:val="20"/>
        </w:rPr>
        <w:t xml:space="preserve"> WEYR, NEUBAUER: </w:t>
      </w:r>
      <w:r w:rsidRPr="00ED0677">
        <w:rPr>
          <w:i/>
          <w:sz w:val="20"/>
          <w:szCs w:val="20"/>
        </w:rPr>
        <w:t>Ústavní listina…</w:t>
      </w:r>
      <w:r w:rsidRPr="00ED0677">
        <w:rPr>
          <w:sz w:val="20"/>
          <w:szCs w:val="20"/>
        </w:rPr>
        <w:t xml:space="preserve">, s. 143. </w:t>
      </w:r>
    </w:p>
  </w:footnote>
  <w:footnote w:id="75">
    <w:p w:rsidR="009D1F29" w:rsidRDefault="009D1F29">
      <w:pPr>
        <w:pStyle w:val="footnotedescription"/>
        <w:spacing w:after="5"/>
      </w:pPr>
      <w:r w:rsidRPr="00ED0677">
        <w:rPr>
          <w:rStyle w:val="footnotemark"/>
          <w:szCs w:val="20"/>
        </w:rPr>
        <w:footnoteRef/>
      </w:r>
      <w:r w:rsidRPr="00ED0677">
        <w:rPr>
          <w:sz w:val="20"/>
          <w:szCs w:val="20"/>
        </w:rPr>
        <w:t xml:space="preserve"> WEYR, František. </w:t>
      </w:r>
      <w:r w:rsidRPr="00ED0677">
        <w:rPr>
          <w:i/>
          <w:sz w:val="20"/>
          <w:szCs w:val="20"/>
        </w:rPr>
        <w:t xml:space="preserve">Soustava československého práva státního. </w:t>
      </w:r>
      <w:r w:rsidRPr="00ED0677">
        <w:rPr>
          <w:sz w:val="20"/>
          <w:szCs w:val="20"/>
        </w:rPr>
        <w:t>Brno: Barvič &amp; Novotný, 1921, s. 229.</w:t>
      </w:r>
      <w:r w:rsidRPr="00ED0677">
        <w:rPr>
          <w:rFonts w:ascii="Book Antiqua" w:hAnsi="Book Antiqua" w:cs="Book Antiqua"/>
          <w:sz w:val="20"/>
          <w:szCs w:val="20"/>
        </w:rPr>
        <w:t xml:space="preserve"> </w:t>
      </w:r>
    </w:p>
  </w:footnote>
  <w:footnote w:id="76">
    <w:p w:rsidR="009D1F29" w:rsidRDefault="009D1F29" w:rsidP="00ED0677">
      <w:pPr>
        <w:pStyle w:val="footnotedescription"/>
        <w:spacing w:after="0" w:line="240" w:lineRule="auto"/>
        <w:ind w:right="137"/>
        <w:jc w:val="both"/>
      </w:pPr>
      <w:r w:rsidRPr="00ED0677">
        <w:rPr>
          <w:rStyle w:val="footnotemark"/>
          <w:szCs w:val="20"/>
        </w:rPr>
        <w:footnoteRef/>
      </w:r>
      <w:r w:rsidRPr="00ED0677">
        <w:rPr>
          <w:sz w:val="20"/>
          <w:szCs w:val="20"/>
        </w:rPr>
        <w:t xml:space="preserve"> ZDOBINSKÝ, Stanislav a kol. </w:t>
      </w:r>
      <w:r w:rsidRPr="00ED0677">
        <w:rPr>
          <w:i/>
          <w:sz w:val="20"/>
          <w:szCs w:val="20"/>
        </w:rPr>
        <w:t>Československé ústava. Historie a současnost</w:t>
      </w:r>
      <w:r w:rsidRPr="00ED0677">
        <w:rPr>
          <w:sz w:val="20"/>
          <w:szCs w:val="20"/>
        </w:rPr>
        <w:t>. Praha: Svoboda, 1989, s. 24.</w:t>
      </w:r>
      <w:r w:rsidRPr="00ED0677">
        <w:rPr>
          <w:rFonts w:ascii="Book Antiqua" w:hAnsi="Book Antiqua" w:cs="Book Antiqua"/>
          <w:sz w:val="20"/>
          <w:szCs w:val="20"/>
        </w:rPr>
        <w:t xml:space="preserve"> </w:t>
      </w:r>
    </w:p>
  </w:footnote>
  <w:footnote w:id="77">
    <w:p w:rsidR="009D1F29" w:rsidRDefault="009D1F29" w:rsidP="00ED0677">
      <w:pPr>
        <w:pStyle w:val="FootnoteText"/>
        <w:spacing w:line="240" w:lineRule="auto"/>
      </w:pPr>
      <w:r w:rsidRPr="00ED0677">
        <w:rPr>
          <w:rStyle w:val="FootnoteReference"/>
        </w:rPr>
        <w:footnoteRef/>
      </w:r>
      <w:r w:rsidRPr="00ED0677">
        <w:t xml:space="preserve"> Demokratický návrh ústavy např. KUBEŠ, Vladimír. </w:t>
      </w:r>
      <w:r w:rsidRPr="00ED0677">
        <w:rPr>
          <w:i/>
        </w:rPr>
        <w:t>O novou ústavu</w:t>
      </w:r>
      <w:r w:rsidRPr="00ED0677">
        <w:t>. Praha: Melantrich, 1948. 140 s.</w:t>
      </w:r>
    </w:p>
  </w:footnote>
  <w:footnote w:id="78">
    <w:p w:rsidR="009D1F29" w:rsidRDefault="009D1F29" w:rsidP="00ED0677">
      <w:pPr>
        <w:pStyle w:val="footnotedescription"/>
        <w:spacing w:after="21" w:line="240" w:lineRule="auto"/>
        <w:jc w:val="both"/>
      </w:pPr>
      <w:r w:rsidRPr="00ED0677">
        <w:rPr>
          <w:rStyle w:val="footnotemark"/>
          <w:szCs w:val="20"/>
        </w:rPr>
        <w:footnoteRef/>
      </w:r>
      <w:r w:rsidRPr="00ED0677">
        <w:rPr>
          <w:sz w:val="20"/>
          <w:szCs w:val="20"/>
        </w:rPr>
        <w:t xml:space="preserve"> ZIMEK, Josef. </w:t>
      </w:r>
      <w:r w:rsidRPr="00ED0677">
        <w:rPr>
          <w:i/>
          <w:sz w:val="20"/>
          <w:szCs w:val="20"/>
        </w:rPr>
        <w:t>Ústavní vývoj českého státu</w:t>
      </w:r>
      <w:r w:rsidRPr="00ED0677">
        <w:rPr>
          <w:sz w:val="20"/>
          <w:szCs w:val="20"/>
        </w:rPr>
        <w:t>. Brno: Masarykova univerzita, 1996, s. 128.</w:t>
      </w:r>
      <w:r w:rsidRPr="00ED0677">
        <w:rPr>
          <w:rFonts w:ascii="Book Antiqua" w:hAnsi="Book Antiqua" w:cs="Book Antiqua"/>
          <w:sz w:val="20"/>
          <w:szCs w:val="20"/>
        </w:rPr>
        <w:t xml:space="preserve"> </w:t>
      </w:r>
    </w:p>
  </w:footnote>
  <w:footnote w:id="79">
    <w:p w:rsidR="009D1F29" w:rsidRDefault="009D1F29" w:rsidP="0042351C">
      <w:pPr>
        <w:pStyle w:val="footnotedescription"/>
        <w:spacing w:after="0" w:line="240" w:lineRule="auto"/>
        <w:jc w:val="both"/>
      </w:pPr>
      <w:r w:rsidRPr="0042351C">
        <w:rPr>
          <w:rStyle w:val="footnotemark"/>
          <w:szCs w:val="20"/>
        </w:rPr>
        <w:footnoteRef/>
      </w:r>
      <w:r w:rsidRPr="0042351C">
        <w:rPr>
          <w:sz w:val="20"/>
          <w:szCs w:val="20"/>
        </w:rPr>
        <w:t xml:space="preserve"> GRONSKÝ Ján. </w:t>
      </w:r>
      <w:r w:rsidRPr="0042351C">
        <w:rPr>
          <w:i/>
          <w:sz w:val="20"/>
          <w:szCs w:val="20"/>
        </w:rPr>
        <w:t>Komentované dokumenty k ústavním dějinám Československa II. 1945-1960</w:t>
      </w:r>
      <w:r>
        <w:rPr>
          <w:sz w:val="20"/>
          <w:szCs w:val="20"/>
        </w:rPr>
        <w:t xml:space="preserve">. </w:t>
      </w:r>
      <w:r>
        <w:rPr>
          <w:sz w:val="20"/>
          <w:szCs w:val="20"/>
        </w:rPr>
        <w:br/>
      </w:r>
      <w:r w:rsidRPr="0042351C">
        <w:rPr>
          <w:sz w:val="20"/>
          <w:szCs w:val="20"/>
        </w:rPr>
        <w:t>Praha: Karolinum, 2006, s. 329.</w:t>
      </w:r>
      <w:r w:rsidRPr="0042351C">
        <w:rPr>
          <w:rFonts w:ascii="Book Antiqua" w:hAnsi="Book Antiqua" w:cs="Book Antiqua"/>
          <w:sz w:val="20"/>
          <w:szCs w:val="20"/>
        </w:rPr>
        <w:t xml:space="preserve"> </w:t>
      </w:r>
    </w:p>
  </w:footnote>
  <w:footnote w:id="80">
    <w:p w:rsidR="009D1F29" w:rsidRDefault="009D1F29" w:rsidP="0042351C">
      <w:pPr>
        <w:pStyle w:val="footnotedescription"/>
        <w:spacing w:after="14" w:line="240" w:lineRule="auto"/>
        <w:jc w:val="both"/>
      </w:pPr>
      <w:r w:rsidRPr="0042351C">
        <w:rPr>
          <w:rStyle w:val="footnotemark"/>
          <w:szCs w:val="20"/>
        </w:rPr>
        <w:footnoteRef/>
      </w:r>
      <w:r w:rsidRPr="0042351C">
        <w:rPr>
          <w:sz w:val="20"/>
          <w:szCs w:val="20"/>
        </w:rPr>
        <w:t xml:space="preserve"> PEŠKA, Pavel. Úvahy nad popřením ústavnosti v letech 1948 – 1989. In </w:t>
      </w:r>
      <w:r w:rsidRPr="0042351C">
        <w:rPr>
          <w:i/>
          <w:sz w:val="20"/>
          <w:szCs w:val="20"/>
        </w:rPr>
        <w:t xml:space="preserve">Vývoj práva v Československu </w:t>
      </w:r>
      <w:r>
        <w:rPr>
          <w:i/>
          <w:sz w:val="20"/>
          <w:szCs w:val="20"/>
        </w:rPr>
        <w:br/>
      </w:r>
      <w:r w:rsidRPr="0042351C">
        <w:rPr>
          <w:i/>
          <w:sz w:val="20"/>
          <w:szCs w:val="20"/>
        </w:rPr>
        <w:t>v letech 1945 – 1989</w:t>
      </w:r>
      <w:r w:rsidRPr="0042351C">
        <w:rPr>
          <w:sz w:val="20"/>
          <w:szCs w:val="20"/>
        </w:rPr>
        <w:t>. Praha: Karolinum, 2004, s. 205.</w:t>
      </w:r>
      <w:r w:rsidRPr="0042351C">
        <w:rPr>
          <w:rFonts w:ascii="Book Antiqua" w:hAnsi="Book Antiqua" w:cs="Book Antiqua"/>
          <w:sz w:val="20"/>
          <w:szCs w:val="20"/>
        </w:rPr>
        <w:t xml:space="preserve"> </w:t>
      </w:r>
    </w:p>
  </w:footnote>
  <w:footnote w:id="81">
    <w:p w:rsidR="009D1F29" w:rsidRDefault="009D1F29" w:rsidP="0042351C">
      <w:pPr>
        <w:pStyle w:val="footnotedescription"/>
        <w:spacing w:after="0" w:line="240" w:lineRule="auto"/>
        <w:jc w:val="both"/>
      </w:pPr>
      <w:r w:rsidRPr="0042351C">
        <w:rPr>
          <w:rStyle w:val="footnotemark"/>
          <w:szCs w:val="20"/>
        </w:rPr>
        <w:footnoteRef/>
      </w:r>
      <w:r w:rsidRPr="0042351C">
        <w:rPr>
          <w:sz w:val="20"/>
          <w:szCs w:val="20"/>
        </w:rPr>
        <w:t xml:space="preserve"> </w:t>
      </w:r>
      <w:r w:rsidRPr="0042351C">
        <w:rPr>
          <w:i/>
          <w:sz w:val="20"/>
          <w:szCs w:val="20"/>
        </w:rPr>
        <w:t>Důvodová zpráva k Ústavě Československé republiky. Ústava Československé republiky a předpisy s ní souvisící</w:t>
      </w:r>
      <w:r w:rsidRPr="0042351C">
        <w:rPr>
          <w:sz w:val="20"/>
          <w:szCs w:val="20"/>
        </w:rPr>
        <w:t>. Praha: Orbis, 1955, s. 101-123.</w:t>
      </w:r>
      <w:r>
        <w:rPr>
          <w:rFonts w:ascii="Book Antiqua" w:hAnsi="Book Antiqua" w:cs="Book Antiqua"/>
        </w:rPr>
        <w:t xml:space="preserve"> </w:t>
      </w:r>
    </w:p>
  </w:footnote>
  <w:footnote w:id="82">
    <w:p w:rsidR="009D1F29" w:rsidRDefault="009D1F29" w:rsidP="00E24C23">
      <w:pPr>
        <w:pStyle w:val="footnotedescription"/>
        <w:spacing w:after="0" w:line="240" w:lineRule="auto"/>
        <w:ind w:right="8"/>
        <w:jc w:val="both"/>
      </w:pPr>
      <w:r w:rsidRPr="00E64F96">
        <w:rPr>
          <w:rStyle w:val="footnotemark"/>
          <w:szCs w:val="20"/>
        </w:rPr>
        <w:footnoteRef/>
      </w:r>
      <w:r w:rsidRPr="00E64F96">
        <w:rPr>
          <w:sz w:val="20"/>
          <w:szCs w:val="20"/>
        </w:rPr>
        <w:t xml:space="preserve"> PROVAZNÍK, Vítězslav</w:t>
      </w:r>
      <w:r w:rsidRPr="00E64F96">
        <w:rPr>
          <w:i/>
          <w:sz w:val="20"/>
          <w:szCs w:val="20"/>
        </w:rPr>
        <w:t>. O základních právech a povinnostech občanských</w:t>
      </w:r>
      <w:r w:rsidRPr="00E64F96">
        <w:rPr>
          <w:sz w:val="20"/>
          <w:szCs w:val="20"/>
        </w:rPr>
        <w:t>. Praha: Orbis, 1952, s. 79-80.</w:t>
      </w:r>
    </w:p>
  </w:footnote>
  <w:footnote w:id="83">
    <w:p w:rsidR="009D1F29" w:rsidRDefault="009D1F29" w:rsidP="00E24C23">
      <w:pPr>
        <w:pStyle w:val="FootnoteText"/>
        <w:spacing w:line="240" w:lineRule="auto"/>
      </w:pPr>
      <w:r>
        <w:rPr>
          <w:rStyle w:val="FootnoteReference"/>
        </w:rPr>
        <w:footnoteRef/>
      </w:r>
      <w:r>
        <w:t xml:space="preserve"> </w:t>
      </w:r>
      <w:r w:rsidRPr="00E64F96">
        <w:t xml:space="preserve">POKORNÝ, Richard. Postavení sociálních práv v Listině a jeho ústavněprávní následky. In </w:t>
      </w:r>
      <w:r w:rsidRPr="00E64F96">
        <w:rPr>
          <w:i/>
        </w:rPr>
        <w:t>Listina a současnost.</w:t>
      </w:r>
      <w:r w:rsidRPr="00E64F96">
        <w:t xml:space="preserve"> Olomouc: Univerzita Palackého, 2010, s. 176.</w:t>
      </w:r>
    </w:p>
  </w:footnote>
  <w:footnote w:id="84">
    <w:p w:rsidR="009D1F29" w:rsidRDefault="009D1F29" w:rsidP="00E24C23">
      <w:pPr>
        <w:pStyle w:val="footnotedescription"/>
        <w:spacing w:after="10" w:line="240" w:lineRule="auto"/>
        <w:jc w:val="both"/>
      </w:pPr>
      <w:r w:rsidRPr="00E64F96">
        <w:rPr>
          <w:rStyle w:val="footnotemark"/>
          <w:szCs w:val="20"/>
        </w:rPr>
        <w:footnoteRef/>
      </w:r>
      <w:r w:rsidRPr="00E64F96">
        <w:rPr>
          <w:sz w:val="20"/>
          <w:szCs w:val="20"/>
        </w:rPr>
        <w:t xml:space="preserve"> BOURA, Ferdinand. </w:t>
      </w:r>
      <w:r w:rsidRPr="00E64F96">
        <w:rPr>
          <w:i/>
          <w:sz w:val="20"/>
          <w:szCs w:val="20"/>
        </w:rPr>
        <w:t>O Ústavě 9. května</w:t>
      </w:r>
      <w:r w:rsidRPr="00E64F96">
        <w:rPr>
          <w:sz w:val="20"/>
          <w:szCs w:val="20"/>
        </w:rPr>
        <w:t>. Praha: Mladá fronta, 1951, s. 21.</w:t>
      </w:r>
      <w:r>
        <w:rPr>
          <w:rFonts w:ascii="Book Antiqua" w:hAnsi="Book Antiqua" w:cs="Book Antiqua"/>
        </w:rPr>
        <w:t xml:space="preserve"> </w:t>
      </w:r>
    </w:p>
  </w:footnote>
  <w:footnote w:id="85">
    <w:p w:rsidR="009D1F29" w:rsidRDefault="009D1F29" w:rsidP="00FD712C">
      <w:pPr>
        <w:pStyle w:val="footnotedescription"/>
        <w:spacing w:after="11" w:line="240" w:lineRule="auto"/>
        <w:jc w:val="both"/>
      </w:pPr>
      <w:r w:rsidRPr="00FD712C">
        <w:rPr>
          <w:rStyle w:val="footnotemark"/>
          <w:szCs w:val="20"/>
        </w:rPr>
        <w:footnoteRef/>
      </w:r>
      <w:r w:rsidRPr="00FD712C">
        <w:rPr>
          <w:sz w:val="20"/>
          <w:szCs w:val="20"/>
        </w:rPr>
        <w:t xml:space="preserve"> PAVLÍČEK: </w:t>
      </w:r>
      <w:r w:rsidRPr="00FD712C">
        <w:rPr>
          <w:i/>
          <w:sz w:val="20"/>
          <w:szCs w:val="20"/>
        </w:rPr>
        <w:t>Ústavní právo...</w:t>
      </w:r>
      <w:r w:rsidRPr="00FD712C">
        <w:rPr>
          <w:sz w:val="20"/>
          <w:szCs w:val="20"/>
        </w:rPr>
        <w:t>, s. 71.</w:t>
      </w:r>
      <w:r w:rsidRPr="00FD712C">
        <w:rPr>
          <w:rFonts w:ascii="Book Antiqua" w:hAnsi="Book Antiqua" w:cs="Book Antiqua"/>
          <w:sz w:val="20"/>
          <w:szCs w:val="20"/>
        </w:rPr>
        <w:t xml:space="preserve"> </w:t>
      </w:r>
    </w:p>
  </w:footnote>
  <w:footnote w:id="86">
    <w:p w:rsidR="009D1F29" w:rsidRDefault="009D1F29" w:rsidP="00FD712C">
      <w:pPr>
        <w:pStyle w:val="footnotedescription"/>
        <w:spacing w:after="0" w:line="240" w:lineRule="auto"/>
        <w:jc w:val="both"/>
      </w:pPr>
      <w:r w:rsidRPr="00FD712C">
        <w:rPr>
          <w:rStyle w:val="footnotemark"/>
          <w:szCs w:val="20"/>
        </w:rPr>
        <w:footnoteRef/>
      </w:r>
      <w:r w:rsidRPr="00FD712C">
        <w:rPr>
          <w:sz w:val="20"/>
          <w:szCs w:val="20"/>
        </w:rPr>
        <w:t xml:space="preserve"> MAREČKOVÁ, Marie. </w:t>
      </w:r>
      <w:r w:rsidRPr="00FD712C">
        <w:rPr>
          <w:i/>
          <w:sz w:val="20"/>
          <w:szCs w:val="20"/>
        </w:rPr>
        <w:t>České právní a ústavní dějiny: stručný přehled a dokumenty</w:t>
      </w:r>
      <w:r w:rsidRPr="00FD712C">
        <w:rPr>
          <w:sz w:val="20"/>
          <w:szCs w:val="20"/>
        </w:rPr>
        <w:t>. Olomouc: Univerzita Palackého, 2006, s. 97.</w:t>
      </w:r>
      <w:r w:rsidRPr="00FD712C">
        <w:rPr>
          <w:rFonts w:ascii="Book Antiqua" w:hAnsi="Book Antiqua" w:cs="Book Antiqua"/>
          <w:sz w:val="20"/>
          <w:szCs w:val="20"/>
        </w:rPr>
        <w:t xml:space="preserve"> </w:t>
      </w:r>
    </w:p>
  </w:footnote>
  <w:footnote w:id="87">
    <w:p w:rsidR="009D1F29" w:rsidRDefault="009D1F29" w:rsidP="007E5B70">
      <w:pPr>
        <w:pStyle w:val="footnotedescription"/>
        <w:spacing w:after="3" w:line="240" w:lineRule="auto"/>
        <w:jc w:val="both"/>
      </w:pPr>
      <w:r w:rsidRPr="007E5B70">
        <w:rPr>
          <w:rStyle w:val="footnotemark"/>
          <w:szCs w:val="20"/>
        </w:rPr>
        <w:footnoteRef/>
      </w:r>
      <w:r w:rsidRPr="007E5B70">
        <w:rPr>
          <w:sz w:val="20"/>
          <w:szCs w:val="20"/>
        </w:rPr>
        <w:t xml:space="preserve"> Směrnice pléna NS o ukládání trestů ze dne 11. dubna 1959. Sp. zn. Pls 2/59.</w:t>
      </w:r>
      <w:r w:rsidRPr="007E5B70">
        <w:rPr>
          <w:rFonts w:ascii="Book Antiqua" w:hAnsi="Book Antiqua" w:cs="Book Antiqua"/>
          <w:sz w:val="20"/>
          <w:szCs w:val="20"/>
        </w:rPr>
        <w:t xml:space="preserve"> </w:t>
      </w:r>
    </w:p>
  </w:footnote>
  <w:footnote w:id="88">
    <w:p w:rsidR="009D1F29" w:rsidRDefault="009D1F29" w:rsidP="007E5B70">
      <w:pPr>
        <w:pStyle w:val="footnotedescription"/>
        <w:spacing w:after="25" w:line="240" w:lineRule="auto"/>
        <w:jc w:val="both"/>
      </w:pPr>
      <w:r w:rsidRPr="007E5B70">
        <w:rPr>
          <w:rStyle w:val="footnotemark"/>
          <w:szCs w:val="20"/>
        </w:rPr>
        <w:footnoteRef/>
      </w:r>
      <w:r w:rsidRPr="007E5B70">
        <w:rPr>
          <w:sz w:val="20"/>
          <w:szCs w:val="20"/>
        </w:rPr>
        <w:t xml:space="preserve"> ZDOBINSKÝ, Stanislav, ZLATOPOLSKIJ, David L. a kol. </w:t>
      </w:r>
      <w:r w:rsidRPr="007E5B70">
        <w:rPr>
          <w:i/>
          <w:sz w:val="20"/>
          <w:szCs w:val="20"/>
        </w:rPr>
        <w:t>Ústavní systémy socialistických zemí</w:t>
      </w:r>
      <w:r w:rsidRPr="007E5B70">
        <w:rPr>
          <w:sz w:val="20"/>
          <w:szCs w:val="20"/>
        </w:rPr>
        <w:t xml:space="preserve">.  </w:t>
      </w:r>
      <w:r>
        <w:rPr>
          <w:sz w:val="20"/>
          <w:szCs w:val="20"/>
        </w:rPr>
        <w:br/>
      </w:r>
      <w:r w:rsidRPr="007E5B70">
        <w:rPr>
          <w:sz w:val="20"/>
          <w:szCs w:val="20"/>
        </w:rPr>
        <w:t>Praha: Panorama, 1988, s. 57.</w:t>
      </w:r>
      <w:r w:rsidRPr="007E5B70">
        <w:rPr>
          <w:rFonts w:ascii="Book Antiqua" w:hAnsi="Book Antiqua" w:cs="Book Antiqua"/>
          <w:sz w:val="20"/>
          <w:szCs w:val="20"/>
        </w:rPr>
        <w:t xml:space="preserve"> </w:t>
      </w:r>
    </w:p>
  </w:footnote>
  <w:footnote w:id="89">
    <w:p w:rsidR="009D1F29" w:rsidRDefault="009D1F29" w:rsidP="007E5B70">
      <w:pPr>
        <w:pStyle w:val="footnotedescription"/>
        <w:spacing w:after="0" w:line="240" w:lineRule="auto"/>
        <w:jc w:val="both"/>
      </w:pPr>
      <w:r w:rsidRPr="007E5B70">
        <w:rPr>
          <w:rStyle w:val="footnotemark"/>
          <w:szCs w:val="20"/>
        </w:rPr>
        <w:footnoteRef/>
      </w:r>
      <w:r w:rsidRPr="007E5B70">
        <w:rPr>
          <w:sz w:val="20"/>
          <w:szCs w:val="20"/>
        </w:rPr>
        <w:t xml:space="preserve"> DOSTÁL, Antonín, FRENDLOVSKÝ, František, MACHAČ, Bedřich, UHER, Bohumil. </w:t>
      </w:r>
      <w:r w:rsidRPr="007E5B70">
        <w:rPr>
          <w:i/>
          <w:sz w:val="20"/>
          <w:szCs w:val="20"/>
        </w:rPr>
        <w:t>Ústava ČSR a SSSR</w:t>
      </w:r>
      <w:r w:rsidRPr="007E5B70">
        <w:rPr>
          <w:sz w:val="20"/>
          <w:szCs w:val="20"/>
        </w:rPr>
        <w:t>. Praha: Státní pedagogické nakladatelství, 1953, s. 52.</w:t>
      </w:r>
      <w:r>
        <w:rPr>
          <w:rFonts w:ascii="Book Antiqua" w:hAnsi="Book Antiqua" w:cs="Book Antiqua"/>
        </w:rPr>
        <w:t xml:space="preserve"> </w:t>
      </w:r>
    </w:p>
  </w:footnote>
  <w:footnote w:id="90">
    <w:p w:rsidR="009D1F29" w:rsidRDefault="009D1F29">
      <w:pPr>
        <w:pStyle w:val="footnotedescription"/>
        <w:spacing w:after="6"/>
      </w:pPr>
      <w:r w:rsidRPr="002B5248">
        <w:rPr>
          <w:rStyle w:val="footnotemark"/>
          <w:szCs w:val="20"/>
        </w:rPr>
        <w:footnoteRef/>
      </w:r>
      <w:r w:rsidRPr="002B5248">
        <w:rPr>
          <w:sz w:val="20"/>
          <w:szCs w:val="20"/>
        </w:rPr>
        <w:t xml:space="preserve"> KNAPP: </w:t>
      </w:r>
      <w:r w:rsidRPr="002B5248">
        <w:rPr>
          <w:i/>
          <w:sz w:val="20"/>
          <w:szCs w:val="20"/>
        </w:rPr>
        <w:t>Vlastnictví v lidové...</w:t>
      </w:r>
      <w:r w:rsidRPr="002B5248">
        <w:rPr>
          <w:sz w:val="20"/>
          <w:szCs w:val="20"/>
        </w:rPr>
        <w:t>, s. 406-409</w:t>
      </w:r>
      <w:r w:rsidRPr="002B5248">
        <w:rPr>
          <w:i/>
          <w:sz w:val="20"/>
          <w:szCs w:val="20"/>
        </w:rPr>
        <w:t>.</w:t>
      </w:r>
      <w:r w:rsidRPr="002B5248">
        <w:rPr>
          <w:sz w:val="20"/>
          <w:szCs w:val="20"/>
        </w:rPr>
        <w:t xml:space="preserve"> </w:t>
      </w:r>
      <w:r w:rsidRPr="002B5248">
        <w:rPr>
          <w:rFonts w:ascii="Book Antiqua" w:hAnsi="Book Antiqua" w:cs="Book Antiqua"/>
          <w:sz w:val="20"/>
          <w:szCs w:val="20"/>
        </w:rPr>
        <w:t xml:space="preserve"> </w:t>
      </w:r>
    </w:p>
  </w:footnote>
  <w:footnote w:id="91">
    <w:p w:rsidR="009D1F29" w:rsidRDefault="009D1F29">
      <w:pPr>
        <w:pStyle w:val="footnotedescription"/>
        <w:spacing w:line="252" w:lineRule="auto"/>
        <w:ind w:right="16"/>
        <w:jc w:val="both"/>
      </w:pPr>
      <w:r w:rsidRPr="002B5248">
        <w:rPr>
          <w:rStyle w:val="footnotemark"/>
          <w:szCs w:val="20"/>
        </w:rPr>
        <w:footnoteRef/>
      </w:r>
      <w:r w:rsidRPr="002B5248">
        <w:rPr>
          <w:sz w:val="20"/>
          <w:szCs w:val="20"/>
        </w:rPr>
        <w:t xml:space="preserve"> Např. zákon č. 69/1949 Sb., o jednotných zemědělskýc</w:t>
      </w:r>
      <w:r>
        <w:rPr>
          <w:sz w:val="20"/>
          <w:szCs w:val="20"/>
        </w:rPr>
        <w:t xml:space="preserve">h družstvech, </w:t>
      </w:r>
      <w:r w:rsidRPr="002B5248">
        <w:rPr>
          <w:sz w:val="20"/>
          <w:szCs w:val="20"/>
        </w:rPr>
        <w:t>zákon č. 46/1948 Sb., o nové pozemkové reformě či nářízení vlády č. 86/1953 Sb., o finanční pomoci jednotným zemědělským družstvům a soukromě hospodařícím rolníkům.</w:t>
      </w:r>
      <w:r w:rsidRPr="002B5248">
        <w:rPr>
          <w:rFonts w:ascii="Book Antiqua" w:hAnsi="Book Antiqua" w:cs="Book Antiqua"/>
          <w:sz w:val="20"/>
          <w:szCs w:val="20"/>
        </w:rPr>
        <w:t xml:space="preserve"> </w:t>
      </w:r>
    </w:p>
  </w:footnote>
  <w:footnote w:id="92">
    <w:p w:rsidR="009D1F29" w:rsidRDefault="009D1F29">
      <w:pPr>
        <w:pStyle w:val="footnotedescription"/>
        <w:spacing w:after="0" w:line="251" w:lineRule="auto"/>
        <w:jc w:val="both"/>
      </w:pPr>
      <w:r w:rsidRPr="002B5248">
        <w:rPr>
          <w:rStyle w:val="footnotemark"/>
          <w:szCs w:val="20"/>
        </w:rPr>
        <w:footnoteRef/>
      </w:r>
      <w:r w:rsidRPr="002B5248">
        <w:rPr>
          <w:sz w:val="20"/>
          <w:szCs w:val="20"/>
        </w:rPr>
        <w:t xml:space="preserve"> Např. vládní nařízení č. 15/1959 Sb., o opatření týkajících se některých věcí užívaných organizacemi socialistického sektoru.</w:t>
      </w:r>
      <w:r>
        <w:rPr>
          <w:rFonts w:ascii="Book Antiqua" w:hAnsi="Book Antiqua" w:cs="Book Antiqua"/>
        </w:rPr>
        <w:t xml:space="preserve"> </w:t>
      </w:r>
    </w:p>
  </w:footnote>
  <w:footnote w:id="93">
    <w:p w:rsidR="009D1F29" w:rsidRDefault="009D1F29" w:rsidP="00711CD3">
      <w:pPr>
        <w:pStyle w:val="footnotedescription"/>
        <w:spacing w:after="20" w:line="240" w:lineRule="auto"/>
        <w:ind w:right="6"/>
        <w:jc w:val="both"/>
      </w:pPr>
      <w:r w:rsidRPr="00711CD3">
        <w:rPr>
          <w:rStyle w:val="footnotemark"/>
          <w:szCs w:val="20"/>
        </w:rPr>
        <w:footnoteRef/>
      </w:r>
      <w:r w:rsidRPr="00711CD3">
        <w:rPr>
          <w:sz w:val="20"/>
          <w:szCs w:val="20"/>
        </w:rPr>
        <w:t xml:space="preserve"> Již k 1. lednu 1949 pracovalo 90,2 % průmyslových zaměstnanců v národních podnicích a dalších 5 % </w:t>
      </w:r>
      <w:r>
        <w:rPr>
          <w:sz w:val="20"/>
          <w:szCs w:val="20"/>
        </w:rPr>
        <w:br/>
      </w:r>
      <w:r w:rsidRPr="00711CD3">
        <w:rPr>
          <w:sz w:val="20"/>
          <w:szCs w:val="20"/>
        </w:rPr>
        <w:t xml:space="preserve">v jiných nesoukromých podnicích. Viz </w:t>
      </w:r>
      <w:r w:rsidRPr="00711CD3">
        <w:rPr>
          <w:i/>
          <w:sz w:val="20"/>
          <w:szCs w:val="20"/>
        </w:rPr>
        <w:t>Československý průmysl 1948</w:t>
      </w:r>
      <w:r w:rsidRPr="00711CD3">
        <w:rPr>
          <w:sz w:val="20"/>
          <w:szCs w:val="20"/>
        </w:rPr>
        <w:t>. Praha: Ústřední svaz československého průmyslu, 1948 zvl. s. 5, 6, 17 a 97.</w:t>
      </w:r>
      <w:r w:rsidRPr="00711CD3">
        <w:rPr>
          <w:rFonts w:ascii="Book Antiqua" w:hAnsi="Book Antiqua" w:cs="Book Antiqua"/>
          <w:sz w:val="20"/>
          <w:szCs w:val="20"/>
        </w:rPr>
        <w:t xml:space="preserve"> </w:t>
      </w:r>
    </w:p>
  </w:footnote>
  <w:footnote w:id="94">
    <w:p w:rsidR="009D1F29" w:rsidRDefault="009D1F29" w:rsidP="00711CD3">
      <w:pPr>
        <w:pStyle w:val="footnotedescription"/>
        <w:spacing w:after="18" w:line="240" w:lineRule="auto"/>
        <w:jc w:val="both"/>
      </w:pPr>
      <w:r w:rsidRPr="00711CD3">
        <w:rPr>
          <w:rStyle w:val="footnotemark"/>
          <w:szCs w:val="20"/>
        </w:rPr>
        <w:footnoteRef/>
      </w:r>
      <w:r w:rsidRPr="00711CD3">
        <w:rPr>
          <w:sz w:val="20"/>
          <w:szCs w:val="20"/>
        </w:rPr>
        <w:t xml:space="preserve"> KROFTA, Jaroslav. </w:t>
      </w:r>
      <w:r w:rsidRPr="00711CD3">
        <w:rPr>
          <w:i/>
          <w:sz w:val="20"/>
          <w:szCs w:val="20"/>
        </w:rPr>
        <w:t>Ústava ČSR</w:t>
      </w:r>
      <w:r w:rsidRPr="00711CD3">
        <w:rPr>
          <w:sz w:val="20"/>
          <w:szCs w:val="20"/>
        </w:rPr>
        <w:t>. Praha: Státní pedagogické nakladatelství, 1957, s. 211.</w:t>
      </w:r>
      <w:r>
        <w:rPr>
          <w:rFonts w:ascii="Book Antiqua" w:hAnsi="Book Antiqua" w:cs="Book Antiqua"/>
        </w:rPr>
        <w:t xml:space="preserve"> </w:t>
      </w:r>
    </w:p>
  </w:footnote>
  <w:footnote w:id="95">
    <w:p w:rsidR="009D1F29" w:rsidRDefault="009D1F29">
      <w:pPr>
        <w:pStyle w:val="footnotedescription"/>
        <w:spacing w:after="0" w:line="252" w:lineRule="auto"/>
        <w:jc w:val="both"/>
      </w:pPr>
      <w:r w:rsidRPr="0065244D">
        <w:rPr>
          <w:rStyle w:val="footnotemark"/>
          <w:szCs w:val="20"/>
        </w:rPr>
        <w:footnoteRef/>
      </w:r>
      <w:r w:rsidRPr="0065244D">
        <w:rPr>
          <w:sz w:val="20"/>
          <w:szCs w:val="20"/>
        </w:rPr>
        <w:t xml:space="preserve"> K pojmu </w:t>
      </w:r>
      <w:r w:rsidRPr="0065244D">
        <w:rPr>
          <w:i/>
          <w:sz w:val="20"/>
          <w:szCs w:val="20"/>
        </w:rPr>
        <w:t>„socialistická ústava“</w:t>
      </w:r>
      <w:r w:rsidRPr="0065244D">
        <w:rPr>
          <w:sz w:val="20"/>
          <w:szCs w:val="20"/>
        </w:rPr>
        <w:t xml:space="preserve"> více: FILIP, Jan. </w:t>
      </w:r>
      <w:r w:rsidRPr="0065244D">
        <w:rPr>
          <w:i/>
          <w:sz w:val="20"/>
          <w:szCs w:val="20"/>
        </w:rPr>
        <w:t>Podstata, obsah a forma ústavy socialistického typu</w:t>
      </w:r>
      <w:r w:rsidRPr="0065244D">
        <w:rPr>
          <w:sz w:val="20"/>
          <w:szCs w:val="20"/>
        </w:rPr>
        <w:t xml:space="preserve">.  </w:t>
      </w:r>
      <w:r>
        <w:rPr>
          <w:sz w:val="20"/>
          <w:szCs w:val="20"/>
        </w:rPr>
        <w:br/>
      </w:r>
      <w:r w:rsidRPr="0065244D">
        <w:rPr>
          <w:sz w:val="20"/>
          <w:szCs w:val="20"/>
        </w:rPr>
        <w:t>Brno: Univerzita Jana Evangelisty Purkyně, 1987, s. 15-17.</w:t>
      </w:r>
      <w:r w:rsidRPr="0065244D">
        <w:rPr>
          <w:rFonts w:ascii="Book Antiqua" w:hAnsi="Book Antiqua" w:cs="Book Antiqua"/>
          <w:sz w:val="20"/>
          <w:szCs w:val="20"/>
        </w:rPr>
        <w:t xml:space="preserve"> </w:t>
      </w:r>
    </w:p>
  </w:footnote>
  <w:footnote w:id="96">
    <w:p w:rsidR="009D1F29" w:rsidRDefault="009D1F29">
      <w:pPr>
        <w:pStyle w:val="footnotedescription"/>
        <w:spacing w:after="10"/>
      </w:pPr>
      <w:r w:rsidRPr="0065244D">
        <w:rPr>
          <w:rStyle w:val="footnotemark"/>
          <w:szCs w:val="20"/>
        </w:rPr>
        <w:footnoteRef/>
      </w:r>
      <w:r w:rsidRPr="0065244D">
        <w:rPr>
          <w:sz w:val="20"/>
          <w:szCs w:val="20"/>
        </w:rPr>
        <w:t xml:space="preserve"> KUKLÍK, Jan a kol. </w:t>
      </w:r>
      <w:r w:rsidRPr="0065244D">
        <w:rPr>
          <w:i/>
          <w:sz w:val="20"/>
          <w:szCs w:val="20"/>
        </w:rPr>
        <w:t>Dějiny československého práva</w:t>
      </w:r>
      <w:r w:rsidRPr="0065244D">
        <w:rPr>
          <w:sz w:val="20"/>
          <w:szCs w:val="20"/>
        </w:rPr>
        <w:t>. Praha: Auditorium, 2011, s. 87.</w:t>
      </w:r>
      <w:r w:rsidRPr="0065244D">
        <w:rPr>
          <w:rFonts w:ascii="Book Antiqua" w:hAnsi="Book Antiqua" w:cs="Book Antiqua"/>
          <w:sz w:val="20"/>
          <w:szCs w:val="20"/>
        </w:rPr>
        <w:t xml:space="preserve"> </w:t>
      </w:r>
    </w:p>
  </w:footnote>
  <w:footnote w:id="97">
    <w:p w:rsidR="009D1F29" w:rsidRDefault="009D1F29">
      <w:pPr>
        <w:pStyle w:val="footnotedescription"/>
        <w:spacing w:after="1" w:line="265" w:lineRule="auto"/>
        <w:ind w:right="9"/>
        <w:jc w:val="both"/>
      </w:pPr>
      <w:r w:rsidRPr="0065244D">
        <w:rPr>
          <w:rStyle w:val="footnotemark"/>
          <w:szCs w:val="20"/>
        </w:rPr>
        <w:footnoteRef/>
      </w:r>
      <w:r w:rsidRPr="0065244D">
        <w:rPr>
          <w:sz w:val="20"/>
          <w:szCs w:val="20"/>
        </w:rPr>
        <w:t xml:space="preserve"> SCHELLE, Karel. Názory prof. JUDr. PhDr. Bohumila Baxy na organizaci veřejné správy. In </w:t>
      </w:r>
      <w:r w:rsidRPr="0065244D">
        <w:rPr>
          <w:i/>
          <w:sz w:val="20"/>
          <w:szCs w:val="20"/>
        </w:rPr>
        <w:t>Aktuální otázky českého a československého konstitucionalismu</w:t>
      </w:r>
      <w:r w:rsidRPr="0065244D">
        <w:rPr>
          <w:sz w:val="20"/>
          <w:szCs w:val="20"/>
        </w:rPr>
        <w:t xml:space="preserve"> (</w:t>
      </w:r>
      <w:r w:rsidRPr="0065244D">
        <w:rPr>
          <w:i/>
          <w:sz w:val="20"/>
          <w:szCs w:val="20"/>
        </w:rPr>
        <w:t>Sborník příspěvků z vědecké konference věnované prof. JUDr. Bohumilu Baxovi)</w:t>
      </w:r>
      <w:r w:rsidRPr="0065244D">
        <w:rPr>
          <w:sz w:val="20"/>
          <w:szCs w:val="20"/>
        </w:rPr>
        <w:t>. Brno: Masarykova univerzita, 1993, s. 209.</w:t>
      </w:r>
      <w:r w:rsidRPr="0065244D">
        <w:rPr>
          <w:rFonts w:ascii="Book Antiqua" w:hAnsi="Book Antiqua" w:cs="Book Antiqua"/>
          <w:sz w:val="20"/>
          <w:szCs w:val="20"/>
        </w:rPr>
        <w:t xml:space="preserve"> </w:t>
      </w:r>
    </w:p>
  </w:footnote>
  <w:footnote w:id="98">
    <w:p w:rsidR="009D1F29" w:rsidRDefault="009D1F29">
      <w:pPr>
        <w:pStyle w:val="footnotedescription"/>
        <w:spacing w:after="11"/>
      </w:pPr>
      <w:r w:rsidRPr="0065244D">
        <w:rPr>
          <w:rStyle w:val="footnotemark"/>
          <w:szCs w:val="20"/>
        </w:rPr>
        <w:footnoteRef/>
      </w:r>
      <w:r w:rsidRPr="0065244D">
        <w:rPr>
          <w:sz w:val="20"/>
          <w:szCs w:val="20"/>
        </w:rPr>
        <w:t xml:space="preserve"> V dubnu 1960 ji projednal ÚV KSČ a o 2 měsíce později ji již schválila KSČ na celostátní konferenci.</w:t>
      </w:r>
      <w:r>
        <w:rPr>
          <w:rFonts w:ascii="Book Antiqua" w:hAnsi="Book Antiqua" w:cs="Book Antiqua"/>
        </w:rPr>
        <w:t xml:space="preserve"> </w:t>
      </w:r>
    </w:p>
  </w:footnote>
  <w:footnote w:id="99">
    <w:p w:rsidR="009D1F29" w:rsidRDefault="009D1F29" w:rsidP="00AE76A3">
      <w:pPr>
        <w:pStyle w:val="footnotedescription"/>
        <w:spacing w:after="9" w:line="240" w:lineRule="auto"/>
        <w:jc w:val="both"/>
      </w:pPr>
      <w:r w:rsidRPr="00AE76A3">
        <w:rPr>
          <w:rStyle w:val="footnotemark"/>
          <w:szCs w:val="20"/>
        </w:rPr>
        <w:footnoteRef/>
      </w:r>
      <w:r w:rsidRPr="00AE76A3">
        <w:rPr>
          <w:sz w:val="20"/>
          <w:szCs w:val="20"/>
        </w:rPr>
        <w:t xml:space="preserve"> GRONSKÝ, Ján. </w:t>
      </w:r>
      <w:r w:rsidRPr="00AE76A3">
        <w:rPr>
          <w:i/>
          <w:sz w:val="20"/>
          <w:szCs w:val="20"/>
        </w:rPr>
        <w:t>Dokumenty k ústavnímu vývoji Československa</w:t>
      </w:r>
      <w:r w:rsidRPr="00AE76A3">
        <w:rPr>
          <w:sz w:val="20"/>
          <w:szCs w:val="20"/>
        </w:rPr>
        <w:t xml:space="preserve"> </w:t>
      </w:r>
      <w:r w:rsidRPr="00AE76A3">
        <w:rPr>
          <w:i/>
          <w:sz w:val="20"/>
          <w:szCs w:val="20"/>
        </w:rPr>
        <w:t>2</w:t>
      </w:r>
      <w:r w:rsidRPr="00AE76A3">
        <w:rPr>
          <w:sz w:val="20"/>
          <w:szCs w:val="20"/>
        </w:rPr>
        <w:t>. Praha: Karolinum, 1999, s. 167.</w:t>
      </w:r>
      <w:r w:rsidRPr="00AE76A3">
        <w:rPr>
          <w:rFonts w:ascii="Book Antiqua" w:hAnsi="Book Antiqua" w:cs="Book Antiqua"/>
          <w:sz w:val="20"/>
          <w:szCs w:val="20"/>
        </w:rPr>
        <w:t xml:space="preserve"> </w:t>
      </w:r>
    </w:p>
  </w:footnote>
  <w:footnote w:id="100">
    <w:p w:rsidR="009D1F29" w:rsidRDefault="009D1F29" w:rsidP="00AE76A3">
      <w:pPr>
        <w:pStyle w:val="footnotedescription"/>
        <w:spacing w:after="0" w:line="240" w:lineRule="auto"/>
        <w:ind w:right="15"/>
        <w:jc w:val="both"/>
      </w:pPr>
      <w:r w:rsidRPr="00AE76A3">
        <w:rPr>
          <w:rStyle w:val="footnotemark"/>
          <w:szCs w:val="20"/>
        </w:rPr>
        <w:footnoteRef/>
      </w:r>
      <w:r w:rsidRPr="00AE76A3">
        <w:rPr>
          <w:sz w:val="20"/>
          <w:szCs w:val="20"/>
        </w:rPr>
        <w:t xml:space="preserve"> Největšími novelami byly ústavní zákon č. 143/1968 Sb., o československé federaci a dále novely přijaté po revolučním roce 1989, kdy byla z ústavy odstraněna vedoucí úloha KSČ, změněn název federace, zrušena preambule a změněn hospodářský systém.</w:t>
      </w:r>
      <w:r w:rsidRPr="00AE76A3">
        <w:rPr>
          <w:rFonts w:ascii="Book Antiqua" w:hAnsi="Book Antiqua" w:cs="Book Antiqua"/>
          <w:sz w:val="20"/>
          <w:szCs w:val="20"/>
        </w:rPr>
        <w:t xml:space="preserve"> </w:t>
      </w:r>
    </w:p>
  </w:footnote>
  <w:footnote w:id="101">
    <w:p w:rsidR="009D1F29" w:rsidRDefault="009D1F29" w:rsidP="00AE76A3">
      <w:pPr>
        <w:pStyle w:val="footnotedescription"/>
        <w:spacing w:after="18" w:line="240" w:lineRule="auto"/>
        <w:jc w:val="both"/>
      </w:pPr>
      <w:r w:rsidRPr="00AE76A3">
        <w:rPr>
          <w:rStyle w:val="footnotemark"/>
          <w:szCs w:val="20"/>
        </w:rPr>
        <w:footnoteRef/>
      </w:r>
      <w:r w:rsidRPr="00AE76A3">
        <w:rPr>
          <w:sz w:val="20"/>
          <w:szCs w:val="20"/>
        </w:rPr>
        <w:t xml:space="preserve"> Občanská společnost byla charakterizována jako společnost pracujících, ve které je odstraněno vykořisťování člověka člověkem.</w:t>
      </w:r>
      <w:r w:rsidRPr="00AE76A3">
        <w:rPr>
          <w:rFonts w:ascii="Book Antiqua" w:hAnsi="Book Antiqua" w:cs="Book Antiqua"/>
          <w:sz w:val="20"/>
          <w:szCs w:val="20"/>
        </w:rPr>
        <w:t xml:space="preserve"> </w:t>
      </w:r>
    </w:p>
  </w:footnote>
  <w:footnote w:id="102">
    <w:p w:rsidR="009D1F29" w:rsidRDefault="009D1F29" w:rsidP="00AE76A3">
      <w:pPr>
        <w:pStyle w:val="footnotedescription"/>
        <w:spacing w:after="0" w:line="240" w:lineRule="auto"/>
        <w:jc w:val="both"/>
      </w:pPr>
      <w:r w:rsidRPr="00AE76A3">
        <w:rPr>
          <w:rStyle w:val="footnotemark"/>
          <w:szCs w:val="20"/>
        </w:rPr>
        <w:footnoteRef/>
      </w:r>
      <w:r w:rsidRPr="00AE76A3">
        <w:rPr>
          <w:sz w:val="20"/>
          <w:szCs w:val="20"/>
        </w:rPr>
        <w:t xml:space="preserve"> GRONSKÝ, Ján. </w:t>
      </w:r>
      <w:r w:rsidRPr="00AE76A3">
        <w:rPr>
          <w:i/>
          <w:sz w:val="20"/>
          <w:szCs w:val="20"/>
        </w:rPr>
        <w:t>Komentované dokumenty k ústavním dějinám Československa III</w:t>
      </w:r>
      <w:r w:rsidRPr="00AE76A3">
        <w:rPr>
          <w:sz w:val="20"/>
          <w:szCs w:val="20"/>
        </w:rPr>
        <w:t xml:space="preserve">. </w:t>
      </w:r>
      <w:r w:rsidRPr="00AE76A3">
        <w:rPr>
          <w:i/>
          <w:sz w:val="20"/>
          <w:szCs w:val="20"/>
        </w:rPr>
        <w:t>1960-1989.</w:t>
      </w:r>
      <w:r>
        <w:rPr>
          <w:sz w:val="20"/>
          <w:szCs w:val="20"/>
        </w:rPr>
        <w:t xml:space="preserve"> </w:t>
      </w:r>
      <w:r>
        <w:rPr>
          <w:sz w:val="20"/>
          <w:szCs w:val="20"/>
        </w:rPr>
        <w:br/>
      </w:r>
      <w:r w:rsidRPr="00AE76A3">
        <w:rPr>
          <w:sz w:val="20"/>
          <w:szCs w:val="20"/>
        </w:rPr>
        <w:t>Praha: Karolinum, 2007, s. 20.</w:t>
      </w:r>
      <w:r>
        <w:t xml:space="preserve"> </w:t>
      </w:r>
    </w:p>
  </w:footnote>
  <w:footnote w:id="103">
    <w:p w:rsidR="009D1F29" w:rsidRDefault="009D1F29" w:rsidP="007C0672">
      <w:pPr>
        <w:pStyle w:val="footnotedescription"/>
        <w:spacing w:after="0" w:line="240" w:lineRule="auto"/>
        <w:jc w:val="both"/>
      </w:pPr>
      <w:r w:rsidRPr="007C0672">
        <w:rPr>
          <w:rStyle w:val="footnotemark"/>
          <w:szCs w:val="20"/>
        </w:rPr>
        <w:footnoteRef/>
      </w:r>
      <w:r w:rsidRPr="007C0672">
        <w:rPr>
          <w:sz w:val="20"/>
          <w:szCs w:val="20"/>
        </w:rPr>
        <w:t xml:space="preserve"> Blíže k tématu sociálně-ekonomických práv: VEČEŘA, Miloš. </w:t>
      </w:r>
      <w:r w:rsidRPr="007C0672">
        <w:rPr>
          <w:i/>
          <w:sz w:val="20"/>
          <w:szCs w:val="20"/>
        </w:rPr>
        <w:t>Sociální stát. Východiska a přístupy.</w:t>
      </w:r>
      <w:r w:rsidRPr="007C0672">
        <w:rPr>
          <w:sz w:val="20"/>
          <w:szCs w:val="20"/>
        </w:rPr>
        <w:t xml:space="preserve">  </w:t>
      </w:r>
      <w:r>
        <w:rPr>
          <w:sz w:val="20"/>
          <w:szCs w:val="20"/>
        </w:rPr>
        <w:br/>
      </w:r>
      <w:r w:rsidRPr="007C0672">
        <w:rPr>
          <w:sz w:val="20"/>
          <w:szCs w:val="20"/>
        </w:rPr>
        <w:t xml:space="preserve">Praha: Slon, 2001, s. 25 a násl. </w:t>
      </w:r>
    </w:p>
  </w:footnote>
  <w:footnote w:id="104">
    <w:p w:rsidR="009D1F29" w:rsidRDefault="009D1F29" w:rsidP="007C0672">
      <w:pPr>
        <w:pStyle w:val="footnotedescription"/>
        <w:spacing w:after="22" w:line="240" w:lineRule="auto"/>
        <w:jc w:val="both"/>
      </w:pPr>
      <w:r w:rsidRPr="007C0672">
        <w:rPr>
          <w:rStyle w:val="footnotemark"/>
          <w:szCs w:val="20"/>
        </w:rPr>
        <w:footnoteRef/>
      </w:r>
      <w:r w:rsidRPr="007C0672">
        <w:rPr>
          <w:sz w:val="20"/>
          <w:szCs w:val="20"/>
        </w:rPr>
        <w:t xml:space="preserve"> </w:t>
      </w:r>
      <w:r w:rsidRPr="007C0672">
        <w:rPr>
          <w:sz w:val="20"/>
          <w:szCs w:val="20"/>
          <w:shd w:val="clear" w:color="auto" w:fill="FDFDFD"/>
        </w:rPr>
        <w:t>Nález ÚS ČR ze dne 27. ledna 2015, sp. zn.  ÚS</w:t>
      </w:r>
      <w:hyperlink r:id="rId1">
        <w:r w:rsidRPr="007C0672">
          <w:rPr>
            <w:sz w:val="20"/>
            <w:szCs w:val="20"/>
            <w:shd w:val="clear" w:color="auto" w:fill="FDFDFD"/>
          </w:rPr>
          <w:t xml:space="preserve"> </w:t>
        </w:r>
      </w:hyperlink>
      <w:hyperlink r:id="rId2">
        <w:r w:rsidRPr="007C0672">
          <w:rPr>
            <w:sz w:val="20"/>
            <w:szCs w:val="20"/>
            <w:shd w:val="clear" w:color="auto" w:fill="FDFDFD"/>
          </w:rPr>
          <w:t>16/14.</w:t>
        </w:r>
      </w:hyperlink>
      <w:r w:rsidRPr="007C0672">
        <w:rPr>
          <w:sz w:val="20"/>
          <w:szCs w:val="20"/>
        </w:rPr>
        <w:t xml:space="preserve"> </w:t>
      </w:r>
    </w:p>
  </w:footnote>
  <w:footnote w:id="105">
    <w:p w:rsidR="009D1F29" w:rsidRDefault="009D1F29" w:rsidP="007C0672">
      <w:pPr>
        <w:pStyle w:val="footnotedescription"/>
        <w:spacing w:after="0" w:line="240" w:lineRule="auto"/>
        <w:jc w:val="both"/>
      </w:pPr>
      <w:r w:rsidRPr="007C0672">
        <w:rPr>
          <w:rStyle w:val="footnotemark"/>
          <w:szCs w:val="20"/>
        </w:rPr>
        <w:footnoteRef/>
      </w:r>
      <w:r w:rsidRPr="007C0672">
        <w:rPr>
          <w:sz w:val="20"/>
          <w:szCs w:val="20"/>
        </w:rPr>
        <w:t xml:space="preserve"> JÁNOŠÍKOVÁ, Petra, KNOLL, Vilém, RUNDOVÁ, Alena</w:t>
      </w:r>
      <w:r w:rsidRPr="007C0672">
        <w:rPr>
          <w:i/>
          <w:sz w:val="20"/>
          <w:szCs w:val="20"/>
        </w:rPr>
        <w:t>. Mezníky českých právních dějin</w:t>
      </w:r>
      <w:r w:rsidRPr="007C0672">
        <w:rPr>
          <w:sz w:val="20"/>
          <w:szCs w:val="20"/>
        </w:rPr>
        <w:t xml:space="preserve">. 3. vyd.  </w:t>
      </w:r>
      <w:r>
        <w:rPr>
          <w:sz w:val="20"/>
          <w:szCs w:val="20"/>
        </w:rPr>
        <w:br/>
      </w:r>
      <w:r w:rsidRPr="007C0672">
        <w:rPr>
          <w:sz w:val="20"/>
          <w:szCs w:val="20"/>
        </w:rPr>
        <w:t xml:space="preserve">Plzeň: Aleš Čeněk, 2010, s. 124-156.  </w:t>
      </w:r>
    </w:p>
  </w:footnote>
  <w:footnote w:id="106">
    <w:p w:rsidR="009D1F29" w:rsidRDefault="009D1F29" w:rsidP="007C0672">
      <w:pPr>
        <w:pStyle w:val="footnotedescription"/>
        <w:spacing w:after="0" w:line="240" w:lineRule="auto"/>
        <w:jc w:val="both"/>
      </w:pPr>
      <w:r w:rsidRPr="007C0672">
        <w:rPr>
          <w:rStyle w:val="footnotemark"/>
          <w:szCs w:val="20"/>
        </w:rPr>
        <w:footnoteRef/>
      </w:r>
      <w:r w:rsidRPr="007C0672">
        <w:rPr>
          <w:sz w:val="20"/>
          <w:szCs w:val="20"/>
        </w:rPr>
        <w:t xml:space="preserve"> PAVLÍČEK, Václav. Poznámky k úpravě občanských práv a k osudu Československa. </w:t>
      </w:r>
      <w:r w:rsidRPr="007C0672">
        <w:rPr>
          <w:i/>
          <w:sz w:val="20"/>
          <w:szCs w:val="20"/>
        </w:rPr>
        <w:t>Právník</w:t>
      </w:r>
      <w:r w:rsidRPr="007C0672">
        <w:rPr>
          <w:sz w:val="20"/>
          <w:szCs w:val="20"/>
        </w:rPr>
        <w:t xml:space="preserve">, 1993, </w:t>
      </w:r>
      <w:r>
        <w:rPr>
          <w:sz w:val="20"/>
          <w:szCs w:val="20"/>
        </w:rPr>
        <w:br/>
      </w:r>
      <w:r w:rsidRPr="007C0672">
        <w:rPr>
          <w:sz w:val="20"/>
          <w:szCs w:val="20"/>
        </w:rPr>
        <w:t xml:space="preserve">roč. 132, č. 3, s. 229-237. </w:t>
      </w:r>
    </w:p>
  </w:footnote>
  <w:footnote w:id="107">
    <w:p w:rsidR="009D1F29" w:rsidRDefault="009D1F29" w:rsidP="007C0672">
      <w:pPr>
        <w:pStyle w:val="footnotedescription"/>
        <w:spacing w:after="25" w:line="240" w:lineRule="auto"/>
        <w:jc w:val="both"/>
      </w:pPr>
      <w:r w:rsidRPr="007C0672">
        <w:rPr>
          <w:rStyle w:val="footnotemark"/>
          <w:szCs w:val="20"/>
        </w:rPr>
        <w:footnoteRef/>
      </w:r>
      <w:r w:rsidRPr="007C0672">
        <w:rPr>
          <w:sz w:val="20"/>
          <w:szCs w:val="20"/>
        </w:rPr>
        <w:t xml:space="preserve"> PEŠKA Pavel, RATTINGER Bedřich, DRESSLER Alfréd</w:t>
      </w:r>
      <w:r w:rsidRPr="007C0672">
        <w:rPr>
          <w:i/>
          <w:sz w:val="20"/>
          <w:szCs w:val="20"/>
        </w:rPr>
        <w:t>. Ústavní právo ČSSR</w:t>
      </w:r>
      <w:r w:rsidRPr="007C0672">
        <w:rPr>
          <w:sz w:val="20"/>
          <w:szCs w:val="20"/>
        </w:rPr>
        <w:t>. Orbis: Praha, 1965, s. 217.</w:t>
      </w:r>
      <w:r w:rsidRPr="007C0672">
        <w:rPr>
          <w:rFonts w:ascii="Book Antiqua" w:hAnsi="Book Antiqua" w:cs="Book Antiqua"/>
          <w:sz w:val="20"/>
          <w:szCs w:val="20"/>
        </w:rPr>
        <w:t xml:space="preserve"> </w:t>
      </w:r>
    </w:p>
  </w:footnote>
  <w:footnote w:id="108">
    <w:p w:rsidR="009D1F29" w:rsidRDefault="009D1F29" w:rsidP="007C0672">
      <w:pPr>
        <w:pStyle w:val="footnotedescription"/>
        <w:spacing w:after="0" w:line="240" w:lineRule="auto"/>
        <w:ind w:right="9"/>
        <w:jc w:val="both"/>
      </w:pPr>
      <w:r w:rsidRPr="007C0672">
        <w:rPr>
          <w:rStyle w:val="footnotemark"/>
          <w:szCs w:val="20"/>
        </w:rPr>
        <w:footnoteRef/>
      </w:r>
      <w:r w:rsidRPr="007C0672">
        <w:rPr>
          <w:sz w:val="20"/>
          <w:szCs w:val="20"/>
        </w:rPr>
        <w:t xml:space="preserve"> ÚS byl formálně zřízen až ústavním zákonem č. 143/1968 Sb., o československé federaci, NSS vůbec. </w:t>
      </w:r>
    </w:p>
  </w:footnote>
  <w:footnote w:id="109">
    <w:p w:rsidR="009D1F29" w:rsidRDefault="009D1F29" w:rsidP="0098610D">
      <w:pPr>
        <w:pStyle w:val="FootnoteText"/>
        <w:spacing w:line="240" w:lineRule="auto"/>
      </w:pPr>
      <w:r w:rsidRPr="0098610D">
        <w:rPr>
          <w:rStyle w:val="FootnoteReference"/>
        </w:rPr>
        <w:footnoteRef/>
      </w:r>
      <w:r w:rsidRPr="0098610D">
        <w:t xml:space="preserve"> VEBERA, Zdeněk. </w:t>
      </w:r>
      <w:r w:rsidRPr="0098610D">
        <w:rPr>
          <w:i/>
        </w:rPr>
        <w:t>Ústava – základ ústavnosti a zákonnosti v ČSSR</w:t>
      </w:r>
      <w:r w:rsidRPr="0098610D">
        <w:t>. Brno: Univerzita Jana Evangelisty Purkyně, 1988, s. 145.</w:t>
      </w:r>
    </w:p>
  </w:footnote>
  <w:footnote w:id="110">
    <w:p w:rsidR="009D1F29" w:rsidRDefault="009D1F29" w:rsidP="0098610D">
      <w:pPr>
        <w:pStyle w:val="footnotedescription"/>
        <w:spacing w:after="19" w:line="240" w:lineRule="auto"/>
        <w:jc w:val="both"/>
      </w:pPr>
      <w:r w:rsidRPr="0098610D">
        <w:rPr>
          <w:rStyle w:val="footnotemark"/>
          <w:szCs w:val="20"/>
        </w:rPr>
        <w:footnoteRef/>
      </w:r>
      <w:r w:rsidRPr="0098610D">
        <w:rPr>
          <w:sz w:val="20"/>
          <w:szCs w:val="20"/>
        </w:rPr>
        <w:t xml:space="preserve"> BLAHOŽ, Josef a kol. </w:t>
      </w:r>
      <w:r w:rsidRPr="0098610D">
        <w:rPr>
          <w:i/>
          <w:sz w:val="20"/>
          <w:szCs w:val="20"/>
        </w:rPr>
        <w:t>Státní právo kapitalistických zemí</w:t>
      </w:r>
      <w:r w:rsidRPr="0098610D">
        <w:rPr>
          <w:sz w:val="20"/>
          <w:szCs w:val="20"/>
        </w:rPr>
        <w:t xml:space="preserve">. Praha: Panorama, 1985, s. 213. </w:t>
      </w:r>
    </w:p>
  </w:footnote>
  <w:footnote w:id="111">
    <w:p w:rsidR="009D1F29" w:rsidRDefault="009D1F29" w:rsidP="0098610D">
      <w:pPr>
        <w:pStyle w:val="footnotedescription"/>
        <w:spacing w:after="0" w:line="240" w:lineRule="auto"/>
        <w:jc w:val="both"/>
      </w:pPr>
      <w:r w:rsidRPr="0098610D">
        <w:rPr>
          <w:rStyle w:val="footnotemark"/>
          <w:szCs w:val="20"/>
        </w:rPr>
        <w:footnoteRef/>
      </w:r>
      <w:r w:rsidRPr="0098610D">
        <w:rPr>
          <w:sz w:val="20"/>
          <w:szCs w:val="20"/>
        </w:rPr>
        <w:t xml:space="preserve"> ZDOBINSKÝ, Stanislav, MATOUŠEK, Stanislav a kol. </w:t>
      </w:r>
      <w:r w:rsidRPr="0098610D">
        <w:rPr>
          <w:i/>
          <w:sz w:val="20"/>
          <w:szCs w:val="20"/>
        </w:rPr>
        <w:t>Státní právo ČSSR</w:t>
      </w:r>
      <w:r w:rsidRPr="0098610D">
        <w:rPr>
          <w:sz w:val="20"/>
          <w:szCs w:val="20"/>
        </w:rPr>
        <w:t xml:space="preserve">. Praha: Panorama, 1985, s. 119. </w:t>
      </w:r>
    </w:p>
  </w:footnote>
  <w:footnote w:id="112">
    <w:p w:rsidR="009D1F29" w:rsidRDefault="009D1F29" w:rsidP="0098610D">
      <w:pPr>
        <w:pStyle w:val="footnotedescription"/>
        <w:spacing w:after="0" w:line="240" w:lineRule="auto"/>
        <w:jc w:val="both"/>
      </w:pPr>
      <w:r w:rsidRPr="0098610D">
        <w:rPr>
          <w:rStyle w:val="FootnoteReference"/>
          <w:sz w:val="20"/>
          <w:szCs w:val="20"/>
        </w:rPr>
        <w:footnoteRef/>
      </w:r>
      <w:r w:rsidRPr="0098610D">
        <w:rPr>
          <w:sz w:val="20"/>
          <w:szCs w:val="20"/>
        </w:rPr>
        <w:t xml:space="preserve"> LUKEŠ, Zdeněk a kol. </w:t>
      </w:r>
      <w:r w:rsidRPr="0098610D">
        <w:rPr>
          <w:i/>
          <w:sz w:val="20"/>
          <w:szCs w:val="20"/>
        </w:rPr>
        <w:t>Československé správní právo</w:t>
      </w:r>
      <w:r w:rsidRPr="0098610D">
        <w:rPr>
          <w:sz w:val="20"/>
          <w:szCs w:val="20"/>
        </w:rPr>
        <w:t>. Praha: Panorama, 1981, s. 234</w:t>
      </w:r>
      <w:r w:rsidRPr="0098610D">
        <w:rPr>
          <w:color w:val="222222"/>
          <w:sz w:val="20"/>
          <w:szCs w:val="20"/>
        </w:rPr>
        <w:t>.</w:t>
      </w:r>
      <w:r w:rsidRPr="0098610D">
        <w:rPr>
          <w:sz w:val="20"/>
          <w:szCs w:val="20"/>
        </w:rPr>
        <w:t xml:space="preserve"> </w:t>
      </w:r>
    </w:p>
  </w:footnote>
  <w:footnote w:id="113">
    <w:p w:rsidR="009D1F29" w:rsidRDefault="009D1F29" w:rsidP="0098610D">
      <w:pPr>
        <w:pStyle w:val="footnotedescription"/>
        <w:spacing w:after="0" w:line="240" w:lineRule="auto"/>
        <w:jc w:val="both"/>
      </w:pPr>
      <w:r w:rsidRPr="0098610D">
        <w:rPr>
          <w:rStyle w:val="footnotemark"/>
          <w:szCs w:val="20"/>
        </w:rPr>
        <w:footnoteRef/>
      </w:r>
      <w:r w:rsidRPr="0098610D">
        <w:rPr>
          <w:sz w:val="20"/>
          <w:szCs w:val="20"/>
        </w:rPr>
        <w:t xml:space="preserve"> Byly vyhlášeny jako vyhláška ministerstva zahraničních věcí č. 120/1976 Sb., o Mezinárodním paktu </w:t>
      </w:r>
      <w:r>
        <w:rPr>
          <w:sz w:val="20"/>
          <w:szCs w:val="20"/>
        </w:rPr>
        <w:br/>
      </w:r>
      <w:r w:rsidRPr="0098610D">
        <w:rPr>
          <w:sz w:val="20"/>
          <w:szCs w:val="20"/>
        </w:rPr>
        <w:t xml:space="preserve">o občanských a politických právech a Mezinárodním paktu o hospodářských, sociálních a kulturních právech. </w:t>
      </w:r>
    </w:p>
  </w:footnote>
  <w:footnote w:id="114">
    <w:p w:rsidR="009D1F29" w:rsidRDefault="009D1F29" w:rsidP="0098610D">
      <w:pPr>
        <w:pStyle w:val="footnotedescription"/>
        <w:spacing w:after="0" w:line="240" w:lineRule="auto"/>
        <w:jc w:val="both"/>
      </w:pPr>
      <w:r w:rsidRPr="0098610D">
        <w:rPr>
          <w:rStyle w:val="footnotemark"/>
          <w:szCs w:val="20"/>
        </w:rPr>
        <w:footnoteRef/>
      </w:r>
      <w:r w:rsidRPr="0098610D">
        <w:rPr>
          <w:sz w:val="20"/>
          <w:szCs w:val="20"/>
        </w:rPr>
        <w:t xml:space="preserve"> WAGNEROVÁ, Eliška. Základní práva. In </w:t>
      </w:r>
      <w:r w:rsidRPr="0098610D">
        <w:rPr>
          <w:i/>
          <w:sz w:val="20"/>
          <w:szCs w:val="20"/>
        </w:rPr>
        <w:t>Komunistické právo v Československu. kapitoly z dějin bezpráví</w:t>
      </w:r>
      <w:r w:rsidRPr="0098610D">
        <w:rPr>
          <w:sz w:val="20"/>
          <w:szCs w:val="20"/>
        </w:rPr>
        <w:t>. Brno: Masarykova univerzita, Mezinárodní politologický ústav, 2009, s. 356.</w:t>
      </w:r>
      <w:r>
        <w:rPr>
          <w:rFonts w:ascii="Book Antiqua" w:hAnsi="Book Antiqua" w:cs="Book Antiqua"/>
        </w:rPr>
        <w:t xml:space="preserve"> </w:t>
      </w:r>
    </w:p>
  </w:footnote>
  <w:footnote w:id="115">
    <w:p w:rsidR="009D1F29" w:rsidRDefault="009D1F29" w:rsidP="00FB005C">
      <w:pPr>
        <w:pStyle w:val="footnotedescription"/>
        <w:spacing w:after="5" w:line="240" w:lineRule="auto"/>
        <w:jc w:val="both"/>
      </w:pPr>
      <w:r w:rsidRPr="0098610D">
        <w:rPr>
          <w:rStyle w:val="footnotemark"/>
          <w:szCs w:val="20"/>
        </w:rPr>
        <w:footnoteRef/>
      </w:r>
      <w:r w:rsidRPr="0098610D">
        <w:rPr>
          <w:sz w:val="20"/>
          <w:szCs w:val="20"/>
        </w:rPr>
        <w:t xml:space="preserve"> SCHELLE, Karel. </w:t>
      </w:r>
      <w:r w:rsidRPr="0098610D">
        <w:rPr>
          <w:i/>
          <w:sz w:val="20"/>
          <w:szCs w:val="20"/>
        </w:rPr>
        <w:t>Dějiny ústavního práva</w:t>
      </w:r>
      <w:r w:rsidRPr="0098610D">
        <w:rPr>
          <w:sz w:val="20"/>
          <w:szCs w:val="20"/>
        </w:rPr>
        <w:t>. 2. vyd. Praha: Wolters Kluwer, 2016, s. 274.</w:t>
      </w:r>
      <w:r w:rsidRPr="0098610D">
        <w:rPr>
          <w:rFonts w:ascii="Book Antiqua" w:hAnsi="Book Antiqua" w:cs="Book Antiqua"/>
          <w:sz w:val="20"/>
          <w:szCs w:val="20"/>
        </w:rPr>
        <w:t xml:space="preserve"> </w:t>
      </w:r>
    </w:p>
  </w:footnote>
  <w:footnote w:id="116">
    <w:p w:rsidR="009D1F29" w:rsidRDefault="009D1F29" w:rsidP="00FB005C">
      <w:pPr>
        <w:pStyle w:val="footnotedescription"/>
        <w:spacing w:after="17" w:line="240" w:lineRule="auto"/>
        <w:jc w:val="both"/>
      </w:pPr>
      <w:r w:rsidRPr="0098610D">
        <w:rPr>
          <w:rStyle w:val="footnotemark"/>
          <w:szCs w:val="20"/>
        </w:rPr>
        <w:footnoteRef/>
      </w:r>
      <w:r w:rsidRPr="0098610D">
        <w:rPr>
          <w:sz w:val="20"/>
          <w:szCs w:val="20"/>
        </w:rPr>
        <w:t xml:space="preserve"> LAZAR, Ján. </w:t>
      </w:r>
      <w:r w:rsidRPr="0098610D">
        <w:rPr>
          <w:i/>
          <w:sz w:val="20"/>
          <w:szCs w:val="20"/>
        </w:rPr>
        <w:t>Buržoázne vlastnícke koncepcie z hľadiska marxistickej právnej vedy</w:t>
      </w:r>
      <w:r>
        <w:rPr>
          <w:sz w:val="20"/>
          <w:szCs w:val="20"/>
        </w:rPr>
        <w:t xml:space="preserve">. Bratislava: Veda, 1984, </w:t>
      </w:r>
      <w:r>
        <w:rPr>
          <w:sz w:val="20"/>
          <w:szCs w:val="20"/>
        </w:rPr>
        <w:br/>
      </w:r>
      <w:r w:rsidRPr="0098610D">
        <w:rPr>
          <w:sz w:val="20"/>
          <w:szCs w:val="20"/>
        </w:rPr>
        <w:t>s. 53.</w:t>
      </w:r>
      <w:r w:rsidRPr="0098610D">
        <w:rPr>
          <w:rFonts w:ascii="Calibri" w:hAnsi="Calibri" w:cs="Calibri"/>
          <w:sz w:val="20"/>
          <w:szCs w:val="20"/>
        </w:rPr>
        <w:t xml:space="preserve"> </w:t>
      </w:r>
    </w:p>
  </w:footnote>
  <w:footnote w:id="117">
    <w:p w:rsidR="009D1F29" w:rsidRDefault="009D1F29" w:rsidP="00FB005C">
      <w:pPr>
        <w:spacing w:after="12" w:line="240" w:lineRule="auto"/>
        <w:ind w:left="-5" w:right="0"/>
      </w:pPr>
      <w:r w:rsidRPr="0098610D">
        <w:rPr>
          <w:rStyle w:val="footnotemark"/>
          <w:szCs w:val="20"/>
        </w:rPr>
        <w:footnoteRef/>
      </w:r>
      <w:r w:rsidRPr="0098610D">
        <w:rPr>
          <w:sz w:val="20"/>
          <w:szCs w:val="20"/>
        </w:rPr>
        <w:t xml:space="preserve"> Jako třetí forma socialistického společenského vlastnictví bylo zákon</w:t>
      </w:r>
      <w:r>
        <w:rPr>
          <w:sz w:val="20"/>
          <w:szCs w:val="20"/>
        </w:rPr>
        <w:t xml:space="preserve">em č. 109/1964 Sb., hospodářský </w:t>
      </w:r>
      <w:r w:rsidRPr="0098610D">
        <w:rPr>
          <w:sz w:val="20"/>
          <w:szCs w:val="20"/>
        </w:rPr>
        <w:t>zákoník, stanoveno vlastnictví společenských a jiných socialistických organizací (např. Revoluční odborové hnutí,</w:t>
      </w:r>
      <w:r>
        <w:t xml:space="preserve"> </w:t>
      </w:r>
      <w:r>
        <w:rPr>
          <w:sz w:val="20"/>
        </w:rPr>
        <w:t>Československý svaz mládeže či tělovýchovné organizace). Ústava tuto formu společenského vlastnictví neuváděla, protože nesloužilo k hospodářské činnosti.</w:t>
      </w:r>
      <w:r>
        <w:rPr>
          <w:rFonts w:ascii="Book Antiqua" w:hAnsi="Book Antiqua" w:cs="Book Antiqua"/>
          <w:sz w:val="20"/>
        </w:rPr>
        <w:t xml:space="preserve"> </w:t>
      </w:r>
    </w:p>
    <w:p w:rsidR="009D1F29" w:rsidRDefault="009D1F29" w:rsidP="00FB005C">
      <w:pPr>
        <w:spacing w:after="12" w:line="240" w:lineRule="auto"/>
        <w:ind w:left="-5" w:right="0"/>
      </w:pPr>
    </w:p>
  </w:footnote>
  <w:footnote w:id="118">
    <w:p w:rsidR="009D1F29" w:rsidRDefault="009D1F29" w:rsidP="00FB005C">
      <w:pPr>
        <w:spacing w:after="12" w:line="240" w:lineRule="auto"/>
        <w:ind w:left="0" w:right="0" w:firstLine="0"/>
      </w:pPr>
      <w:r w:rsidRPr="00FB005C">
        <w:rPr>
          <w:rStyle w:val="FootnoteReference"/>
          <w:sz w:val="20"/>
          <w:szCs w:val="20"/>
        </w:rPr>
        <w:footnoteRef/>
      </w:r>
      <w:r w:rsidRPr="00FB005C">
        <w:rPr>
          <w:sz w:val="20"/>
          <w:szCs w:val="20"/>
        </w:rPr>
        <w:t xml:space="preserve"> JIČINSKÝ, Zdeněk, LEVIT, Pavel. </w:t>
      </w:r>
      <w:r w:rsidRPr="00FB005C">
        <w:rPr>
          <w:i/>
          <w:sz w:val="20"/>
          <w:szCs w:val="20"/>
        </w:rPr>
        <w:t>Socialistická ústava ČSSR</w:t>
      </w:r>
      <w:r w:rsidRPr="00FB005C">
        <w:rPr>
          <w:sz w:val="20"/>
          <w:szCs w:val="20"/>
        </w:rPr>
        <w:t>. Praha: Státní nakladatelství politické literatury, 1961, s. 44.</w:t>
      </w:r>
      <w:r w:rsidRPr="00FB005C">
        <w:rPr>
          <w:rFonts w:ascii="Book Antiqua" w:hAnsi="Book Antiqua" w:cs="Book Antiqua"/>
          <w:sz w:val="20"/>
          <w:szCs w:val="20"/>
        </w:rPr>
        <w:t xml:space="preserve"> </w:t>
      </w:r>
    </w:p>
  </w:footnote>
  <w:footnote w:id="119">
    <w:p w:rsidR="009D1F29" w:rsidRDefault="009D1F29" w:rsidP="00FB005C">
      <w:pPr>
        <w:spacing w:after="12" w:line="240" w:lineRule="auto"/>
        <w:ind w:left="0" w:right="0" w:firstLine="0"/>
      </w:pPr>
      <w:r w:rsidRPr="00FB005C">
        <w:rPr>
          <w:rStyle w:val="FootnoteReference"/>
          <w:sz w:val="20"/>
          <w:szCs w:val="20"/>
        </w:rPr>
        <w:footnoteRef/>
      </w:r>
      <w:r w:rsidRPr="00FB005C">
        <w:rPr>
          <w:sz w:val="20"/>
          <w:szCs w:val="20"/>
        </w:rPr>
        <w:t xml:space="preserve"> §132 trestního zákon č. 140/1961 Sb.</w:t>
      </w:r>
      <w:r w:rsidRPr="00FB005C">
        <w:rPr>
          <w:rFonts w:ascii="Book Antiqua" w:hAnsi="Book Antiqua" w:cs="Book Antiqua"/>
          <w:sz w:val="20"/>
          <w:szCs w:val="20"/>
        </w:rPr>
        <w:t xml:space="preserve"> </w:t>
      </w:r>
    </w:p>
  </w:footnote>
  <w:footnote w:id="120">
    <w:p w:rsidR="009D1F29" w:rsidRDefault="009D1F29" w:rsidP="00FB005C">
      <w:pPr>
        <w:pStyle w:val="footnotedescription"/>
        <w:spacing w:line="240" w:lineRule="auto"/>
        <w:jc w:val="both"/>
      </w:pPr>
      <w:r w:rsidRPr="00FB005C">
        <w:rPr>
          <w:rStyle w:val="footnotemark"/>
          <w:szCs w:val="20"/>
        </w:rPr>
        <w:footnoteRef/>
      </w:r>
      <w:r w:rsidRPr="00FB005C">
        <w:rPr>
          <w:sz w:val="20"/>
          <w:szCs w:val="20"/>
        </w:rPr>
        <w:t xml:space="preserve"> HOLUB, Milan., BIČOVSKÝ, Jaroslav. </w:t>
      </w:r>
      <w:r w:rsidRPr="00FB005C">
        <w:rPr>
          <w:i/>
          <w:sz w:val="20"/>
          <w:szCs w:val="20"/>
        </w:rPr>
        <w:t>Občan a vlastnictví v čs. právním řádu</w:t>
      </w:r>
      <w:r w:rsidRPr="00FB005C">
        <w:rPr>
          <w:sz w:val="20"/>
          <w:szCs w:val="20"/>
        </w:rPr>
        <w:t xml:space="preserve">. Praha: Panorama, 1985, </w:t>
      </w:r>
      <w:r>
        <w:rPr>
          <w:sz w:val="20"/>
          <w:szCs w:val="20"/>
        </w:rPr>
        <w:br/>
      </w:r>
      <w:r w:rsidRPr="00FB005C">
        <w:rPr>
          <w:sz w:val="20"/>
          <w:szCs w:val="20"/>
        </w:rPr>
        <w:t>s. 10.</w:t>
      </w:r>
      <w:r>
        <w:rPr>
          <w:rFonts w:ascii="Book Antiqua" w:hAnsi="Book Antiqua" w:cs="Book Antiqua"/>
        </w:rPr>
        <w:t xml:space="preserve">   </w:t>
      </w:r>
    </w:p>
  </w:footnote>
  <w:footnote w:id="121">
    <w:p w:rsidR="009D1F29" w:rsidRDefault="009D1F29" w:rsidP="005C0A98">
      <w:pPr>
        <w:pStyle w:val="footnotedescription"/>
        <w:spacing w:after="27" w:line="240" w:lineRule="auto"/>
        <w:jc w:val="both"/>
      </w:pPr>
      <w:r w:rsidRPr="005C0A98">
        <w:rPr>
          <w:rStyle w:val="footnotemark"/>
          <w:szCs w:val="20"/>
        </w:rPr>
        <w:footnoteRef/>
      </w:r>
      <w:r w:rsidRPr="005C0A98">
        <w:rPr>
          <w:sz w:val="20"/>
          <w:szCs w:val="20"/>
        </w:rPr>
        <w:t xml:space="preserve"> Dědění, darování, výhry v loterii.</w:t>
      </w:r>
      <w:r w:rsidRPr="005C0A98">
        <w:rPr>
          <w:rFonts w:ascii="Book Antiqua" w:hAnsi="Book Antiqua" w:cs="Book Antiqua"/>
          <w:sz w:val="20"/>
          <w:szCs w:val="20"/>
        </w:rPr>
        <w:t xml:space="preserve"> </w:t>
      </w:r>
    </w:p>
  </w:footnote>
  <w:footnote w:id="122">
    <w:p w:rsidR="009D1F29" w:rsidRDefault="009D1F29" w:rsidP="005C0A98">
      <w:pPr>
        <w:pStyle w:val="footnotedescription"/>
        <w:spacing w:after="0" w:line="240" w:lineRule="auto"/>
        <w:jc w:val="both"/>
      </w:pPr>
      <w:r w:rsidRPr="005C0A98">
        <w:rPr>
          <w:rStyle w:val="footnotemark"/>
          <w:szCs w:val="20"/>
        </w:rPr>
        <w:footnoteRef/>
      </w:r>
      <w:r w:rsidRPr="005C0A98">
        <w:rPr>
          <w:sz w:val="20"/>
          <w:szCs w:val="20"/>
        </w:rPr>
        <w:t xml:space="preserve"> BĚLOVSKÝ, Petr. Občanské právo. In </w:t>
      </w:r>
      <w:r w:rsidRPr="005C0A98">
        <w:rPr>
          <w:i/>
          <w:sz w:val="20"/>
          <w:szCs w:val="20"/>
        </w:rPr>
        <w:t>Komunistické právo v Československu. kapitoly z dějin bezpráví</w:t>
      </w:r>
      <w:r w:rsidRPr="005C0A98">
        <w:rPr>
          <w:sz w:val="20"/>
          <w:szCs w:val="20"/>
        </w:rPr>
        <w:t xml:space="preserve">.  Brno: Masarykova univerzita, Mezinárodní politologický ústav, 2009, s. 442-457. </w:t>
      </w:r>
    </w:p>
  </w:footnote>
  <w:footnote w:id="123">
    <w:p w:rsidR="009D1F29" w:rsidRDefault="009D1F29" w:rsidP="005C0A98">
      <w:pPr>
        <w:pStyle w:val="footnotedescription"/>
        <w:spacing w:after="12" w:line="240" w:lineRule="auto"/>
        <w:jc w:val="both"/>
      </w:pPr>
      <w:r w:rsidRPr="005C0A98">
        <w:rPr>
          <w:rStyle w:val="footnotemark"/>
          <w:szCs w:val="20"/>
        </w:rPr>
        <w:footnoteRef/>
      </w:r>
      <w:r w:rsidRPr="005C0A98">
        <w:rPr>
          <w:sz w:val="20"/>
          <w:szCs w:val="20"/>
        </w:rPr>
        <w:t xml:space="preserve"> Ochrana byla dána pouze OZ/64 v § 489.</w:t>
      </w:r>
      <w:r w:rsidRPr="005C0A98">
        <w:rPr>
          <w:rFonts w:ascii="Book Antiqua" w:hAnsi="Book Antiqua" w:cs="Book Antiqua"/>
          <w:sz w:val="20"/>
          <w:szCs w:val="20"/>
        </w:rPr>
        <w:t xml:space="preserve"> </w:t>
      </w:r>
    </w:p>
  </w:footnote>
  <w:footnote w:id="124">
    <w:p w:rsidR="009D1F29" w:rsidRDefault="009D1F29" w:rsidP="005C0A98">
      <w:pPr>
        <w:pStyle w:val="footnotedescription"/>
        <w:spacing w:after="17" w:line="240" w:lineRule="auto"/>
        <w:jc w:val="both"/>
      </w:pPr>
      <w:r w:rsidRPr="005C0A98">
        <w:rPr>
          <w:rStyle w:val="footnotemark"/>
          <w:szCs w:val="20"/>
        </w:rPr>
        <w:footnoteRef/>
      </w:r>
      <w:r w:rsidRPr="005C0A98">
        <w:rPr>
          <w:sz w:val="20"/>
          <w:szCs w:val="20"/>
        </w:rPr>
        <w:t xml:space="preserve"> Např. omezení převodu pozemků.</w:t>
      </w:r>
      <w:r>
        <w:rPr>
          <w:rFonts w:ascii="Book Antiqua" w:hAnsi="Book Antiqua" w:cs="Book Antiqua"/>
        </w:rPr>
        <w:t xml:space="preserve"> </w:t>
      </w:r>
    </w:p>
  </w:footnote>
  <w:footnote w:id="125">
    <w:p w:rsidR="009D1F29" w:rsidRDefault="009D1F29" w:rsidP="00A21DE8">
      <w:pPr>
        <w:pStyle w:val="footnotedescription"/>
        <w:spacing w:after="15" w:line="240" w:lineRule="auto"/>
        <w:jc w:val="both"/>
      </w:pPr>
      <w:r w:rsidRPr="00A21DE8">
        <w:rPr>
          <w:rStyle w:val="footnotemark"/>
          <w:szCs w:val="20"/>
        </w:rPr>
        <w:footnoteRef/>
      </w:r>
      <w:r w:rsidRPr="00A21DE8">
        <w:rPr>
          <w:sz w:val="20"/>
          <w:szCs w:val="20"/>
        </w:rPr>
        <w:t xml:space="preserve"> ZDOBINSKÝ, Stanislav. </w:t>
      </w:r>
      <w:r w:rsidRPr="00A21DE8">
        <w:rPr>
          <w:i/>
          <w:sz w:val="20"/>
          <w:szCs w:val="20"/>
        </w:rPr>
        <w:t>Československá ústava. Komentář</w:t>
      </w:r>
      <w:r w:rsidRPr="00A21DE8">
        <w:rPr>
          <w:sz w:val="20"/>
          <w:szCs w:val="20"/>
        </w:rPr>
        <w:t>. Praha: Panorama, 1988, s. 87.</w:t>
      </w:r>
      <w:r w:rsidRPr="00A21DE8">
        <w:rPr>
          <w:rFonts w:ascii="Book Antiqua" w:hAnsi="Book Antiqua" w:cs="Book Antiqua"/>
          <w:sz w:val="20"/>
          <w:szCs w:val="20"/>
        </w:rPr>
        <w:t xml:space="preserve"> </w:t>
      </w:r>
    </w:p>
  </w:footnote>
  <w:footnote w:id="126">
    <w:p w:rsidR="009D1F29" w:rsidRDefault="009D1F29" w:rsidP="00A21DE8">
      <w:pPr>
        <w:pStyle w:val="footnotedescription"/>
        <w:spacing w:after="20" w:line="240" w:lineRule="auto"/>
        <w:jc w:val="both"/>
      </w:pPr>
      <w:r w:rsidRPr="00A21DE8">
        <w:rPr>
          <w:rStyle w:val="footnotemark"/>
          <w:szCs w:val="20"/>
        </w:rPr>
        <w:footnoteRef/>
      </w:r>
      <w:r w:rsidRPr="00A21DE8">
        <w:rPr>
          <w:sz w:val="20"/>
          <w:szCs w:val="20"/>
        </w:rPr>
        <w:t xml:space="preserve"> Nález ÚS ČR ze dne 25. června 2002, sp. zn. ÚS 36/01.</w:t>
      </w:r>
      <w:r w:rsidRPr="00A21DE8">
        <w:rPr>
          <w:rFonts w:ascii="Book Antiqua" w:hAnsi="Book Antiqua" w:cs="Book Antiqua"/>
          <w:sz w:val="20"/>
          <w:szCs w:val="20"/>
        </w:rPr>
        <w:t xml:space="preserve"> </w:t>
      </w:r>
    </w:p>
  </w:footnote>
  <w:footnote w:id="127">
    <w:p w:rsidR="009D1F29" w:rsidRDefault="009D1F29" w:rsidP="00A21DE8">
      <w:pPr>
        <w:pStyle w:val="footnotedescription"/>
        <w:spacing w:after="0" w:line="240" w:lineRule="auto"/>
        <w:jc w:val="both"/>
      </w:pPr>
      <w:r w:rsidRPr="00A21DE8">
        <w:rPr>
          <w:rStyle w:val="footnotemark"/>
          <w:szCs w:val="20"/>
        </w:rPr>
        <w:footnoteRef/>
      </w:r>
      <w:r w:rsidRPr="00A21DE8">
        <w:rPr>
          <w:sz w:val="20"/>
          <w:szCs w:val="20"/>
        </w:rPr>
        <w:t xml:space="preserve"> BAHÝLOVÁ, Lenka a kol. </w:t>
      </w:r>
      <w:r w:rsidRPr="00A21DE8">
        <w:rPr>
          <w:i/>
          <w:color w:val="222222"/>
          <w:sz w:val="20"/>
          <w:szCs w:val="20"/>
        </w:rPr>
        <w:t>Ústava České republiky.</w:t>
      </w:r>
      <w:r w:rsidRPr="00A21DE8">
        <w:rPr>
          <w:color w:val="222222"/>
          <w:sz w:val="20"/>
          <w:szCs w:val="20"/>
        </w:rPr>
        <w:t xml:space="preserve"> </w:t>
      </w:r>
      <w:r w:rsidRPr="00A21DE8">
        <w:rPr>
          <w:i/>
          <w:color w:val="222222"/>
          <w:sz w:val="20"/>
          <w:szCs w:val="20"/>
        </w:rPr>
        <w:t>Komentář.</w:t>
      </w:r>
      <w:r w:rsidRPr="00A21DE8">
        <w:rPr>
          <w:color w:val="222222"/>
          <w:sz w:val="20"/>
          <w:szCs w:val="20"/>
        </w:rPr>
        <w:t xml:space="preserve"> Praha: Linde, 2010, s. 22.</w:t>
      </w:r>
      <w:r>
        <w:rPr>
          <w:rFonts w:ascii="Book Antiqua" w:hAnsi="Book Antiqua" w:cs="Book Antiqua"/>
        </w:rPr>
        <w:t xml:space="preserve"> </w:t>
      </w:r>
    </w:p>
  </w:footnote>
  <w:footnote w:id="128">
    <w:p w:rsidR="009D1F29" w:rsidRDefault="009D1F29" w:rsidP="00AF324E">
      <w:pPr>
        <w:pStyle w:val="footnotedescription"/>
        <w:spacing w:after="19" w:line="240" w:lineRule="auto"/>
        <w:jc w:val="both"/>
      </w:pPr>
      <w:r w:rsidRPr="00AF324E">
        <w:rPr>
          <w:rStyle w:val="footnotemark"/>
          <w:szCs w:val="20"/>
        </w:rPr>
        <w:footnoteRef/>
      </w:r>
      <w:r w:rsidRPr="00AF324E">
        <w:rPr>
          <w:sz w:val="20"/>
          <w:szCs w:val="20"/>
        </w:rPr>
        <w:t xml:space="preserve"> Nález ÚS ČR ze dne 15. února 2007, sp. zn. ÚS 77/06.</w:t>
      </w:r>
      <w:r w:rsidRPr="00AF324E">
        <w:rPr>
          <w:rFonts w:ascii="Book Antiqua" w:hAnsi="Book Antiqua" w:cs="Book Antiqua"/>
          <w:sz w:val="20"/>
          <w:szCs w:val="20"/>
        </w:rPr>
        <w:t xml:space="preserve"> </w:t>
      </w:r>
    </w:p>
  </w:footnote>
  <w:footnote w:id="129">
    <w:p w:rsidR="009D1F29" w:rsidRDefault="009D1F29" w:rsidP="00AF324E">
      <w:pPr>
        <w:pStyle w:val="footnotedescription"/>
        <w:spacing w:after="19" w:line="240" w:lineRule="auto"/>
        <w:jc w:val="both"/>
      </w:pPr>
      <w:r w:rsidRPr="00AF324E">
        <w:rPr>
          <w:rStyle w:val="footnotemark"/>
          <w:szCs w:val="20"/>
        </w:rPr>
        <w:footnoteRef/>
      </w:r>
      <w:r w:rsidRPr="00AF324E">
        <w:rPr>
          <w:sz w:val="20"/>
          <w:szCs w:val="20"/>
        </w:rPr>
        <w:t xml:space="preserve"> HENDRYCH, Dušan, SVOBODA, Cyril a kol. </w:t>
      </w:r>
      <w:r w:rsidRPr="00AF324E">
        <w:rPr>
          <w:i/>
          <w:sz w:val="20"/>
          <w:szCs w:val="20"/>
        </w:rPr>
        <w:t>Ústava České republiky. Komentář</w:t>
      </w:r>
      <w:r w:rsidRPr="00AF324E">
        <w:rPr>
          <w:sz w:val="20"/>
          <w:szCs w:val="20"/>
        </w:rPr>
        <w:t>. Praha: C.H. Beck, 1997, s. 143-146.</w:t>
      </w:r>
      <w:r w:rsidRPr="00AF324E">
        <w:rPr>
          <w:rFonts w:ascii="Book Antiqua" w:hAnsi="Book Antiqua" w:cs="Book Antiqua"/>
          <w:sz w:val="20"/>
          <w:szCs w:val="20"/>
        </w:rPr>
        <w:t xml:space="preserve"> </w:t>
      </w:r>
    </w:p>
  </w:footnote>
  <w:footnote w:id="130">
    <w:p w:rsidR="009D1F29" w:rsidRDefault="009D1F29" w:rsidP="00AF324E">
      <w:pPr>
        <w:pStyle w:val="footnotedescription"/>
        <w:spacing w:after="11" w:line="240" w:lineRule="auto"/>
        <w:jc w:val="both"/>
      </w:pPr>
      <w:r w:rsidRPr="00AF324E">
        <w:rPr>
          <w:rStyle w:val="footnotemark"/>
          <w:szCs w:val="20"/>
        </w:rPr>
        <w:footnoteRef/>
      </w:r>
      <w:r w:rsidRPr="00AF324E">
        <w:rPr>
          <w:sz w:val="20"/>
          <w:szCs w:val="20"/>
        </w:rPr>
        <w:t xml:space="preserve"> SLÁDEČEK, Vladimír, MIKULE, Vladimír, SUCHÁNEK, Radovan, SYLLOVÁ, Jindřiška. </w:t>
      </w:r>
      <w:r w:rsidRPr="00AF324E">
        <w:rPr>
          <w:i/>
          <w:sz w:val="20"/>
          <w:szCs w:val="20"/>
        </w:rPr>
        <w:t>Ústava České republiky. Komentář.</w:t>
      </w:r>
      <w:r w:rsidRPr="00AF324E">
        <w:rPr>
          <w:sz w:val="20"/>
          <w:szCs w:val="20"/>
        </w:rPr>
        <w:t xml:space="preserve"> 2. vyd. Praha: C.H. Beck, 2016, s. 1064-1065.</w:t>
      </w:r>
      <w:r w:rsidRPr="00AF324E">
        <w:rPr>
          <w:rFonts w:ascii="Book Antiqua" w:hAnsi="Book Antiqua" w:cs="Book Antiqua"/>
          <w:sz w:val="20"/>
          <w:szCs w:val="20"/>
        </w:rPr>
        <w:t xml:space="preserve"> </w:t>
      </w:r>
    </w:p>
  </w:footnote>
  <w:footnote w:id="131">
    <w:p w:rsidR="009D1F29" w:rsidRPr="00AF324E" w:rsidRDefault="009D1F29" w:rsidP="00AF324E">
      <w:pPr>
        <w:pStyle w:val="footnotedescription"/>
        <w:spacing w:after="0" w:line="240" w:lineRule="auto"/>
        <w:jc w:val="both"/>
        <w:rPr>
          <w:sz w:val="20"/>
          <w:szCs w:val="20"/>
        </w:rPr>
      </w:pPr>
      <w:r w:rsidRPr="00AF324E">
        <w:rPr>
          <w:rStyle w:val="footnotemark"/>
          <w:szCs w:val="20"/>
        </w:rPr>
        <w:footnoteRef/>
      </w:r>
      <w:r w:rsidRPr="00AF324E">
        <w:rPr>
          <w:sz w:val="20"/>
          <w:szCs w:val="20"/>
        </w:rPr>
        <w:t xml:space="preserve"> GERLOCH, Aleš. K otázce právní povahy Listiny základních práv a svobod. In </w:t>
      </w:r>
      <w:r w:rsidRPr="00AF324E">
        <w:rPr>
          <w:i/>
          <w:sz w:val="20"/>
          <w:szCs w:val="20"/>
        </w:rPr>
        <w:t>Realizace listiny základních práv a svobod v právním řádu ČR</w:t>
      </w:r>
      <w:r w:rsidRPr="00AF324E">
        <w:rPr>
          <w:sz w:val="20"/>
          <w:szCs w:val="20"/>
        </w:rPr>
        <w:t xml:space="preserve">. Brno: PF MU, 1994, s. 70-75. </w:t>
      </w:r>
    </w:p>
    <w:p w:rsidR="009D1F29" w:rsidRDefault="009D1F29">
      <w:pPr>
        <w:pStyle w:val="footnotedescription"/>
        <w:spacing w:after="0"/>
      </w:pPr>
      <w:r>
        <w:rPr>
          <w:rFonts w:ascii="Book Antiqua" w:hAnsi="Book Antiqua" w:cs="Book Antiqua"/>
        </w:rPr>
        <w:t xml:space="preserve"> </w:t>
      </w:r>
    </w:p>
  </w:footnote>
  <w:footnote w:id="132">
    <w:p w:rsidR="009D1F29" w:rsidRDefault="009D1F29" w:rsidP="00746E5B">
      <w:pPr>
        <w:pStyle w:val="footnotedescription"/>
        <w:spacing w:after="0" w:line="240" w:lineRule="auto"/>
        <w:jc w:val="both"/>
      </w:pPr>
      <w:r w:rsidRPr="00746E5B">
        <w:rPr>
          <w:rStyle w:val="footnotemark"/>
          <w:szCs w:val="20"/>
        </w:rPr>
        <w:footnoteRef/>
      </w:r>
      <w:r w:rsidRPr="00746E5B">
        <w:rPr>
          <w:sz w:val="20"/>
          <w:szCs w:val="20"/>
        </w:rPr>
        <w:t xml:space="preserve"> Nález ÚS ČR ze dne 20. prosince 2007, IV. ÚS 1133/07.</w:t>
      </w:r>
    </w:p>
  </w:footnote>
  <w:footnote w:id="133">
    <w:p w:rsidR="009D1F29" w:rsidRDefault="009D1F29" w:rsidP="00746E5B">
      <w:pPr>
        <w:pStyle w:val="footnotedescription"/>
        <w:spacing w:after="9" w:line="240" w:lineRule="auto"/>
        <w:jc w:val="both"/>
      </w:pPr>
      <w:r w:rsidRPr="00746E5B">
        <w:rPr>
          <w:rStyle w:val="footnotemark"/>
          <w:szCs w:val="20"/>
        </w:rPr>
        <w:footnoteRef/>
      </w:r>
      <w:r>
        <w:rPr>
          <w:sz w:val="20"/>
          <w:szCs w:val="20"/>
        </w:rPr>
        <w:t xml:space="preserve"> Nález ÚS ČR ze dne 1. </w:t>
      </w:r>
      <w:r w:rsidRPr="00746E5B">
        <w:rPr>
          <w:sz w:val="20"/>
          <w:szCs w:val="20"/>
        </w:rPr>
        <w:t>února 1994, III. ÚS 23/93.</w:t>
      </w:r>
    </w:p>
  </w:footnote>
  <w:footnote w:id="134">
    <w:p w:rsidR="009D1F29" w:rsidRDefault="009D1F29" w:rsidP="00746E5B">
      <w:pPr>
        <w:pStyle w:val="footnotedescription"/>
        <w:spacing w:after="39" w:line="240" w:lineRule="auto"/>
        <w:jc w:val="both"/>
      </w:pPr>
      <w:r w:rsidRPr="00746E5B">
        <w:rPr>
          <w:rStyle w:val="footnotemark"/>
          <w:szCs w:val="20"/>
        </w:rPr>
        <w:footnoteRef/>
      </w:r>
      <w:r>
        <w:rPr>
          <w:sz w:val="20"/>
          <w:szCs w:val="20"/>
        </w:rPr>
        <w:t xml:space="preserve"> Zákon č. 21/1992 Sb.</w:t>
      </w:r>
    </w:p>
  </w:footnote>
  <w:footnote w:id="135">
    <w:p w:rsidR="009D1F29" w:rsidRDefault="009D1F29" w:rsidP="00746E5B">
      <w:pPr>
        <w:pStyle w:val="footnotedescription"/>
        <w:spacing w:after="0" w:line="240" w:lineRule="auto"/>
        <w:ind w:right="3781"/>
        <w:jc w:val="both"/>
      </w:pPr>
      <w:r w:rsidRPr="00746E5B">
        <w:rPr>
          <w:rStyle w:val="footnotemark"/>
          <w:szCs w:val="20"/>
        </w:rPr>
        <w:footnoteRef/>
      </w:r>
      <w:r w:rsidRPr="00746E5B">
        <w:rPr>
          <w:sz w:val="20"/>
          <w:szCs w:val="20"/>
        </w:rPr>
        <w:t xml:space="preserve"> Nález ÚS ČR ze dne 21. října 2008, sp. zn. IV. ÚS1735/07.</w:t>
      </w:r>
    </w:p>
  </w:footnote>
  <w:footnote w:id="136">
    <w:p w:rsidR="009D1F29" w:rsidRDefault="009D1F29">
      <w:pPr>
        <w:pStyle w:val="FootnoteText"/>
      </w:pPr>
      <w:r>
        <w:rPr>
          <w:rStyle w:val="FootnoteReference"/>
        </w:rPr>
        <w:footnoteRef/>
      </w:r>
      <w:r>
        <w:t xml:space="preserve"> </w:t>
      </w:r>
      <w:r w:rsidRPr="00746E5B">
        <w:t>Nález ÚS ČR ze dne 28. června 2006, sp. zn. III. ÚS 27/06.</w:t>
      </w:r>
    </w:p>
  </w:footnote>
  <w:footnote w:id="137">
    <w:p w:rsidR="009D1F29" w:rsidRDefault="009D1F29" w:rsidP="009514CE">
      <w:pPr>
        <w:pStyle w:val="footnotedescription"/>
        <w:spacing w:line="240" w:lineRule="auto"/>
        <w:jc w:val="both"/>
      </w:pPr>
      <w:r w:rsidRPr="009514CE">
        <w:rPr>
          <w:rStyle w:val="footnotemark"/>
          <w:szCs w:val="20"/>
        </w:rPr>
        <w:footnoteRef/>
      </w:r>
      <w:r w:rsidRPr="009514CE">
        <w:rPr>
          <w:sz w:val="20"/>
          <w:szCs w:val="20"/>
        </w:rPr>
        <w:t xml:space="preserve"> Nález ÚS ČR ze dne 4. dubna 1997, sp. zn. III. ÚS 66/97.</w:t>
      </w:r>
      <w:r w:rsidRPr="009514CE">
        <w:rPr>
          <w:rFonts w:ascii="Book Antiqua" w:hAnsi="Book Antiqua" w:cs="Book Antiqua"/>
          <w:sz w:val="20"/>
          <w:szCs w:val="20"/>
        </w:rPr>
        <w:t xml:space="preserve"> </w:t>
      </w:r>
    </w:p>
  </w:footnote>
  <w:footnote w:id="138">
    <w:p w:rsidR="009D1F29" w:rsidRDefault="009D1F29" w:rsidP="009514CE">
      <w:pPr>
        <w:pStyle w:val="footnotedescription"/>
        <w:spacing w:after="0" w:line="240" w:lineRule="auto"/>
        <w:ind w:right="1092"/>
        <w:jc w:val="both"/>
      </w:pPr>
      <w:r w:rsidRPr="009514CE">
        <w:rPr>
          <w:rStyle w:val="footnotemark"/>
          <w:szCs w:val="20"/>
        </w:rPr>
        <w:footnoteRef/>
      </w:r>
      <w:r w:rsidRPr="009514CE">
        <w:rPr>
          <w:sz w:val="20"/>
          <w:szCs w:val="20"/>
        </w:rPr>
        <w:t xml:space="preserve"> FILIP, Jan. </w:t>
      </w:r>
      <w:r w:rsidRPr="009514CE">
        <w:rPr>
          <w:i/>
          <w:sz w:val="20"/>
          <w:szCs w:val="20"/>
        </w:rPr>
        <w:t>Ústavní právo České republiky</w:t>
      </w:r>
      <w:r w:rsidRPr="009514CE">
        <w:rPr>
          <w:sz w:val="20"/>
          <w:szCs w:val="20"/>
        </w:rPr>
        <w:t>. 1. díl. Brno: Masar</w:t>
      </w:r>
      <w:r>
        <w:rPr>
          <w:sz w:val="20"/>
          <w:szCs w:val="20"/>
        </w:rPr>
        <w:t>ykova univerzita, 2003, s. 170.</w:t>
      </w:r>
    </w:p>
  </w:footnote>
  <w:footnote w:id="139">
    <w:p w:rsidR="009D1F29" w:rsidRDefault="009D1F29" w:rsidP="00D721E3">
      <w:pPr>
        <w:pStyle w:val="FootnoteText"/>
        <w:spacing w:line="240" w:lineRule="auto"/>
      </w:pPr>
      <w:r>
        <w:rPr>
          <w:rStyle w:val="FootnoteReference"/>
        </w:rPr>
        <w:footnoteRef/>
      </w:r>
      <w:r>
        <w:t xml:space="preserve"> </w:t>
      </w:r>
      <w:r w:rsidRPr="009514CE">
        <w:t xml:space="preserve">KLÍMA: </w:t>
      </w:r>
      <w:r w:rsidRPr="009514CE">
        <w:rPr>
          <w:i/>
        </w:rPr>
        <w:t>Komentář k Ústavě…</w:t>
      </w:r>
      <w:r w:rsidRPr="009514CE">
        <w:t>, s.</w:t>
      </w:r>
      <w:r>
        <w:t xml:space="preserve"> </w:t>
      </w:r>
      <w:r w:rsidRPr="009514CE">
        <w:t>1047.</w:t>
      </w:r>
    </w:p>
  </w:footnote>
  <w:footnote w:id="140">
    <w:p w:rsidR="009D1F29" w:rsidRDefault="009D1F29" w:rsidP="00D721E3">
      <w:pPr>
        <w:pStyle w:val="footnotedescription"/>
        <w:spacing w:after="33" w:line="240" w:lineRule="auto"/>
        <w:jc w:val="both"/>
      </w:pPr>
      <w:r w:rsidRPr="009514CE">
        <w:rPr>
          <w:rStyle w:val="footnotemark"/>
          <w:szCs w:val="20"/>
        </w:rPr>
        <w:footnoteRef/>
      </w:r>
      <w:r w:rsidRPr="009514CE">
        <w:rPr>
          <w:sz w:val="20"/>
          <w:szCs w:val="20"/>
        </w:rPr>
        <w:t xml:space="preserve"> DAVID, Roman. </w:t>
      </w:r>
      <w:r w:rsidRPr="009514CE">
        <w:rPr>
          <w:i/>
          <w:sz w:val="20"/>
          <w:szCs w:val="20"/>
        </w:rPr>
        <w:t>Ústava České republiky. Listina základních práv a svobod</w:t>
      </w:r>
      <w:r w:rsidRPr="009514CE">
        <w:rPr>
          <w:sz w:val="20"/>
          <w:szCs w:val="20"/>
        </w:rPr>
        <w:t xml:space="preserve">. </w:t>
      </w:r>
      <w:r w:rsidRPr="009514CE">
        <w:rPr>
          <w:i/>
          <w:sz w:val="20"/>
          <w:szCs w:val="20"/>
        </w:rPr>
        <w:t>Komentář</w:t>
      </w:r>
      <w:r w:rsidRPr="009514CE">
        <w:rPr>
          <w:sz w:val="20"/>
          <w:szCs w:val="20"/>
        </w:rPr>
        <w:t>. Olomouc: Fin, 1996, s. 214.</w:t>
      </w:r>
      <w:r w:rsidRPr="009514CE">
        <w:rPr>
          <w:rFonts w:ascii="Calibri" w:hAnsi="Calibri" w:cs="Calibri"/>
          <w:sz w:val="20"/>
          <w:szCs w:val="20"/>
        </w:rPr>
        <w:t xml:space="preserve"> </w:t>
      </w:r>
    </w:p>
  </w:footnote>
  <w:footnote w:id="141">
    <w:p w:rsidR="009D1F29" w:rsidRDefault="009D1F29" w:rsidP="00D721E3">
      <w:pPr>
        <w:pStyle w:val="footnotedescription"/>
        <w:spacing w:after="11" w:line="240" w:lineRule="auto"/>
        <w:ind w:right="159"/>
        <w:jc w:val="both"/>
      </w:pPr>
      <w:r w:rsidRPr="009514CE">
        <w:rPr>
          <w:rStyle w:val="footnotemark"/>
          <w:szCs w:val="20"/>
        </w:rPr>
        <w:footnoteRef/>
      </w:r>
      <w:r w:rsidRPr="009514CE">
        <w:rPr>
          <w:sz w:val="20"/>
          <w:szCs w:val="20"/>
        </w:rPr>
        <w:t xml:space="preserve"> PAVLÍČEK, Václav. </w:t>
      </w:r>
      <w:r w:rsidRPr="009514CE">
        <w:rPr>
          <w:i/>
          <w:sz w:val="20"/>
          <w:szCs w:val="20"/>
        </w:rPr>
        <w:t>Ústava a ústavní řád České republiky</w:t>
      </w:r>
      <w:r w:rsidRPr="009514CE">
        <w:rPr>
          <w:sz w:val="20"/>
          <w:szCs w:val="20"/>
        </w:rPr>
        <w:t xml:space="preserve">. </w:t>
      </w:r>
      <w:r w:rsidRPr="009514CE">
        <w:rPr>
          <w:i/>
          <w:sz w:val="20"/>
          <w:szCs w:val="20"/>
        </w:rPr>
        <w:t>Komentář. 2. díl.</w:t>
      </w:r>
      <w:r w:rsidRPr="009514CE">
        <w:rPr>
          <w:sz w:val="20"/>
          <w:szCs w:val="20"/>
        </w:rPr>
        <w:t xml:space="preserve"> 2. vyd. Praha: Linde, 1999, </w:t>
      </w:r>
      <w:r>
        <w:rPr>
          <w:sz w:val="20"/>
          <w:szCs w:val="20"/>
        </w:rPr>
        <w:br/>
      </w:r>
      <w:r w:rsidRPr="009514CE">
        <w:rPr>
          <w:sz w:val="20"/>
          <w:szCs w:val="20"/>
        </w:rPr>
        <w:t>s. 124.</w:t>
      </w:r>
      <w:r>
        <w:t xml:space="preserve"> </w:t>
      </w:r>
    </w:p>
  </w:footnote>
  <w:footnote w:id="142">
    <w:p w:rsidR="009D1F29" w:rsidRDefault="009D1F29">
      <w:pPr>
        <w:pStyle w:val="footnotedescription"/>
        <w:spacing w:after="0"/>
      </w:pPr>
      <w:r w:rsidRPr="00C72B3A">
        <w:rPr>
          <w:rStyle w:val="footnotemark"/>
          <w:szCs w:val="20"/>
        </w:rPr>
        <w:footnoteRef/>
      </w:r>
      <w:r w:rsidRPr="00C72B3A">
        <w:rPr>
          <w:sz w:val="20"/>
          <w:szCs w:val="20"/>
        </w:rPr>
        <w:t xml:space="preserve"> FLEGL, Vladimír. </w:t>
      </w:r>
      <w:r w:rsidRPr="00C72B3A">
        <w:rPr>
          <w:i/>
          <w:sz w:val="20"/>
          <w:szCs w:val="20"/>
        </w:rPr>
        <w:t>Listina základních práv a svobod v aplikační praxi ČR</w:t>
      </w:r>
      <w:r w:rsidRPr="00C72B3A">
        <w:rPr>
          <w:sz w:val="20"/>
          <w:szCs w:val="20"/>
        </w:rPr>
        <w:t xml:space="preserve">. Praha: C.H. Beck, 1997, s. 54. </w:t>
      </w:r>
    </w:p>
  </w:footnote>
  <w:footnote w:id="143">
    <w:p w:rsidR="009D1F29" w:rsidRDefault="009D1F29">
      <w:pPr>
        <w:pStyle w:val="footnotedescription"/>
        <w:spacing w:after="29"/>
      </w:pPr>
      <w:r w:rsidRPr="00C72B3A">
        <w:rPr>
          <w:rStyle w:val="footnotemark"/>
          <w:szCs w:val="20"/>
        </w:rPr>
        <w:footnoteRef/>
      </w:r>
      <w:r w:rsidRPr="00C72B3A">
        <w:rPr>
          <w:sz w:val="20"/>
          <w:szCs w:val="20"/>
        </w:rPr>
        <w:t xml:space="preserve"> Nález ÚS ČR ze dne 28. března 1996, sp. zn. I. ÚS 198/95.</w:t>
      </w:r>
      <w:r w:rsidRPr="00C72B3A">
        <w:rPr>
          <w:rFonts w:ascii="Book Antiqua" w:hAnsi="Book Antiqua" w:cs="Book Antiqua"/>
          <w:sz w:val="20"/>
          <w:szCs w:val="20"/>
        </w:rPr>
        <w:t xml:space="preserve"> </w:t>
      </w:r>
    </w:p>
  </w:footnote>
  <w:footnote w:id="144">
    <w:p w:rsidR="009D1F29" w:rsidRDefault="009D1F29">
      <w:pPr>
        <w:pStyle w:val="footnotedescription"/>
        <w:spacing w:after="0"/>
      </w:pPr>
      <w:r w:rsidRPr="00C72B3A">
        <w:rPr>
          <w:rStyle w:val="footnotemark"/>
          <w:szCs w:val="20"/>
        </w:rPr>
        <w:footnoteRef/>
      </w:r>
      <w:r w:rsidRPr="00C72B3A">
        <w:rPr>
          <w:sz w:val="20"/>
          <w:szCs w:val="20"/>
        </w:rPr>
        <w:t xml:space="preserve"> Např. zákon o vyvlastnění, OZ, stavební zákon či zákon o zajišťování obrany České republiky.</w:t>
      </w:r>
      <w:r>
        <w:rPr>
          <w:rFonts w:ascii="Book Antiqua" w:hAnsi="Book Antiqua" w:cs="Book Antiqua"/>
        </w:rPr>
        <w:t xml:space="preserve"> </w:t>
      </w:r>
    </w:p>
  </w:footnote>
  <w:footnote w:id="145">
    <w:p w:rsidR="009D1F29" w:rsidRDefault="009D1F29" w:rsidP="00550781">
      <w:pPr>
        <w:pStyle w:val="footnotedescription"/>
        <w:spacing w:after="27" w:line="240" w:lineRule="auto"/>
        <w:jc w:val="both"/>
      </w:pPr>
      <w:r w:rsidRPr="00550781">
        <w:rPr>
          <w:rStyle w:val="footnotemark"/>
          <w:szCs w:val="20"/>
        </w:rPr>
        <w:footnoteRef/>
      </w:r>
      <w:r w:rsidRPr="00550781">
        <w:rPr>
          <w:sz w:val="20"/>
          <w:szCs w:val="20"/>
        </w:rPr>
        <w:t xml:space="preserve"> Nález ÚS ČR ze dne 11. října 1995, sp. zn. ÚS 3/95. </w:t>
      </w:r>
    </w:p>
  </w:footnote>
  <w:footnote w:id="146">
    <w:p w:rsidR="009D1F29" w:rsidRDefault="009D1F29" w:rsidP="00550781">
      <w:pPr>
        <w:pStyle w:val="footnotedescription"/>
        <w:spacing w:after="0" w:line="240" w:lineRule="auto"/>
        <w:ind w:right="10"/>
        <w:jc w:val="both"/>
      </w:pPr>
      <w:r w:rsidRPr="00550781">
        <w:rPr>
          <w:rStyle w:val="footnotemark"/>
          <w:szCs w:val="20"/>
        </w:rPr>
        <w:footnoteRef/>
      </w:r>
      <w:r w:rsidRPr="00550781">
        <w:rPr>
          <w:sz w:val="20"/>
          <w:szCs w:val="20"/>
        </w:rPr>
        <w:t xml:space="preserve"> Ústavy 1920 a 1948 toto ustanovení neslučovaly s ustanovením upravujícím </w:t>
      </w:r>
      <w:r>
        <w:rPr>
          <w:sz w:val="20"/>
          <w:szCs w:val="20"/>
        </w:rPr>
        <w:t xml:space="preserve">vlastnické právo, v ústavě 1960 nebylo obsaženo </w:t>
      </w:r>
      <w:r w:rsidRPr="00550781">
        <w:rPr>
          <w:sz w:val="20"/>
          <w:szCs w:val="20"/>
        </w:rPr>
        <w:t>vůbec.</w:t>
      </w:r>
      <w:r w:rsidRPr="00550781">
        <w:rPr>
          <w:rFonts w:ascii="Book Antiqua" w:hAnsi="Book Antiqua" w:cs="Book Antiqua"/>
          <w:sz w:val="20"/>
          <w:szCs w:val="20"/>
        </w:rPr>
        <w:t xml:space="preserve"> </w:t>
      </w:r>
    </w:p>
  </w:footnote>
  <w:footnote w:id="147">
    <w:p w:rsidR="009D1F29" w:rsidRDefault="009D1F29">
      <w:pPr>
        <w:pStyle w:val="FootnoteText"/>
      </w:pPr>
      <w:r>
        <w:rPr>
          <w:rStyle w:val="FootnoteReference"/>
        </w:rPr>
        <w:footnoteRef/>
      </w:r>
      <w:r>
        <w:t xml:space="preserve"> </w:t>
      </w:r>
      <w:r w:rsidRPr="00550781">
        <w:t xml:space="preserve">KLÍMA, Karel. </w:t>
      </w:r>
      <w:r w:rsidRPr="00550781">
        <w:rPr>
          <w:i/>
        </w:rPr>
        <w:t>Ústavní právo</w:t>
      </w:r>
      <w:r w:rsidRPr="00550781">
        <w:t>. 5. vyd. Plzeň: Aleš Čeněk, 2016, s. 313.</w:t>
      </w:r>
    </w:p>
  </w:footnote>
  <w:footnote w:id="148">
    <w:p w:rsidR="009D1F29" w:rsidRDefault="009D1F29" w:rsidP="00AE29B2">
      <w:pPr>
        <w:pStyle w:val="footnotedescription"/>
        <w:spacing w:after="28" w:line="240" w:lineRule="auto"/>
        <w:jc w:val="both"/>
      </w:pPr>
      <w:r w:rsidRPr="00AE29B2">
        <w:rPr>
          <w:rStyle w:val="footnotemark"/>
          <w:szCs w:val="20"/>
        </w:rPr>
        <w:footnoteRef/>
      </w:r>
      <w:r w:rsidRPr="00AE29B2">
        <w:rPr>
          <w:sz w:val="20"/>
          <w:szCs w:val="20"/>
        </w:rPr>
        <w:t xml:space="preserve"> RÁZKOVÁ, Renata. </w:t>
      </w:r>
      <w:r w:rsidRPr="00AE29B2">
        <w:rPr>
          <w:i/>
          <w:sz w:val="20"/>
          <w:szCs w:val="20"/>
        </w:rPr>
        <w:t>Dějiny právní filozofie</w:t>
      </w:r>
      <w:r w:rsidRPr="00AE29B2">
        <w:rPr>
          <w:sz w:val="20"/>
          <w:szCs w:val="20"/>
        </w:rPr>
        <w:t>. 2. vyd. Brn</w:t>
      </w:r>
      <w:r>
        <w:rPr>
          <w:sz w:val="20"/>
          <w:szCs w:val="20"/>
        </w:rPr>
        <w:t xml:space="preserve">o: Masarykova univerzita, 1998, </w:t>
      </w:r>
      <w:r w:rsidRPr="00AE29B2">
        <w:rPr>
          <w:sz w:val="20"/>
          <w:szCs w:val="20"/>
        </w:rPr>
        <w:t xml:space="preserve">s. 13. </w:t>
      </w:r>
    </w:p>
  </w:footnote>
  <w:footnote w:id="149">
    <w:p w:rsidR="009D1F29" w:rsidRDefault="009D1F29" w:rsidP="00AE29B2">
      <w:pPr>
        <w:pStyle w:val="footnotedescription"/>
        <w:spacing w:after="25" w:line="240" w:lineRule="auto"/>
        <w:jc w:val="both"/>
      </w:pPr>
      <w:r w:rsidRPr="00AE29B2">
        <w:rPr>
          <w:rStyle w:val="footnotemark"/>
          <w:szCs w:val="20"/>
        </w:rPr>
        <w:footnoteRef/>
      </w:r>
      <w:r w:rsidRPr="00AE29B2">
        <w:rPr>
          <w:sz w:val="20"/>
          <w:szCs w:val="20"/>
        </w:rPr>
        <w:t xml:space="preserve"> HARVÁNEK, Jaromír a kol. </w:t>
      </w:r>
      <w:r w:rsidRPr="00AE29B2">
        <w:rPr>
          <w:i/>
          <w:sz w:val="20"/>
          <w:szCs w:val="20"/>
        </w:rPr>
        <w:t>Teorie práva.</w:t>
      </w:r>
      <w:r w:rsidRPr="00AE29B2">
        <w:rPr>
          <w:sz w:val="20"/>
          <w:szCs w:val="20"/>
        </w:rPr>
        <w:t xml:space="preserve"> Plzeň: Aleš Čeněk, 2008, s. 148. </w:t>
      </w:r>
    </w:p>
  </w:footnote>
  <w:footnote w:id="150">
    <w:p w:rsidR="009D1F29" w:rsidRDefault="009D1F29" w:rsidP="00AE29B2">
      <w:pPr>
        <w:pStyle w:val="footnotedescription"/>
        <w:spacing w:after="0" w:line="240" w:lineRule="auto"/>
        <w:jc w:val="both"/>
      </w:pPr>
      <w:r w:rsidRPr="00AE29B2">
        <w:rPr>
          <w:rStyle w:val="footnotemark"/>
          <w:szCs w:val="20"/>
        </w:rPr>
        <w:footnoteRef/>
      </w:r>
      <w:r w:rsidRPr="00AE29B2">
        <w:rPr>
          <w:sz w:val="20"/>
          <w:szCs w:val="20"/>
        </w:rPr>
        <w:t xml:space="preserve"> MACHALOVÁ, Tatiana. </w:t>
      </w:r>
      <w:r w:rsidRPr="00AE29B2">
        <w:rPr>
          <w:i/>
          <w:sz w:val="20"/>
          <w:szCs w:val="20"/>
        </w:rPr>
        <w:t>Úvod do právní filozofie (Základní pojmy)</w:t>
      </w:r>
      <w:r w:rsidRPr="00AE29B2">
        <w:rPr>
          <w:sz w:val="20"/>
          <w:szCs w:val="20"/>
        </w:rPr>
        <w:t xml:space="preserve"> 1. díl. Brno: Masarykova univerzita, 2001, s. 58.</w:t>
      </w:r>
      <w:r>
        <w:rPr>
          <w:rFonts w:ascii="Book Antiqua" w:hAnsi="Book Antiqua" w:cs="Book Antiqua"/>
        </w:rPr>
        <w:t xml:space="preserve"> </w:t>
      </w:r>
    </w:p>
  </w:footnote>
  <w:footnote w:id="151">
    <w:p w:rsidR="009D1F29" w:rsidRDefault="009D1F29" w:rsidP="000E3663">
      <w:pPr>
        <w:pStyle w:val="footnotedescription"/>
        <w:spacing w:after="0" w:line="240" w:lineRule="auto"/>
        <w:jc w:val="both"/>
      </w:pPr>
      <w:r w:rsidRPr="000E3663">
        <w:rPr>
          <w:rStyle w:val="footnotemark"/>
          <w:szCs w:val="20"/>
        </w:rPr>
        <w:footnoteRef/>
      </w:r>
      <w:r w:rsidRPr="000E3663">
        <w:rPr>
          <w:sz w:val="20"/>
          <w:szCs w:val="20"/>
        </w:rPr>
        <w:t xml:space="preserve"> MAZANEC, Michal. Zánik bývalého Nevyššího správního soudu ve světle dokumentů Státního ústředního archivu. In </w:t>
      </w:r>
      <w:r w:rsidRPr="000E3663">
        <w:rPr>
          <w:i/>
          <w:sz w:val="20"/>
          <w:szCs w:val="20"/>
        </w:rPr>
        <w:t>Pocta doc. JUDr. Vladimíru Mikule k 65. narozeninám</w:t>
      </w:r>
      <w:r w:rsidRPr="000E3663">
        <w:rPr>
          <w:sz w:val="20"/>
          <w:szCs w:val="20"/>
        </w:rPr>
        <w:t xml:space="preserve">. Praha: ASPI, 2002, s. 159 a násl. </w:t>
      </w:r>
    </w:p>
  </w:footnote>
  <w:footnote w:id="152">
    <w:p w:rsidR="009D1F29" w:rsidRDefault="009D1F29" w:rsidP="000E3663">
      <w:pPr>
        <w:pStyle w:val="footnotedescription"/>
        <w:spacing w:after="0" w:line="240" w:lineRule="auto"/>
        <w:ind w:right="10"/>
        <w:jc w:val="both"/>
      </w:pPr>
      <w:r w:rsidRPr="000E3663">
        <w:rPr>
          <w:rStyle w:val="footnotemark"/>
          <w:szCs w:val="20"/>
        </w:rPr>
        <w:footnoteRef/>
      </w:r>
      <w:r w:rsidRPr="000E3663">
        <w:rPr>
          <w:sz w:val="20"/>
          <w:szCs w:val="20"/>
        </w:rPr>
        <w:t xml:space="preserve"> </w:t>
      </w:r>
      <w:r w:rsidRPr="000E3663">
        <w:rPr>
          <w:i/>
          <w:sz w:val="20"/>
          <w:szCs w:val="20"/>
        </w:rPr>
        <w:t>Sbírka nálezů NSS ve věcech administrativních. Svazek III (Nálezy z roku 1921).</w:t>
      </w:r>
      <w:r w:rsidRPr="000E3663">
        <w:rPr>
          <w:sz w:val="20"/>
          <w:szCs w:val="20"/>
        </w:rPr>
        <w:t xml:space="preserve"> Praha: Právnické vydavatelství, 1922, s. 228. </w:t>
      </w:r>
      <w:r w:rsidRPr="000E3663">
        <w:rPr>
          <w:i/>
          <w:sz w:val="20"/>
          <w:szCs w:val="20"/>
        </w:rPr>
        <w:t>Sbírka nálezů NSS ve věcech administrativních. Svazek VIII (Nálezy z roku 1926).</w:t>
      </w:r>
      <w:r w:rsidRPr="000E3663">
        <w:rPr>
          <w:sz w:val="20"/>
          <w:szCs w:val="20"/>
        </w:rPr>
        <w:t xml:space="preserve"> Praha: Právnické vydavatelství, 1927, s. 145. Nález NSS ČSR ze dne 20. května 1935, sp. zn. 15.754/35. </w:t>
      </w:r>
    </w:p>
  </w:footnote>
  <w:footnote w:id="153">
    <w:p w:rsidR="009D1F29" w:rsidRPr="000E3663" w:rsidRDefault="009D1F29" w:rsidP="000E3663">
      <w:pPr>
        <w:pStyle w:val="footnotedescription"/>
        <w:spacing w:after="0" w:line="240" w:lineRule="auto"/>
        <w:jc w:val="both"/>
        <w:rPr>
          <w:sz w:val="20"/>
          <w:szCs w:val="20"/>
        </w:rPr>
      </w:pPr>
      <w:r w:rsidRPr="000E3663">
        <w:rPr>
          <w:rStyle w:val="footnotemark"/>
          <w:szCs w:val="20"/>
        </w:rPr>
        <w:footnoteRef/>
      </w:r>
      <w:r w:rsidRPr="000E3663">
        <w:rPr>
          <w:sz w:val="20"/>
          <w:szCs w:val="20"/>
        </w:rPr>
        <w:t xml:space="preserve"> PAVLÍČEK, Václav, HOFMANNOVÁ, Helena a kol. </w:t>
      </w:r>
      <w:r w:rsidRPr="000E3663">
        <w:rPr>
          <w:i/>
          <w:sz w:val="20"/>
          <w:szCs w:val="20"/>
        </w:rPr>
        <w:t>Občanská a lidská práva v současné době</w:t>
      </w:r>
      <w:r w:rsidRPr="000E3663">
        <w:rPr>
          <w:sz w:val="20"/>
          <w:szCs w:val="20"/>
        </w:rPr>
        <w:t xml:space="preserve">.  </w:t>
      </w:r>
    </w:p>
    <w:p w:rsidR="009D1F29" w:rsidRDefault="009D1F29" w:rsidP="000E3663">
      <w:pPr>
        <w:pStyle w:val="footnotedescription"/>
        <w:spacing w:after="0" w:line="240" w:lineRule="auto"/>
        <w:jc w:val="both"/>
      </w:pPr>
      <w:r w:rsidRPr="000E3663">
        <w:rPr>
          <w:sz w:val="20"/>
          <w:szCs w:val="20"/>
        </w:rPr>
        <w:t>Praha: Auditorium, 2014, s. 41.</w:t>
      </w:r>
      <w:r>
        <w:rPr>
          <w:rFonts w:ascii="Book Antiqua" w:hAnsi="Book Antiqua" w:cs="Book Antiqua"/>
        </w:rPr>
        <w:t xml:space="preserve"> </w:t>
      </w:r>
    </w:p>
  </w:footnote>
  <w:footnote w:id="154">
    <w:p w:rsidR="009D1F29" w:rsidRDefault="009D1F29" w:rsidP="00BB0782">
      <w:pPr>
        <w:pStyle w:val="footnotedescription"/>
        <w:spacing w:after="12" w:line="240" w:lineRule="auto"/>
        <w:jc w:val="both"/>
      </w:pPr>
      <w:r w:rsidRPr="00BB0782">
        <w:rPr>
          <w:rStyle w:val="footnotemark"/>
          <w:szCs w:val="20"/>
        </w:rPr>
        <w:footnoteRef/>
      </w:r>
      <w:r w:rsidRPr="00BB0782">
        <w:rPr>
          <w:sz w:val="20"/>
          <w:szCs w:val="20"/>
        </w:rPr>
        <w:t xml:space="preserve"> KUBŮ, Lubomír, HUNGR, Pavel, OSINA, Petr. </w:t>
      </w:r>
      <w:r w:rsidRPr="00BB0782">
        <w:rPr>
          <w:i/>
          <w:sz w:val="20"/>
          <w:szCs w:val="20"/>
        </w:rPr>
        <w:t>Teorie práva</w:t>
      </w:r>
      <w:r w:rsidRPr="00BB0782">
        <w:rPr>
          <w:sz w:val="20"/>
          <w:szCs w:val="20"/>
        </w:rPr>
        <w:t>. Praha: Linde, 2007, s. 215.</w:t>
      </w:r>
      <w:r w:rsidRPr="00BB0782">
        <w:rPr>
          <w:rFonts w:ascii="Book Antiqua" w:hAnsi="Book Antiqua" w:cs="Book Antiqua"/>
          <w:sz w:val="20"/>
          <w:szCs w:val="20"/>
        </w:rPr>
        <w:t xml:space="preserve"> </w:t>
      </w:r>
    </w:p>
  </w:footnote>
  <w:footnote w:id="155">
    <w:p w:rsidR="009D1F29" w:rsidRPr="00BB0782" w:rsidRDefault="009D1F29" w:rsidP="00BB0782">
      <w:pPr>
        <w:pStyle w:val="footnotedescription"/>
        <w:spacing w:after="165" w:line="240" w:lineRule="auto"/>
        <w:jc w:val="both"/>
        <w:rPr>
          <w:sz w:val="20"/>
          <w:szCs w:val="20"/>
        </w:rPr>
      </w:pPr>
      <w:r w:rsidRPr="00BB0782">
        <w:rPr>
          <w:rStyle w:val="footnotemark"/>
          <w:szCs w:val="20"/>
        </w:rPr>
        <w:footnoteRef/>
      </w:r>
      <w:r w:rsidRPr="00BB0782">
        <w:rPr>
          <w:sz w:val="20"/>
          <w:szCs w:val="20"/>
        </w:rPr>
        <w:t xml:space="preserve"> Rozsudek NS ČR ze dne 16. října 2008, sp. zn. 22 Cdo 3202/2008. </w:t>
      </w:r>
    </w:p>
    <w:p w:rsidR="009D1F29" w:rsidRDefault="009D1F29">
      <w:pPr>
        <w:pStyle w:val="footnotedescription"/>
        <w:spacing w:after="0"/>
      </w:pPr>
      <w:r>
        <w:rPr>
          <w:rFonts w:ascii="Book Antiqua" w:hAnsi="Book Antiqua" w:cs="Book Antiqua"/>
        </w:rPr>
        <w:t xml:space="preserve"> </w:t>
      </w:r>
    </w:p>
  </w:footnote>
  <w:footnote w:id="156">
    <w:p w:rsidR="009D1F29" w:rsidRDefault="009D1F29" w:rsidP="002D0D7B">
      <w:pPr>
        <w:pStyle w:val="footnotedescription"/>
        <w:spacing w:after="18" w:line="240" w:lineRule="auto"/>
        <w:jc w:val="both"/>
      </w:pPr>
      <w:r w:rsidRPr="002D0D7B">
        <w:rPr>
          <w:rStyle w:val="footnotemark"/>
          <w:szCs w:val="20"/>
        </w:rPr>
        <w:footnoteRef/>
      </w:r>
      <w:r w:rsidRPr="002D0D7B">
        <w:rPr>
          <w:sz w:val="20"/>
          <w:szCs w:val="20"/>
        </w:rPr>
        <w:t xml:space="preserve"> KNAPP: </w:t>
      </w:r>
      <w:r w:rsidRPr="002D0D7B">
        <w:rPr>
          <w:i/>
          <w:sz w:val="20"/>
          <w:szCs w:val="20"/>
        </w:rPr>
        <w:t>Vlastnictví v lidové...</w:t>
      </w:r>
      <w:r w:rsidRPr="002D0D7B">
        <w:rPr>
          <w:sz w:val="20"/>
          <w:szCs w:val="20"/>
        </w:rPr>
        <w:t xml:space="preserve">, s. 411. </w:t>
      </w:r>
    </w:p>
  </w:footnote>
  <w:footnote w:id="157">
    <w:p w:rsidR="009D1F29" w:rsidRDefault="009D1F29" w:rsidP="002D0D7B">
      <w:pPr>
        <w:pStyle w:val="footnotedescription"/>
        <w:spacing w:after="0" w:line="240" w:lineRule="auto"/>
        <w:ind w:right="151"/>
        <w:jc w:val="both"/>
      </w:pPr>
      <w:r w:rsidRPr="002D0D7B">
        <w:rPr>
          <w:rStyle w:val="footnotemark"/>
          <w:szCs w:val="20"/>
        </w:rPr>
        <w:footnoteRef/>
      </w:r>
      <w:r w:rsidRPr="002D0D7B">
        <w:rPr>
          <w:sz w:val="20"/>
          <w:szCs w:val="20"/>
        </w:rPr>
        <w:t xml:space="preserve"> SPÁČIL, Jiří. </w:t>
      </w:r>
      <w:r w:rsidRPr="002D0D7B">
        <w:rPr>
          <w:i/>
          <w:sz w:val="20"/>
          <w:szCs w:val="20"/>
        </w:rPr>
        <w:t>Ochrana vlastnictví a držby v občanském zákoníku</w:t>
      </w:r>
      <w:r w:rsidRPr="002D0D7B">
        <w:rPr>
          <w:sz w:val="20"/>
          <w:szCs w:val="20"/>
        </w:rPr>
        <w:t xml:space="preserve">. 2. vyd. Praha: C.H. Beck, 2005, s. 126. </w:t>
      </w:r>
    </w:p>
  </w:footnote>
  <w:footnote w:id="158">
    <w:p w:rsidR="009D1F29" w:rsidRDefault="009D1F29">
      <w:pPr>
        <w:pStyle w:val="FootnoteText"/>
      </w:pPr>
      <w:r>
        <w:rPr>
          <w:rStyle w:val="FootnoteReference"/>
        </w:rPr>
        <w:footnoteRef/>
      </w:r>
      <w:r>
        <w:t xml:space="preserve"> </w:t>
      </w:r>
      <w:r w:rsidRPr="002D0D7B">
        <w:t xml:space="preserve">PLANK, KNAPP: </w:t>
      </w:r>
      <w:r w:rsidRPr="002D0D7B">
        <w:rPr>
          <w:i/>
        </w:rPr>
        <w:t>Učebnice československého...</w:t>
      </w:r>
      <w:r w:rsidRPr="002D0D7B">
        <w:t>, s. 13.</w:t>
      </w:r>
    </w:p>
  </w:footnote>
  <w:footnote w:id="159">
    <w:p w:rsidR="009D1F29" w:rsidRDefault="009D1F29">
      <w:pPr>
        <w:pStyle w:val="footnotedescription"/>
      </w:pPr>
      <w:r w:rsidRPr="002D0D7B">
        <w:rPr>
          <w:rStyle w:val="footnotemark"/>
          <w:szCs w:val="20"/>
        </w:rPr>
        <w:footnoteRef/>
      </w:r>
      <w:r w:rsidRPr="002D0D7B">
        <w:rPr>
          <w:sz w:val="20"/>
          <w:szCs w:val="20"/>
        </w:rPr>
        <w:t xml:space="preserve"> HENDRYCH, Dušan. </w:t>
      </w:r>
      <w:r w:rsidRPr="002D0D7B">
        <w:rPr>
          <w:i/>
          <w:sz w:val="20"/>
          <w:szCs w:val="20"/>
        </w:rPr>
        <w:t>Právnický slovník.</w:t>
      </w:r>
      <w:r w:rsidRPr="002D0D7B">
        <w:rPr>
          <w:sz w:val="20"/>
          <w:szCs w:val="20"/>
        </w:rPr>
        <w:t xml:space="preserve"> 3. pods. rozš. vyd. Praha: C.H. Beck, 2009, s. 88. </w:t>
      </w:r>
    </w:p>
  </w:footnote>
  <w:footnote w:id="160">
    <w:p w:rsidR="009D1F29" w:rsidRDefault="009D1F29">
      <w:pPr>
        <w:pStyle w:val="footnotedescription"/>
        <w:spacing w:after="17" w:line="243" w:lineRule="auto"/>
        <w:jc w:val="both"/>
      </w:pPr>
      <w:r w:rsidRPr="002D0D7B">
        <w:rPr>
          <w:rStyle w:val="footnotemark"/>
          <w:szCs w:val="20"/>
        </w:rPr>
        <w:footnoteRef/>
      </w:r>
      <w:r w:rsidRPr="002D0D7B">
        <w:rPr>
          <w:sz w:val="20"/>
          <w:szCs w:val="20"/>
        </w:rPr>
        <w:t xml:space="preserve"> URFUS, Valentin. </w:t>
      </w:r>
      <w:r w:rsidRPr="002D0D7B">
        <w:rPr>
          <w:i/>
          <w:sz w:val="20"/>
          <w:szCs w:val="20"/>
        </w:rPr>
        <w:t>Obecné dějiny státu a práva. Římské právo soukromé</w:t>
      </w:r>
      <w:r w:rsidRPr="002D0D7B">
        <w:rPr>
          <w:sz w:val="20"/>
          <w:szCs w:val="20"/>
        </w:rPr>
        <w:t>. Brn</w:t>
      </w:r>
      <w:r>
        <w:rPr>
          <w:sz w:val="20"/>
          <w:szCs w:val="20"/>
        </w:rPr>
        <w:t xml:space="preserve">o: Univerzita Jana Evangelisty </w:t>
      </w:r>
      <w:r w:rsidRPr="002D0D7B">
        <w:rPr>
          <w:sz w:val="20"/>
          <w:szCs w:val="20"/>
        </w:rPr>
        <w:t>Purkyně, 1979, s. 37.</w:t>
      </w:r>
      <w:r>
        <w:rPr>
          <w:rFonts w:ascii="Calibri" w:hAnsi="Calibri" w:cs="Calibri"/>
          <w:sz w:val="21"/>
        </w:rPr>
        <w:t xml:space="preserve"> </w:t>
      </w:r>
    </w:p>
  </w:footnote>
  <w:footnote w:id="161">
    <w:p w:rsidR="009D1F29" w:rsidRDefault="009D1F29" w:rsidP="00FF461E">
      <w:pPr>
        <w:pStyle w:val="footnotedescription"/>
        <w:spacing w:after="0" w:line="240" w:lineRule="auto"/>
        <w:jc w:val="both"/>
      </w:pPr>
      <w:r w:rsidRPr="00D721E3">
        <w:rPr>
          <w:rStyle w:val="footnotemark"/>
          <w:szCs w:val="20"/>
        </w:rPr>
        <w:footnoteRef/>
      </w:r>
      <w:r w:rsidRPr="00D721E3">
        <w:rPr>
          <w:sz w:val="20"/>
          <w:szCs w:val="20"/>
        </w:rPr>
        <w:t xml:space="preserve"> ROUČEK, František, SEDLÁČEK, Jaromír</w:t>
      </w:r>
      <w:r w:rsidRPr="00D721E3">
        <w:rPr>
          <w:i/>
          <w:sz w:val="20"/>
          <w:szCs w:val="20"/>
        </w:rPr>
        <w:t>. Komentář k československému obecnému zákoníku občanskému a občanské právo platné na Slovensku a v Podkarpatské Rusi</w:t>
      </w:r>
      <w:r w:rsidRPr="00D721E3">
        <w:rPr>
          <w:sz w:val="20"/>
          <w:szCs w:val="20"/>
        </w:rPr>
        <w:t xml:space="preserve">. </w:t>
      </w:r>
      <w:r w:rsidRPr="00D721E3">
        <w:rPr>
          <w:i/>
          <w:sz w:val="20"/>
          <w:szCs w:val="20"/>
        </w:rPr>
        <w:t>Díl VI</w:t>
      </w:r>
      <w:r w:rsidRPr="00D721E3">
        <w:rPr>
          <w:sz w:val="20"/>
          <w:szCs w:val="20"/>
        </w:rPr>
        <w:t xml:space="preserve">. Praha: V. Linhart, 1937, s. 429. </w:t>
      </w:r>
    </w:p>
  </w:footnote>
  <w:footnote w:id="162">
    <w:p w:rsidR="009D1F29" w:rsidRDefault="009D1F29" w:rsidP="00FF461E">
      <w:pPr>
        <w:pStyle w:val="footnotedescription"/>
        <w:spacing w:after="0" w:line="240" w:lineRule="auto"/>
        <w:jc w:val="both"/>
      </w:pPr>
      <w:r w:rsidRPr="00D721E3">
        <w:rPr>
          <w:rStyle w:val="footnotemark"/>
          <w:szCs w:val="20"/>
        </w:rPr>
        <w:footnoteRef/>
      </w:r>
      <w:r w:rsidRPr="00D721E3">
        <w:rPr>
          <w:sz w:val="20"/>
          <w:szCs w:val="20"/>
        </w:rPr>
        <w:t xml:space="preserve"> KOZIOL, Helmut</w:t>
      </w:r>
      <w:r w:rsidRPr="00D721E3">
        <w:rPr>
          <w:i/>
          <w:sz w:val="20"/>
          <w:szCs w:val="20"/>
        </w:rPr>
        <w:t>. Grundriss des bürgerlichen Rechts. Band I, Allgemeiner Teil, Sachenrecht, Familienrecht.</w:t>
      </w:r>
      <w:r w:rsidRPr="00D6669F">
        <w:rPr>
          <w:iCs/>
          <w:sz w:val="20"/>
          <w:szCs w:val="20"/>
          <w:lang w:val="de-AT"/>
        </w:rPr>
        <w:t xml:space="preserve"> </w:t>
      </w:r>
      <w:r>
        <w:rPr>
          <w:iCs/>
          <w:sz w:val="20"/>
          <w:szCs w:val="20"/>
          <w:lang w:val="de-AT"/>
        </w:rPr>
        <w:t xml:space="preserve">12. Aufl. </w:t>
      </w:r>
      <w:r w:rsidRPr="00EB40FC">
        <w:rPr>
          <w:sz w:val="20"/>
          <w:szCs w:val="20"/>
          <w:lang w:val="de-AT"/>
        </w:rPr>
        <w:t>Wien</w:t>
      </w:r>
      <w:r w:rsidRPr="00EB40FC">
        <w:rPr>
          <w:sz w:val="20"/>
          <w:szCs w:val="20"/>
        </w:rPr>
        <w:t>:</w:t>
      </w:r>
      <w:r w:rsidRPr="00EB40FC">
        <w:rPr>
          <w:sz w:val="20"/>
          <w:szCs w:val="20"/>
          <w:lang w:val="de-AT"/>
        </w:rPr>
        <w:t xml:space="preserve"> Manzsche</w:t>
      </w:r>
      <w:r w:rsidRPr="00EB40FC">
        <w:rPr>
          <w:sz w:val="20"/>
          <w:szCs w:val="20"/>
          <w:lang w:val="de-LU"/>
        </w:rPr>
        <w:t xml:space="preserve"> Verlags</w:t>
      </w:r>
      <w:r w:rsidRPr="00EB40FC">
        <w:rPr>
          <w:sz w:val="20"/>
          <w:szCs w:val="20"/>
          <w:lang w:val="de-DE"/>
        </w:rPr>
        <w:t xml:space="preserve"> und</w:t>
      </w:r>
      <w:r w:rsidRPr="00EB40FC">
        <w:rPr>
          <w:sz w:val="20"/>
          <w:szCs w:val="20"/>
          <w:lang w:val="de-LU"/>
        </w:rPr>
        <w:t xml:space="preserve"> Universitätsbuchhandlung</w:t>
      </w:r>
      <w:r>
        <w:rPr>
          <w:sz w:val="20"/>
          <w:szCs w:val="20"/>
        </w:rPr>
        <w:t xml:space="preserve">, 2002, </w:t>
      </w:r>
      <w:r w:rsidRPr="00EB40FC">
        <w:rPr>
          <w:sz w:val="20"/>
          <w:szCs w:val="20"/>
        </w:rPr>
        <w:t>s. 301</w:t>
      </w:r>
      <w:r>
        <w:rPr>
          <w:sz w:val="20"/>
          <w:szCs w:val="20"/>
        </w:rPr>
        <w:t>.</w:t>
      </w:r>
    </w:p>
  </w:footnote>
  <w:footnote w:id="163">
    <w:p w:rsidR="009D1F29" w:rsidRDefault="009D1F29" w:rsidP="00FF461E">
      <w:pPr>
        <w:pStyle w:val="FootnoteText"/>
        <w:spacing w:line="240" w:lineRule="auto"/>
      </w:pPr>
      <w:r>
        <w:rPr>
          <w:rStyle w:val="FootnoteReference"/>
        </w:rPr>
        <w:footnoteRef/>
      </w:r>
      <w:r>
        <w:t xml:space="preserve"> </w:t>
      </w:r>
      <w:r w:rsidRPr="00EB40FC">
        <w:t xml:space="preserve">SPÁČIL, Jiří. Právnická osoba, stát a vydržení. </w:t>
      </w:r>
      <w:r w:rsidRPr="00EB40FC">
        <w:rPr>
          <w:i/>
        </w:rPr>
        <w:t>Právo a podnikání</w:t>
      </w:r>
      <w:r w:rsidRPr="00EB40FC">
        <w:t>, 2004, roč. 13, č. 5, s. 2-7.</w:t>
      </w:r>
    </w:p>
  </w:footnote>
  <w:footnote w:id="164">
    <w:p w:rsidR="009D1F29" w:rsidRDefault="009D1F29" w:rsidP="00FF461E">
      <w:pPr>
        <w:pStyle w:val="FootnoteText"/>
        <w:spacing w:line="240" w:lineRule="auto"/>
      </w:pPr>
      <w:r w:rsidRPr="00D721E3">
        <w:rPr>
          <w:rStyle w:val="FootnoteReference"/>
        </w:rPr>
        <w:footnoteRef/>
      </w:r>
      <w:r w:rsidRPr="00D721E3">
        <w:t xml:space="preserve"> DVOŘÁK, Jan., MALÝ, Karel a kol. </w:t>
      </w:r>
      <w:r w:rsidRPr="00D721E3">
        <w:rPr>
          <w:i/>
        </w:rPr>
        <w:t>200 let Všeobecného občanského zákoníku</w:t>
      </w:r>
      <w:r w:rsidRPr="00D721E3">
        <w:t>. Praha: Wolters Kluwer, 2011, s. 542</w:t>
      </w:r>
    </w:p>
  </w:footnote>
  <w:footnote w:id="165">
    <w:p w:rsidR="009D1F29" w:rsidRDefault="009D1F29" w:rsidP="00FF461E">
      <w:pPr>
        <w:pStyle w:val="FootnoteText"/>
        <w:spacing w:line="240" w:lineRule="auto"/>
      </w:pPr>
      <w:r>
        <w:rPr>
          <w:rStyle w:val="FootnoteReference"/>
        </w:rPr>
        <w:footnoteRef/>
      </w:r>
      <w:r>
        <w:t xml:space="preserve"> </w:t>
      </w:r>
      <w:r w:rsidRPr="00EB40FC">
        <w:t>Rozhodnutí NS ČSR ze dne 21. ledna 1919, sp zn. Rv I 16/18.</w:t>
      </w:r>
    </w:p>
  </w:footnote>
  <w:footnote w:id="166">
    <w:p w:rsidR="009D1F29" w:rsidRDefault="009D1F29" w:rsidP="00D6669F">
      <w:pPr>
        <w:pStyle w:val="footnotedescription"/>
        <w:spacing w:after="29" w:line="240" w:lineRule="auto"/>
        <w:jc w:val="both"/>
      </w:pPr>
      <w:r w:rsidRPr="00D6669F">
        <w:rPr>
          <w:rStyle w:val="footnotemark"/>
          <w:szCs w:val="20"/>
        </w:rPr>
        <w:footnoteRef/>
      </w:r>
      <w:r w:rsidRPr="00D6669F">
        <w:rPr>
          <w:sz w:val="20"/>
          <w:szCs w:val="20"/>
        </w:rPr>
        <w:t xml:space="preserve"> DVOŘÁK, MALÝ: </w:t>
      </w:r>
      <w:r w:rsidRPr="00D6669F">
        <w:rPr>
          <w:i/>
          <w:sz w:val="20"/>
          <w:szCs w:val="20"/>
        </w:rPr>
        <w:t>200 let…</w:t>
      </w:r>
      <w:r w:rsidRPr="00D6669F">
        <w:rPr>
          <w:sz w:val="20"/>
          <w:szCs w:val="20"/>
        </w:rPr>
        <w:t xml:space="preserve">, s. 544. </w:t>
      </w:r>
    </w:p>
  </w:footnote>
  <w:footnote w:id="167">
    <w:p w:rsidR="009D1F29" w:rsidRDefault="009D1F29" w:rsidP="00D6669F">
      <w:pPr>
        <w:pStyle w:val="footnotedescription"/>
        <w:spacing w:after="0" w:line="240" w:lineRule="auto"/>
        <w:jc w:val="both"/>
      </w:pPr>
      <w:r w:rsidRPr="00D6669F">
        <w:rPr>
          <w:rStyle w:val="footnotemark"/>
          <w:szCs w:val="20"/>
        </w:rPr>
        <w:footnoteRef/>
      </w:r>
      <w:r w:rsidRPr="00D6669F">
        <w:rPr>
          <w:sz w:val="20"/>
          <w:szCs w:val="20"/>
        </w:rPr>
        <w:t xml:space="preserve"> BĚLOVSKÝ, Petr. Vydržení v římském právu a komparativním pohledu</w:t>
      </w:r>
      <w:r w:rsidRPr="00D6669F">
        <w:rPr>
          <w:i/>
          <w:sz w:val="20"/>
          <w:szCs w:val="20"/>
        </w:rPr>
        <w:t>. Ad Notam</w:t>
      </w:r>
      <w:r w:rsidRPr="00D6669F">
        <w:rPr>
          <w:sz w:val="20"/>
          <w:szCs w:val="20"/>
        </w:rPr>
        <w:t xml:space="preserve">, 2007, roč. 13, č. 4, </w:t>
      </w:r>
      <w:r>
        <w:rPr>
          <w:sz w:val="20"/>
          <w:szCs w:val="20"/>
        </w:rPr>
        <w:br/>
      </w:r>
      <w:r w:rsidRPr="00D6669F">
        <w:rPr>
          <w:sz w:val="20"/>
          <w:szCs w:val="20"/>
        </w:rPr>
        <w:t>s. 110</w:t>
      </w:r>
      <w:r>
        <w:rPr>
          <w:sz w:val="20"/>
          <w:szCs w:val="20"/>
        </w:rPr>
        <w:t>-</w:t>
      </w:r>
      <w:r w:rsidRPr="00D6669F">
        <w:rPr>
          <w:sz w:val="20"/>
          <w:szCs w:val="20"/>
        </w:rPr>
        <w:t>118.</w:t>
      </w:r>
      <w:r w:rsidRPr="00D6669F">
        <w:rPr>
          <w:rFonts w:ascii="Calibri" w:hAnsi="Calibri" w:cs="Calibri"/>
          <w:sz w:val="20"/>
          <w:szCs w:val="20"/>
        </w:rPr>
        <w:t xml:space="preserve">  </w:t>
      </w:r>
    </w:p>
  </w:footnote>
  <w:footnote w:id="168">
    <w:p w:rsidR="009D1F29" w:rsidRDefault="009D1F29" w:rsidP="00D6669F">
      <w:pPr>
        <w:pStyle w:val="footnotedescription"/>
        <w:spacing w:after="3" w:line="240" w:lineRule="auto"/>
        <w:jc w:val="both"/>
      </w:pPr>
      <w:r w:rsidRPr="00D6669F">
        <w:rPr>
          <w:rStyle w:val="footnotemark"/>
          <w:szCs w:val="20"/>
        </w:rPr>
        <w:footnoteRef/>
      </w:r>
      <w:r w:rsidRPr="00D6669F">
        <w:rPr>
          <w:sz w:val="20"/>
          <w:szCs w:val="20"/>
        </w:rPr>
        <w:t xml:space="preserve"> SCHELLEOVÁ, Ilona, SCHELLE, Karel. Vývoj kodifikace občanského práva.</w:t>
      </w:r>
      <w:r w:rsidRPr="00D6669F">
        <w:rPr>
          <w:i/>
          <w:sz w:val="20"/>
          <w:szCs w:val="20"/>
        </w:rPr>
        <w:t xml:space="preserve"> </w:t>
      </w:r>
      <w:r w:rsidRPr="00D6669F">
        <w:rPr>
          <w:sz w:val="20"/>
          <w:szCs w:val="20"/>
        </w:rPr>
        <w:t xml:space="preserve">In </w:t>
      </w:r>
      <w:r w:rsidRPr="00D6669F">
        <w:rPr>
          <w:i/>
          <w:sz w:val="20"/>
          <w:szCs w:val="20"/>
        </w:rPr>
        <w:t>Vývoj právních kodifikací</w:t>
      </w:r>
      <w:r w:rsidRPr="00D6669F">
        <w:rPr>
          <w:sz w:val="20"/>
          <w:szCs w:val="20"/>
        </w:rPr>
        <w:t>. Brno: Masarykova univerzita, 2004, s. 21.</w:t>
      </w:r>
      <w:r>
        <w:t xml:space="preserve"> </w:t>
      </w:r>
    </w:p>
  </w:footnote>
  <w:footnote w:id="169">
    <w:p w:rsidR="009D1F29" w:rsidRDefault="009D1F29" w:rsidP="00C87C80">
      <w:pPr>
        <w:pStyle w:val="footnotedescription"/>
        <w:spacing w:after="0" w:line="240" w:lineRule="auto"/>
        <w:jc w:val="both"/>
      </w:pPr>
      <w:r w:rsidRPr="00C87C80">
        <w:rPr>
          <w:rStyle w:val="footnotemark"/>
          <w:szCs w:val="20"/>
        </w:rPr>
        <w:footnoteRef/>
      </w:r>
      <w:r w:rsidRPr="00C87C80">
        <w:rPr>
          <w:sz w:val="20"/>
          <w:szCs w:val="20"/>
        </w:rPr>
        <w:t xml:space="preserve"> Rozsudek NS ČR ze dne 1. června. 2010, sp. zn. 22 Cdo 41/2009.</w:t>
      </w:r>
      <w:r w:rsidRPr="00C87C80">
        <w:rPr>
          <w:rFonts w:ascii="Calibri" w:hAnsi="Calibri" w:cs="Calibri"/>
          <w:sz w:val="20"/>
          <w:szCs w:val="20"/>
        </w:rPr>
        <w:t xml:space="preserve"> </w:t>
      </w:r>
    </w:p>
  </w:footnote>
  <w:footnote w:id="170">
    <w:p w:rsidR="009D1F29" w:rsidRDefault="009D1F29" w:rsidP="00C87C80">
      <w:pPr>
        <w:pStyle w:val="footnotedescription"/>
        <w:spacing w:after="28" w:line="240" w:lineRule="auto"/>
        <w:jc w:val="both"/>
      </w:pPr>
      <w:r w:rsidRPr="00C87C80">
        <w:rPr>
          <w:rStyle w:val="footnotemark"/>
          <w:szCs w:val="20"/>
        </w:rPr>
        <w:footnoteRef/>
      </w:r>
      <w:r w:rsidRPr="00C87C80">
        <w:rPr>
          <w:sz w:val="20"/>
          <w:szCs w:val="20"/>
        </w:rPr>
        <w:t xml:space="preserve"> ČAPEK, Karel. </w:t>
      </w:r>
      <w:r w:rsidRPr="00C87C80">
        <w:rPr>
          <w:i/>
          <w:sz w:val="20"/>
          <w:szCs w:val="20"/>
        </w:rPr>
        <w:t>Občanský zákoník.</w:t>
      </w:r>
      <w:r w:rsidRPr="00C87C80">
        <w:rPr>
          <w:sz w:val="20"/>
          <w:szCs w:val="20"/>
        </w:rPr>
        <w:t xml:space="preserve"> 3. vyd. Praha: Orbis, 1956, s. 144. </w:t>
      </w:r>
    </w:p>
  </w:footnote>
  <w:footnote w:id="171">
    <w:p w:rsidR="009D1F29" w:rsidRDefault="009D1F29" w:rsidP="00C87C80">
      <w:pPr>
        <w:pStyle w:val="footnotedescription"/>
        <w:spacing w:after="0" w:line="240" w:lineRule="auto"/>
        <w:ind w:right="1714"/>
        <w:jc w:val="both"/>
      </w:pPr>
      <w:r w:rsidRPr="00C87C80">
        <w:rPr>
          <w:rStyle w:val="footnotemark"/>
          <w:szCs w:val="20"/>
        </w:rPr>
        <w:footnoteRef/>
      </w:r>
      <w:r w:rsidRPr="00C87C80">
        <w:rPr>
          <w:sz w:val="20"/>
          <w:szCs w:val="20"/>
        </w:rPr>
        <w:t xml:space="preserve"> </w:t>
      </w:r>
      <w:r w:rsidRPr="00C87C80">
        <w:rPr>
          <w:i/>
          <w:sz w:val="20"/>
          <w:szCs w:val="20"/>
        </w:rPr>
        <w:t>Důvodová zpráva k zákonu č. 141/1950 Sb., občanský zákoník</w:t>
      </w:r>
      <w:r w:rsidRPr="00C87C80">
        <w:rPr>
          <w:sz w:val="20"/>
          <w:szCs w:val="20"/>
        </w:rPr>
        <w:t xml:space="preserve">. Sněmovní tisk 509/01. </w:t>
      </w:r>
    </w:p>
  </w:footnote>
  <w:footnote w:id="172">
    <w:p w:rsidR="009D1F29" w:rsidRDefault="009D1F29">
      <w:pPr>
        <w:pStyle w:val="FootnoteText"/>
      </w:pPr>
      <w:r>
        <w:rPr>
          <w:rStyle w:val="FootnoteReference"/>
        </w:rPr>
        <w:footnoteRef/>
      </w:r>
      <w:r>
        <w:t xml:space="preserve"> </w:t>
      </w:r>
      <w:r w:rsidRPr="00C87C80">
        <w:t>Rozsudek NS ČR ze dne 4. ledna 2007, sp. zn. 22 Cdo 2145/2006.</w:t>
      </w:r>
    </w:p>
  </w:footnote>
  <w:footnote w:id="173">
    <w:p w:rsidR="009D1F29" w:rsidRDefault="009D1F29" w:rsidP="00C87C80">
      <w:pPr>
        <w:pStyle w:val="footnotedescription"/>
        <w:spacing w:after="0" w:line="240" w:lineRule="auto"/>
        <w:ind w:right="1760"/>
        <w:jc w:val="both"/>
      </w:pPr>
      <w:r w:rsidRPr="00C87C80">
        <w:rPr>
          <w:rStyle w:val="footnotemark"/>
          <w:szCs w:val="20"/>
        </w:rPr>
        <w:footnoteRef/>
      </w:r>
      <w:r w:rsidRPr="00C87C80">
        <w:rPr>
          <w:sz w:val="20"/>
          <w:szCs w:val="20"/>
        </w:rPr>
        <w:t xml:space="preserve"> PETR, Bohuslav. </w:t>
      </w:r>
      <w:r w:rsidRPr="00C87C80">
        <w:rPr>
          <w:i/>
          <w:sz w:val="20"/>
          <w:szCs w:val="20"/>
        </w:rPr>
        <w:t>Vydržení v českém právu.</w:t>
      </w:r>
      <w:r w:rsidRPr="00C87C80">
        <w:rPr>
          <w:sz w:val="20"/>
          <w:szCs w:val="20"/>
        </w:rPr>
        <w:t xml:space="preserve"> 2. vyd. Praha: C.H. Beck, 2008, s. 38-39.</w:t>
      </w:r>
      <w:r w:rsidRPr="00C87C80">
        <w:rPr>
          <w:rFonts w:ascii="Calibri" w:hAnsi="Calibri" w:cs="Calibri"/>
          <w:sz w:val="20"/>
          <w:szCs w:val="20"/>
        </w:rPr>
        <w:t xml:space="preserve"> </w:t>
      </w:r>
    </w:p>
  </w:footnote>
  <w:footnote w:id="174">
    <w:p w:rsidR="009D1F29" w:rsidRDefault="009D1F29" w:rsidP="00C87C80">
      <w:pPr>
        <w:pStyle w:val="FootnoteText"/>
        <w:spacing w:line="240" w:lineRule="auto"/>
      </w:pPr>
      <w:r>
        <w:rPr>
          <w:rStyle w:val="FootnoteReference"/>
        </w:rPr>
        <w:footnoteRef/>
      </w:r>
      <w:r>
        <w:t xml:space="preserve"> </w:t>
      </w:r>
      <w:r w:rsidRPr="00C87C80">
        <w:t xml:space="preserve">KRATOCHVÍL: </w:t>
      </w:r>
      <w:r w:rsidRPr="00C87C80">
        <w:rPr>
          <w:i/>
        </w:rPr>
        <w:t>Nové občanské…</w:t>
      </w:r>
      <w:r w:rsidRPr="00C87C80">
        <w:t xml:space="preserve">, s. 165.  </w:t>
      </w:r>
    </w:p>
  </w:footnote>
  <w:footnote w:id="175">
    <w:p w:rsidR="009D1F29" w:rsidRDefault="009D1F29" w:rsidP="00C87C80">
      <w:pPr>
        <w:pStyle w:val="footnotedescription"/>
        <w:spacing w:after="0" w:line="240" w:lineRule="auto"/>
        <w:jc w:val="both"/>
      </w:pPr>
      <w:r w:rsidRPr="00C87C80">
        <w:rPr>
          <w:rStyle w:val="footnotemark"/>
          <w:szCs w:val="20"/>
        </w:rPr>
        <w:footnoteRef/>
      </w:r>
      <w:r w:rsidRPr="00C87C80">
        <w:rPr>
          <w:sz w:val="20"/>
          <w:szCs w:val="20"/>
        </w:rPr>
        <w:t xml:space="preserve"> ŠVESTKA, SPÁČIL, ŠKÁROVÁ, HULMÁK: </w:t>
      </w:r>
      <w:r w:rsidRPr="00C87C80">
        <w:rPr>
          <w:i/>
          <w:sz w:val="20"/>
          <w:szCs w:val="20"/>
        </w:rPr>
        <w:t xml:space="preserve">Občanský zákoník..., </w:t>
      </w:r>
      <w:r w:rsidRPr="00C87C80">
        <w:rPr>
          <w:sz w:val="20"/>
          <w:szCs w:val="20"/>
        </w:rPr>
        <w:t>s. 775</w:t>
      </w:r>
      <w:r w:rsidRPr="00C87C80">
        <w:rPr>
          <w:i/>
          <w:sz w:val="20"/>
          <w:szCs w:val="20"/>
        </w:rPr>
        <w:t xml:space="preserve">. </w:t>
      </w:r>
    </w:p>
  </w:footnote>
  <w:footnote w:id="176">
    <w:p w:rsidR="009D1F29" w:rsidRDefault="009D1F29" w:rsidP="00C87C80">
      <w:pPr>
        <w:pStyle w:val="footnotedescription"/>
        <w:spacing w:after="24" w:line="240" w:lineRule="auto"/>
        <w:jc w:val="both"/>
      </w:pPr>
      <w:r w:rsidRPr="00C87C80">
        <w:rPr>
          <w:rStyle w:val="footnotemark"/>
          <w:szCs w:val="20"/>
        </w:rPr>
        <w:footnoteRef/>
      </w:r>
      <w:r w:rsidRPr="00C87C80">
        <w:rPr>
          <w:sz w:val="20"/>
          <w:szCs w:val="20"/>
        </w:rPr>
        <w:t xml:space="preserve"> SPÁČIL: </w:t>
      </w:r>
      <w:r w:rsidRPr="00C87C80">
        <w:rPr>
          <w:i/>
          <w:sz w:val="20"/>
          <w:szCs w:val="20"/>
        </w:rPr>
        <w:t>Občanský zákoník...</w:t>
      </w:r>
      <w:r w:rsidRPr="00C87C80">
        <w:rPr>
          <w:sz w:val="20"/>
          <w:szCs w:val="20"/>
        </w:rPr>
        <w:t>,</w:t>
      </w:r>
      <w:r w:rsidRPr="00C87C80">
        <w:rPr>
          <w:i/>
          <w:sz w:val="20"/>
          <w:szCs w:val="20"/>
        </w:rPr>
        <w:t xml:space="preserve"> </w:t>
      </w:r>
      <w:r w:rsidRPr="00C87C80">
        <w:rPr>
          <w:sz w:val="20"/>
          <w:szCs w:val="20"/>
        </w:rPr>
        <w:t>s. 315.</w:t>
      </w:r>
      <w:r>
        <w:t xml:space="preserve"> </w:t>
      </w:r>
    </w:p>
  </w:footnote>
  <w:footnote w:id="177">
    <w:p w:rsidR="009D1F29" w:rsidRDefault="009D1F29">
      <w:pPr>
        <w:pStyle w:val="footnotedescription"/>
        <w:spacing w:after="14"/>
      </w:pPr>
      <w:r w:rsidRPr="00C87C80">
        <w:rPr>
          <w:rStyle w:val="footnotemark"/>
          <w:szCs w:val="20"/>
        </w:rPr>
        <w:footnoteRef/>
      </w:r>
      <w:r w:rsidRPr="00C87C80">
        <w:rPr>
          <w:sz w:val="20"/>
          <w:szCs w:val="20"/>
        </w:rPr>
        <w:t xml:space="preserve"> RUŽIČ, Dušan</w:t>
      </w:r>
      <w:r w:rsidRPr="00C87C80">
        <w:rPr>
          <w:i/>
          <w:sz w:val="20"/>
          <w:szCs w:val="20"/>
        </w:rPr>
        <w:t xml:space="preserve">. </w:t>
      </w:r>
      <w:r w:rsidRPr="00C87C80">
        <w:rPr>
          <w:sz w:val="20"/>
          <w:szCs w:val="20"/>
        </w:rPr>
        <w:t xml:space="preserve">Vydržení v českém právu. </w:t>
      </w:r>
      <w:r w:rsidRPr="00C87C80">
        <w:rPr>
          <w:i/>
          <w:sz w:val="20"/>
          <w:szCs w:val="20"/>
        </w:rPr>
        <w:t>Ad Notam,</w:t>
      </w:r>
      <w:r w:rsidRPr="00C87C80">
        <w:rPr>
          <w:sz w:val="20"/>
          <w:szCs w:val="20"/>
        </w:rPr>
        <w:t xml:space="preserve"> 2009,</w:t>
      </w:r>
      <w:r w:rsidRPr="00C87C80">
        <w:rPr>
          <w:i/>
          <w:sz w:val="20"/>
          <w:szCs w:val="20"/>
        </w:rPr>
        <w:t xml:space="preserve"> </w:t>
      </w:r>
      <w:r w:rsidRPr="00C87C80">
        <w:rPr>
          <w:sz w:val="20"/>
          <w:szCs w:val="20"/>
        </w:rPr>
        <w:t>roč. 15,</w:t>
      </w:r>
      <w:r w:rsidRPr="00C87C80">
        <w:rPr>
          <w:i/>
          <w:sz w:val="20"/>
          <w:szCs w:val="20"/>
        </w:rPr>
        <w:t xml:space="preserve"> </w:t>
      </w:r>
      <w:r w:rsidRPr="00C87C80">
        <w:rPr>
          <w:sz w:val="20"/>
          <w:szCs w:val="20"/>
        </w:rPr>
        <w:t xml:space="preserve">č. 6, s. 196. </w:t>
      </w:r>
    </w:p>
  </w:footnote>
  <w:footnote w:id="178">
    <w:p w:rsidR="009D1F29" w:rsidRDefault="009D1F29">
      <w:pPr>
        <w:pStyle w:val="footnotedescription"/>
        <w:spacing w:after="17" w:line="239" w:lineRule="auto"/>
        <w:jc w:val="both"/>
      </w:pPr>
      <w:r w:rsidRPr="00C87C80">
        <w:rPr>
          <w:rStyle w:val="footnotemark"/>
          <w:szCs w:val="20"/>
        </w:rPr>
        <w:footnoteRef/>
      </w:r>
      <w:r w:rsidRPr="00C87C80">
        <w:rPr>
          <w:sz w:val="20"/>
          <w:szCs w:val="20"/>
        </w:rPr>
        <w:t xml:space="preserve"> BIČOVSKÝ, Jaroslav, HOLUB, Milan. </w:t>
      </w:r>
      <w:r w:rsidRPr="00C87C80">
        <w:rPr>
          <w:i/>
          <w:sz w:val="20"/>
          <w:szCs w:val="20"/>
        </w:rPr>
        <w:t>Občanský zákoník a předpisy souvisící.</w:t>
      </w:r>
      <w:r w:rsidRPr="00C87C80">
        <w:rPr>
          <w:sz w:val="20"/>
          <w:szCs w:val="20"/>
        </w:rPr>
        <w:t xml:space="preserve"> 3. vyd. Praha: Panorama, 1984, s. 191-192.</w:t>
      </w:r>
      <w:r w:rsidRPr="00C87C80">
        <w:rPr>
          <w:rFonts w:ascii="Calibri" w:hAnsi="Calibri" w:cs="Calibri"/>
          <w:sz w:val="20"/>
          <w:szCs w:val="20"/>
        </w:rPr>
        <w:t xml:space="preserve"> </w:t>
      </w:r>
    </w:p>
  </w:footnote>
  <w:footnote w:id="179">
    <w:p w:rsidR="009D1F29" w:rsidRDefault="009D1F29">
      <w:pPr>
        <w:pStyle w:val="footnotedescription"/>
        <w:spacing w:after="0"/>
      </w:pPr>
      <w:r w:rsidRPr="00C87C80">
        <w:rPr>
          <w:rStyle w:val="footnotemark"/>
          <w:szCs w:val="20"/>
        </w:rPr>
        <w:footnoteRef/>
      </w:r>
      <w:r w:rsidRPr="00C87C80">
        <w:rPr>
          <w:sz w:val="20"/>
          <w:szCs w:val="20"/>
        </w:rPr>
        <w:t xml:space="preserve"> PETR: </w:t>
      </w:r>
      <w:r w:rsidRPr="00C87C80">
        <w:rPr>
          <w:i/>
          <w:sz w:val="20"/>
          <w:szCs w:val="20"/>
        </w:rPr>
        <w:t>Nabývání vlastnictví...</w:t>
      </w:r>
      <w:r w:rsidRPr="00C87C80">
        <w:rPr>
          <w:sz w:val="20"/>
          <w:szCs w:val="20"/>
        </w:rPr>
        <w:t>, s. 57</w:t>
      </w:r>
      <w:r w:rsidRPr="00C87C80">
        <w:rPr>
          <w:color w:val="262626"/>
          <w:sz w:val="20"/>
          <w:szCs w:val="20"/>
        </w:rPr>
        <w:t>.</w:t>
      </w:r>
      <w:r>
        <w:t xml:space="preserve"> </w:t>
      </w:r>
    </w:p>
  </w:footnote>
  <w:footnote w:id="180">
    <w:p w:rsidR="009D1F29" w:rsidRDefault="009D1F29" w:rsidP="009E1A17">
      <w:pPr>
        <w:pStyle w:val="footnotedescription"/>
        <w:spacing w:after="27" w:line="240" w:lineRule="auto"/>
        <w:jc w:val="both"/>
      </w:pPr>
      <w:r w:rsidRPr="009E1A17">
        <w:rPr>
          <w:rStyle w:val="footnotemark"/>
          <w:szCs w:val="20"/>
        </w:rPr>
        <w:footnoteRef/>
      </w:r>
      <w:r w:rsidRPr="009E1A17">
        <w:rPr>
          <w:sz w:val="20"/>
          <w:szCs w:val="20"/>
        </w:rPr>
        <w:t xml:space="preserve"> SPÁČIL: </w:t>
      </w:r>
      <w:r w:rsidRPr="009E1A17">
        <w:rPr>
          <w:i/>
          <w:sz w:val="20"/>
          <w:szCs w:val="20"/>
        </w:rPr>
        <w:t>Ochrana vlastnictví…</w:t>
      </w:r>
      <w:r w:rsidRPr="009E1A17">
        <w:rPr>
          <w:sz w:val="20"/>
          <w:szCs w:val="20"/>
        </w:rPr>
        <w:t xml:space="preserve">, s. 240-242.  </w:t>
      </w:r>
    </w:p>
  </w:footnote>
  <w:footnote w:id="181">
    <w:p w:rsidR="009D1F29" w:rsidRDefault="009D1F29" w:rsidP="009E1A17">
      <w:pPr>
        <w:pStyle w:val="footnotedescription"/>
        <w:spacing w:after="0" w:line="240" w:lineRule="auto"/>
        <w:jc w:val="both"/>
      </w:pPr>
      <w:r w:rsidRPr="009E1A17">
        <w:rPr>
          <w:rStyle w:val="footnotemark"/>
          <w:szCs w:val="20"/>
        </w:rPr>
        <w:footnoteRef/>
      </w:r>
      <w:r w:rsidRPr="009E1A17">
        <w:rPr>
          <w:sz w:val="20"/>
          <w:szCs w:val="20"/>
        </w:rPr>
        <w:t xml:space="preserve"> </w:t>
      </w:r>
      <w:r w:rsidRPr="009E1A17">
        <w:rPr>
          <w:i/>
          <w:sz w:val="20"/>
          <w:szCs w:val="20"/>
        </w:rPr>
        <w:t>Důvodová zpráva k zákonu č. 89/2012 Sb., občanský zákoník</w:t>
      </w:r>
      <w:r w:rsidRPr="009E1A17">
        <w:rPr>
          <w:sz w:val="20"/>
          <w:szCs w:val="20"/>
        </w:rPr>
        <w:t>. Sněmovní tisk 839/0.</w:t>
      </w:r>
      <w:r>
        <w:t xml:space="preserve"> </w:t>
      </w:r>
    </w:p>
  </w:footnote>
  <w:footnote w:id="182">
    <w:p w:rsidR="009D1F29" w:rsidRDefault="009D1F29" w:rsidP="009E1A17">
      <w:pPr>
        <w:pStyle w:val="footnotedescription"/>
        <w:spacing w:after="0" w:line="240" w:lineRule="auto"/>
        <w:ind w:right="5"/>
      </w:pPr>
      <w:r w:rsidRPr="009E1A17">
        <w:rPr>
          <w:rStyle w:val="footnotemark"/>
          <w:szCs w:val="20"/>
        </w:rPr>
        <w:footnoteRef/>
      </w:r>
      <w:r w:rsidRPr="009E1A17">
        <w:rPr>
          <w:sz w:val="20"/>
          <w:szCs w:val="20"/>
        </w:rPr>
        <w:t xml:space="preserve"> § 1090 odst. 2</w:t>
      </w:r>
      <w:r w:rsidRPr="009E1A17">
        <w:rPr>
          <w:i/>
          <w:sz w:val="20"/>
          <w:szCs w:val="20"/>
        </w:rPr>
        <w:t xml:space="preserve"> „Nabyl-li zůstavitel nepravou držbu, nemůže vlastnické právo vydržet ani jeho dědic, i kdyby držel poctivě. To platí obdobně i pro všeobecného právního nástupce právnické osoby.“</w:t>
      </w:r>
      <w:r w:rsidRPr="009E1A17">
        <w:rPr>
          <w:sz w:val="20"/>
          <w:szCs w:val="20"/>
        </w:rPr>
        <w:t xml:space="preserve"> </w:t>
      </w:r>
    </w:p>
  </w:footnote>
  <w:footnote w:id="183">
    <w:p w:rsidR="009D1F29" w:rsidRDefault="009D1F29">
      <w:pPr>
        <w:pStyle w:val="FootnoteText"/>
      </w:pPr>
      <w:r>
        <w:rPr>
          <w:rStyle w:val="FootnoteReference"/>
        </w:rPr>
        <w:footnoteRef/>
      </w:r>
      <w:r>
        <w:t xml:space="preserve"> </w:t>
      </w:r>
      <w:r w:rsidRPr="009E1A17">
        <w:t xml:space="preserve">SPÁČIL: </w:t>
      </w:r>
      <w:r w:rsidRPr="009E1A17">
        <w:rPr>
          <w:i/>
        </w:rPr>
        <w:t>Občanský zákoník...</w:t>
      </w:r>
      <w:r w:rsidRPr="009E1A17">
        <w:t>, s. 327.</w:t>
      </w:r>
    </w:p>
  </w:footnote>
  <w:footnote w:id="184">
    <w:p w:rsidR="009D1F29" w:rsidRDefault="009D1F29" w:rsidP="001F65FB">
      <w:pPr>
        <w:pStyle w:val="footnotedescription"/>
        <w:spacing w:after="26" w:line="240" w:lineRule="auto"/>
        <w:jc w:val="both"/>
      </w:pPr>
      <w:r w:rsidRPr="001F65FB">
        <w:rPr>
          <w:rStyle w:val="footnotemark"/>
          <w:szCs w:val="20"/>
        </w:rPr>
        <w:footnoteRef/>
      </w:r>
      <w:r w:rsidRPr="001F65FB">
        <w:rPr>
          <w:sz w:val="20"/>
          <w:szCs w:val="20"/>
        </w:rPr>
        <w:t xml:space="preserve"> Nález ÚS ČR ze dne 11. května 2011, sp. zn. II. ÚS 165/11. </w:t>
      </w:r>
    </w:p>
  </w:footnote>
  <w:footnote w:id="185">
    <w:p w:rsidR="009D1F29" w:rsidRDefault="009D1F29" w:rsidP="001F65FB">
      <w:pPr>
        <w:pStyle w:val="footnotedescription"/>
        <w:spacing w:after="6" w:line="240" w:lineRule="auto"/>
        <w:jc w:val="both"/>
      </w:pPr>
      <w:r w:rsidRPr="001F65FB">
        <w:rPr>
          <w:rStyle w:val="footnotemark"/>
          <w:szCs w:val="20"/>
        </w:rPr>
        <w:footnoteRef/>
      </w:r>
      <w:r w:rsidRPr="001F65FB">
        <w:rPr>
          <w:sz w:val="20"/>
          <w:szCs w:val="20"/>
        </w:rPr>
        <w:t xml:space="preserve"> FIALA, Josef, KINDL, Milan</w:t>
      </w:r>
      <w:r w:rsidRPr="001F65FB">
        <w:rPr>
          <w:i/>
          <w:sz w:val="20"/>
          <w:szCs w:val="20"/>
        </w:rPr>
        <w:t>. Občanské právo hmotné.</w:t>
      </w:r>
      <w:r w:rsidRPr="001F65FB">
        <w:rPr>
          <w:sz w:val="20"/>
          <w:szCs w:val="20"/>
        </w:rPr>
        <w:t xml:space="preserve"> 2. vyd. Plzeň: Aleš Čeněk, 2009, s. 193. </w:t>
      </w:r>
    </w:p>
  </w:footnote>
  <w:footnote w:id="186">
    <w:p w:rsidR="009D1F29" w:rsidRDefault="009D1F29" w:rsidP="001F65FB">
      <w:pPr>
        <w:pStyle w:val="footnotedescription"/>
        <w:spacing w:after="0" w:line="240" w:lineRule="auto"/>
        <w:ind w:right="7"/>
        <w:jc w:val="both"/>
      </w:pPr>
      <w:r w:rsidRPr="001F65FB">
        <w:rPr>
          <w:rStyle w:val="footnotemark"/>
          <w:szCs w:val="20"/>
        </w:rPr>
        <w:footnoteRef/>
      </w:r>
      <w:r w:rsidRPr="001F65FB">
        <w:rPr>
          <w:sz w:val="20"/>
          <w:szCs w:val="20"/>
        </w:rPr>
        <w:t xml:space="preserve"> SOMMER, Otakar. </w:t>
      </w:r>
      <w:r w:rsidRPr="001F65FB">
        <w:rPr>
          <w:i/>
          <w:sz w:val="20"/>
          <w:szCs w:val="20"/>
        </w:rPr>
        <w:t>Učebnice soukromého práva římského</w:t>
      </w:r>
      <w:r w:rsidRPr="001F65FB">
        <w:rPr>
          <w:sz w:val="20"/>
          <w:szCs w:val="20"/>
        </w:rPr>
        <w:t>. 2. díl</w:t>
      </w:r>
      <w:r w:rsidRPr="001F65FB">
        <w:rPr>
          <w:i/>
          <w:sz w:val="20"/>
          <w:szCs w:val="20"/>
        </w:rPr>
        <w:t>.</w:t>
      </w:r>
      <w:r w:rsidRPr="001F65FB">
        <w:rPr>
          <w:sz w:val="20"/>
          <w:szCs w:val="20"/>
        </w:rPr>
        <w:t xml:space="preserve"> Praha: Wolters Kluwer, 2011, s. 216. </w:t>
      </w:r>
    </w:p>
  </w:footnote>
  <w:footnote w:id="187">
    <w:p w:rsidR="009D1F29" w:rsidRDefault="009D1F29" w:rsidP="001F65FB">
      <w:pPr>
        <w:pStyle w:val="FootnoteText"/>
        <w:spacing w:line="240" w:lineRule="auto"/>
      </w:pPr>
      <w:r>
        <w:rPr>
          <w:rStyle w:val="FootnoteReference"/>
        </w:rPr>
        <w:footnoteRef/>
      </w:r>
      <w:r>
        <w:t xml:space="preserve"> </w:t>
      </w:r>
      <w:r w:rsidRPr="001F65FB">
        <w:t>TÉGL, Petr</w:t>
      </w:r>
      <w:r w:rsidRPr="001F65FB">
        <w:rPr>
          <w:i/>
        </w:rPr>
        <w:t>.</w:t>
      </w:r>
      <w:r w:rsidRPr="001F65FB">
        <w:t xml:space="preserve"> Ochrana poctivého nabyvatele při nabývání vlastnického práva od nevlastníka k movitým věcem nezapsaným ve veřejných seznamech. </w:t>
      </w:r>
      <w:r w:rsidRPr="001F65FB">
        <w:rPr>
          <w:i/>
        </w:rPr>
        <w:t>Ad Notam</w:t>
      </w:r>
      <w:r w:rsidRPr="001F65FB">
        <w:t>, 2007, roč. 5, č. 2, s. 43-49.</w:t>
      </w:r>
    </w:p>
  </w:footnote>
  <w:footnote w:id="188">
    <w:p w:rsidR="009D1F29" w:rsidRPr="001F65FB" w:rsidRDefault="009D1F29" w:rsidP="001F65FB">
      <w:pPr>
        <w:pStyle w:val="footnotedescription"/>
        <w:spacing w:after="18" w:line="240" w:lineRule="auto"/>
        <w:jc w:val="both"/>
        <w:rPr>
          <w:sz w:val="20"/>
          <w:szCs w:val="20"/>
        </w:rPr>
      </w:pPr>
      <w:r w:rsidRPr="001F65FB">
        <w:rPr>
          <w:rStyle w:val="footnotemark"/>
          <w:szCs w:val="20"/>
        </w:rPr>
        <w:footnoteRef/>
      </w:r>
      <w:r w:rsidRPr="001F65FB">
        <w:rPr>
          <w:sz w:val="20"/>
          <w:szCs w:val="20"/>
        </w:rPr>
        <w:t xml:space="preserve"> HORÁK, Ondřej. Historické zdroje úpravy nabytí od nevlastníka. Kapitolka z dějin právního myšlení.  </w:t>
      </w:r>
    </w:p>
    <w:p w:rsidR="009D1F29" w:rsidRDefault="009D1F29" w:rsidP="001F65FB">
      <w:pPr>
        <w:pStyle w:val="footnotedescription"/>
        <w:spacing w:after="0" w:line="240" w:lineRule="auto"/>
        <w:jc w:val="both"/>
      </w:pPr>
      <w:r w:rsidRPr="001F65FB">
        <w:rPr>
          <w:sz w:val="20"/>
          <w:szCs w:val="20"/>
        </w:rPr>
        <w:t xml:space="preserve">In </w:t>
      </w:r>
      <w:r w:rsidRPr="001F65FB">
        <w:rPr>
          <w:i/>
          <w:sz w:val="20"/>
          <w:szCs w:val="20"/>
        </w:rPr>
        <w:t>150 let Všeobecného obchodního zákoníku</w:t>
      </w:r>
      <w:r w:rsidRPr="001F65FB">
        <w:rPr>
          <w:sz w:val="20"/>
          <w:szCs w:val="20"/>
        </w:rPr>
        <w:t>. Olomouc: Univerzita Palackého, 2012, s. 24.</w:t>
      </w:r>
      <w:r w:rsidRPr="001F65FB">
        <w:rPr>
          <w:rFonts w:ascii="Book Antiqua" w:hAnsi="Book Antiqua" w:cs="Book Antiqua"/>
          <w:sz w:val="20"/>
          <w:szCs w:val="20"/>
        </w:rPr>
        <w:t xml:space="preserve"> </w:t>
      </w:r>
    </w:p>
  </w:footnote>
  <w:footnote w:id="189">
    <w:p w:rsidR="009D1F29" w:rsidRDefault="009D1F29" w:rsidP="001F65FB">
      <w:pPr>
        <w:pStyle w:val="footnotedescription"/>
        <w:spacing w:after="0" w:line="240" w:lineRule="auto"/>
        <w:jc w:val="both"/>
      </w:pPr>
      <w:r w:rsidRPr="001F65FB">
        <w:rPr>
          <w:rStyle w:val="footnotemark"/>
          <w:szCs w:val="20"/>
        </w:rPr>
        <w:footnoteRef/>
      </w:r>
      <w:r w:rsidRPr="001F65FB">
        <w:rPr>
          <w:sz w:val="20"/>
          <w:szCs w:val="20"/>
        </w:rPr>
        <w:t xml:space="preserve"> ŠTENGLOVÁ, Ivana a kol</w:t>
      </w:r>
      <w:r w:rsidRPr="001F65FB">
        <w:rPr>
          <w:i/>
          <w:sz w:val="20"/>
          <w:szCs w:val="20"/>
        </w:rPr>
        <w:t>. Obchodní zákoník.</w:t>
      </w:r>
      <w:r w:rsidRPr="001F65FB">
        <w:rPr>
          <w:sz w:val="20"/>
          <w:szCs w:val="20"/>
        </w:rPr>
        <w:t xml:space="preserve"> </w:t>
      </w:r>
      <w:r w:rsidRPr="001F65FB">
        <w:rPr>
          <w:i/>
          <w:sz w:val="20"/>
          <w:szCs w:val="20"/>
        </w:rPr>
        <w:t>Komentář</w:t>
      </w:r>
      <w:r w:rsidRPr="001F65FB">
        <w:rPr>
          <w:sz w:val="20"/>
          <w:szCs w:val="20"/>
        </w:rPr>
        <w:t>. 13. vyd. Praha: C.H. Beck, 2010, s. 1225.</w:t>
      </w:r>
      <w:r>
        <w:t xml:space="preserve"> </w:t>
      </w:r>
    </w:p>
  </w:footnote>
  <w:footnote w:id="190">
    <w:p w:rsidR="009D1F29" w:rsidRDefault="009D1F29" w:rsidP="00A5115E">
      <w:pPr>
        <w:pStyle w:val="footnotedescription"/>
        <w:spacing w:after="18" w:line="240" w:lineRule="auto"/>
        <w:jc w:val="both"/>
      </w:pPr>
      <w:r w:rsidRPr="00A5115E">
        <w:rPr>
          <w:rStyle w:val="footnotemark"/>
          <w:szCs w:val="20"/>
        </w:rPr>
        <w:footnoteRef/>
      </w:r>
      <w:r w:rsidRPr="00A5115E">
        <w:rPr>
          <w:sz w:val="20"/>
          <w:szCs w:val="20"/>
        </w:rPr>
        <w:t xml:space="preserve"> MAYR, Robert. Deutsches Recht im A.B.G.B. In</w:t>
      </w:r>
      <w:r w:rsidRPr="00A5115E">
        <w:rPr>
          <w:i/>
          <w:sz w:val="20"/>
          <w:szCs w:val="20"/>
        </w:rPr>
        <w:t xml:space="preserve"> Festschrift für Otto Peterka zum 60. Geburtstag</w:t>
      </w:r>
      <w:r w:rsidRPr="00A5115E">
        <w:rPr>
          <w:sz w:val="20"/>
          <w:szCs w:val="20"/>
        </w:rPr>
        <w:t xml:space="preserve">. Brünn, Prag, Leipzig, Wien: R.M. Rohrer, 1936, s. 59-65. </w:t>
      </w:r>
    </w:p>
  </w:footnote>
  <w:footnote w:id="191">
    <w:p w:rsidR="009D1F29" w:rsidRDefault="009D1F29" w:rsidP="00A5115E">
      <w:pPr>
        <w:pStyle w:val="footnotedescription"/>
        <w:spacing w:after="0" w:line="240" w:lineRule="auto"/>
        <w:ind w:right="4417"/>
        <w:jc w:val="both"/>
      </w:pPr>
      <w:r w:rsidRPr="00A5115E">
        <w:rPr>
          <w:rStyle w:val="footnotemark"/>
          <w:szCs w:val="20"/>
        </w:rPr>
        <w:footnoteRef/>
      </w:r>
      <w:r w:rsidRPr="00A5115E">
        <w:rPr>
          <w:sz w:val="20"/>
          <w:szCs w:val="20"/>
        </w:rPr>
        <w:t xml:space="preserve"> ROUČEK, SEDLÁČEK: </w:t>
      </w:r>
      <w:r w:rsidRPr="00A5115E">
        <w:rPr>
          <w:i/>
          <w:sz w:val="20"/>
          <w:szCs w:val="20"/>
        </w:rPr>
        <w:t xml:space="preserve">Komentář II. díl…, </w:t>
      </w:r>
      <w:r w:rsidRPr="00A5115E">
        <w:rPr>
          <w:sz w:val="20"/>
          <w:szCs w:val="20"/>
        </w:rPr>
        <w:t xml:space="preserve">s. 319. </w:t>
      </w:r>
    </w:p>
  </w:footnote>
  <w:footnote w:id="192">
    <w:p w:rsidR="009D1F29" w:rsidRDefault="009D1F29">
      <w:pPr>
        <w:pStyle w:val="FootnoteText"/>
      </w:pPr>
      <w:r>
        <w:rPr>
          <w:rStyle w:val="FootnoteReference"/>
        </w:rPr>
        <w:footnoteRef/>
      </w:r>
      <w:r>
        <w:t xml:space="preserve"> </w:t>
      </w:r>
      <w:r w:rsidRPr="00A5115E">
        <w:t>Tamtéž.</w:t>
      </w:r>
    </w:p>
  </w:footnote>
  <w:footnote w:id="193">
    <w:p w:rsidR="009D1F29" w:rsidRDefault="009D1F29" w:rsidP="00A5115E">
      <w:pPr>
        <w:pStyle w:val="footnotedescription"/>
        <w:spacing w:after="0" w:line="240" w:lineRule="auto"/>
        <w:jc w:val="both"/>
      </w:pPr>
      <w:r w:rsidRPr="00A5115E">
        <w:rPr>
          <w:rStyle w:val="footnotemark"/>
          <w:szCs w:val="20"/>
        </w:rPr>
        <w:footnoteRef/>
      </w:r>
      <w:r w:rsidRPr="00A5115E">
        <w:rPr>
          <w:sz w:val="20"/>
          <w:szCs w:val="20"/>
        </w:rPr>
        <w:t xml:space="preserve"> Je-li držitel se zřetelem ke všem okolnostem v dobré víře, že mu věc nebo právo náleží, je držitelem oprávněným. V pochybnostech se má za to, že držba je oprávněná. </w:t>
      </w:r>
    </w:p>
  </w:footnote>
  <w:footnote w:id="194">
    <w:p w:rsidR="009D1F29" w:rsidRDefault="009D1F29" w:rsidP="00A5115E">
      <w:pPr>
        <w:pStyle w:val="footnotedescription"/>
        <w:spacing w:after="0" w:line="240" w:lineRule="auto"/>
        <w:ind w:right="8"/>
        <w:jc w:val="both"/>
      </w:pPr>
      <w:r w:rsidRPr="00A5115E">
        <w:rPr>
          <w:rStyle w:val="footnotemark"/>
          <w:szCs w:val="20"/>
        </w:rPr>
        <w:footnoteRef/>
      </w:r>
      <w:r w:rsidRPr="00A5115E">
        <w:rPr>
          <w:sz w:val="20"/>
          <w:szCs w:val="20"/>
        </w:rPr>
        <w:t xml:space="preserve"> Podle důvodové zprávy bylo v zájmu právní jistoty a v zájmu autority úředních opatření, aby nabytí v dobré víře z výroku úředního bylo považováno za nabytí původní a nikoli odvozené, důvodem byl zájem na autoritě úředních opatření. </w:t>
      </w:r>
    </w:p>
  </w:footnote>
  <w:footnote w:id="195">
    <w:p w:rsidR="009D1F29" w:rsidRDefault="009D1F29" w:rsidP="00A5115E">
      <w:pPr>
        <w:pStyle w:val="footnotedescription"/>
        <w:spacing w:after="20" w:line="240" w:lineRule="auto"/>
        <w:jc w:val="both"/>
      </w:pPr>
      <w:r w:rsidRPr="00A5115E">
        <w:rPr>
          <w:rStyle w:val="footnotemark"/>
          <w:szCs w:val="20"/>
        </w:rPr>
        <w:footnoteRef/>
      </w:r>
      <w:r w:rsidRPr="00A5115E">
        <w:rPr>
          <w:sz w:val="20"/>
          <w:szCs w:val="20"/>
        </w:rPr>
        <w:t xml:space="preserve"> Dražbou mimo úřad provedenou byla myšlena dražba prováděná národními podniky. </w:t>
      </w:r>
    </w:p>
  </w:footnote>
  <w:footnote w:id="196">
    <w:p w:rsidR="009D1F29" w:rsidRDefault="009D1F29" w:rsidP="00A5115E">
      <w:pPr>
        <w:pStyle w:val="footnotedescription"/>
        <w:spacing w:after="0" w:line="240" w:lineRule="auto"/>
        <w:jc w:val="both"/>
      </w:pPr>
      <w:r w:rsidRPr="00A5115E">
        <w:rPr>
          <w:rStyle w:val="footnotemark"/>
          <w:szCs w:val="20"/>
        </w:rPr>
        <w:footnoteRef/>
      </w:r>
      <w:r w:rsidRPr="00A5115E">
        <w:rPr>
          <w:sz w:val="20"/>
          <w:szCs w:val="20"/>
        </w:rPr>
        <w:t xml:space="preserve"> Uspět vindikační žalobou bylo obtížnější oproti dřívější právní úpravě, protože OZ/50 již neobsahoval výčet okolností vyvracejících dobrou víru, a tak byl dán větší rozhodovací prostor soudcům.</w:t>
      </w:r>
      <w:r>
        <w:rPr>
          <w:rFonts w:ascii="Calibri" w:hAnsi="Calibri" w:cs="Calibri"/>
        </w:rPr>
        <w:t xml:space="preserve"> </w:t>
      </w:r>
    </w:p>
  </w:footnote>
  <w:footnote w:id="197">
    <w:p w:rsidR="009D1F29" w:rsidRDefault="009D1F29" w:rsidP="007D202B">
      <w:pPr>
        <w:pStyle w:val="footnotedescription"/>
        <w:spacing w:after="13" w:line="240" w:lineRule="auto"/>
        <w:ind w:right="113"/>
        <w:jc w:val="both"/>
      </w:pPr>
      <w:r w:rsidRPr="007D202B">
        <w:rPr>
          <w:rStyle w:val="footnotemark"/>
          <w:szCs w:val="20"/>
        </w:rPr>
        <w:footnoteRef/>
      </w:r>
      <w:r w:rsidRPr="007D202B">
        <w:rPr>
          <w:sz w:val="20"/>
          <w:szCs w:val="20"/>
        </w:rPr>
        <w:t xml:space="preserve"> Například komunální podniky, národní podniky, lidová družstva, dobrovolné organizace vytvářené lidem. </w:t>
      </w:r>
    </w:p>
  </w:footnote>
  <w:footnote w:id="198">
    <w:p w:rsidR="009D1F29" w:rsidRDefault="009D1F29" w:rsidP="007D202B">
      <w:pPr>
        <w:pStyle w:val="FootnoteText"/>
        <w:spacing w:line="240" w:lineRule="auto"/>
      </w:pPr>
      <w:r w:rsidRPr="007D202B">
        <w:rPr>
          <w:rStyle w:val="FootnoteReference"/>
        </w:rPr>
        <w:footnoteRef/>
      </w:r>
      <w:r w:rsidRPr="007D202B">
        <w:t xml:space="preserve"> ČAPEK, Karel. </w:t>
      </w:r>
      <w:r w:rsidRPr="007D202B">
        <w:rPr>
          <w:i/>
        </w:rPr>
        <w:t>Občanský zákoník</w:t>
      </w:r>
      <w:r w:rsidRPr="007D202B">
        <w:t>. 2. vyd. Praha: Orbis, 1951, s. 247–249.</w:t>
      </w:r>
    </w:p>
  </w:footnote>
  <w:footnote w:id="199">
    <w:p w:rsidR="009D1F29" w:rsidRDefault="009D1F29" w:rsidP="007D202B">
      <w:pPr>
        <w:pStyle w:val="footnotedescription"/>
        <w:spacing w:after="0" w:line="240" w:lineRule="auto"/>
        <w:jc w:val="both"/>
      </w:pPr>
      <w:r w:rsidRPr="007D202B">
        <w:rPr>
          <w:rStyle w:val="footnotemark"/>
          <w:szCs w:val="20"/>
        </w:rPr>
        <w:footnoteRef/>
      </w:r>
      <w:r w:rsidRPr="007D202B">
        <w:rPr>
          <w:sz w:val="20"/>
          <w:szCs w:val="20"/>
        </w:rPr>
        <w:t xml:space="preserve"> Na rozdíl od obchodního zákoníku, který převzal ustanovení o nabytí od neoprávněného ze zrušovaného zákoníku mezinárodního obchodu a zakotvil do § 446. </w:t>
      </w:r>
    </w:p>
  </w:footnote>
  <w:footnote w:id="200">
    <w:p w:rsidR="009D1F29" w:rsidRDefault="009D1F29" w:rsidP="007D202B">
      <w:pPr>
        <w:pStyle w:val="footnotedescription"/>
        <w:spacing w:after="11" w:line="240" w:lineRule="auto"/>
        <w:jc w:val="both"/>
      </w:pPr>
      <w:r w:rsidRPr="007D202B">
        <w:rPr>
          <w:rStyle w:val="footnotemark"/>
          <w:szCs w:val="20"/>
        </w:rPr>
        <w:footnoteRef/>
      </w:r>
      <w:r w:rsidRPr="007D202B">
        <w:rPr>
          <w:sz w:val="20"/>
          <w:szCs w:val="20"/>
        </w:rPr>
        <w:t xml:space="preserve"> </w:t>
      </w:r>
      <w:r w:rsidRPr="007D202B">
        <w:rPr>
          <w:i/>
          <w:sz w:val="20"/>
          <w:szCs w:val="20"/>
        </w:rPr>
        <w:t>Návrh občanského zákoníku: pro připomínkové řízení</w:t>
      </w:r>
      <w:r w:rsidRPr="007D202B">
        <w:rPr>
          <w:sz w:val="20"/>
          <w:szCs w:val="20"/>
        </w:rPr>
        <w:t xml:space="preserve">. Praha: Statistické a evidenční vydavatelství tiskopisů </w:t>
      </w:r>
      <w:r>
        <w:rPr>
          <w:sz w:val="20"/>
          <w:szCs w:val="20"/>
        </w:rPr>
        <w:br/>
      </w:r>
      <w:r w:rsidRPr="007D202B">
        <w:rPr>
          <w:sz w:val="20"/>
          <w:szCs w:val="20"/>
        </w:rPr>
        <w:t xml:space="preserve">v Praze, 1962, s. 69. </w:t>
      </w:r>
    </w:p>
  </w:footnote>
  <w:footnote w:id="201">
    <w:p w:rsidR="009D1F29" w:rsidRDefault="009D1F29" w:rsidP="007D202B">
      <w:pPr>
        <w:pStyle w:val="footnotedescription"/>
        <w:spacing w:after="0" w:line="240" w:lineRule="auto"/>
        <w:ind w:right="8"/>
        <w:jc w:val="both"/>
      </w:pPr>
      <w:r w:rsidRPr="007D202B">
        <w:rPr>
          <w:rStyle w:val="footnotemark"/>
          <w:szCs w:val="20"/>
        </w:rPr>
        <w:footnoteRef/>
      </w:r>
      <w:r w:rsidRPr="007D202B">
        <w:rPr>
          <w:sz w:val="20"/>
          <w:szCs w:val="20"/>
        </w:rPr>
        <w:t xml:space="preserve"> Podle § 18 občanského zákoníku byly socialistickými organizacemi </w:t>
      </w:r>
      <w:r w:rsidRPr="007D202B">
        <w:rPr>
          <w:i/>
          <w:sz w:val="20"/>
          <w:szCs w:val="20"/>
        </w:rPr>
        <w:t>„státní, družstevní a společenské organizace, jakož i jiné organizace, jejichž činnost přispívá k rozvoji socialistických</w:t>
      </w:r>
      <w:r>
        <w:rPr>
          <w:i/>
        </w:rPr>
        <w:t xml:space="preserve"> vztahů.“</w:t>
      </w:r>
      <w:r>
        <w:t xml:space="preserve"> </w:t>
      </w:r>
    </w:p>
  </w:footnote>
  <w:footnote w:id="202">
    <w:p w:rsidR="009D1F29" w:rsidRDefault="009D1F29" w:rsidP="000A6B46">
      <w:pPr>
        <w:pStyle w:val="FootnoteText"/>
        <w:spacing w:line="240" w:lineRule="auto"/>
      </w:pPr>
      <w:r w:rsidRPr="000A6B46">
        <w:rPr>
          <w:rStyle w:val="FootnoteReference"/>
        </w:rPr>
        <w:footnoteRef/>
      </w:r>
      <w:r w:rsidRPr="000A6B46">
        <w:t xml:space="preserve"> KNAPP, Viktor, LUBY, Štefan. </w:t>
      </w:r>
      <w:r w:rsidRPr="000A6B46">
        <w:rPr>
          <w:i/>
        </w:rPr>
        <w:t>Československé občanské právo. Vysokošk. učebnice</w:t>
      </w:r>
      <w:r>
        <w:t xml:space="preserve">. Svazek II. 2. přeprac. </w:t>
      </w:r>
      <w:r>
        <w:br/>
      </w:r>
      <w:r w:rsidRPr="000A6B46">
        <w:t>a doplň. vyd. Praha: Orbis, 1974, s. 12</w:t>
      </w:r>
    </w:p>
  </w:footnote>
  <w:footnote w:id="203">
    <w:p w:rsidR="009D1F29" w:rsidRDefault="009D1F29" w:rsidP="000A6B46">
      <w:pPr>
        <w:pStyle w:val="footnotedescription"/>
        <w:spacing w:after="0" w:line="240" w:lineRule="auto"/>
        <w:jc w:val="both"/>
      </w:pPr>
      <w:r w:rsidRPr="000A6B46">
        <w:rPr>
          <w:rStyle w:val="footnotemark"/>
          <w:szCs w:val="20"/>
        </w:rPr>
        <w:footnoteRef/>
      </w:r>
      <w:r w:rsidRPr="000A6B46">
        <w:rPr>
          <w:sz w:val="20"/>
          <w:szCs w:val="20"/>
        </w:rPr>
        <w:t xml:space="preserve"> ELIÁŠ, Karel. Mobilia non habent sequelam (O nabytí vlastnického práva od neoprávněného). </w:t>
      </w:r>
      <w:r w:rsidRPr="000A6B46">
        <w:rPr>
          <w:i/>
          <w:sz w:val="20"/>
          <w:szCs w:val="20"/>
        </w:rPr>
        <w:t>Obchodněprávní revue</w:t>
      </w:r>
      <w:r w:rsidRPr="000A6B46">
        <w:rPr>
          <w:sz w:val="20"/>
          <w:szCs w:val="20"/>
        </w:rPr>
        <w:t xml:space="preserve">, 2009, roč. 1, č. 3, s. 61. </w:t>
      </w:r>
    </w:p>
  </w:footnote>
  <w:footnote w:id="204">
    <w:p w:rsidR="009D1F29" w:rsidRDefault="009D1F29" w:rsidP="000A6B46">
      <w:pPr>
        <w:pStyle w:val="footnotedescription"/>
        <w:spacing w:after="7" w:line="240" w:lineRule="auto"/>
        <w:jc w:val="both"/>
      </w:pPr>
      <w:r w:rsidRPr="000A6B46">
        <w:rPr>
          <w:rStyle w:val="footnotemark"/>
          <w:szCs w:val="20"/>
        </w:rPr>
        <w:footnoteRef/>
      </w:r>
      <w:r w:rsidRPr="000A6B46">
        <w:rPr>
          <w:sz w:val="20"/>
          <w:szCs w:val="20"/>
        </w:rPr>
        <w:t xml:space="preserve"> § 486 řešil nabytí od nepravého dědice, kdy „</w:t>
      </w:r>
      <w:r w:rsidRPr="000A6B46">
        <w:rPr>
          <w:i/>
          <w:sz w:val="20"/>
          <w:szCs w:val="20"/>
        </w:rPr>
        <w:t>kdo v dobré víře něco nabyl od nepravého dědice, jemuž bylo dědictví potvrzeno, je chráněn tak, jako by to nabyl od oprávněného dědice“.</w:t>
      </w:r>
      <w:r w:rsidRPr="000A6B46">
        <w:rPr>
          <w:rFonts w:ascii="Calibri" w:hAnsi="Calibri" w:cs="Calibri"/>
          <w:sz w:val="20"/>
          <w:szCs w:val="20"/>
        </w:rPr>
        <w:t xml:space="preserve"> </w:t>
      </w:r>
    </w:p>
  </w:footnote>
  <w:footnote w:id="205">
    <w:p w:rsidR="009D1F29" w:rsidRDefault="009D1F29" w:rsidP="000A6B46">
      <w:pPr>
        <w:pStyle w:val="footnotedescription"/>
        <w:spacing w:after="0" w:line="240" w:lineRule="auto"/>
        <w:jc w:val="both"/>
      </w:pPr>
      <w:r w:rsidRPr="000A6B46">
        <w:rPr>
          <w:rStyle w:val="footnotemark"/>
          <w:szCs w:val="20"/>
        </w:rPr>
        <w:footnoteRef/>
      </w:r>
      <w:r w:rsidRPr="000A6B46">
        <w:rPr>
          <w:sz w:val="20"/>
          <w:szCs w:val="20"/>
        </w:rPr>
        <w:t xml:space="preserve"> KNAPP, Viktor, PLANK, Karol. </w:t>
      </w:r>
      <w:r w:rsidRPr="000A6B46">
        <w:rPr>
          <w:i/>
          <w:sz w:val="20"/>
          <w:szCs w:val="20"/>
        </w:rPr>
        <w:t xml:space="preserve">Československé občanské právo. </w:t>
      </w:r>
      <w:r w:rsidRPr="000A6B46">
        <w:rPr>
          <w:sz w:val="20"/>
          <w:szCs w:val="20"/>
        </w:rPr>
        <w:t>Svazek II. Praha: Státní pedagogické nakladatelství, 1971, s. 34.</w:t>
      </w:r>
      <w:r>
        <w:t xml:space="preserve"> </w:t>
      </w:r>
    </w:p>
  </w:footnote>
  <w:footnote w:id="206">
    <w:p w:rsidR="009D1F29" w:rsidRDefault="009D1F29" w:rsidP="00C83506">
      <w:pPr>
        <w:pStyle w:val="footnotedescription"/>
        <w:spacing w:after="20" w:line="240" w:lineRule="auto"/>
        <w:jc w:val="both"/>
      </w:pPr>
      <w:r w:rsidRPr="00C83506">
        <w:rPr>
          <w:rStyle w:val="footnotemark"/>
          <w:szCs w:val="20"/>
        </w:rPr>
        <w:footnoteRef/>
      </w:r>
      <w:r w:rsidRPr="00C83506">
        <w:rPr>
          <w:sz w:val="20"/>
          <w:szCs w:val="20"/>
        </w:rPr>
        <w:t xml:space="preserve"> KINDL, Milan. Peripetie nabývání vlastnictví (od nevlastníků). </w:t>
      </w:r>
      <w:r w:rsidRPr="00C83506">
        <w:rPr>
          <w:i/>
          <w:sz w:val="20"/>
          <w:szCs w:val="20"/>
        </w:rPr>
        <w:t>Právní rozhledy</w:t>
      </w:r>
      <w:r w:rsidRPr="00C83506">
        <w:rPr>
          <w:sz w:val="20"/>
          <w:szCs w:val="20"/>
        </w:rPr>
        <w:t xml:space="preserve">, 1998, roč. 5, č. 5, s. 237. </w:t>
      </w:r>
    </w:p>
  </w:footnote>
  <w:footnote w:id="207">
    <w:p w:rsidR="009D1F29" w:rsidRDefault="009D1F29" w:rsidP="00C83506">
      <w:pPr>
        <w:pStyle w:val="footnotedescription"/>
        <w:spacing w:after="0" w:line="240" w:lineRule="auto"/>
        <w:jc w:val="both"/>
      </w:pPr>
      <w:r w:rsidRPr="00C83506">
        <w:rPr>
          <w:rStyle w:val="footnotemark"/>
          <w:szCs w:val="20"/>
        </w:rPr>
        <w:footnoteRef/>
      </w:r>
      <w:r w:rsidRPr="00C83506">
        <w:rPr>
          <w:sz w:val="20"/>
          <w:szCs w:val="20"/>
        </w:rPr>
        <w:t xml:space="preserve"> Na výjimky z tohoto pravidla jsme v zákoně mohli narazit jen ojediněle, a to např. u prodeje nevyzvednuté věci či zásilky. </w:t>
      </w:r>
    </w:p>
  </w:footnote>
  <w:footnote w:id="208">
    <w:p w:rsidR="009D1F29" w:rsidRDefault="009D1F29" w:rsidP="00C83506">
      <w:pPr>
        <w:pStyle w:val="footnotedescription"/>
        <w:spacing w:after="0" w:line="240" w:lineRule="auto"/>
        <w:jc w:val="both"/>
      </w:pPr>
      <w:r w:rsidRPr="00C83506">
        <w:rPr>
          <w:rStyle w:val="footnotemark"/>
          <w:szCs w:val="20"/>
        </w:rPr>
        <w:footnoteRef/>
      </w:r>
      <w:r w:rsidRPr="00C83506">
        <w:rPr>
          <w:sz w:val="20"/>
          <w:szCs w:val="20"/>
        </w:rPr>
        <w:t xml:space="preserve"> Rozsudek NS ČR ze dne 28. ledna 2010, sp. zn. 29 Cdo 852/2009.</w:t>
      </w:r>
      <w:r>
        <w:t xml:space="preserve"> </w:t>
      </w:r>
    </w:p>
  </w:footnote>
  <w:footnote w:id="209">
    <w:p w:rsidR="009D1F29" w:rsidRDefault="009D1F29" w:rsidP="00C83506">
      <w:pPr>
        <w:pStyle w:val="footnotedescription"/>
        <w:spacing w:after="33" w:line="240" w:lineRule="auto"/>
        <w:ind w:right="8"/>
        <w:jc w:val="both"/>
      </w:pPr>
      <w:r w:rsidRPr="00C83506">
        <w:rPr>
          <w:rStyle w:val="footnotemark"/>
          <w:szCs w:val="20"/>
        </w:rPr>
        <w:footnoteRef/>
      </w:r>
      <w:r w:rsidRPr="00C83506">
        <w:rPr>
          <w:sz w:val="20"/>
          <w:szCs w:val="20"/>
        </w:rPr>
        <w:t xml:space="preserve"> BEZOUŠKOVÁ, Lenka. Nabytí vlastnického práva k movité věci od neoprávněného podle německé právní úpravy a návrhu občanského zákoníku. </w:t>
      </w:r>
      <w:r w:rsidRPr="00C83506">
        <w:rPr>
          <w:i/>
          <w:sz w:val="20"/>
          <w:szCs w:val="20"/>
        </w:rPr>
        <w:t>Právní rozhledy</w:t>
      </w:r>
      <w:r w:rsidRPr="00C83506">
        <w:rPr>
          <w:sz w:val="20"/>
          <w:szCs w:val="20"/>
        </w:rPr>
        <w:t>, 2009, roč. 17, č. 7, s. 246, či VANĚK, Jakub. Nabytí vlastnického práva od neoprávněného podle nového občanského zákoníku</w:t>
      </w:r>
      <w:r w:rsidRPr="00C83506">
        <w:rPr>
          <w:i/>
          <w:sz w:val="20"/>
          <w:szCs w:val="20"/>
        </w:rPr>
        <w:t>. Právní rozhledy</w:t>
      </w:r>
      <w:r>
        <w:rPr>
          <w:sz w:val="20"/>
          <w:szCs w:val="20"/>
        </w:rPr>
        <w:t xml:space="preserve">, 2014, roč. 22, č. 2, </w:t>
      </w:r>
      <w:r w:rsidRPr="00C83506">
        <w:rPr>
          <w:sz w:val="20"/>
          <w:szCs w:val="20"/>
        </w:rPr>
        <w:t>s. 44.</w:t>
      </w:r>
      <w:r w:rsidRPr="00C83506">
        <w:rPr>
          <w:rFonts w:ascii="Calibri" w:hAnsi="Calibri" w:cs="Calibri"/>
          <w:sz w:val="20"/>
          <w:szCs w:val="20"/>
        </w:rPr>
        <w:t xml:space="preserve"> </w:t>
      </w:r>
    </w:p>
  </w:footnote>
  <w:footnote w:id="210">
    <w:p w:rsidR="009D1F29" w:rsidRDefault="009D1F29" w:rsidP="00C83506">
      <w:pPr>
        <w:pStyle w:val="FootnoteText"/>
        <w:spacing w:line="240" w:lineRule="auto"/>
      </w:pPr>
      <w:r w:rsidRPr="00C83506">
        <w:rPr>
          <w:rStyle w:val="FootnoteReference"/>
        </w:rPr>
        <w:footnoteRef/>
      </w:r>
      <w:r w:rsidRPr="00C83506">
        <w:t xml:space="preserve"> SPÁČIL: </w:t>
      </w:r>
      <w:r w:rsidRPr="00C83506">
        <w:rPr>
          <w:i/>
        </w:rPr>
        <w:t>Občanský zákoník...</w:t>
      </w:r>
      <w:r w:rsidRPr="00C83506">
        <w:t>, s. 368.</w:t>
      </w:r>
    </w:p>
  </w:footnote>
  <w:footnote w:id="211">
    <w:p w:rsidR="009D1F29" w:rsidRDefault="009D1F29" w:rsidP="00C83506">
      <w:pPr>
        <w:pStyle w:val="footnotedescription"/>
        <w:spacing w:after="0" w:line="240" w:lineRule="auto"/>
        <w:jc w:val="both"/>
      </w:pPr>
      <w:r w:rsidRPr="00C83506">
        <w:rPr>
          <w:rStyle w:val="footnotemark"/>
          <w:szCs w:val="20"/>
        </w:rPr>
        <w:footnoteRef/>
      </w:r>
      <w:r w:rsidRPr="00C83506">
        <w:rPr>
          <w:sz w:val="20"/>
          <w:szCs w:val="20"/>
        </w:rPr>
        <w:t xml:space="preserve"> § 7 říká „</w:t>
      </w:r>
      <w:r w:rsidRPr="00C83506">
        <w:rPr>
          <w:i/>
          <w:sz w:val="20"/>
          <w:szCs w:val="20"/>
        </w:rPr>
        <w:t>Má se za to, že ten, kdo jednal určitým způsobem, jednal poctivě a v dobré víře”.</w:t>
      </w:r>
      <w:r w:rsidRPr="00C83506">
        <w:rPr>
          <w:sz w:val="20"/>
          <w:szCs w:val="20"/>
        </w:rPr>
        <w:t xml:space="preserve"> </w:t>
      </w:r>
    </w:p>
  </w:footnote>
  <w:footnote w:id="212">
    <w:p w:rsidR="009D1F29" w:rsidRDefault="009D1F29" w:rsidP="00C83506">
      <w:pPr>
        <w:pStyle w:val="footnotedescription"/>
        <w:spacing w:after="0" w:line="240" w:lineRule="auto"/>
        <w:ind w:right="12"/>
        <w:jc w:val="both"/>
      </w:pPr>
      <w:r w:rsidRPr="00C83506">
        <w:rPr>
          <w:rStyle w:val="footnotemark"/>
          <w:szCs w:val="20"/>
        </w:rPr>
        <w:footnoteRef/>
      </w:r>
      <w:r w:rsidRPr="00C83506">
        <w:rPr>
          <w:sz w:val="20"/>
          <w:szCs w:val="20"/>
        </w:rPr>
        <w:t xml:space="preserve"> BORSÍK, Daniel. Nadobudnutie vlastníctva od neoprávneného </w:t>
      </w:r>
      <w:r>
        <w:rPr>
          <w:sz w:val="20"/>
          <w:szCs w:val="20"/>
        </w:rPr>
        <w:t>ako prejav ochrany dobrej viery</w:t>
      </w:r>
      <w:r w:rsidRPr="00C83506">
        <w:rPr>
          <w:sz w:val="20"/>
          <w:szCs w:val="20"/>
        </w:rPr>
        <w:t xml:space="preserve"> </w:t>
      </w:r>
      <w:r>
        <w:rPr>
          <w:sz w:val="20"/>
          <w:szCs w:val="20"/>
        </w:rPr>
        <w:br/>
      </w:r>
      <w:r w:rsidRPr="00C83506">
        <w:rPr>
          <w:sz w:val="20"/>
          <w:szCs w:val="20"/>
        </w:rPr>
        <w:t xml:space="preserve">v komparatívnom súkromnom práve. </w:t>
      </w:r>
      <w:r w:rsidRPr="00C83506">
        <w:rPr>
          <w:i/>
          <w:sz w:val="20"/>
          <w:szCs w:val="20"/>
        </w:rPr>
        <w:t>Právní rozhledy</w:t>
      </w:r>
      <w:r w:rsidRPr="00C83506">
        <w:rPr>
          <w:sz w:val="20"/>
          <w:szCs w:val="20"/>
        </w:rPr>
        <w:t xml:space="preserve">, 2013, roč. 21, č. 7, s. 245. </w:t>
      </w:r>
    </w:p>
  </w:footnote>
  <w:footnote w:id="213">
    <w:p w:rsidR="009D1F29" w:rsidRDefault="009D1F29">
      <w:pPr>
        <w:pStyle w:val="FootnoteText"/>
      </w:pPr>
      <w:r>
        <w:rPr>
          <w:rStyle w:val="FootnoteReference"/>
        </w:rPr>
        <w:footnoteRef/>
      </w:r>
      <w:r>
        <w:t xml:space="preserve"> </w:t>
      </w:r>
      <w:r w:rsidRPr="00C83506">
        <w:t xml:space="preserve">KRATOCHVÍL: </w:t>
      </w:r>
      <w:r w:rsidRPr="00C83506">
        <w:rPr>
          <w:i/>
        </w:rPr>
        <w:t>Nové občanské...</w:t>
      </w:r>
      <w:r w:rsidRPr="00C83506">
        <w:t>, s. 319-320.</w:t>
      </w:r>
      <w:r>
        <w:t xml:space="preserve">  </w:t>
      </w:r>
    </w:p>
  </w:footnote>
  <w:footnote w:id="214">
    <w:p w:rsidR="009D1F29" w:rsidRDefault="009D1F29" w:rsidP="006564AE">
      <w:pPr>
        <w:pStyle w:val="footnotedescription"/>
        <w:spacing w:after="18" w:line="240" w:lineRule="auto"/>
        <w:jc w:val="both"/>
      </w:pPr>
      <w:r w:rsidRPr="006564AE">
        <w:rPr>
          <w:rStyle w:val="footnotemark"/>
          <w:szCs w:val="20"/>
        </w:rPr>
        <w:footnoteRef/>
      </w:r>
      <w:r w:rsidRPr="006564AE">
        <w:rPr>
          <w:sz w:val="20"/>
          <w:szCs w:val="20"/>
        </w:rPr>
        <w:t xml:space="preserve"> FIALA, Roman, DRÁPAL, Ljubomír a kol. </w:t>
      </w:r>
      <w:r w:rsidRPr="006564AE">
        <w:rPr>
          <w:i/>
          <w:sz w:val="20"/>
          <w:szCs w:val="20"/>
        </w:rPr>
        <w:t>Občanský zákoník IV. Dědické právo (§1475-1720). Komentář</w:t>
      </w:r>
      <w:r w:rsidRPr="006564AE">
        <w:rPr>
          <w:sz w:val="20"/>
          <w:szCs w:val="20"/>
        </w:rPr>
        <w:t xml:space="preserve">. Praha: C.H. Beck, 2015, s. 183. </w:t>
      </w:r>
    </w:p>
  </w:footnote>
  <w:footnote w:id="215">
    <w:p w:rsidR="009D1F29" w:rsidRDefault="009D1F29" w:rsidP="006564AE">
      <w:pPr>
        <w:pStyle w:val="footnotedescription"/>
        <w:spacing w:after="0" w:line="240" w:lineRule="auto"/>
        <w:jc w:val="both"/>
      </w:pPr>
      <w:r w:rsidRPr="006564AE">
        <w:rPr>
          <w:rStyle w:val="footnotemark"/>
          <w:szCs w:val="20"/>
        </w:rPr>
        <w:footnoteRef/>
      </w:r>
      <w:r w:rsidRPr="006564AE">
        <w:rPr>
          <w:sz w:val="20"/>
          <w:szCs w:val="20"/>
        </w:rPr>
        <w:t xml:space="preserve"> ŠVESTKA, Jiří, DVOŘÁK, Jan, FIALA, Josef a kol. </w:t>
      </w:r>
      <w:r w:rsidRPr="006564AE">
        <w:rPr>
          <w:i/>
          <w:sz w:val="20"/>
          <w:szCs w:val="20"/>
        </w:rPr>
        <w:t>Občanský zákoník. Komentář. Svazek IV. Dědické právo (§1475 až 1720).</w:t>
      </w:r>
      <w:r w:rsidRPr="006564AE">
        <w:rPr>
          <w:sz w:val="20"/>
          <w:szCs w:val="20"/>
        </w:rPr>
        <w:t xml:space="preserve"> Praha: Wolters Kluwer, 2014, s. 187.</w:t>
      </w:r>
      <w:r>
        <w:t xml:space="preserve"> </w:t>
      </w:r>
    </w:p>
  </w:footnote>
  <w:footnote w:id="216">
    <w:p w:rsidR="009D1F29" w:rsidRDefault="009D1F29" w:rsidP="00EA03A7">
      <w:pPr>
        <w:pStyle w:val="footnotedescription"/>
        <w:spacing w:after="23" w:line="240" w:lineRule="auto"/>
        <w:jc w:val="both"/>
      </w:pPr>
      <w:r w:rsidRPr="00EA03A7">
        <w:rPr>
          <w:rStyle w:val="footnotemark"/>
          <w:szCs w:val="20"/>
        </w:rPr>
        <w:footnoteRef/>
      </w:r>
      <w:r w:rsidRPr="00EA03A7">
        <w:rPr>
          <w:sz w:val="20"/>
          <w:szCs w:val="20"/>
        </w:rPr>
        <w:t xml:space="preserve"> ROUČEK, SEDLÁČEK:</w:t>
      </w:r>
      <w:r w:rsidRPr="00EA03A7">
        <w:rPr>
          <w:i/>
          <w:sz w:val="20"/>
          <w:szCs w:val="20"/>
        </w:rPr>
        <w:t xml:space="preserve"> Komentář II. díl..., </w:t>
      </w:r>
      <w:r w:rsidRPr="00EA03A7">
        <w:rPr>
          <w:sz w:val="20"/>
          <w:szCs w:val="20"/>
        </w:rPr>
        <w:t xml:space="preserve">s. 281. </w:t>
      </w:r>
    </w:p>
  </w:footnote>
  <w:footnote w:id="217">
    <w:p w:rsidR="009D1F29" w:rsidRDefault="009D1F29" w:rsidP="00EA03A7">
      <w:pPr>
        <w:pStyle w:val="footnotedescription"/>
        <w:spacing w:after="28" w:line="240" w:lineRule="auto"/>
        <w:jc w:val="both"/>
      </w:pPr>
      <w:r w:rsidRPr="00EA03A7">
        <w:rPr>
          <w:rStyle w:val="footnotemark"/>
          <w:szCs w:val="20"/>
        </w:rPr>
        <w:footnoteRef/>
      </w:r>
      <w:r w:rsidRPr="00EA03A7">
        <w:rPr>
          <w:sz w:val="20"/>
          <w:szCs w:val="20"/>
        </w:rPr>
        <w:t xml:space="preserve"> MAYR, Robert. </w:t>
      </w:r>
      <w:r w:rsidRPr="00EA03A7">
        <w:rPr>
          <w:i/>
          <w:sz w:val="20"/>
          <w:szCs w:val="20"/>
        </w:rPr>
        <w:t>Soustava občanského práva. Kniha pátá. Právo dědické.</w:t>
      </w:r>
      <w:r>
        <w:rPr>
          <w:sz w:val="20"/>
          <w:szCs w:val="20"/>
        </w:rPr>
        <w:t xml:space="preserve"> Brno: Barvič &amp; Novotný, 1927,</w:t>
      </w:r>
      <w:r w:rsidRPr="00EA03A7">
        <w:rPr>
          <w:sz w:val="20"/>
          <w:szCs w:val="20"/>
        </w:rPr>
        <w:t xml:space="preserve"> </w:t>
      </w:r>
      <w:r>
        <w:rPr>
          <w:sz w:val="20"/>
          <w:szCs w:val="20"/>
        </w:rPr>
        <w:br/>
      </w:r>
      <w:r w:rsidRPr="00EA03A7">
        <w:rPr>
          <w:sz w:val="20"/>
          <w:szCs w:val="20"/>
        </w:rPr>
        <w:t>s. 48.</w:t>
      </w:r>
      <w:r w:rsidRPr="00EA03A7">
        <w:rPr>
          <w:rFonts w:ascii="Book Antiqua" w:hAnsi="Book Antiqua" w:cs="Book Antiqua"/>
          <w:sz w:val="20"/>
          <w:szCs w:val="20"/>
        </w:rPr>
        <w:t xml:space="preserve"> </w:t>
      </w:r>
    </w:p>
  </w:footnote>
  <w:footnote w:id="218">
    <w:p w:rsidR="009D1F29" w:rsidRDefault="009D1F29" w:rsidP="00EA03A7">
      <w:pPr>
        <w:pStyle w:val="footnotedescription"/>
        <w:spacing w:after="29" w:line="240" w:lineRule="auto"/>
        <w:jc w:val="both"/>
      </w:pPr>
      <w:r w:rsidRPr="00EA03A7">
        <w:rPr>
          <w:rStyle w:val="footnotemark"/>
          <w:szCs w:val="20"/>
        </w:rPr>
        <w:footnoteRef/>
      </w:r>
      <w:r w:rsidRPr="00EA03A7">
        <w:rPr>
          <w:sz w:val="20"/>
          <w:szCs w:val="20"/>
        </w:rPr>
        <w:t xml:space="preserve"> Rozhodnutí NS ČSR ze dne 21. května 1937, sp. zn. Rv I 2046/36. </w:t>
      </w:r>
    </w:p>
  </w:footnote>
  <w:footnote w:id="219">
    <w:p w:rsidR="009D1F29" w:rsidRDefault="009D1F29" w:rsidP="00EA03A7">
      <w:pPr>
        <w:pStyle w:val="footnotedescription"/>
        <w:spacing w:after="0" w:line="240" w:lineRule="auto"/>
        <w:ind w:right="3202"/>
        <w:jc w:val="both"/>
      </w:pPr>
      <w:r w:rsidRPr="00EA03A7">
        <w:rPr>
          <w:rStyle w:val="footnotemark"/>
          <w:szCs w:val="20"/>
        </w:rPr>
        <w:footnoteRef/>
      </w:r>
      <w:r w:rsidRPr="00EA03A7">
        <w:rPr>
          <w:sz w:val="20"/>
          <w:szCs w:val="20"/>
        </w:rPr>
        <w:t xml:space="preserve"> Rozhodnutí NS ČSR ze dne 26. května 1937, sp. zn. Rv. I 1353/35. </w:t>
      </w:r>
      <w:r w:rsidRPr="00EA03A7">
        <w:rPr>
          <w:sz w:val="20"/>
          <w:szCs w:val="20"/>
          <w:vertAlign w:val="superscript"/>
        </w:rPr>
        <w:t xml:space="preserve">219 </w:t>
      </w:r>
      <w:r w:rsidRPr="00EA03A7">
        <w:rPr>
          <w:sz w:val="20"/>
          <w:szCs w:val="20"/>
        </w:rPr>
        <w:t>ROUČEK, SEDLÁČEK:</w:t>
      </w:r>
      <w:r w:rsidRPr="00EA03A7">
        <w:rPr>
          <w:i/>
          <w:sz w:val="20"/>
          <w:szCs w:val="20"/>
        </w:rPr>
        <w:t xml:space="preserve"> Komentář II. díl...</w:t>
      </w:r>
      <w:r w:rsidRPr="00EA03A7">
        <w:rPr>
          <w:sz w:val="20"/>
          <w:szCs w:val="20"/>
        </w:rPr>
        <w:t xml:space="preserve">, s. 289. </w:t>
      </w:r>
    </w:p>
  </w:footnote>
  <w:footnote w:id="220">
    <w:p w:rsidR="009D1F29" w:rsidRDefault="009D1F29" w:rsidP="00EA03A7">
      <w:pPr>
        <w:pStyle w:val="FootnoteText"/>
        <w:spacing w:line="240" w:lineRule="auto"/>
      </w:pPr>
      <w:r w:rsidRPr="00EA03A7">
        <w:rPr>
          <w:rStyle w:val="FootnoteReference"/>
        </w:rPr>
        <w:footnoteRef/>
      </w:r>
      <w:r w:rsidRPr="00EA03A7">
        <w:t xml:space="preserve"> ROUČEK, SEDLÁČEK:</w:t>
      </w:r>
      <w:r w:rsidRPr="00EA03A7">
        <w:rPr>
          <w:i/>
        </w:rPr>
        <w:t xml:space="preserve"> Komentář II. díl...</w:t>
      </w:r>
      <w:r w:rsidRPr="00EA03A7">
        <w:t>, s. 289.</w:t>
      </w:r>
    </w:p>
  </w:footnote>
  <w:footnote w:id="221">
    <w:p w:rsidR="009D1F29" w:rsidRDefault="009D1F29" w:rsidP="00EA03A7">
      <w:pPr>
        <w:pStyle w:val="footnotedescription"/>
        <w:spacing w:after="15" w:line="240" w:lineRule="auto"/>
        <w:jc w:val="both"/>
      </w:pPr>
      <w:r w:rsidRPr="00EA03A7">
        <w:rPr>
          <w:rStyle w:val="footnotemark"/>
          <w:szCs w:val="20"/>
        </w:rPr>
        <w:footnoteRef/>
      </w:r>
      <w:r w:rsidRPr="00EA03A7">
        <w:rPr>
          <w:sz w:val="20"/>
          <w:szCs w:val="20"/>
        </w:rPr>
        <w:t xml:space="preserve"> Tamtéž, s. 302. </w:t>
      </w:r>
    </w:p>
  </w:footnote>
  <w:footnote w:id="222">
    <w:p w:rsidR="009D1F29" w:rsidRDefault="009D1F29" w:rsidP="00EA03A7">
      <w:pPr>
        <w:pStyle w:val="footnotedescription"/>
        <w:spacing w:after="0" w:line="240" w:lineRule="auto"/>
        <w:jc w:val="both"/>
      </w:pPr>
      <w:r w:rsidRPr="00EA03A7">
        <w:rPr>
          <w:rStyle w:val="footnotemark"/>
          <w:szCs w:val="20"/>
        </w:rPr>
        <w:footnoteRef/>
      </w:r>
      <w:r w:rsidRPr="00EA03A7">
        <w:rPr>
          <w:sz w:val="20"/>
          <w:szCs w:val="20"/>
        </w:rPr>
        <w:t xml:space="preserve"> SVOBODA, Emil. </w:t>
      </w:r>
      <w:r w:rsidRPr="00EA03A7">
        <w:rPr>
          <w:i/>
          <w:sz w:val="20"/>
          <w:szCs w:val="20"/>
        </w:rPr>
        <w:t>Dědické právo</w:t>
      </w:r>
      <w:r w:rsidRPr="00EA03A7">
        <w:rPr>
          <w:sz w:val="20"/>
          <w:szCs w:val="20"/>
        </w:rPr>
        <w:t>. Praha: Československý kompas, 1946, s. 52.</w:t>
      </w:r>
      <w:r w:rsidRPr="00EA03A7">
        <w:rPr>
          <w:rFonts w:ascii="Book Antiqua" w:hAnsi="Book Antiqua" w:cs="Book Antiqua"/>
          <w:sz w:val="20"/>
          <w:szCs w:val="20"/>
        </w:rPr>
        <w:t xml:space="preserve"> </w:t>
      </w:r>
    </w:p>
  </w:footnote>
  <w:footnote w:id="223">
    <w:p w:rsidR="009D1F29" w:rsidRDefault="009D1F29" w:rsidP="00EA03A7">
      <w:pPr>
        <w:pStyle w:val="footnotedescription"/>
        <w:spacing w:after="1" w:line="240" w:lineRule="auto"/>
        <w:ind w:right="8"/>
        <w:jc w:val="both"/>
      </w:pPr>
      <w:r w:rsidRPr="00EA03A7">
        <w:rPr>
          <w:rStyle w:val="footnotemark"/>
          <w:szCs w:val="20"/>
        </w:rPr>
        <w:footnoteRef/>
      </w:r>
      <w:r w:rsidRPr="00EA03A7">
        <w:rPr>
          <w:sz w:val="20"/>
          <w:szCs w:val="20"/>
        </w:rPr>
        <w:t xml:space="preserve"> HOLUB, Rudolf. </w:t>
      </w:r>
      <w:r w:rsidRPr="00EA03A7">
        <w:rPr>
          <w:i/>
          <w:sz w:val="20"/>
          <w:szCs w:val="20"/>
        </w:rPr>
        <w:t>Komentář k občanskému zákoníku. Právo dědické.</w:t>
      </w:r>
      <w:r w:rsidRPr="00EA03A7">
        <w:rPr>
          <w:sz w:val="20"/>
          <w:szCs w:val="20"/>
        </w:rPr>
        <w:t xml:space="preserve"> Praha: Orbis, 1957, s. 174-175. </w:t>
      </w:r>
    </w:p>
  </w:footnote>
  <w:footnote w:id="224">
    <w:p w:rsidR="009D1F29" w:rsidRDefault="009D1F29" w:rsidP="00EA03A7">
      <w:pPr>
        <w:pStyle w:val="FootnoteText"/>
        <w:spacing w:line="240" w:lineRule="auto"/>
      </w:pPr>
      <w:r w:rsidRPr="00EA03A7">
        <w:rPr>
          <w:rStyle w:val="FootnoteReference"/>
        </w:rPr>
        <w:footnoteRef/>
      </w:r>
      <w:r w:rsidRPr="00EA03A7">
        <w:t xml:space="preserve"> BÍLEK, Petr, ŠEŠINA, Martin. </w:t>
      </w:r>
      <w:r w:rsidRPr="00EA03A7">
        <w:rPr>
          <w:i/>
        </w:rPr>
        <w:t>Dědické právo v předpisech let 1925-2001. Zákony s poznámkami</w:t>
      </w:r>
      <w:r w:rsidRPr="00EA03A7">
        <w:t xml:space="preserve">. </w:t>
      </w:r>
      <w:r>
        <w:br/>
      </w:r>
      <w:r w:rsidRPr="00EA03A7">
        <w:t>Praha: C.H. Beck, 2001, s. 106.</w:t>
      </w:r>
    </w:p>
  </w:footnote>
  <w:footnote w:id="225">
    <w:p w:rsidR="009D1F29" w:rsidRDefault="009D1F29" w:rsidP="00EA03A7">
      <w:pPr>
        <w:pStyle w:val="footnotedescription"/>
        <w:spacing w:after="6" w:line="240" w:lineRule="auto"/>
        <w:jc w:val="both"/>
      </w:pPr>
      <w:r w:rsidRPr="00EA03A7">
        <w:rPr>
          <w:rStyle w:val="footnotemark"/>
          <w:szCs w:val="20"/>
        </w:rPr>
        <w:footnoteRef/>
      </w:r>
      <w:r w:rsidRPr="00EA03A7">
        <w:rPr>
          <w:sz w:val="20"/>
          <w:szCs w:val="20"/>
        </w:rPr>
        <w:t xml:space="preserve"> FIALA, DRÁPAL: </w:t>
      </w:r>
      <w:r w:rsidRPr="00EA03A7">
        <w:rPr>
          <w:i/>
          <w:sz w:val="20"/>
          <w:szCs w:val="20"/>
        </w:rPr>
        <w:t>Občanský zákoník…</w:t>
      </w:r>
      <w:r w:rsidRPr="00EA03A7">
        <w:rPr>
          <w:sz w:val="20"/>
          <w:szCs w:val="20"/>
        </w:rPr>
        <w:t xml:space="preserve">, s. 240. </w:t>
      </w:r>
    </w:p>
  </w:footnote>
  <w:footnote w:id="226">
    <w:p w:rsidR="009D1F29" w:rsidRDefault="009D1F29" w:rsidP="00EA03A7">
      <w:pPr>
        <w:pStyle w:val="footnotedescription"/>
        <w:spacing w:after="9" w:line="240" w:lineRule="auto"/>
        <w:jc w:val="both"/>
      </w:pPr>
      <w:r w:rsidRPr="00EA03A7">
        <w:rPr>
          <w:rStyle w:val="footnotemark"/>
          <w:szCs w:val="20"/>
        </w:rPr>
        <w:footnoteRef/>
      </w:r>
      <w:r w:rsidRPr="00EA03A7">
        <w:rPr>
          <w:sz w:val="20"/>
          <w:szCs w:val="20"/>
        </w:rPr>
        <w:t xml:space="preserve"> HOLUB: </w:t>
      </w:r>
      <w:r w:rsidRPr="00EA03A7">
        <w:rPr>
          <w:i/>
          <w:sz w:val="20"/>
          <w:szCs w:val="20"/>
        </w:rPr>
        <w:t>Komentář…</w:t>
      </w:r>
      <w:r w:rsidRPr="00EA03A7">
        <w:rPr>
          <w:sz w:val="20"/>
          <w:szCs w:val="20"/>
        </w:rPr>
        <w:t xml:space="preserve">, s. 178. </w:t>
      </w:r>
    </w:p>
  </w:footnote>
  <w:footnote w:id="227">
    <w:p w:rsidR="009D1F29" w:rsidRDefault="009D1F29" w:rsidP="00EA03A7">
      <w:pPr>
        <w:pStyle w:val="footnotedescription"/>
        <w:spacing w:after="0" w:line="240" w:lineRule="auto"/>
        <w:jc w:val="both"/>
      </w:pPr>
      <w:r w:rsidRPr="00EA03A7">
        <w:rPr>
          <w:rStyle w:val="footnotemark"/>
          <w:szCs w:val="20"/>
        </w:rPr>
        <w:footnoteRef/>
      </w:r>
      <w:r w:rsidRPr="00EA03A7">
        <w:rPr>
          <w:sz w:val="20"/>
          <w:szCs w:val="20"/>
        </w:rPr>
        <w:t xml:space="preserve"> Rozsudek NS ČSSR ze dne 12. prosince 1952, sp. zn. Cz 648/52.</w:t>
      </w:r>
      <w:r>
        <w:t xml:space="preserve"> </w:t>
      </w:r>
    </w:p>
  </w:footnote>
  <w:footnote w:id="228">
    <w:p w:rsidR="009D1F29" w:rsidRDefault="009D1F29" w:rsidP="006D5B51">
      <w:pPr>
        <w:pStyle w:val="footnotedescription"/>
        <w:spacing w:after="19" w:line="240" w:lineRule="auto"/>
        <w:jc w:val="both"/>
      </w:pPr>
      <w:r w:rsidRPr="006D5B51">
        <w:rPr>
          <w:rStyle w:val="footnotemark"/>
          <w:szCs w:val="20"/>
        </w:rPr>
        <w:footnoteRef/>
      </w:r>
      <w:r w:rsidRPr="006D5B51">
        <w:rPr>
          <w:sz w:val="20"/>
          <w:szCs w:val="20"/>
        </w:rPr>
        <w:t xml:space="preserve"> HOLUB: </w:t>
      </w:r>
      <w:r w:rsidRPr="006D5B51">
        <w:rPr>
          <w:i/>
          <w:sz w:val="20"/>
          <w:szCs w:val="20"/>
        </w:rPr>
        <w:t>Komentář…</w:t>
      </w:r>
      <w:r w:rsidRPr="006D5B51">
        <w:rPr>
          <w:sz w:val="20"/>
          <w:szCs w:val="20"/>
        </w:rPr>
        <w:t>,</w:t>
      </w:r>
      <w:r w:rsidRPr="006D5B51">
        <w:rPr>
          <w:i/>
          <w:sz w:val="20"/>
          <w:szCs w:val="20"/>
        </w:rPr>
        <w:t xml:space="preserve"> </w:t>
      </w:r>
      <w:r w:rsidRPr="006D5B51">
        <w:rPr>
          <w:sz w:val="20"/>
          <w:szCs w:val="20"/>
        </w:rPr>
        <w:t xml:space="preserve">s. 176. </w:t>
      </w:r>
    </w:p>
  </w:footnote>
  <w:footnote w:id="229">
    <w:p w:rsidR="009D1F29" w:rsidRDefault="009D1F29" w:rsidP="006D5B51">
      <w:pPr>
        <w:pStyle w:val="footnotedescription"/>
        <w:spacing w:after="3" w:line="240" w:lineRule="auto"/>
        <w:jc w:val="both"/>
      </w:pPr>
      <w:r w:rsidRPr="006D5B51">
        <w:rPr>
          <w:rStyle w:val="footnotemark"/>
          <w:szCs w:val="20"/>
        </w:rPr>
        <w:footnoteRef/>
      </w:r>
      <w:r w:rsidRPr="006D5B51">
        <w:rPr>
          <w:sz w:val="20"/>
          <w:szCs w:val="20"/>
        </w:rPr>
        <w:t xml:space="preserve"> KNAPP, Viktor a kol. </w:t>
      </w:r>
      <w:r w:rsidRPr="006D5B51">
        <w:rPr>
          <w:i/>
          <w:sz w:val="20"/>
          <w:szCs w:val="20"/>
        </w:rPr>
        <w:t xml:space="preserve">Učebnice občanského a rodinného práva. </w:t>
      </w:r>
      <w:r w:rsidRPr="006D5B51">
        <w:rPr>
          <w:sz w:val="20"/>
          <w:szCs w:val="20"/>
        </w:rPr>
        <w:t xml:space="preserve">Svazek I. Praha: Orbis, 1953, s. 44.  </w:t>
      </w:r>
    </w:p>
  </w:footnote>
  <w:footnote w:id="230">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ELIÁŠ, Karel. Základní pojetí návrhu úpravy dědického práva pro nový občanský zákoník. </w:t>
      </w:r>
      <w:r w:rsidRPr="006D5B51">
        <w:rPr>
          <w:i/>
          <w:sz w:val="20"/>
          <w:szCs w:val="20"/>
        </w:rPr>
        <w:t>Ad Notam</w:t>
      </w:r>
      <w:r w:rsidRPr="006D5B51">
        <w:rPr>
          <w:sz w:val="20"/>
          <w:szCs w:val="20"/>
        </w:rPr>
        <w:t xml:space="preserve">, 2003, roč. 9, č. 5, s. 97. </w:t>
      </w:r>
    </w:p>
  </w:footnote>
  <w:footnote w:id="231">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ŠVESTKA, SPÁČIL, ŠKÁROVÁ, HULMÁK: </w:t>
      </w:r>
      <w:r w:rsidRPr="006D5B51">
        <w:rPr>
          <w:i/>
          <w:sz w:val="20"/>
          <w:szCs w:val="20"/>
        </w:rPr>
        <w:t xml:space="preserve">Občanský zákoník..., </w:t>
      </w:r>
      <w:r w:rsidRPr="006D5B51">
        <w:rPr>
          <w:sz w:val="20"/>
          <w:szCs w:val="20"/>
        </w:rPr>
        <w:t>s. 1458.</w:t>
      </w:r>
      <w:r>
        <w:rPr>
          <w:rFonts w:ascii="Calibri" w:hAnsi="Calibri" w:cs="Calibri"/>
          <w:sz w:val="21"/>
        </w:rPr>
        <w:t xml:space="preserve"> </w:t>
      </w:r>
      <w:r>
        <w:rPr>
          <w:rFonts w:ascii="Calibri" w:hAnsi="Calibri" w:cs="Calibri"/>
        </w:rPr>
        <w:t xml:space="preserve"> </w:t>
      </w:r>
    </w:p>
  </w:footnote>
  <w:footnote w:id="232">
    <w:p w:rsidR="009D1F29" w:rsidRDefault="009D1F29" w:rsidP="006D5B51">
      <w:pPr>
        <w:pStyle w:val="footnotedescription"/>
        <w:spacing w:after="22" w:line="240" w:lineRule="auto"/>
        <w:jc w:val="both"/>
      </w:pPr>
      <w:r w:rsidRPr="006D5B51">
        <w:rPr>
          <w:rStyle w:val="footnotemark"/>
          <w:szCs w:val="20"/>
        </w:rPr>
        <w:footnoteRef/>
      </w:r>
      <w:r w:rsidRPr="006D5B51">
        <w:rPr>
          <w:sz w:val="20"/>
          <w:szCs w:val="20"/>
        </w:rPr>
        <w:t xml:space="preserve"> Usnesení Městského soudu v Praze ze dne 28. ledna. 2001, sp. zn. 24 Co 51/2001. </w:t>
      </w:r>
    </w:p>
  </w:footnote>
  <w:footnote w:id="233">
    <w:p w:rsidR="009D1F29" w:rsidRDefault="009D1F29" w:rsidP="006D5B51">
      <w:pPr>
        <w:pStyle w:val="footnotedescription"/>
        <w:spacing w:after="33" w:line="240" w:lineRule="auto"/>
        <w:jc w:val="both"/>
      </w:pPr>
      <w:r w:rsidRPr="006D5B51">
        <w:rPr>
          <w:rStyle w:val="footnotemark"/>
          <w:szCs w:val="20"/>
        </w:rPr>
        <w:footnoteRef/>
      </w:r>
      <w:r w:rsidRPr="006D5B51">
        <w:rPr>
          <w:sz w:val="20"/>
          <w:szCs w:val="20"/>
        </w:rPr>
        <w:t xml:space="preserve"> Rozsudek NS ČR ze dne 2. srpna 1991, sp. zn. 4 Cz 56/91. </w:t>
      </w:r>
    </w:p>
  </w:footnote>
  <w:footnote w:id="234">
    <w:p w:rsidR="009D1F29" w:rsidRDefault="009D1F29" w:rsidP="006D5B51">
      <w:pPr>
        <w:pStyle w:val="footnotedescription"/>
        <w:spacing w:after="3" w:line="240" w:lineRule="auto"/>
        <w:jc w:val="both"/>
      </w:pPr>
      <w:r w:rsidRPr="006D5B51">
        <w:rPr>
          <w:rStyle w:val="footnotemark"/>
          <w:szCs w:val="20"/>
        </w:rPr>
        <w:footnoteRef/>
      </w:r>
      <w:r w:rsidRPr="006D5B51">
        <w:rPr>
          <w:sz w:val="20"/>
          <w:szCs w:val="20"/>
        </w:rPr>
        <w:t xml:space="preserve"> BEDNÁŘ, Václav. </w:t>
      </w:r>
      <w:r w:rsidRPr="006D5B51">
        <w:rPr>
          <w:i/>
          <w:sz w:val="20"/>
          <w:szCs w:val="20"/>
        </w:rPr>
        <w:t>Testamentární dědická posloupnost</w:t>
      </w:r>
      <w:r w:rsidRPr="006D5B51">
        <w:rPr>
          <w:sz w:val="20"/>
          <w:szCs w:val="20"/>
        </w:rPr>
        <w:t xml:space="preserve">. Plzeň: Aleš Čeněk, 2011, s. 86. </w:t>
      </w:r>
    </w:p>
  </w:footnote>
  <w:footnote w:id="235">
    <w:p w:rsidR="009D1F29" w:rsidRDefault="009D1F29" w:rsidP="006D5B51">
      <w:pPr>
        <w:pStyle w:val="footnotedescription"/>
        <w:spacing w:after="15" w:line="240" w:lineRule="auto"/>
        <w:jc w:val="both"/>
      </w:pPr>
      <w:r w:rsidRPr="006D5B51">
        <w:rPr>
          <w:rStyle w:val="footnotemark"/>
          <w:szCs w:val="20"/>
        </w:rPr>
        <w:footnoteRef/>
      </w:r>
      <w:r w:rsidRPr="006D5B51">
        <w:rPr>
          <w:sz w:val="20"/>
          <w:szCs w:val="20"/>
        </w:rPr>
        <w:t xml:space="preserve"> FIALA, Josef, KINDL, Milan a kol. </w:t>
      </w:r>
      <w:r w:rsidRPr="006D5B51">
        <w:rPr>
          <w:i/>
          <w:sz w:val="20"/>
          <w:szCs w:val="20"/>
        </w:rPr>
        <w:t>Občanský zákoník. Komentář</w:t>
      </w:r>
      <w:r w:rsidRPr="006D5B51">
        <w:rPr>
          <w:sz w:val="20"/>
          <w:szCs w:val="20"/>
        </w:rPr>
        <w:t>. Praha: Wolters Kluwer, s. 844.</w:t>
      </w:r>
      <w:r w:rsidRPr="006D5B51">
        <w:rPr>
          <w:rFonts w:ascii="Book Antiqua" w:hAnsi="Book Antiqua" w:cs="Book Antiqua"/>
          <w:sz w:val="20"/>
          <w:szCs w:val="20"/>
        </w:rPr>
        <w:t xml:space="preserve"> </w:t>
      </w:r>
    </w:p>
  </w:footnote>
  <w:footnote w:id="236">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w:t>
      </w:r>
      <w:r w:rsidRPr="006D5B51">
        <w:rPr>
          <w:i/>
          <w:sz w:val="20"/>
          <w:szCs w:val="20"/>
        </w:rPr>
        <w:t>Sborník směrnic, usnesení, rozborů a zhodnocení soudní praxe pléna a prezídia Nejvyššího soudu 1965-1967</w:t>
      </w:r>
      <w:r>
        <w:rPr>
          <w:sz w:val="20"/>
          <w:szCs w:val="20"/>
        </w:rPr>
        <w:t xml:space="preserve">. </w:t>
      </w:r>
      <w:r w:rsidRPr="006D5B51">
        <w:rPr>
          <w:sz w:val="20"/>
          <w:szCs w:val="20"/>
        </w:rPr>
        <w:t>Praha: Nejvyšší soud ČSSR, 1974, s. 552.</w:t>
      </w:r>
      <w:r w:rsidRPr="006D5B51">
        <w:rPr>
          <w:rFonts w:ascii="Book Antiqua" w:hAnsi="Book Antiqua" w:cs="Book Antiqua"/>
          <w:sz w:val="20"/>
          <w:szCs w:val="20"/>
        </w:rPr>
        <w:t xml:space="preserve"> </w:t>
      </w:r>
    </w:p>
  </w:footnote>
  <w:footnote w:id="237">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HORÁK, Ondřej. Tzv. nepominutelný dědic v novém občanském zákoníku. </w:t>
      </w:r>
      <w:r w:rsidRPr="006D5B51">
        <w:rPr>
          <w:i/>
          <w:sz w:val="20"/>
          <w:szCs w:val="20"/>
        </w:rPr>
        <w:t>Právní rozhledy</w:t>
      </w:r>
      <w:r>
        <w:rPr>
          <w:sz w:val="20"/>
          <w:szCs w:val="20"/>
        </w:rPr>
        <w:t xml:space="preserve">, 2014, roč. 22, </w:t>
      </w:r>
      <w:r>
        <w:rPr>
          <w:sz w:val="20"/>
          <w:szCs w:val="20"/>
        </w:rPr>
        <w:br/>
      </w:r>
      <w:r w:rsidRPr="006D5B51">
        <w:rPr>
          <w:sz w:val="20"/>
          <w:szCs w:val="20"/>
        </w:rPr>
        <w:t xml:space="preserve">č. 11, s. 381. </w:t>
      </w:r>
    </w:p>
  </w:footnote>
  <w:footnote w:id="238">
    <w:p w:rsidR="009D1F29" w:rsidRDefault="009D1F29" w:rsidP="006D5B51">
      <w:pPr>
        <w:pStyle w:val="footnotedescription"/>
        <w:spacing w:after="21" w:line="240" w:lineRule="auto"/>
        <w:jc w:val="both"/>
      </w:pPr>
      <w:r w:rsidRPr="006D5B51">
        <w:rPr>
          <w:rStyle w:val="footnotemark"/>
          <w:szCs w:val="20"/>
        </w:rPr>
        <w:footnoteRef/>
      </w:r>
      <w:r w:rsidRPr="006D5B51">
        <w:rPr>
          <w:sz w:val="20"/>
          <w:szCs w:val="20"/>
        </w:rPr>
        <w:t xml:space="preserve"> Usnesení Krajského soudu v Hradci Králové ze dne 5. května 2002, sp. zn. 17 Co 57/2002. </w:t>
      </w:r>
    </w:p>
  </w:footnote>
  <w:footnote w:id="239">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ŠVESTKA, SPÁČIL, ŠKÁROVÁ, HULMÁK: </w:t>
      </w:r>
      <w:r w:rsidRPr="006D5B51">
        <w:rPr>
          <w:i/>
          <w:sz w:val="20"/>
          <w:szCs w:val="20"/>
        </w:rPr>
        <w:t>Občanský zákoník</w:t>
      </w:r>
      <w:r w:rsidRPr="006D5B51">
        <w:rPr>
          <w:sz w:val="20"/>
          <w:szCs w:val="20"/>
        </w:rPr>
        <w:t>…, s. 1473-1474.</w:t>
      </w:r>
      <w:r w:rsidRPr="006D5B51">
        <w:rPr>
          <w:rFonts w:ascii="Calibri" w:hAnsi="Calibri" w:cs="Calibri"/>
          <w:sz w:val="20"/>
          <w:szCs w:val="20"/>
        </w:rPr>
        <w:t xml:space="preserve"> </w:t>
      </w:r>
    </w:p>
  </w:footnote>
  <w:footnote w:id="240">
    <w:p w:rsidR="009D1F29" w:rsidRDefault="009D1F29" w:rsidP="006D5B51">
      <w:pPr>
        <w:pStyle w:val="footnotedescription"/>
        <w:spacing w:after="13" w:line="240" w:lineRule="auto"/>
        <w:jc w:val="both"/>
      </w:pPr>
      <w:r w:rsidRPr="006D5B51">
        <w:rPr>
          <w:rStyle w:val="footnotemark"/>
          <w:szCs w:val="20"/>
        </w:rPr>
        <w:footnoteRef/>
      </w:r>
      <w:r w:rsidRPr="006D5B51">
        <w:rPr>
          <w:sz w:val="20"/>
          <w:szCs w:val="20"/>
        </w:rPr>
        <w:t xml:space="preserve"> KLEIN, Šimon. Okamžik přechodu vlastnického práva k pozůstalosti v NOZ. </w:t>
      </w:r>
      <w:r w:rsidRPr="006D5B51">
        <w:rPr>
          <w:i/>
          <w:sz w:val="20"/>
          <w:szCs w:val="20"/>
        </w:rPr>
        <w:t>Ad Notam</w:t>
      </w:r>
      <w:r>
        <w:rPr>
          <w:sz w:val="20"/>
          <w:szCs w:val="20"/>
        </w:rPr>
        <w:t xml:space="preserve">, 2013, roč. 19, č. 3, </w:t>
      </w:r>
      <w:r w:rsidRPr="006D5B51">
        <w:rPr>
          <w:sz w:val="20"/>
          <w:szCs w:val="20"/>
        </w:rPr>
        <w:t>s. 5.</w:t>
      </w:r>
      <w:r>
        <w:t xml:space="preserve"> </w:t>
      </w:r>
    </w:p>
  </w:footnote>
  <w:footnote w:id="241">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FIALA, DRÁPAL: </w:t>
      </w:r>
      <w:r w:rsidRPr="006D5B51">
        <w:rPr>
          <w:i/>
          <w:sz w:val="20"/>
          <w:szCs w:val="20"/>
        </w:rPr>
        <w:t>Občanský zákoník…</w:t>
      </w:r>
      <w:r w:rsidRPr="006D5B51">
        <w:rPr>
          <w:sz w:val="20"/>
          <w:szCs w:val="20"/>
        </w:rPr>
        <w:t xml:space="preserve">, s. 220-221. </w:t>
      </w:r>
    </w:p>
  </w:footnote>
  <w:footnote w:id="242">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KOŽUŠNÍKOVÁ, Vanda. Porovnání a výklad některých ustanovení nového občanského zákoníku </w:t>
      </w:r>
      <w:r>
        <w:rPr>
          <w:sz w:val="20"/>
          <w:szCs w:val="20"/>
        </w:rPr>
        <w:br/>
      </w:r>
      <w:r w:rsidRPr="006D5B51">
        <w:rPr>
          <w:sz w:val="20"/>
          <w:szCs w:val="20"/>
        </w:rPr>
        <w:t xml:space="preserve">a obecného zákoníku občanského týkajících se závěti. </w:t>
      </w:r>
      <w:r w:rsidRPr="006D5B51">
        <w:rPr>
          <w:i/>
          <w:sz w:val="20"/>
          <w:szCs w:val="20"/>
        </w:rPr>
        <w:t>Ad Notam</w:t>
      </w:r>
      <w:r w:rsidRPr="006D5B51">
        <w:rPr>
          <w:sz w:val="20"/>
          <w:szCs w:val="20"/>
        </w:rPr>
        <w:t xml:space="preserve">, 2013, roč. 19, č. 2, s. 4. </w:t>
      </w:r>
    </w:p>
  </w:footnote>
  <w:footnote w:id="243">
    <w:p w:rsidR="009D1F29" w:rsidRDefault="009D1F29" w:rsidP="006D5B51">
      <w:pPr>
        <w:pStyle w:val="footnotedescription"/>
        <w:spacing w:after="0" w:line="240" w:lineRule="auto"/>
        <w:jc w:val="both"/>
      </w:pPr>
      <w:r w:rsidRPr="006D5B51">
        <w:rPr>
          <w:rStyle w:val="footnotemark"/>
          <w:szCs w:val="20"/>
        </w:rPr>
        <w:footnoteRef/>
      </w:r>
      <w:r w:rsidRPr="006D5B51">
        <w:rPr>
          <w:sz w:val="20"/>
          <w:szCs w:val="20"/>
        </w:rPr>
        <w:t xml:space="preserve"> ELIÁŠ, Karel a kol</w:t>
      </w:r>
      <w:r w:rsidRPr="006D5B51">
        <w:rPr>
          <w:i/>
          <w:sz w:val="20"/>
          <w:szCs w:val="20"/>
        </w:rPr>
        <w:t>. Nový občanský zákoník s aktualizovanou důvodovou zprávou a rejstříkem</w:t>
      </w:r>
      <w:r w:rsidRPr="006D5B51">
        <w:rPr>
          <w:sz w:val="20"/>
          <w:szCs w:val="20"/>
        </w:rPr>
        <w:t xml:space="preserve">. </w:t>
      </w:r>
      <w:r>
        <w:rPr>
          <w:sz w:val="20"/>
          <w:szCs w:val="20"/>
        </w:rPr>
        <w:br/>
      </w:r>
      <w:r w:rsidRPr="006D5B51">
        <w:rPr>
          <w:sz w:val="20"/>
          <w:szCs w:val="20"/>
        </w:rPr>
        <w:t>Ostrava: Sagit, 2012, s. 643.</w:t>
      </w:r>
      <w:r>
        <w:t xml:space="preserve"> </w:t>
      </w:r>
    </w:p>
  </w:footnote>
  <w:footnote w:id="244">
    <w:p w:rsidR="009D1F29" w:rsidRDefault="009D1F29" w:rsidP="006D5B51">
      <w:pPr>
        <w:pStyle w:val="footnotedescription"/>
        <w:spacing w:after="24" w:line="240" w:lineRule="auto"/>
        <w:jc w:val="both"/>
      </w:pPr>
      <w:r w:rsidRPr="006D5B51">
        <w:rPr>
          <w:rStyle w:val="footnotemark"/>
          <w:szCs w:val="20"/>
        </w:rPr>
        <w:footnoteRef/>
      </w:r>
      <w:r w:rsidRPr="006D5B51">
        <w:rPr>
          <w:sz w:val="20"/>
          <w:szCs w:val="20"/>
        </w:rPr>
        <w:t xml:space="preserve"> FIALA, DRÁPAL: </w:t>
      </w:r>
      <w:r w:rsidRPr="006D5B51">
        <w:rPr>
          <w:i/>
          <w:sz w:val="20"/>
          <w:szCs w:val="20"/>
        </w:rPr>
        <w:t>Občanský zákoník…</w:t>
      </w:r>
      <w:r w:rsidRPr="006D5B51">
        <w:rPr>
          <w:sz w:val="20"/>
          <w:szCs w:val="20"/>
        </w:rPr>
        <w:t xml:space="preserve">, s. 258. </w:t>
      </w:r>
    </w:p>
  </w:footnote>
  <w:footnote w:id="245">
    <w:p w:rsidR="009D1F29" w:rsidRDefault="009D1F29" w:rsidP="006D5B51">
      <w:pPr>
        <w:pStyle w:val="footnotedescription"/>
        <w:spacing w:after="0" w:line="240" w:lineRule="auto"/>
        <w:ind w:right="3714"/>
        <w:jc w:val="both"/>
      </w:pPr>
      <w:r w:rsidRPr="006D5B51">
        <w:rPr>
          <w:rStyle w:val="footnotemark"/>
          <w:szCs w:val="20"/>
        </w:rPr>
        <w:footnoteRef/>
      </w:r>
      <w:r w:rsidRPr="006D5B51">
        <w:rPr>
          <w:sz w:val="20"/>
          <w:szCs w:val="20"/>
        </w:rPr>
        <w:t xml:space="preserve"> ŠVESTKA, DVOŘÁK, FIALA: </w:t>
      </w:r>
      <w:r w:rsidRPr="006D5B51">
        <w:rPr>
          <w:i/>
          <w:sz w:val="20"/>
          <w:szCs w:val="20"/>
        </w:rPr>
        <w:t xml:space="preserve">Občanský zákoník..., </w:t>
      </w:r>
      <w:r w:rsidRPr="006D5B51">
        <w:rPr>
          <w:sz w:val="20"/>
          <w:szCs w:val="20"/>
        </w:rPr>
        <w:t xml:space="preserve">s. 186. </w:t>
      </w:r>
    </w:p>
  </w:footnote>
  <w:footnote w:id="246">
    <w:p w:rsidR="009D1F29" w:rsidRDefault="009D1F29">
      <w:pPr>
        <w:pStyle w:val="FootnoteText"/>
      </w:pPr>
      <w:r>
        <w:rPr>
          <w:rStyle w:val="FootnoteReference"/>
        </w:rPr>
        <w:footnoteRef/>
      </w:r>
      <w:r>
        <w:t xml:space="preserve"> </w:t>
      </w:r>
      <w:r w:rsidRPr="006D5B51">
        <w:t>Tamtéž, s. 186.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7DC22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22EC44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806E5D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6304AC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ABCEF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C7AEE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2E0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77065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3E0193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E04D954"/>
    <w:lvl w:ilvl="0">
      <w:start w:val="1"/>
      <w:numFmt w:val="bullet"/>
      <w:lvlText w:val=""/>
      <w:lvlJc w:val="left"/>
      <w:pPr>
        <w:tabs>
          <w:tab w:val="num" w:pos="360"/>
        </w:tabs>
        <w:ind w:left="360" w:hanging="360"/>
      </w:pPr>
      <w:rPr>
        <w:rFonts w:ascii="Symbol" w:hAnsi="Symbol" w:hint="default"/>
      </w:rPr>
    </w:lvl>
  </w:abstractNum>
  <w:abstractNum w:abstractNumId="10">
    <w:nsid w:val="0ED356E3"/>
    <w:multiLevelType w:val="multilevel"/>
    <w:tmpl w:val="FA38CDB2"/>
    <w:lvl w:ilvl="0">
      <w:start w:val="1"/>
      <w:numFmt w:val="decimal"/>
      <w:lvlText w:val="%1"/>
      <w:lvlJc w:val="left"/>
      <w:rPr>
        <w:rFonts w:ascii="Times New Roman" w:eastAsia="Times New Roman" w:hAnsi="Times New Roman" w:cs="Times New Roman"/>
        <w:b/>
        <w:bCs/>
        <w:i w:val="0"/>
        <w:strike w:val="0"/>
        <w:dstrike w:val="0"/>
        <w:color w:val="262626"/>
        <w:sz w:val="32"/>
        <w:szCs w:val="32"/>
        <w:u w:val="none" w:color="000000"/>
        <w:vertAlign w:val="baseline"/>
      </w:rPr>
    </w:lvl>
    <w:lvl w:ilvl="1">
      <w:start w:val="1"/>
      <w:numFmt w:val="decimal"/>
      <w:lvlText w:val="%1.%2"/>
      <w:lvlJc w:val="left"/>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decimal"/>
      <w:lvlText w:val="%1.%2.%3"/>
      <w:lvlJc w:val="left"/>
      <w:rPr>
        <w:rFonts w:ascii="Times New Roman" w:eastAsia="Times New Roman" w:hAnsi="Times New Roman" w:cs="Times New Roman"/>
        <w:b/>
        <w:bCs/>
        <w:i w:val="0"/>
        <w:strike w:val="0"/>
        <w:dstrike w:val="0"/>
        <w:color w:val="000000"/>
        <w:sz w:val="24"/>
        <w:szCs w:val="24"/>
        <w:u w:val="none" w:color="000000"/>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11">
    <w:nsid w:val="658A3EDA"/>
    <w:multiLevelType w:val="multilevel"/>
    <w:tmpl w:val="FE7806CC"/>
    <w:lvl w:ilvl="0">
      <w:start w:val="1"/>
      <w:numFmt w:val="decimal"/>
      <w:pStyle w:val="Heading1"/>
      <w:lvlText w:val="%1"/>
      <w:lvlJc w:val="left"/>
      <w:rPr>
        <w:rFonts w:ascii="Times New Roman" w:eastAsia="Times New Roman" w:hAnsi="Times New Roman" w:cs="Times New Roman"/>
        <w:b/>
        <w:bCs/>
        <w:i w:val="0"/>
        <w:strike w:val="0"/>
        <w:dstrike w:val="0"/>
        <w:color w:val="auto"/>
        <w:sz w:val="32"/>
        <w:szCs w:val="32"/>
        <w:u w:val="none" w:color="000000"/>
        <w:vertAlign w:val="baseline"/>
      </w:rPr>
    </w:lvl>
    <w:lvl w:ilvl="1">
      <w:start w:val="1"/>
      <w:numFmt w:val="decimal"/>
      <w:pStyle w:val="Heading2"/>
      <w:lvlText w:val="%1.%2"/>
      <w:lvlJc w:val="left"/>
      <w:rPr>
        <w:rFonts w:ascii="Times New Roman" w:eastAsia="Times New Roman" w:hAnsi="Times New Roman" w:cs="Times New Roman"/>
        <w:b/>
        <w:bCs/>
        <w:i w:val="0"/>
        <w:strike w:val="0"/>
        <w:dstrike w:val="0"/>
        <w:color w:val="000000"/>
        <w:sz w:val="28"/>
        <w:szCs w:val="28"/>
        <w:u w:val="none" w:color="000000"/>
        <w:vertAlign w:val="baseline"/>
      </w:rPr>
    </w:lvl>
    <w:lvl w:ilvl="2">
      <w:start w:val="1"/>
      <w:numFmt w:val="decimal"/>
      <w:pStyle w:val="Heading3"/>
      <w:lvlText w:val="%1.%2.%3"/>
      <w:lvlJc w:val="left"/>
      <w:rPr>
        <w:rFonts w:ascii="Times New Roman" w:eastAsia="Times New Roman" w:hAnsi="Times New Roman" w:cs="Times New Roman"/>
        <w:b/>
        <w:bCs/>
        <w:i w:val="0"/>
        <w:strike w:val="0"/>
        <w:dstrike w:val="0"/>
        <w:color w:val="000000"/>
        <w:sz w:val="24"/>
        <w:szCs w:val="24"/>
        <w:u w:val="none" w:color="000000"/>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12">
    <w:nsid w:val="74831631"/>
    <w:multiLevelType w:val="hybridMultilevel"/>
    <w:tmpl w:val="34946490"/>
    <w:lvl w:ilvl="0" w:tplc="737CF186">
      <w:start w:val="117"/>
      <w:numFmt w:val="decimal"/>
      <w:lvlText w:val="%1"/>
      <w:lvlJc w:val="left"/>
      <w:pPr>
        <w:ind w:left="245"/>
      </w:pPr>
      <w:rPr>
        <w:rFonts w:ascii="Times New Roman" w:eastAsia="Times New Roman" w:hAnsi="Times New Roman" w:cs="Times New Roman"/>
        <w:b w:val="0"/>
        <w:i w:val="0"/>
        <w:strike w:val="0"/>
        <w:dstrike w:val="0"/>
        <w:color w:val="000000"/>
        <w:sz w:val="20"/>
        <w:szCs w:val="20"/>
        <w:u w:val="none" w:color="000000"/>
        <w:vertAlign w:val="superscript"/>
      </w:rPr>
    </w:lvl>
    <w:lvl w:ilvl="1" w:tplc="3FAC3BA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vertAlign w:val="superscript"/>
      </w:rPr>
    </w:lvl>
    <w:lvl w:ilvl="2" w:tplc="4C5CFCB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vertAlign w:val="superscript"/>
      </w:rPr>
    </w:lvl>
    <w:lvl w:ilvl="3" w:tplc="7616C00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vertAlign w:val="superscript"/>
      </w:rPr>
    </w:lvl>
    <w:lvl w:ilvl="4" w:tplc="D512BE3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vertAlign w:val="superscript"/>
      </w:rPr>
    </w:lvl>
    <w:lvl w:ilvl="5" w:tplc="03C0524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vertAlign w:val="superscript"/>
      </w:rPr>
    </w:lvl>
    <w:lvl w:ilvl="6" w:tplc="EB965CD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vertAlign w:val="superscript"/>
      </w:rPr>
    </w:lvl>
    <w:lvl w:ilvl="7" w:tplc="99864B9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vertAlign w:val="superscript"/>
      </w:rPr>
    </w:lvl>
    <w:lvl w:ilvl="8" w:tplc="6E46134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vertAlign w:val="superscript"/>
      </w:rPr>
    </w:lvl>
  </w:abstractNum>
  <w:num w:numId="1">
    <w:abstractNumId w:val="12"/>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F08"/>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50B3"/>
    <w:rsid w:val="000054CF"/>
    <w:rsid w:val="00020610"/>
    <w:rsid w:val="000220E3"/>
    <w:rsid w:val="00036E85"/>
    <w:rsid w:val="00037195"/>
    <w:rsid w:val="00062B8E"/>
    <w:rsid w:val="00074E5A"/>
    <w:rsid w:val="00082BE0"/>
    <w:rsid w:val="000942B7"/>
    <w:rsid w:val="000A6B46"/>
    <w:rsid w:val="000B5FC3"/>
    <w:rsid w:val="000D1402"/>
    <w:rsid w:val="000E3663"/>
    <w:rsid w:val="001140C0"/>
    <w:rsid w:val="001162BE"/>
    <w:rsid w:val="001234BE"/>
    <w:rsid w:val="00160D60"/>
    <w:rsid w:val="00192AF3"/>
    <w:rsid w:val="00195A8F"/>
    <w:rsid w:val="001B4C16"/>
    <w:rsid w:val="001C3F25"/>
    <w:rsid w:val="001E1D45"/>
    <w:rsid w:val="001E6713"/>
    <w:rsid w:val="001F65FB"/>
    <w:rsid w:val="00214398"/>
    <w:rsid w:val="0021443E"/>
    <w:rsid w:val="002358D2"/>
    <w:rsid w:val="00253037"/>
    <w:rsid w:val="0026100C"/>
    <w:rsid w:val="00272ACC"/>
    <w:rsid w:val="002A4F1C"/>
    <w:rsid w:val="002B4EC3"/>
    <w:rsid w:val="002B5248"/>
    <w:rsid w:val="002C1E7A"/>
    <w:rsid w:val="002C6A38"/>
    <w:rsid w:val="002D0D7B"/>
    <w:rsid w:val="002D42D4"/>
    <w:rsid w:val="002E2BC9"/>
    <w:rsid w:val="002F3496"/>
    <w:rsid w:val="00303A88"/>
    <w:rsid w:val="00310533"/>
    <w:rsid w:val="00310758"/>
    <w:rsid w:val="00315AAC"/>
    <w:rsid w:val="00320B4B"/>
    <w:rsid w:val="00327F4B"/>
    <w:rsid w:val="00340C1B"/>
    <w:rsid w:val="0034756D"/>
    <w:rsid w:val="00351F57"/>
    <w:rsid w:val="00364E86"/>
    <w:rsid w:val="00382934"/>
    <w:rsid w:val="003914AE"/>
    <w:rsid w:val="00393D31"/>
    <w:rsid w:val="00394D01"/>
    <w:rsid w:val="003A390C"/>
    <w:rsid w:val="003C4025"/>
    <w:rsid w:val="003D160E"/>
    <w:rsid w:val="003D64D8"/>
    <w:rsid w:val="003D67CA"/>
    <w:rsid w:val="003E3109"/>
    <w:rsid w:val="003E4586"/>
    <w:rsid w:val="003F546D"/>
    <w:rsid w:val="00413655"/>
    <w:rsid w:val="0041673B"/>
    <w:rsid w:val="0042351C"/>
    <w:rsid w:val="00432FA9"/>
    <w:rsid w:val="00437AA5"/>
    <w:rsid w:val="00446ADC"/>
    <w:rsid w:val="00462A0D"/>
    <w:rsid w:val="00467089"/>
    <w:rsid w:val="004730E1"/>
    <w:rsid w:val="004972EB"/>
    <w:rsid w:val="004A0CCE"/>
    <w:rsid w:val="004B1324"/>
    <w:rsid w:val="004B1691"/>
    <w:rsid w:val="004B441C"/>
    <w:rsid w:val="004C0CFB"/>
    <w:rsid w:val="004D7BB1"/>
    <w:rsid w:val="004E1F78"/>
    <w:rsid w:val="004F6551"/>
    <w:rsid w:val="005238C4"/>
    <w:rsid w:val="0053238D"/>
    <w:rsid w:val="00535BAF"/>
    <w:rsid w:val="00545449"/>
    <w:rsid w:val="005476EA"/>
    <w:rsid w:val="00550781"/>
    <w:rsid w:val="00562A41"/>
    <w:rsid w:val="00573C9C"/>
    <w:rsid w:val="00576E89"/>
    <w:rsid w:val="00584CC4"/>
    <w:rsid w:val="005A3AC9"/>
    <w:rsid w:val="005C0A98"/>
    <w:rsid w:val="005F40B7"/>
    <w:rsid w:val="006271DE"/>
    <w:rsid w:val="00632766"/>
    <w:rsid w:val="00636A9E"/>
    <w:rsid w:val="00636DA5"/>
    <w:rsid w:val="0064081E"/>
    <w:rsid w:val="00644658"/>
    <w:rsid w:val="0065244D"/>
    <w:rsid w:val="00652A10"/>
    <w:rsid w:val="006564AE"/>
    <w:rsid w:val="00663484"/>
    <w:rsid w:val="006749F6"/>
    <w:rsid w:val="00677077"/>
    <w:rsid w:val="006A0737"/>
    <w:rsid w:val="006A7848"/>
    <w:rsid w:val="006D42F7"/>
    <w:rsid w:val="006D5B51"/>
    <w:rsid w:val="006E1B1B"/>
    <w:rsid w:val="006E6183"/>
    <w:rsid w:val="006E6629"/>
    <w:rsid w:val="00701CA1"/>
    <w:rsid w:val="00705476"/>
    <w:rsid w:val="00711CD3"/>
    <w:rsid w:val="00716B3D"/>
    <w:rsid w:val="007221F7"/>
    <w:rsid w:val="00725683"/>
    <w:rsid w:val="007316E7"/>
    <w:rsid w:val="00732B57"/>
    <w:rsid w:val="00735ABC"/>
    <w:rsid w:val="00741282"/>
    <w:rsid w:val="007436D5"/>
    <w:rsid w:val="00745D08"/>
    <w:rsid w:val="00746E5B"/>
    <w:rsid w:val="00770317"/>
    <w:rsid w:val="007A3099"/>
    <w:rsid w:val="007B1FF0"/>
    <w:rsid w:val="007B27E2"/>
    <w:rsid w:val="007C0672"/>
    <w:rsid w:val="007C12A4"/>
    <w:rsid w:val="007C1852"/>
    <w:rsid w:val="007C6E70"/>
    <w:rsid w:val="007D202B"/>
    <w:rsid w:val="007E5B70"/>
    <w:rsid w:val="007E7EA7"/>
    <w:rsid w:val="00800FA8"/>
    <w:rsid w:val="00802865"/>
    <w:rsid w:val="00803EF6"/>
    <w:rsid w:val="008316E3"/>
    <w:rsid w:val="008449E6"/>
    <w:rsid w:val="0084769F"/>
    <w:rsid w:val="00885479"/>
    <w:rsid w:val="008A6256"/>
    <w:rsid w:val="00907D5E"/>
    <w:rsid w:val="0092054B"/>
    <w:rsid w:val="0093406B"/>
    <w:rsid w:val="009514CE"/>
    <w:rsid w:val="00951C44"/>
    <w:rsid w:val="00957F23"/>
    <w:rsid w:val="00977C23"/>
    <w:rsid w:val="0098610D"/>
    <w:rsid w:val="009A3451"/>
    <w:rsid w:val="009C5222"/>
    <w:rsid w:val="009C6902"/>
    <w:rsid w:val="009D1F29"/>
    <w:rsid w:val="009D3714"/>
    <w:rsid w:val="009D593D"/>
    <w:rsid w:val="009E18AC"/>
    <w:rsid w:val="009E1A17"/>
    <w:rsid w:val="009E4BD4"/>
    <w:rsid w:val="009F376F"/>
    <w:rsid w:val="009F6CC8"/>
    <w:rsid w:val="00A006DD"/>
    <w:rsid w:val="00A06034"/>
    <w:rsid w:val="00A103E3"/>
    <w:rsid w:val="00A11852"/>
    <w:rsid w:val="00A13475"/>
    <w:rsid w:val="00A21DE8"/>
    <w:rsid w:val="00A223F0"/>
    <w:rsid w:val="00A50512"/>
    <w:rsid w:val="00A5115E"/>
    <w:rsid w:val="00A53446"/>
    <w:rsid w:val="00A62541"/>
    <w:rsid w:val="00A734C5"/>
    <w:rsid w:val="00A8297E"/>
    <w:rsid w:val="00AA66D1"/>
    <w:rsid w:val="00AA7186"/>
    <w:rsid w:val="00AB4C8F"/>
    <w:rsid w:val="00AC3F14"/>
    <w:rsid w:val="00AE29B2"/>
    <w:rsid w:val="00AE76A3"/>
    <w:rsid w:val="00AF324E"/>
    <w:rsid w:val="00AF3319"/>
    <w:rsid w:val="00B162E0"/>
    <w:rsid w:val="00B545D5"/>
    <w:rsid w:val="00B62A51"/>
    <w:rsid w:val="00B748F0"/>
    <w:rsid w:val="00B86504"/>
    <w:rsid w:val="00B931B6"/>
    <w:rsid w:val="00B95AF8"/>
    <w:rsid w:val="00BB0782"/>
    <w:rsid w:val="00BB3214"/>
    <w:rsid w:val="00BB6BFD"/>
    <w:rsid w:val="00BC0BDC"/>
    <w:rsid w:val="00BD0812"/>
    <w:rsid w:val="00BE19A0"/>
    <w:rsid w:val="00C03292"/>
    <w:rsid w:val="00C07642"/>
    <w:rsid w:val="00C125DA"/>
    <w:rsid w:val="00C27C65"/>
    <w:rsid w:val="00C44606"/>
    <w:rsid w:val="00C5328D"/>
    <w:rsid w:val="00C56AE8"/>
    <w:rsid w:val="00C64A9A"/>
    <w:rsid w:val="00C656A2"/>
    <w:rsid w:val="00C72B3A"/>
    <w:rsid w:val="00C83506"/>
    <w:rsid w:val="00C87C80"/>
    <w:rsid w:val="00CB29FF"/>
    <w:rsid w:val="00CB5F04"/>
    <w:rsid w:val="00CC276E"/>
    <w:rsid w:val="00CD1691"/>
    <w:rsid w:val="00CD1FEF"/>
    <w:rsid w:val="00CD3852"/>
    <w:rsid w:val="00CE7FCC"/>
    <w:rsid w:val="00CF00FD"/>
    <w:rsid w:val="00D31926"/>
    <w:rsid w:val="00D45BA7"/>
    <w:rsid w:val="00D52962"/>
    <w:rsid w:val="00D53C36"/>
    <w:rsid w:val="00D557CA"/>
    <w:rsid w:val="00D64EA0"/>
    <w:rsid w:val="00D6669F"/>
    <w:rsid w:val="00D718F3"/>
    <w:rsid w:val="00D721E3"/>
    <w:rsid w:val="00D77CB5"/>
    <w:rsid w:val="00D81172"/>
    <w:rsid w:val="00D95A97"/>
    <w:rsid w:val="00D97ECB"/>
    <w:rsid w:val="00DB5EF4"/>
    <w:rsid w:val="00DB7B23"/>
    <w:rsid w:val="00DC72E6"/>
    <w:rsid w:val="00DD3839"/>
    <w:rsid w:val="00DD45A8"/>
    <w:rsid w:val="00DF66F8"/>
    <w:rsid w:val="00E05C04"/>
    <w:rsid w:val="00E06353"/>
    <w:rsid w:val="00E11896"/>
    <w:rsid w:val="00E15602"/>
    <w:rsid w:val="00E16202"/>
    <w:rsid w:val="00E24C23"/>
    <w:rsid w:val="00E33788"/>
    <w:rsid w:val="00E407D9"/>
    <w:rsid w:val="00E64F96"/>
    <w:rsid w:val="00E650B3"/>
    <w:rsid w:val="00E7621C"/>
    <w:rsid w:val="00EA03A7"/>
    <w:rsid w:val="00EA404F"/>
    <w:rsid w:val="00EB40FC"/>
    <w:rsid w:val="00EC71AA"/>
    <w:rsid w:val="00ED0677"/>
    <w:rsid w:val="00EE7C14"/>
    <w:rsid w:val="00EF30FB"/>
    <w:rsid w:val="00F00AB6"/>
    <w:rsid w:val="00F030F8"/>
    <w:rsid w:val="00F410BD"/>
    <w:rsid w:val="00F41C79"/>
    <w:rsid w:val="00F550C6"/>
    <w:rsid w:val="00F56168"/>
    <w:rsid w:val="00F71645"/>
    <w:rsid w:val="00F71721"/>
    <w:rsid w:val="00F73634"/>
    <w:rsid w:val="00F74355"/>
    <w:rsid w:val="00F81A8A"/>
    <w:rsid w:val="00F95A87"/>
    <w:rsid w:val="00FB005C"/>
    <w:rsid w:val="00FB4E6F"/>
    <w:rsid w:val="00FC1483"/>
    <w:rsid w:val="00FD712C"/>
    <w:rsid w:val="00FF3647"/>
    <w:rsid w:val="00FF461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2A4"/>
    <w:pPr>
      <w:spacing w:after="13" w:line="387" w:lineRule="auto"/>
      <w:ind w:left="10" w:right="8" w:hanging="10"/>
      <w:jc w:val="both"/>
    </w:pPr>
    <w:rPr>
      <w:rFonts w:ascii="Times New Roman" w:hAnsi="Times New Roman"/>
      <w:color w:val="000000"/>
      <w:sz w:val="24"/>
    </w:rPr>
  </w:style>
  <w:style w:type="paragraph" w:styleId="Heading1">
    <w:name w:val="heading 1"/>
    <w:basedOn w:val="Normal"/>
    <w:next w:val="Normal"/>
    <w:link w:val="Heading1Char"/>
    <w:uiPriority w:val="99"/>
    <w:qFormat/>
    <w:rsid w:val="007C12A4"/>
    <w:pPr>
      <w:keepNext/>
      <w:keepLines/>
      <w:numPr>
        <w:numId w:val="2"/>
      </w:numPr>
      <w:spacing w:after="12" w:line="259" w:lineRule="auto"/>
      <w:ind w:right="0"/>
      <w:jc w:val="left"/>
      <w:outlineLvl w:val="0"/>
    </w:pPr>
    <w:rPr>
      <w:b/>
      <w:color w:val="262626"/>
      <w:sz w:val="32"/>
    </w:rPr>
  </w:style>
  <w:style w:type="paragraph" w:styleId="Heading2">
    <w:name w:val="heading 2"/>
    <w:basedOn w:val="Normal"/>
    <w:next w:val="Normal"/>
    <w:link w:val="Heading2Char"/>
    <w:uiPriority w:val="99"/>
    <w:qFormat/>
    <w:rsid w:val="007C12A4"/>
    <w:pPr>
      <w:keepNext/>
      <w:keepLines/>
      <w:numPr>
        <w:ilvl w:val="1"/>
        <w:numId w:val="2"/>
      </w:numPr>
      <w:spacing w:after="0" w:line="261" w:lineRule="auto"/>
      <w:ind w:right="0"/>
      <w:jc w:val="left"/>
      <w:outlineLvl w:val="1"/>
    </w:pPr>
    <w:rPr>
      <w:b/>
      <w:sz w:val="28"/>
    </w:rPr>
  </w:style>
  <w:style w:type="paragraph" w:styleId="Heading3">
    <w:name w:val="heading 3"/>
    <w:basedOn w:val="Normal"/>
    <w:next w:val="Normal"/>
    <w:link w:val="Heading3Char"/>
    <w:uiPriority w:val="99"/>
    <w:qFormat/>
    <w:rsid w:val="007C12A4"/>
    <w:pPr>
      <w:keepNext/>
      <w:keepLines/>
      <w:numPr>
        <w:ilvl w:val="2"/>
        <w:numId w:val="2"/>
      </w:numPr>
      <w:spacing w:after="0" w:line="259" w:lineRule="auto"/>
      <w:ind w:right="0"/>
      <w:jc w:val="left"/>
      <w:outlineLvl w:val="2"/>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12A4"/>
    <w:rPr>
      <w:rFonts w:ascii="Times New Roman" w:hAnsi="Times New Roman" w:cs="Times New Roman"/>
      <w:b/>
      <w:color w:val="262626"/>
      <w:sz w:val="22"/>
    </w:rPr>
  </w:style>
  <w:style w:type="character" w:customStyle="1" w:styleId="Heading2Char">
    <w:name w:val="Heading 2 Char"/>
    <w:basedOn w:val="DefaultParagraphFont"/>
    <w:link w:val="Heading2"/>
    <w:uiPriority w:val="99"/>
    <w:locked/>
    <w:rsid w:val="007C12A4"/>
    <w:rPr>
      <w:rFonts w:ascii="Times New Roman" w:hAnsi="Times New Roman" w:cs="Times New Roman"/>
      <w:b/>
      <w:color w:val="000000"/>
      <w:sz w:val="22"/>
    </w:rPr>
  </w:style>
  <w:style w:type="character" w:customStyle="1" w:styleId="Heading3Char">
    <w:name w:val="Heading 3 Char"/>
    <w:basedOn w:val="DefaultParagraphFont"/>
    <w:link w:val="Heading3"/>
    <w:uiPriority w:val="99"/>
    <w:locked/>
    <w:rsid w:val="007C12A4"/>
    <w:rPr>
      <w:rFonts w:ascii="Times New Roman" w:hAnsi="Times New Roman" w:cs="Times New Roman"/>
      <w:b/>
      <w:color w:val="000000"/>
      <w:sz w:val="22"/>
    </w:rPr>
  </w:style>
  <w:style w:type="paragraph" w:customStyle="1" w:styleId="footnotedescription">
    <w:name w:val="footnote description"/>
    <w:next w:val="Normal"/>
    <w:link w:val="footnotedescriptionChar"/>
    <w:hidden/>
    <w:uiPriority w:val="99"/>
    <w:rsid w:val="007C12A4"/>
    <w:pPr>
      <w:spacing w:after="4" w:line="259" w:lineRule="auto"/>
    </w:pPr>
    <w:rPr>
      <w:rFonts w:ascii="Times New Roman" w:hAnsi="Times New Roman"/>
      <w:color w:val="000000"/>
    </w:rPr>
  </w:style>
  <w:style w:type="character" w:customStyle="1" w:styleId="footnotedescriptionChar">
    <w:name w:val="footnote description Char"/>
    <w:link w:val="footnotedescription"/>
    <w:uiPriority w:val="99"/>
    <w:locked/>
    <w:rsid w:val="007C12A4"/>
    <w:rPr>
      <w:rFonts w:ascii="Times New Roman" w:hAnsi="Times New Roman"/>
      <w:color w:val="000000"/>
      <w:sz w:val="22"/>
      <w:lang w:val="cs-CZ" w:eastAsia="cs-CZ"/>
    </w:rPr>
  </w:style>
  <w:style w:type="paragraph" w:styleId="TOC1">
    <w:name w:val="toc 1"/>
    <w:basedOn w:val="Normal"/>
    <w:hidden/>
    <w:uiPriority w:val="99"/>
    <w:rsid w:val="007C12A4"/>
    <w:pPr>
      <w:spacing w:after="81" w:line="259" w:lineRule="auto"/>
      <w:ind w:left="25" w:right="24"/>
      <w:jc w:val="left"/>
    </w:pPr>
    <w:rPr>
      <w:b/>
      <w:sz w:val="22"/>
    </w:rPr>
  </w:style>
  <w:style w:type="paragraph" w:styleId="TOC2">
    <w:name w:val="toc 2"/>
    <w:basedOn w:val="Normal"/>
    <w:hidden/>
    <w:uiPriority w:val="99"/>
    <w:rsid w:val="007C12A4"/>
    <w:pPr>
      <w:spacing w:after="100" w:line="259" w:lineRule="auto"/>
      <w:ind w:left="265" w:right="24"/>
    </w:pPr>
  </w:style>
  <w:style w:type="paragraph" w:styleId="TOC3">
    <w:name w:val="toc 3"/>
    <w:basedOn w:val="Normal"/>
    <w:hidden/>
    <w:uiPriority w:val="99"/>
    <w:rsid w:val="007C12A4"/>
    <w:pPr>
      <w:ind w:left="505" w:right="24"/>
    </w:pPr>
  </w:style>
  <w:style w:type="character" w:customStyle="1" w:styleId="footnotemark">
    <w:name w:val="footnote mark"/>
    <w:hidden/>
    <w:uiPriority w:val="99"/>
    <w:rsid w:val="007C12A4"/>
    <w:rPr>
      <w:rFonts w:ascii="Times New Roman" w:hAnsi="Times New Roman"/>
      <w:color w:val="000000"/>
      <w:sz w:val="20"/>
      <w:vertAlign w:val="superscript"/>
    </w:rPr>
  </w:style>
  <w:style w:type="character" w:styleId="Hyperlink">
    <w:name w:val="Hyperlink"/>
    <w:basedOn w:val="DefaultParagraphFont"/>
    <w:uiPriority w:val="99"/>
    <w:rsid w:val="00957F23"/>
    <w:rPr>
      <w:rFonts w:cs="Times New Roman"/>
      <w:color w:val="0000FF"/>
      <w:u w:val="single"/>
    </w:rPr>
  </w:style>
  <w:style w:type="paragraph" w:styleId="FootnoteText">
    <w:name w:val="footnote text"/>
    <w:basedOn w:val="Normal"/>
    <w:link w:val="FootnoteTextChar"/>
    <w:uiPriority w:val="99"/>
    <w:semiHidden/>
    <w:rsid w:val="00382934"/>
    <w:rPr>
      <w:sz w:val="20"/>
      <w:szCs w:val="20"/>
    </w:rPr>
  </w:style>
  <w:style w:type="character" w:customStyle="1" w:styleId="FootnoteTextChar">
    <w:name w:val="Footnote Text Char"/>
    <w:basedOn w:val="DefaultParagraphFont"/>
    <w:link w:val="FootnoteText"/>
    <w:uiPriority w:val="99"/>
    <w:semiHidden/>
    <w:locked/>
    <w:rsid w:val="008449E6"/>
    <w:rPr>
      <w:rFonts w:ascii="Times New Roman" w:hAnsi="Times New Roman" w:cs="Times New Roman"/>
      <w:color w:val="000000"/>
      <w:sz w:val="20"/>
      <w:szCs w:val="20"/>
    </w:rPr>
  </w:style>
  <w:style w:type="character" w:styleId="FootnoteReference">
    <w:name w:val="footnote reference"/>
    <w:basedOn w:val="DefaultParagraphFont"/>
    <w:uiPriority w:val="99"/>
    <w:semiHidden/>
    <w:rsid w:val="00382934"/>
    <w:rPr>
      <w:rFonts w:cs="Times New Roman"/>
      <w:vertAlign w:val="superscript"/>
    </w:rPr>
  </w:style>
  <w:style w:type="paragraph" w:styleId="Header">
    <w:name w:val="header"/>
    <w:basedOn w:val="Normal"/>
    <w:link w:val="HeaderChar"/>
    <w:uiPriority w:val="99"/>
    <w:rsid w:val="006749F6"/>
    <w:pPr>
      <w:tabs>
        <w:tab w:val="center" w:pos="4536"/>
        <w:tab w:val="right" w:pos="9072"/>
      </w:tabs>
    </w:pPr>
  </w:style>
  <w:style w:type="character" w:customStyle="1" w:styleId="HeaderChar">
    <w:name w:val="Header Char"/>
    <w:basedOn w:val="DefaultParagraphFont"/>
    <w:link w:val="Header"/>
    <w:uiPriority w:val="99"/>
    <w:semiHidden/>
    <w:locked/>
    <w:rsid w:val="008449E6"/>
    <w:rPr>
      <w:rFonts w:ascii="Times New Roman" w:hAnsi="Times New Roman" w:cs="Times New Roman"/>
      <w:color w:val="000000"/>
      <w:sz w:val="24"/>
    </w:rPr>
  </w:style>
</w:styles>
</file>

<file path=word/webSettings.xml><?xml version="1.0" encoding="utf-8"?>
<w:webSettings xmlns:r="http://schemas.openxmlformats.org/officeDocument/2006/relationships" xmlns:w="http://schemas.openxmlformats.org/wordprocessingml/2006/main">
  <w:divs>
    <w:div w:id="1163930858">
      <w:marLeft w:val="0"/>
      <w:marRight w:val="0"/>
      <w:marTop w:val="0"/>
      <w:marBottom w:val="0"/>
      <w:divBdr>
        <w:top w:val="none" w:sz="0" w:space="0" w:color="auto"/>
        <w:left w:val="none" w:sz="0" w:space="0" w:color="auto"/>
        <w:bottom w:val="none" w:sz="0" w:space="0" w:color="auto"/>
        <w:right w:val="none" w:sz="0" w:space="0" w:color="auto"/>
      </w:divBdr>
      <w:divsChild>
        <w:div w:id="1163930886">
          <w:marLeft w:val="120"/>
          <w:marRight w:val="135"/>
          <w:marTop w:val="150"/>
          <w:marBottom w:val="150"/>
          <w:divBdr>
            <w:top w:val="none" w:sz="0" w:space="0" w:color="auto"/>
            <w:left w:val="none" w:sz="0" w:space="0" w:color="auto"/>
            <w:bottom w:val="none" w:sz="0" w:space="0" w:color="auto"/>
            <w:right w:val="none" w:sz="0" w:space="0" w:color="auto"/>
          </w:divBdr>
          <w:divsChild>
            <w:div w:id="1163930882">
              <w:marLeft w:val="0"/>
              <w:marRight w:val="0"/>
              <w:marTop w:val="0"/>
              <w:marBottom w:val="0"/>
              <w:divBdr>
                <w:top w:val="none" w:sz="0" w:space="0" w:color="auto"/>
                <w:left w:val="none" w:sz="0" w:space="0" w:color="auto"/>
                <w:bottom w:val="none" w:sz="0" w:space="0" w:color="auto"/>
                <w:right w:val="none" w:sz="0" w:space="0" w:color="auto"/>
              </w:divBdr>
              <w:divsChild>
                <w:div w:id="1163930911">
                  <w:marLeft w:val="0"/>
                  <w:marRight w:val="0"/>
                  <w:marTop w:val="0"/>
                  <w:marBottom w:val="0"/>
                  <w:divBdr>
                    <w:top w:val="none" w:sz="0" w:space="0" w:color="auto"/>
                    <w:left w:val="none" w:sz="0" w:space="0" w:color="auto"/>
                    <w:bottom w:val="none" w:sz="0" w:space="0" w:color="auto"/>
                    <w:right w:val="none" w:sz="0" w:space="0" w:color="auto"/>
                  </w:divBdr>
                  <w:divsChild>
                    <w:div w:id="1163930939">
                      <w:marLeft w:val="0"/>
                      <w:marRight w:val="0"/>
                      <w:marTop w:val="0"/>
                      <w:marBottom w:val="0"/>
                      <w:divBdr>
                        <w:top w:val="none" w:sz="0" w:space="0" w:color="auto"/>
                        <w:left w:val="none" w:sz="0" w:space="0" w:color="auto"/>
                        <w:bottom w:val="none" w:sz="0" w:space="0" w:color="auto"/>
                        <w:right w:val="none" w:sz="0" w:space="0" w:color="auto"/>
                      </w:divBdr>
                      <w:divsChild>
                        <w:div w:id="1163931013">
                          <w:marLeft w:val="0"/>
                          <w:marRight w:val="0"/>
                          <w:marTop w:val="0"/>
                          <w:marBottom w:val="0"/>
                          <w:divBdr>
                            <w:top w:val="none" w:sz="0" w:space="0" w:color="auto"/>
                            <w:left w:val="none" w:sz="0" w:space="0" w:color="auto"/>
                            <w:bottom w:val="none" w:sz="0" w:space="0" w:color="auto"/>
                            <w:right w:val="none" w:sz="0" w:space="0" w:color="auto"/>
                          </w:divBdr>
                          <w:divsChild>
                            <w:div w:id="1163930992">
                              <w:marLeft w:val="120"/>
                              <w:marRight w:val="0"/>
                              <w:marTop w:val="0"/>
                              <w:marBottom w:val="0"/>
                              <w:divBdr>
                                <w:top w:val="none" w:sz="0" w:space="0" w:color="auto"/>
                                <w:left w:val="none" w:sz="0" w:space="0" w:color="auto"/>
                                <w:bottom w:val="none" w:sz="0" w:space="0" w:color="auto"/>
                                <w:right w:val="none" w:sz="0" w:space="0" w:color="auto"/>
                              </w:divBdr>
                              <w:divsChild>
                                <w:div w:id="1163930897">
                                  <w:marLeft w:val="0"/>
                                  <w:marRight w:val="0"/>
                                  <w:marTop w:val="0"/>
                                  <w:marBottom w:val="0"/>
                                  <w:divBdr>
                                    <w:top w:val="none" w:sz="0" w:space="0" w:color="auto"/>
                                    <w:left w:val="none" w:sz="0" w:space="0" w:color="auto"/>
                                    <w:bottom w:val="none" w:sz="0" w:space="0" w:color="auto"/>
                                    <w:right w:val="none" w:sz="0" w:space="0" w:color="auto"/>
                                  </w:divBdr>
                                  <w:divsChild>
                                    <w:div w:id="1163930978">
                                      <w:marLeft w:val="0"/>
                                      <w:marRight w:val="0"/>
                                      <w:marTop w:val="0"/>
                                      <w:marBottom w:val="0"/>
                                      <w:divBdr>
                                        <w:top w:val="none" w:sz="0" w:space="0" w:color="auto"/>
                                        <w:left w:val="none" w:sz="0" w:space="0" w:color="auto"/>
                                        <w:bottom w:val="none" w:sz="0" w:space="0" w:color="auto"/>
                                        <w:right w:val="none" w:sz="0" w:space="0" w:color="auto"/>
                                      </w:divBdr>
                                      <w:divsChild>
                                        <w:div w:id="1163930980">
                                          <w:marLeft w:val="0"/>
                                          <w:marRight w:val="0"/>
                                          <w:marTop w:val="0"/>
                                          <w:marBottom w:val="0"/>
                                          <w:divBdr>
                                            <w:top w:val="none" w:sz="0" w:space="0" w:color="auto"/>
                                            <w:left w:val="none" w:sz="0" w:space="0" w:color="auto"/>
                                            <w:bottom w:val="none" w:sz="0" w:space="0" w:color="auto"/>
                                            <w:right w:val="none" w:sz="0" w:space="0" w:color="auto"/>
                                          </w:divBdr>
                                          <w:divsChild>
                                            <w:div w:id="116393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0943">
                      <w:marLeft w:val="0"/>
                      <w:marRight w:val="0"/>
                      <w:marTop w:val="0"/>
                      <w:marBottom w:val="0"/>
                      <w:divBdr>
                        <w:top w:val="none" w:sz="0" w:space="0" w:color="auto"/>
                        <w:left w:val="none" w:sz="0" w:space="0" w:color="auto"/>
                        <w:bottom w:val="none" w:sz="0" w:space="0" w:color="auto"/>
                        <w:right w:val="none" w:sz="0" w:space="0" w:color="auto"/>
                      </w:divBdr>
                      <w:divsChild>
                        <w:div w:id="1163931022">
                          <w:marLeft w:val="0"/>
                          <w:marRight w:val="0"/>
                          <w:marTop w:val="0"/>
                          <w:marBottom w:val="0"/>
                          <w:divBdr>
                            <w:top w:val="none" w:sz="0" w:space="0" w:color="auto"/>
                            <w:left w:val="none" w:sz="0" w:space="0" w:color="auto"/>
                            <w:bottom w:val="none" w:sz="0" w:space="0" w:color="auto"/>
                            <w:right w:val="none" w:sz="0" w:space="0" w:color="auto"/>
                          </w:divBdr>
                          <w:divsChild>
                            <w:div w:id="1163930987">
                              <w:marLeft w:val="120"/>
                              <w:marRight w:val="0"/>
                              <w:marTop w:val="0"/>
                              <w:marBottom w:val="0"/>
                              <w:divBdr>
                                <w:top w:val="none" w:sz="0" w:space="0" w:color="auto"/>
                                <w:left w:val="none" w:sz="0" w:space="0" w:color="auto"/>
                                <w:bottom w:val="none" w:sz="0" w:space="0" w:color="auto"/>
                                <w:right w:val="none" w:sz="0" w:space="0" w:color="auto"/>
                              </w:divBdr>
                              <w:divsChild>
                                <w:div w:id="1163930966">
                                  <w:marLeft w:val="0"/>
                                  <w:marRight w:val="0"/>
                                  <w:marTop w:val="0"/>
                                  <w:marBottom w:val="0"/>
                                  <w:divBdr>
                                    <w:top w:val="none" w:sz="0" w:space="0" w:color="auto"/>
                                    <w:left w:val="none" w:sz="0" w:space="0" w:color="auto"/>
                                    <w:bottom w:val="none" w:sz="0" w:space="0" w:color="auto"/>
                                    <w:right w:val="none" w:sz="0" w:space="0" w:color="auto"/>
                                  </w:divBdr>
                                  <w:divsChild>
                                    <w:div w:id="1163930990">
                                      <w:marLeft w:val="0"/>
                                      <w:marRight w:val="0"/>
                                      <w:marTop w:val="0"/>
                                      <w:marBottom w:val="0"/>
                                      <w:divBdr>
                                        <w:top w:val="none" w:sz="0" w:space="0" w:color="auto"/>
                                        <w:left w:val="none" w:sz="0" w:space="0" w:color="auto"/>
                                        <w:bottom w:val="none" w:sz="0" w:space="0" w:color="auto"/>
                                        <w:right w:val="none" w:sz="0" w:space="0" w:color="auto"/>
                                      </w:divBdr>
                                      <w:divsChild>
                                        <w:div w:id="1163931004">
                                          <w:marLeft w:val="0"/>
                                          <w:marRight w:val="0"/>
                                          <w:marTop w:val="0"/>
                                          <w:marBottom w:val="0"/>
                                          <w:divBdr>
                                            <w:top w:val="none" w:sz="0" w:space="0" w:color="auto"/>
                                            <w:left w:val="none" w:sz="0" w:space="0" w:color="auto"/>
                                            <w:bottom w:val="none" w:sz="0" w:space="0" w:color="auto"/>
                                            <w:right w:val="none" w:sz="0" w:space="0" w:color="auto"/>
                                          </w:divBdr>
                                          <w:divsChild>
                                            <w:div w:id="116393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931010">
              <w:marLeft w:val="0"/>
              <w:marRight w:val="0"/>
              <w:marTop w:val="0"/>
              <w:marBottom w:val="0"/>
              <w:divBdr>
                <w:top w:val="none" w:sz="0" w:space="0" w:color="auto"/>
                <w:left w:val="none" w:sz="0" w:space="0" w:color="auto"/>
                <w:bottom w:val="none" w:sz="0" w:space="0" w:color="auto"/>
                <w:right w:val="none" w:sz="0" w:space="0" w:color="auto"/>
              </w:divBdr>
            </w:div>
          </w:divsChild>
        </w:div>
        <w:div w:id="1163930915">
          <w:marLeft w:val="120"/>
          <w:marRight w:val="135"/>
          <w:marTop w:val="150"/>
          <w:marBottom w:val="150"/>
          <w:divBdr>
            <w:top w:val="none" w:sz="0" w:space="0" w:color="auto"/>
            <w:left w:val="none" w:sz="0" w:space="0" w:color="auto"/>
            <w:bottom w:val="none" w:sz="0" w:space="0" w:color="auto"/>
            <w:right w:val="none" w:sz="0" w:space="0" w:color="auto"/>
          </w:divBdr>
          <w:divsChild>
            <w:div w:id="1163930962">
              <w:marLeft w:val="0"/>
              <w:marRight w:val="0"/>
              <w:marTop w:val="0"/>
              <w:marBottom w:val="0"/>
              <w:divBdr>
                <w:top w:val="none" w:sz="0" w:space="0" w:color="auto"/>
                <w:left w:val="none" w:sz="0" w:space="0" w:color="auto"/>
                <w:bottom w:val="none" w:sz="0" w:space="0" w:color="auto"/>
                <w:right w:val="none" w:sz="0" w:space="0" w:color="auto"/>
              </w:divBdr>
            </w:div>
            <w:div w:id="1163930970">
              <w:marLeft w:val="0"/>
              <w:marRight w:val="0"/>
              <w:marTop w:val="0"/>
              <w:marBottom w:val="0"/>
              <w:divBdr>
                <w:top w:val="none" w:sz="0" w:space="0" w:color="auto"/>
                <w:left w:val="none" w:sz="0" w:space="0" w:color="auto"/>
                <w:bottom w:val="none" w:sz="0" w:space="0" w:color="auto"/>
                <w:right w:val="none" w:sz="0" w:space="0" w:color="auto"/>
              </w:divBdr>
              <w:divsChild>
                <w:div w:id="1163930955">
                  <w:marLeft w:val="0"/>
                  <w:marRight w:val="0"/>
                  <w:marTop w:val="0"/>
                  <w:marBottom w:val="0"/>
                  <w:divBdr>
                    <w:top w:val="none" w:sz="0" w:space="0" w:color="auto"/>
                    <w:left w:val="none" w:sz="0" w:space="0" w:color="auto"/>
                    <w:bottom w:val="none" w:sz="0" w:space="0" w:color="auto"/>
                    <w:right w:val="none" w:sz="0" w:space="0" w:color="auto"/>
                  </w:divBdr>
                  <w:divsChild>
                    <w:div w:id="1163930874">
                      <w:marLeft w:val="0"/>
                      <w:marRight w:val="0"/>
                      <w:marTop w:val="0"/>
                      <w:marBottom w:val="0"/>
                      <w:divBdr>
                        <w:top w:val="none" w:sz="0" w:space="0" w:color="auto"/>
                        <w:left w:val="none" w:sz="0" w:space="0" w:color="auto"/>
                        <w:bottom w:val="none" w:sz="0" w:space="0" w:color="auto"/>
                        <w:right w:val="none" w:sz="0" w:space="0" w:color="auto"/>
                      </w:divBdr>
                      <w:divsChild>
                        <w:div w:id="1163930857">
                          <w:marLeft w:val="0"/>
                          <w:marRight w:val="0"/>
                          <w:marTop w:val="0"/>
                          <w:marBottom w:val="0"/>
                          <w:divBdr>
                            <w:top w:val="none" w:sz="0" w:space="0" w:color="auto"/>
                            <w:left w:val="none" w:sz="0" w:space="0" w:color="auto"/>
                            <w:bottom w:val="none" w:sz="0" w:space="0" w:color="auto"/>
                            <w:right w:val="none" w:sz="0" w:space="0" w:color="auto"/>
                          </w:divBdr>
                          <w:divsChild>
                            <w:div w:id="1163930898">
                              <w:marLeft w:val="120"/>
                              <w:marRight w:val="0"/>
                              <w:marTop w:val="0"/>
                              <w:marBottom w:val="0"/>
                              <w:divBdr>
                                <w:top w:val="none" w:sz="0" w:space="0" w:color="auto"/>
                                <w:left w:val="none" w:sz="0" w:space="0" w:color="auto"/>
                                <w:bottom w:val="none" w:sz="0" w:space="0" w:color="auto"/>
                                <w:right w:val="none" w:sz="0" w:space="0" w:color="auto"/>
                              </w:divBdr>
                              <w:divsChild>
                                <w:div w:id="1163930865">
                                  <w:marLeft w:val="0"/>
                                  <w:marRight w:val="0"/>
                                  <w:marTop w:val="0"/>
                                  <w:marBottom w:val="0"/>
                                  <w:divBdr>
                                    <w:top w:val="none" w:sz="0" w:space="0" w:color="auto"/>
                                    <w:left w:val="none" w:sz="0" w:space="0" w:color="auto"/>
                                    <w:bottom w:val="none" w:sz="0" w:space="0" w:color="auto"/>
                                    <w:right w:val="none" w:sz="0" w:space="0" w:color="auto"/>
                                  </w:divBdr>
                                  <w:divsChild>
                                    <w:div w:id="1163931012">
                                      <w:marLeft w:val="0"/>
                                      <w:marRight w:val="0"/>
                                      <w:marTop w:val="0"/>
                                      <w:marBottom w:val="0"/>
                                      <w:divBdr>
                                        <w:top w:val="none" w:sz="0" w:space="0" w:color="auto"/>
                                        <w:left w:val="none" w:sz="0" w:space="0" w:color="auto"/>
                                        <w:bottom w:val="none" w:sz="0" w:space="0" w:color="auto"/>
                                        <w:right w:val="none" w:sz="0" w:space="0" w:color="auto"/>
                                      </w:divBdr>
                                      <w:divsChild>
                                        <w:div w:id="1163931009">
                                          <w:marLeft w:val="0"/>
                                          <w:marRight w:val="0"/>
                                          <w:marTop w:val="0"/>
                                          <w:marBottom w:val="0"/>
                                          <w:divBdr>
                                            <w:top w:val="none" w:sz="0" w:space="0" w:color="auto"/>
                                            <w:left w:val="none" w:sz="0" w:space="0" w:color="auto"/>
                                            <w:bottom w:val="none" w:sz="0" w:space="0" w:color="auto"/>
                                            <w:right w:val="none" w:sz="0" w:space="0" w:color="auto"/>
                                          </w:divBdr>
                                          <w:divsChild>
                                            <w:div w:id="11639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0940">
                      <w:marLeft w:val="0"/>
                      <w:marRight w:val="0"/>
                      <w:marTop w:val="0"/>
                      <w:marBottom w:val="0"/>
                      <w:divBdr>
                        <w:top w:val="none" w:sz="0" w:space="0" w:color="auto"/>
                        <w:left w:val="none" w:sz="0" w:space="0" w:color="auto"/>
                        <w:bottom w:val="none" w:sz="0" w:space="0" w:color="auto"/>
                        <w:right w:val="none" w:sz="0" w:space="0" w:color="auto"/>
                      </w:divBdr>
                      <w:divsChild>
                        <w:div w:id="1163931001">
                          <w:marLeft w:val="0"/>
                          <w:marRight w:val="0"/>
                          <w:marTop w:val="0"/>
                          <w:marBottom w:val="0"/>
                          <w:divBdr>
                            <w:top w:val="none" w:sz="0" w:space="0" w:color="auto"/>
                            <w:left w:val="none" w:sz="0" w:space="0" w:color="auto"/>
                            <w:bottom w:val="none" w:sz="0" w:space="0" w:color="auto"/>
                            <w:right w:val="none" w:sz="0" w:space="0" w:color="auto"/>
                          </w:divBdr>
                          <w:divsChild>
                            <w:div w:id="1163930995">
                              <w:marLeft w:val="120"/>
                              <w:marRight w:val="0"/>
                              <w:marTop w:val="0"/>
                              <w:marBottom w:val="0"/>
                              <w:divBdr>
                                <w:top w:val="none" w:sz="0" w:space="0" w:color="auto"/>
                                <w:left w:val="none" w:sz="0" w:space="0" w:color="auto"/>
                                <w:bottom w:val="none" w:sz="0" w:space="0" w:color="auto"/>
                                <w:right w:val="none" w:sz="0" w:space="0" w:color="auto"/>
                              </w:divBdr>
                              <w:divsChild>
                                <w:div w:id="1163930920">
                                  <w:marLeft w:val="0"/>
                                  <w:marRight w:val="0"/>
                                  <w:marTop w:val="0"/>
                                  <w:marBottom w:val="0"/>
                                  <w:divBdr>
                                    <w:top w:val="none" w:sz="0" w:space="0" w:color="auto"/>
                                    <w:left w:val="none" w:sz="0" w:space="0" w:color="auto"/>
                                    <w:bottom w:val="none" w:sz="0" w:space="0" w:color="auto"/>
                                    <w:right w:val="none" w:sz="0" w:space="0" w:color="auto"/>
                                  </w:divBdr>
                                  <w:divsChild>
                                    <w:div w:id="1163930871">
                                      <w:marLeft w:val="0"/>
                                      <w:marRight w:val="0"/>
                                      <w:marTop w:val="0"/>
                                      <w:marBottom w:val="0"/>
                                      <w:divBdr>
                                        <w:top w:val="none" w:sz="0" w:space="0" w:color="auto"/>
                                        <w:left w:val="none" w:sz="0" w:space="0" w:color="auto"/>
                                        <w:bottom w:val="none" w:sz="0" w:space="0" w:color="auto"/>
                                        <w:right w:val="none" w:sz="0" w:space="0" w:color="auto"/>
                                      </w:divBdr>
                                      <w:divsChild>
                                        <w:div w:id="1163930923">
                                          <w:marLeft w:val="0"/>
                                          <w:marRight w:val="0"/>
                                          <w:marTop w:val="0"/>
                                          <w:marBottom w:val="0"/>
                                          <w:divBdr>
                                            <w:top w:val="none" w:sz="0" w:space="0" w:color="auto"/>
                                            <w:left w:val="none" w:sz="0" w:space="0" w:color="auto"/>
                                            <w:bottom w:val="none" w:sz="0" w:space="0" w:color="auto"/>
                                            <w:right w:val="none" w:sz="0" w:space="0" w:color="auto"/>
                                          </w:divBdr>
                                          <w:divsChild>
                                            <w:div w:id="11639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0999">
                      <w:marLeft w:val="0"/>
                      <w:marRight w:val="0"/>
                      <w:marTop w:val="0"/>
                      <w:marBottom w:val="0"/>
                      <w:divBdr>
                        <w:top w:val="none" w:sz="0" w:space="0" w:color="auto"/>
                        <w:left w:val="none" w:sz="0" w:space="0" w:color="auto"/>
                        <w:bottom w:val="none" w:sz="0" w:space="0" w:color="auto"/>
                        <w:right w:val="none" w:sz="0" w:space="0" w:color="auto"/>
                      </w:divBdr>
                      <w:divsChild>
                        <w:div w:id="1163930935">
                          <w:marLeft w:val="0"/>
                          <w:marRight w:val="0"/>
                          <w:marTop w:val="0"/>
                          <w:marBottom w:val="0"/>
                          <w:divBdr>
                            <w:top w:val="none" w:sz="0" w:space="0" w:color="auto"/>
                            <w:left w:val="none" w:sz="0" w:space="0" w:color="auto"/>
                            <w:bottom w:val="none" w:sz="0" w:space="0" w:color="auto"/>
                            <w:right w:val="none" w:sz="0" w:space="0" w:color="auto"/>
                          </w:divBdr>
                          <w:divsChild>
                            <w:div w:id="1163930998">
                              <w:marLeft w:val="120"/>
                              <w:marRight w:val="0"/>
                              <w:marTop w:val="0"/>
                              <w:marBottom w:val="0"/>
                              <w:divBdr>
                                <w:top w:val="none" w:sz="0" w:space="0" w:color="auto"/>
                                <w:left w:val="none" w:sz="0" w:space="0" w:color="auto"/>
                                <w:bottom w:val="none" w:sz="0" w:space="0" w:color="auto"/>
                                <w:right w:val="none" w:sz="0" w:space="0" w:color="auto"/>
                              </w:divBdr>
                              <w:divsChild>
                                <w:div w:id="1163930927">
                                  <w:marLeft w:val="0"/>
                                  <w:marRight w:val="0"/>
                                  <w:marTop w:val="0"/>
                                  <w:marBottom w:val="0"/>
                                  <w:divBdr>
                                    <w:top w:val="none" w:sz="0" w:space="0" w:color="auto"/>
                                    <w:left w:val="none" w:sz="0" w:space="0" w:color="auto"/>
                                    <w:bottom w:val="none" w:sz="0" w:space="0" w:color="auto"/>
                                    <w:right w:val="none" w:sz="0" w:space="0" w:color="auto"/>
                                  </w:divBdr>
                                  <w:divsChild>
                                    <w:div w:id="1163930861">
                                      <w:marLeft w:val="0"/>
                                      <w:marRight w:val="0"/>
                                      <w:marTop w:val="0"/>
                                      <w:marBottom w:val="0"/>
                                      <w:divBdr>
                                        <w:top w:val="none" w:sz="0" w:space="0" w:color="auto"/>
                                        <w:left w:val="none" w:sz="0" w:space="0" w:color="auto"/>
                                        <w:bottom w:val="none" w:sz="0" w:space="0" w:color="auto"/>
                                        <w:right w:val="none" w:sz="0" w:space="0" w:color="auto"/>
                                      </w:divBdr>
                                      <w:divsChild>
                                        <w:div w:id="1163930924">
                                          <w:marLeft w:val="0"/>
                                          <w:marRight w:val="0"/>
                                          <w:marTop w:val="0"/>
                                          <w:marBottom w:val="0"/>
                                          <w:divBdr>
                                            <w:top w:val="none" w:sz="0" w:space="0" w:color="auto"/>
                                            <w:left w:val="none" w:sz="0" w:space="0" w:color="auto"/>
                                            <w:bottom w:val="none" w:sz="0" w:space="0" w:color="auto"/>
                                            <w:right w:val="none" w:sz="0" w:space="0" w:color="auto"/>
                                          </w:divBdr>
                                          <w:divsChild>
                                            <w:div w:id="11639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3930925">
          <w:marLeft w:val="120"/>
          <w:marRight w:val="135"/>
          <w:marTop w:val="150"/>
          <w:marBottom w:val="150"/>
          <w:divBdr>
            <w:top w:val="none" w:sz="0" w:space="0" w:color="auto"/>
            <w:left w:val="none" w:sz="0" w:space="0" w:color="auto"/>
            <w:bottom w:val="none" w:sz="0" w:space="0" w:color="auto"/>
            <w:right w:val="none" w:sz="0" w:space="0" w:color="auto"/>
          </w:divBdr>
          <w:divsChild>
            <w:div w:id="1163930862">
              <w:marLeft w:val="0"/>
              <w:marRight w:val="0"/>
              <w:marTop w:val="0"/>
              <w:marBottom w:val="0"/>
              <w:divBdr>
                <w:top w:val="none" w:sz="0" w:space="0" w:color="auto"/>
                <w:left w:val="none" w:sz="0" w:space="0" w:color="auto"/>
                <w:bottom w:val="none" w:sz="0" w:space="0" w:color="auto"/>
                <w:right w:val="none" w:sz="0" w:space="0" w:color="auto"/>
              </w:divBdr>
              <w:divsChild>
                <w:div w:id="1163930989">
                  <w:marLeft w:val="0"/>
                  <w:marRight w:val="0"/>
                  <w:marTop w:val="0"/>
                  <w:marBottom w:val="0"/>
                  <w:divBdr>
                    <w:top w:val="none" w:sz="0" w:space="0" w:color="auto"/>
                    <w:left w:val="none" w:sz="0" w:space="0" w:color="auto"/>
                    <w:bottom w:val="none" w:sz="0" w:space="0" w:color="auto"/>
                    <w:right w:val="none" w:sz="0" w:space="0" w:color="auto"/>
                  </w:divBdr>
                  <w:divsChild>
                    <w:div w:id="1163931006">
                      <w:marLeft w:val="0"/>
                      <w:marRight w:val="0"/>
                      <w:marTop w:val="0"/>
                      <w:marBottom w:val="0"/>
                      <w:divBdr>
                        <w:top w:val="none" w:sz="0" w:space="0" w:color="auto"/>
                        <w:left w:val="none" w:sz="0" w:space="0" w:color="auto"/>
                        <w:bottom w:val="none" w:sz="0" w:space="0" w:color="auto"/>
                        <w:right w:val="none" w:sz="0" w:space="0" w:color="auto"/>
                      </w:divBdr>
                      <w:divsChild>
                        <w:div w:id="1163930945">
                          <w:marLeft w:val="0"/>
                          <w:marRight w:val="0"/>
                          <w:marTop w:val="0"/>
                          <w:marBottom w:val="0"/>
                          <w:divBdr>
                            <w:top w:val="none" w:sz="0" w:space="0" w:color="auto"/>
                            <w:left w:val="none" w:sz="0" w:space="0" w:color="auto"/>
                            <w:bottom w:val="none" w:sz="0" w:space="0" w:color="auto"/>
                            <w:right w:val="none" w:sz="0" w:space="0" w:color="auto"/>
                          </w:divBdr>
                          <w:divsChild>
                            <w:div w:id="1163930896">
                              <w:marLeft w:val="0"/>
                              <w:marRight w:val="0"/>
                              <w:marTop w:val="0"/>
                              <w:marBottom w:val="0"/>
                              <w:divBdr>
                                <w:top w:val="none" w:sz="0" w:space="0" w:color="auto"/>
                                <w:left w:val="none" w:sz="0" w:space="0" w:color="auto"/>
                                <w:bottom w:val="none" w:sz="0" w:space="0" w:color="auto"/>
                                <w:right w:val="none" w:sz="0" w:space="0" w:color="auto"/>
                              </w:divBdr>
                              <w:divsChild>
                                <w:div w:id="1163930954">
                                  <w:marLeft w:val="0"/>
                                  <w:marRight w:val="0"/>
                                  <w:marTop w:val="0"/>
                                  <w:marBottom w:val="0"/>
                                  <w:divBdr>
                                    <w:top w:val="none" w:sz="0" w:space="0" w:color="auto"/>
                                    <w:left w:val="none" w:sz="0" w:space="0" w:color="auto"/>
                                    <w:bottom w:val="none" w:sz="0" w:space="0" w:color="auto"/>
                                    <w:right w:val="none" w:sz="0" w:space="0" w:color="auto"/>
                                  </w:divBdr>
                                  <w:divsChild>
                                    <w:div w:id="1163931002">
                                      <w:marLeft w:val="0"/>
                                      <w:marRight w:val="0"/>
                                      <w:marTop w:val="0"/>
                                      <w:marBottom w:val="0"/>
                                      <w:divBdr>
                                        <w:top w:val="none" w:sz="0" w:space="0" w:color="auto"/>
                                        <w:left w:val="none" w:sz="0" w:space="0" w:color="auto"/>
                                        <w:bottom w:val="none" w:sz="0" w:space="0" w:color="auto"/>
                                        <w:right w:val="none" w:sz="0" w:space="0" w:color="auto"/>
                                      </w:divBdr>
                                      <w:divsChild>
                                        <w:div w:id="1163931019">
                                          <w:marLeft w:val="0"/>
                                          <w:marRight w:val="0"/>
                                          <w:marTop w:val="0"/>
                                          <w:marBottom w:val="0"/>
                                          <w:divBdr>
                                            <w:top w:val="none" w:sz="0" w:space="0" w:color="auto"/>
                                            <w:left w:val="none" w:sz="0" w:space="0" w:color="auto"/>
                                            <w:bottom w:val="none" w:sz="0" w:space="0" w:color="auto"/>
                                            <w:right w:val="none" w:sz="0" w:space="0" w:color="auto"/>
                                          </w:divBdr>
                                          <w:divsChild>
                                            <w:div w:id="116393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3930961">
          <w:marLeft w:val="120"/>
          <w:marRight w:val="135"/>
          <w:marTop w:val="150"/>
          <w:marBottom w:val="150"/>
          <w:divBdr>
            <w:top w:val="none" w:sz="0" w:space="0" w:color="auto"/>
            <w:left w:val="none" w:sz="0" w:space="0" w:color="auto"/>
            <w:bottom w:val="none" w:sz="0" w:space="0" w:color="auto"/>
            <w:right w:val="none" w:sz="0" w:space="0" w:color="auto"/>
          </w:divBdr>
          <w:divsChild>
            <w:div w:id="1163930855">
              <w:marLeft w:val="0"/>
              <w:marRight w:val="0"/>
              <w:marTop w:val="0"/>
              <w:marBottom w:val="0"/>
              <w:divBdr>
                <w:top w:val="none" w:sz="0" w:space="0" w:color="auto"/>
                <w:left w:val="none" w:sz="0" w:space="0" w:color="auto"/>
                <w:bottom w:val="none" w:sz="0" w:space="0" w:color="auto"/>
                <w:right w:val="none" w:sz="0" w:space="0" w:color="auto"/>
              </w:divBdr>
              <w:divsChild>
                <w:div w:id="1163930936">
                  <w:marLeft w:val="0"/>
                  <w:marRight w:val="0"/>
                  <w:marTop w:val="0"/>
                  <w:marBottom w:val="0"/>
                  <w:divBdr>
                    <w:top w:val="none" w:sz="0" w:space="0" w:color="auto"/>
                    <w:left w:val="none" w:sz="0" w:space="0" w:color="auto"/>
                    <w:bottom w:val="none" w:sz="0" w:space="0" w:color="auto"/>
                    <w:right w:val="none" w:sz="0" w:space="0" w:color="auto"/>
                  </w:divBdr>
                  <w:divsChild>
                    <w:div w:id="1163930873">
                      <w:marLeft w:val="0"/>
                      <w:marRight w:val="0"/>
                      <w:marTop w:val="0"/>
                      <w:marBottom w:val="0"/>
                      <w:divBdr>
                        <w:top w:val="none" w:sz="0" w:space="0" w:color="auto"/>
                        <w:left w:val="none" w:sz="0" w:space="0" w:color="auto"/>
                        <w:bottom w:val="none" w:sz="0" w:space="0" w:color="auto"/>
                        <w:right w:val="none" w:sz="0" w:space="0" w:color="auto"/>
                      </w:divBdr>
                      <w:divsChild>
                        <w:div w:id="1163930910">
                          <w:marLeft w:val="0"/>
                          <w:marRight w:val="0"/>
                          <w:marTop w:val="0"/>
                          <w:marBottom w:val="0"/>
                          <w:divBdr>
                            <w:top w:val="none" w:sz="0" w:space="0" w:color="auto"/>
                            <w:left w:val="none" w:sz="0" w:space="0" w:color="auto"/>
                            <w:bottom w:val="none" w:sz="0" w:space="0" w:color="auto"/>
                            <w:right w:val="none" w:sz="0" w:space="0" w:color="auto"/>
                          </w:divBdr>
                          <w:divsChild>
                            <w:div w:id="1163930928">
                              <w:marLeft w:val="0"/>
                              <w:marRight w:val="0"/>
                              <w:marTop w:val="0"/>
                              <w:marBottom w:val="0"/>
                              <w:divBdr>
                                <w:top w:val="none" w:sz="0" w:space="0" w:color="auto"/>
                                <w:left w:val="none" w:sz="0" w:space="0" w:color="auto"/>
                                <w:bottom w:val="none" w:sz="0" w:space="0" w:color="auto"/>
                                <w:right w:val="none" w:sz="0" w:space="0" w:color="auto"/>
                              </w:divBdr>
                              <w:divsChild>
                                <w:div w:id="1163930878">
                                  <w:marLeft w:val="0"/>
                                  <w:marRight w:val="0"/>
                                  <w:marTop w:val="0"/>
                                  <w:marBottom w:val="0"/>
                                  <w:divBdr>
                                    <w:top w:val="none" w:sz="0" w:space="0" w:color="auto"/>
                                    <w:left w:val="none" w:sz="0" w:space="0" w:color="auto"/>
                                    <w:bottom w:val="none" w:sz="0" w:space="0" w:color="auto"/>
                                    <w:right w:val="none" w:sz="0" w:space="0" w:color="auto"/>
                                  </w:divBdr>
                                  <w:divsChild>
                                    <w:div w:id="1163931023">
                                      <w:marLeft w:val="0"/>
                                      <w:marRight w:val="0"/>
                                      <w:marTop w:val="0"/>
                                      <w:marBottom w:val="0"/>
                                      <w:divBdr>
                                        <w:top w:val="none" w:sz="0" w:space="0" w:color="auto"/>
                                        <w:left w:val="none" w:sz="0" w:space="0" w:color="auto"/>
                                        <w:bottom w:val="none" w:sz="0" w:space="0" w:color="auto"/>
                                        <w:right w:val="none" w:sz="0" w:space="0" w:color="auto"/>
                                      </w:divBdr>
                                      <w:divsChild>
                                        <w:div w:id="1163931021">
                                          <w:marLeft w:val="0"/>
                                          <w:marRight w:val="0"/>
                                          <w:marTop w:val="0"/>
                                          <w:marBottom w:val="0"/>
                                          <w:divBdr>
                                            <w:top w:val="none" w:sz="0" w:space="0" w:color="auto"/>
                                            <w:left w:val="none" w:sz="0" w:space="0" w:color="auto"/>
                                            <w:bottom w:val="none" w:sz="0" w:space="0" w:color="auto"/>
                                            <w:right w:val="none" w:sz="0" w:space="0" w:color="auto"/>
                                          </w:divBdr>
                                          <w:divsChild>
                                            <w:div w:id="11639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3930964">
          <w:marLeft w:val="120"/>
          <w:marRight w:val="135"/>
          <w:marTop w:val="150"/>
          <w:marBottom w:val="150"/>
          <w:divBdr>
            <w:top w:val="none" w:sz="0" w:space="0" w:color="auto"/>
            <w:left w:val="none" w:sz="0" w:space="0" w:color="auto"/>
            <w:bottom w:val="none" w:sz="0" w:space="0" w:color="auto"/>
            <w:right w:val="none" w:sz="0" w:space="0" w:color="auto"/>
          </w:divBdr>
          <w:divsChild>
            <w:div w:id="1163930948">
              <w:marLeft w:val="0"/>
              <w:marRight w:val="0"/>
              <w:marTop w:val="0"/>
              <w:marBottom w:val="0"/>
              <w:divBdr>
                <w:top w:val="none" w:sz="0" w:space="0" w:color="auto"/>
                <w:left w:val="none" w:sz="0" w:space="0" w:color="auto"/>
                <w:bottom w:val="none" w:sz="0" w:space="0" w:color="auto"/>
                <w:right w:val="none" w:sz="0" w:space="0" w:color="auto"/>
              </w:divBdr>
              <w:divsChild>
                <w:div w:id="1163930889">
                  <w:marLeft w:val="0"/>
                  <w:marRight w:val="0"/>
                  <w:marTop w:val="0"/>
                  <w:marBottom w:val="0"/>
                  <w:divBdr>
                    <w:top w:val="none" w:sz="0" w:space="0" w:color="auto"/>
                    <w:left w:val="none" w:sz="0" w:space="0" w:color="auto"/>
                    <w:bottom w:val="none" w:sz="0" w:space="0" w:color="auto"/>
                    <w:right w:val="none" w:sz="0" w:space="0" w:color="auto"/>
                  </w:divBdr>
                  <w:divsChild>
                    <w:div w:id="1163930941">
                      <w:marLeft w:val="0"/>
                      <w:marRight w:val="0"/>
                      <w:marTop w:val="0"/>
                      <w:marBottom w:val="0"/>
                      <w:divBdr>
                        <w:top w:val="none" w:sz="0" w:space="0" w:color="auto"/>
                        <w:left w:val="none" w:sz="0" w:space="0" w:color="auto"/>
                        <w:bottom w:val="none" w:sz="0" w:space="0" w:color="auto"/>
                        <w:right w:val="none" w:sz="0" w:space="0" w:color="auto"/>
                      </w:divBdr>
                      <w:divsChild>
                        <w:div w:id="1163930869">
                          <w:marLeft w:val="0"/>
                          <w:marRight w:val="0"/>
                          <w:marTop w:val="0"/>
                          <w:marBottom w:val="0"/>
                          <w:divBdr>
                            <w:top w:val="none" w:sz="0" w:space="0" w:color="auto"/>
                            <w:left w:val="none" w:sz="0" w:space="0" w:color="auto"/>
                            <w:bottom w:val="none" w:sz="0" w:space="0" w:color="auto"/>
                            <w:right w:val="none" w:sz="0" w:space="0" w:color="auto"/>
                          </w:divBdr>
                          <w:divsChild>
                            <w:div w:id="1163930918">
                              <w:marLeft w:val="120"/>
                              <w:marRight w:val="0"/>
                              <w:marTop w:val="0"/>
                              <w:marBottom w:val="0"/>
                              <w:divBdr>
                                <w:top w:val="none" w:sz="0" w:space="0" w:color="auto"/>
                                <w:left w:val="none" w:sz="0" w:space="0" w:color="auto"/>
                                <w:bottom w:val="none" w:sz="0" w:space="0" w:color="auto"/>
                                <w:right w:val="none" w:sz="0" w:space="0" w:color="auto"/>
                              </w:divBdr>
                              <w:divsChild>
                                <w:div w:id="1163930932">
                                  <w:marLeft w:val="0"/>
                                  <w:marRight w:val="0"/>
                                  <w:marTop w:val="0"/>
                                  <w:marBottom w:val="0"/>
                                  <w:divBdr>
                                    <w:top w:val="none" w:sz="0" w:space="0" w:color="auto"/>
                                    <w:left w:val="none" w:sz="0" w:space="0" w:color="auto"/>
                                    <w:bottom w:val="none" w:sz="0" w:space="0" w:color="auto"/>
                                    <w:right w:val="none" w:sz="0" w:space="0" w:color="auto"/>
                                  </w:divBdr>
                                  <w:divsChild>
                                    <w:div w:id="1163930997">
                                      <w:marLeft w:val="0"/>
                                      <w:marRight w:val="0"/>
                                      <w:marTop w:val="30"/>
                                      <w:marBottom w:val="30"/>
                                      <w:divBdr>
                                        <w:top w:val="none" w:sz="0" w:space="0" w:color="auto"/>
                                        <w:left w:val="none" w:sz="0" w:space="0" w:color="auto"/>
                                        <w:bottom w:val="none" w:sz="0" w:space="0" w:color="auto"/>
                                        <w:right w:val="none" w:sz="0" w:space="0" w:color="auto"/>
                                      </w:divBdr>
                                      <w:divsChild>
                                        <w:div w:id="1163930993">
                                          <w:marLeft w:val="0"/>
                                          <w:marRight w:val="0"/>
                                          <w:marTop w:val="0"/>
                                          <w:marBottom w:val="0"/>
                                          <w:divBdr>
                                            <w:top w:val="none" w:sz="0" w:space="0" w:color="auto"/>
                                            <w:left w:val="none" w:sz="0" w:space="0" w:color="auto"/>
                                            <w:bottom w:val="none" w:sz="0" w:space="0" w:color="auto"/>
                                            <w:right w:val="none" w:sz="0" w:space="0" w:color="auto"/>
                                          </w:divBdr>
                                          <w:divsChild>
                                            <w:div w:id="116393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930963">
              <w:marLeft w:val="0"/>
              <w:marRight w:val="0"/>
              <w:marTop w:val="0"/>
              <w:marBottom w:val="0"/>
              <w:divBdr>
                <w:top w:val="none" w:sz="0" w:space="0" w:color="auto"/>
                <w:left w:val="none" w:sz="0" w:space="0" w:color="auto"/>
                <w:bottom w:val="none" w:sz="0" w:space="0" w:color="auto"/>
                <w:right w:val="none" w:sz="0" w:space="0" w:color="auto"/>
              </w:divBdr>
            </w:div>
          </w:divsChild>
        </w:div>
        <w:div w:id="1163930985">
          <w:marLeft w:val="120"/>
          <w:marRight w:val="135"/>
          <w:marTop w:val="150"/>
          <w:marBottom w:val="150"/>
          <w:divBdr>
            <w:top w:val="none" w:sz="0" w:space="0" w:color="auto"/>
            <w:left w:val="none" w:sz="0" w:space="0" w:color="auto"/>
            <w:bottom w:val="none" w:sz="0" w:space="0" w:color="auto"/>
            <w:right w:val="none" w:sz="0" w:space="0" w:color="auto"/>
          </w:divBdr>
          <w:divsChild>
            <w:div w:id="1163930863">
              <w:marLeft w:val="0"/>
              <w:marRight w:val="0"/>
              <w:marTop w:val="0"/>
              <w:marBottom w:val="0"/>
              <w:divBdr>
                <w:top w:val="none" w:sz="0" w:space="0" w:color="auto"/>
                <w:left w:val="none" w:sz="0" w:space="0" w:color="auto"/>
                <w:bottom w:val="none" w:sz="0" w:space="0" w:color="auto"/>
                <w:right w:val="none" w:sz="0" w:space="0" w:color="auto"/>
              </w:divBdr>
              <w:divsChild>
                <w:div w:id="1163930944">
                  <w:marLeft w:val="0"/>
                  <w:marRight w:val="0"/>
                  <w:marTop w:val="0"/>
                  <w:marBottom w:val="0"/>
                  <w:divBdr>
                    <w:top w:val="none" w:sz="0" w:space="0" w:color="auto"/>
                    <w:left w:val="none" w:sz="0" w:space="0" w:color="auto"/>
                    <w:bottom w:val="none" w:sz="0" w:space="0" w:color="auto"/>
                    <w:right w:val="none" w:sz="0" w:space="0" w:color="auto"/>
                  </w:divBdr>
                  <w:divsChild>
                    <w:div w:id="1163930951">
                      <w:marLeft w:val="0"/>
                      <w:marRight w:val="0"/>
                      <w:marTop w:val="0"/>
                      <w:marBottom w:val="0"/>
                      <w:divBdr>
                        <w:top w:val="none" w:sz="0" w:space="0" w:color="auto"/>
                        <w:left w:val="none" w:sz="0" w:space="0" w:color="auto"/>
                        <w:bottom w:val="none" w:sz="0" w:space="0" w:color="auto"/>
                        <w:right w:val="none" w:sz="0" w:space="0" w:color="auto"/>
                      </w:divBdr>
                      <w:divsChild>
                        <w:div w:id="1163930866">
                          <w:marLeft w:val="0"/>
                          <w:marRight w:val="0"/>
                          <w:marTop w:val="0"/>
                          <w:marBottom w:val="0"/>
                          <w:divBdr>
                            <w:top w:val="none" w:sz="0" w:space="0" w:color="auto"/>
                            <w:left w:val="none" w:sz="0" w:space="0" w:color="auto"/>
                            <w:bottom w:val="none" w:sz="0" w:space="0" w:color="auto"/>
                            <w:right w:val="none" w:sz="0" w:space="0" w:color="auto"/>
                          </w:divBdr>
                          <w:divsChild>
                            <w:div w:id="1163930956">
                              <w:marLeft w:val="0"/>
                              <w:marRight w:val="0"/>
                              <w:marTop w:val="0"/>
                              <w:marBottom w:val="0"/>
                              <w:divBdr>
                                <w:top w:val="none" w:sz="0" w:space="0" w:color="auto"/>
                                <w:left w:val="none" w:sz="0" w:space="0" w:color="auto"/>
                                <w:bottom w:val="none" w:sz="0" w:space="0" w:color="auto"/>
                                <w:right w:val="none" w:sz="0" w:space="0" w:color="auto"/>
                              </w:divBdr>
                              <w:divsChild>
                                <w:div w:id="1163930959">
                                  <w:marLeft w:val="0"/>
                                  <w:marRight w:val="0"/>
                                  <w:marTop w:val="0"/>
                                  <w:marBottom w:val="0"/>
                                  <w:divBdr>
                                    <w:top w:val="none" w:sz="0" w:space="0" w:color="auto"/>
                                    <w:left w:val="none" w:sz="0" w:space="0" w:color="auto"/>
                                    <w:bottom w:val="none" w:sz="0" w:space="0" w:color="auto"/>
                                    <w:right w:val="none" w:sz="0" w:space="0" w:color="auto"/>
                                  </w:divBdr>
                                  <w:divsChild>
                                    <w:div w:id="1163931015">
                                      <w:marLeft w:val="0"/>
                                      <w:marRight w:val="0"/>
                                      <w:marTop w:val="0"/>
                                      <w:marBottom w:val="0"/>
                                      <w:divBdr>
                                        <w:top w:val="none" w:sz="0" w:space="0" w:color="auto"/>
                                        <w:left w:val="none" w:sz="0" w:space="0" w:color="auto"/>
                                        <w:bottom w:val="none" w:sz="0" w:space="0" w:color="auto"/>
                                        <w:right w:val="none" w:sz="0" w:space="0" w:color="auto"/>
                                      </w:divBdr>
                                      <w:divsChild>
                                        <w:div w:id="1163930946">
                                          <w:marLeft w:val="0"/>
                                          <w:marRight w:val="0"/>
                                          <w:marTop w:val="0"/>
                                          <w:marBottom w:val="0"/>
                                          <w:divBdr>
                                            <w:top w:val="none" w:sz="0" w:space="0" w:color="auto"/>
                                            <w:left w:val="none" w:sz="0" w:space="0" w:color="auto"/>
                                            <w:bottom w:val="none" w:sz="0" w:space="0" w:color="auto"/>
                                            <w:right w:val="none" w:sz="0" w:space="0" w:color="auto"/>
                                          </w:divBdr>
                                          <w:divsChild>
                                            <w:div w:id="116393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3931003">
      <w:marLeft w:val="0"/>
      <w:marRight w:val="0"/>
      <w:marTop w:val="0"/>
      <w:marBottom w:val="0"/>
      <w:divBdr>
        <w:top w:val="none" w:sz="0" w:space="0" w:color="auto"/>
        <w:left w:val="none" w:sz="0" w:space="0" w:color="auto"/>
        <w:bottom w:val="none" w:sz="0" w:space="0" w:color="auto"/>
        <w:right w:val="none" w:sz="0" w:space="0" w:color="auto"/>
      </w:divBdr>
      <w:divsChild>
        <w:div w:id="1163930917">
          <w:marLeft w:val="120"/>
          <w:marRight w:val="135"/>
          <w:marTop w:val="150"/>
          <w:marBottom w:val="150"/>
          <w:divBdr>
            <w:top w:val="none" w:sz="0" w:space="0" w:color="auto"/>
            <w:left w:val="none" w:sz="0" w:space="0" w:color="auto"/>
            <w:bottom w:val="none" w:sz="0" w:space="0" w:color="auto"/>
            <w:right w:val="none" w:sz="0" w:space="0" w:color="auto"/>
          </w:divBdr>
          <w:divsChild>
            <w:div w:id="1163930872">
              <w:marLeft w:val="0"/>
              <w:marRight w:val="0"/>
              <w:marTop w:val="0"/>
              <w:marBottom w:val="0"/>
              <w:divBdr>
                <w:top w:val="none" w:sz="0" w:space="0" w:color="auto"/>
                <w:left w:val="none" w:sz="0" w:space="0" w:color="auto"/>
                <w:bottom w:val="none" w:sz="0" w:space="0" w:color="auto"/>
                <w:right w:val="none" w:sz="0" w:space="0" w:color="auto"/>
              </w:divBdr>
              <w:divsChild>
                <w:div w:id="1163930864">
                  <w:marLeft w:val="0"/>
                  <w:marRight w:val="0"/>
                  <w:marTop w:val="0"/>
                  <w:marBottom w:val="0"/>
                  <w:divBdr>
                    <w:top w:val="none" w:sz="0" w:space="0" w:color="auto"/>
                    <w:left w:val="none" w:sz="0" w:space="0" w:color="auto"/>
                    <w:bottom w:val="none" w:sz="0" w:space="0" w:color="auto"/>
                    <w:right w:val="none" w:sz="0" w:space="0" w:color="auto"/>
                  </w:divBdr>
                  <w:divsChild>
                    <w:div w:id="1163930900">
                      <w:marLeft w:val="0"/>
                      <w:marRight w:val="0"/>
                      <w:marTop w:val="0"/>
                      <w:marBottom w:val="0"/>
                      <w:divBdr>
                        <w:top w:val="none" w:sz="0" w:space="0" w:color="auto"/>
                        <w:left w:val="none" w:sz="0" w:space="0" w:color="auto"/>
                        <w:bottom w:val="none" w:sz="0" w:space="0" w:color="auto"/>
                        <w:right w:val="none" w:sz="0" w:space="0" w:color="auto"/>
                      </w:divBdr>
                      <w:divsChild>
                        <w:div w:id="1163930972">
                          <w:marLeft w:val="0"/>
                          <w:marRight w:val="0"/>
                          <w:marTop w:val="0"/>
                          <w:marBottom w:val="0"/>
                          <w:divBdr>
                            <w:top w:val="none" w:sz="0" w:space="0" w:color="auto"/>
                            <w:left w:val="none" w:sz="0" w:space="0" w:color="auto"/>
                            <w:bottom w:val="none" w:sz="0" w:space="0" w:color="auto"/>
                            <w:right w:val="none" w:sz="0" w:space="0" w:color="auto"/>
                          </w:divBdr>
                          <w:divsChild>
                            <w:div w:id="1163930876">
                              <w:marLeft w:val="120"/>
                              <w:marRight w:val="0"/>
                              <w:marTop w:val="0"/>
                              <w:marBottom w:val="0"/>
                              <w:divBdr>
                                <w:top w:val="none" w:sz="0" w:space="0" w:color="auto"/>
                                <w:left w:val="none" w:sz="0" w:space="0" w:color="auto"/>
                                <w:bottom w:val="none" w:sz="0" w:space="0" w:color="auto"/>
                                <w:right w:val="none" w:sz="0" w:space="0" w:color="auto"/>
                              </w:divBdr>
                              <w:divsChild>
                                <w:div w:id="1163930969">
                                  <w:marLeft w:val="0"/>
                                  <w:marRight w:val="0"/>
                                  <w:marTop w:val="0"/>
                                  <w:marBottom w:val="0"/>
                                  <w:divBdr>
                                    <w:top w:val="none" w:sz="0" w:space="0" w:color="auto"/>
                                    <w:left w:val="none" w:sz="0" w:space="0" w:color="auto"/>
                                    <w:bottom w:val="none" w:sz="0" w:space="0" w:color="auto"/>
                                    <w:right w:val="none" w:sz="0" w:space="0" w:color="auto"/>
                                  </w:divBdr>
                                  <w:divsChild>
                                    <w:div w:id="1163930975">
                                      <w:marLeft w:val="0"/>
                                      <w:marRight w:val="0"/>
                                      <w:marTop w:val="0"/>
                                      <w:marBottom w:val="0"/>
                                      <w:divBdr>
                                        <w:top w:val="none" w:sz="0" w:space="0" w:color="auto"/>
                                        <w:left w:val="none" w:sz="0" w:space="0" w:color="auto"/>
                                        <w:bottom w:val="none" w:sz="0" w:space="0" w:color="auto"/>
                                        <w:right w:val="none" w:sz="0" w:space="0" w:color="auto"/>
                                      </w:divBdr>
                                      <w:divsChild>
                                        <w:div w:id="1163930884">
                                          <w:marLeft w:val="0"/>
                                          <w:marRight w:val="0"/>
                                          <w:marTop w:val="0"/>
                                          <w:marBottom w:val="0"/>
                                          <w:divBdr>
                                            <w:top w:val="none" w:sz="0" w:space="0" w:color="auto"/>
                                            <w:left w:val="none" w:sz="0" w:space="0" w:color="auto"/>
                                            <w:bottom w:val="none" w:sz="0" w:space="0" w:color="auto"/>
                                            <w:right w:val="none" w:sz="0" w:space="0" w:color="auto"/>
                                          </w:divBdr>
                                          <w:divsChild>
                                            <w:div w:id="116393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0976">
                      <w:marLeft w:val="0"/>
                      <w:marRight w:val="0"/>
                      <w:marTop w:val="0"/>
                      <w:marBottom w:val="0"/>
                      <w:divBdr>
                        <w:top w:val="none" w:sz="0" w:space="0" w:color="auto"/>
                        <w:left w:val="none" w:sz="0" w:space="0" w:color="auto"/>
                        <w:bottom w:val="none" w:sz="0" w:space="0" w:color="auto"/>
                        <w:right w:val="none" w:sz="0" w:space="0" w:color="auto"/>
                      </w:divBdr>
                      <w:divsChild>
                        <w:div w:id="1163930979">
                          <w:marLeft w:val="0"/>
                          <w:marRight w:val="0"/>
                          <w:marTop w:val="0"/>
                          <w:marBottom w:val="0"/>
                          <w:divBdr>
                            <w:top w:val="none" w:sz="0" w:space="0" w:color="auto"/>
                            <w:left w:val="none" w:sz="0" w:space="0" w:color="auto"/>
                            <w:bottom w:val="none" w:sz="0" w:space="0" w:color="auto"/>
                            <w:right w:val="none" w:sz="0" w:space="0" w:color="auto"/>
                          </w:divBdr>
                          <w:divsChild>
                            <w:div w:id="1163930885">
                              <w:marLeft w:val="120"/>
                              <w:marRight w:val="0"/>
                              <w:marTop w:val="0"/>
                              <w:marBottom w:val="0"/>
                              <w:divBdr>
                                <w:top w:val="none" w:sz="0" w:space="0" w:color="auto"/>
                                <w:left w:val="none" w:sz="0" w:space="0" w:color="auto"/>
                                <w:bottom w:val="none" w:sz="0" w:space="0" w:color="auto"/>
                                <w:right w:val="none" w:sz="0" w:space="0" w:color="auto"/>
                              </w:divBdr>
                              <w:divsChild>
                                <w:div w:id="1163930903">
                                  <w:marLeft w:val="0"/>
                                  <w:marRight w:val="0"/>
                                  <w:marTop w:val="0"/>
                                  <w:marBottom w:val="0"/>
                                  <w:divBdr>
                                    <w:top w:val="none" w:sz="0" w:space="0" w:color="auto"/>
                                    <w:left w:val="none" w:sz="0" w:space="0" w:color="auto"/>
                                    <w:bottom w:val="none" w:sz="0" w:space="0" w:color="auto"/>
                                    <w:right w:val="none" w:sz="0" w:space="0" w:color="auto"/>
                                  </w:divBdr>
                                  <w:divsChild>
                                    <w:div w:id="1163930877">
                                      <w:marLeft w:val="0"/>
                                      <w:marRight w:val="0"/>
                                      <w:marTop w:val="0"/>
                                      <w:marBottom w:val="0"/>
                                      <w:divBdr>
                                        <w:top w:val="none" w:sz="0" w:space="0" w:color="auto"/>
                                        <w:left w:val="none" w:sz="0" w:space="0" w:color="auto"/>
                                        <w:bottom w:val="none" w:sz="0" w:space="0" w:color="auto"/>
                                        <w:right w:val="none" w:sz="0" w:space="0" w:color="auto"/>
                                      </w:divBdr>
                                      <w:divsChild>
                                        <w:div w:id="1163930887">
                                          <w:marLeft w:val="0"/>
                                          <w:marRight w:val="0"/>
                                          <w:marTop w:val="0"/>
                                          <w:marBottom w:val="0"/>
                                          <w:divBdr>
                                            <w:top w:val="none" w:sz="0" w:space="0" w:color="auto"/>
                                            <w:left w:val="none" w:sz="0" w:space="0" w:color="auto"/>
                                            <w:bottom w:val="none" w:sz="0" w:space="0" w:color="auto"/>
                                            <w:right w:val="none" w:sz="0" w:space="0" w:color="auto"/>
                                          </w:divBdr>
                                          <w:divsChild>
                                            <w:div w:id="116393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930957">
              <w:marLeft w:val="0"/>
              <w:marRight w:val="0"/>
              <w:marTop w:val="0"/>
              <w:marBottom w:val="0"/>
              <w:divBdr>
                <w:top w:val="none" w:sz="0" w:space="0" w:color="auto"/>
                <w:left w:val="none" w:sz="0" w:space="0" w:color="auto"/>
                <w:bottom w:val="none" w:sz="0" w:space="0" w:color="auto"/>
                <w:right w:val="none" w:sz="0" w:space="0" w:color="auto"/>
              </w:divBdr>
            </w:div>
          </w:divsChild>
        </w:div>
        <w:div w:id="1163930934">
          <w:marLeft w:val="120"/>
          <w:marRight w:val="135"/>
          <w:marTop w:val="150"/>
          <w:marBottom w:val="150"/>
          <w:divBdr>
            <w:top w:val="none" w:sz="0" w:space="0" w:color="auto"/>
            <w:left w:val="none" w:sz="0" w:space="0" w:color="auto"/>
            <w:bottom w:val="none" w:sz="0" w:space="0" w:color="auto"/>
            <w:right w:val="none" w:sz="0" w:space="0" w:color="auto"/>
          </w:divBdr>
          <w:divsChild>
            <w:div w:id="1163930870">
              <w:marLeft w:val="0"/>
              <w:marRight w:val="0"/>
              <w:marTop w:val="0"/>
              <w:marBottom w:val="0"/>
              <w:divBdr>
                <w:top w:val="none" w:sz="0" w:space="0" w:color="auto"/>
                <w:left w:val="none" w:sz="0" w:space="0" w:color="auto"/>
                <w:bottom w:val="none" w:sz="0" w:space="0" w:color="auto"/>
                <w:right w:val="none" w:sz="0" w:space="0" w:color="auto"/>
              </w:divBdr>
              <w:divsChild>
                <w:div w:id="1163930984">
                  <w:marLeft w:val="0"/>
                  <w:marRight w:val="0"/>
                  <w:marTop w:val="0"/>
                  <w:marBottom w:val="0"/>
                  <w:divBdr>
                    <w:top w:val="none" w:sz="0" w:space="0" w:color="auto"/>
                    <w:left w:val="none" w:sz="0" w:space="0" w:color="auto"/>
                    <w:bottom w:val="none" w:sz="0" w:space="0" w:color="auto"/>
                    <w:right w:val="none" w:sz="0" w:space="0" w:color="auto"/>
                  </w:divBdr>
                  <w:divsChild>
                    <w:div w:id="1163930883">
                      <w:marLeft w:val="0"/>
                      <w:marRight w:val="0"/>
                      <w:marTop w:val="0"/>
                      <w:marBottom w:val="0"/>
                      <w:divBdr>
                        <w:top w:val="none" w:sz="0" w:space="0" w:color="auto"/>
                        <w:left w:val="none" w:sz="0" w:space="0" w:color="auto"/>
                        <w:bottom w:val="none" w:sz="0" w:space="0" w:color="auto"/>
                        <w:right w:val="none" w:sz="0" w:space="0" w:color="auto"/>
                      </w:divBdr>
                      <w:divsChild>
                        <w:div w:id="1163931016">
                          <w:marLeft w:val="0"/>
                          <w:marRight w:val="0"/>
                          <w:marTop w:val="0"/>
                          <w:marBottom w:val="0"/>
                          <w:divBdr>
                            <w:top w:val="none" w:sz="0" w:space="0" w:color="auto"/>
                            <w:left w:val="none" w:sz="0" w:space="0" w:color="auto"/>
                            <w:bottom w:val="none" w:sz="0" w:space="0" w:color="auto"/>
                            <w:right w:val="none" w:sz="0" w:space="0" w:color="auto"/>
                          </w:divBdr>
                          <w:divsChild>
                            <w:div w:id="1163930895">
                              <w:marLeft w:val="120"/>
                              <w:marRight w:val="0"/>
                              <w:marTop w:val="0"/>
                              <w:marBottom w:val="0"/>
                              <w:divBdr>
                                <w:top w:val="none" w:sz="0" w:space="0" w:color="auto"/>
                                <w:left w:val="none" w:sz="0" w:space="0" w:color="auto"/>
                                <w:bottom w:val="none" w:sz="0" w:space="0" w:color="auto"/>
                                <w:right w:val="none" w:sz="0" w:space="0" w:color="auto"/>
                              </w:divBdr>
                              <w:divsChild>
                                <w:div w:id="1163930879">
                                  <w:marLeft w:val="0"/>
                                  <w:marRight w:val="0"/>
                                  <w:marTop w:val="0"/>
                                  <w:marBottom w:val="0"/>
                                  <w:divBdr>
                                    <w:top w:val="none" w:sz="0" w:space="0" w:color="auto"/>
                                    <w:left w:val="none" w:sz="0" w:space="0" w:color="auto"/>
                                    <w:bottom w:val="none" w:sz="0" w:space="0" w:color="auto"/>
                                    <w:right w:val="none" w:sz="0" w:space="0" w:color="auto"/>
                                  </w:divBdr>
                                  <w:divsChild>
                                    <w:div w:id="1163930902">
                                      <w:marLeft w:val="0"/>
                                      <w:marRight w:val="0"/>
                                      <w:marTop w:val="0"/>
                                      <w:marBottom w:val="0"/>
                                      <w:divBdr>
                                        <w:top w:val="none" w:sz="0" w:space="0" w:color="auto"/>
                                        <w:left w:val="none" w:sz="0" w:space="0" w:color="auto"/>
                                        <w:bottom w:val="none" w:sz="0" w:space="0" w:color="auto"/>
                                        <w:right w:val="none" w:sz="0" w:space="0" w:color="auto"/>
                                      </w:divBdr>
                                      <w:divsChild>
                                        <w:div w:id="1163930892">
                                          <w:marLeft w:val="0"/>
                                          <w:marRight w:val="0"/>
                                          <w:marTop w:val="0"/>
                                          <w:marBottom w:val="0"/>
                                          <w:divBdr>
                                            <w:top w:val="none" w:sz="0" w:space="0" w:color="auto"/>
                                            <w:left w:val="none" w:sz="0" w:space="0" w:color="auto"/>
                                            <w:bottom w:val="none" w:sz="0" w:space="0" w:color="auto"/>
                                            <w:right w:val="none" w:sz="0" w:space="0" w:color="auto"/>
                                          </w:divBdr>
                                          <w:divsChild>
                                            <w:div w:id="116393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0981">
                      <w:marLeft w:val="0"/>
                      <w:marRight w:val="0"/>
                      <w:marTop w:val="0"/>
                      <w:marBottom w:val="0"/>
                      <w:divBdr>
                        <w:top w:val="none" w:sz="0" w:space="0" w:color="auto"/>
                        <w:left w:val="none" w:sz="0" w:space="0" w:color="auto"/>
                        <w:bottom w:val="none" w:sz="0" w:space="0" w:color="auto"/>
                        <w:right w:val="none" w:sz="0" w:space="0" w:color="auto"/>
                      </w:divBdr>
                      <w:divsChild>
                        <w:div w:id="1163930958">
                          <w:marLeft w:val="0"/>
                          <w:marRight w:val="0"/>
                          <w:marTop w:val="0"/>
                          <w:marBottom w:val="0"/>
                          <w:divBdr>
                            <w:top w:val="none" w:sz="0" w:space="0" w:color="auto"/>
                            <w:left w:val="none" w:sz="0" w:space="0" w:color="auto"/>
                            <w:bottom w:val="none" w:sz="0" w:space="0" w:color="auto"/>
                            <w:right w:val="none" w:sz="0" w:space="0" w:color="auto"/>
                          </w:divBdr>
                          <w:divsChild>
                            <w:div w:id="1163930860">
                              <w:marLeft w:val="120"/>
                              <w:marRight w:val="0"/>
                              <w:marTop w:val="0"/>
                              <w:marBottom w:val="0"/>
                              <w:divBdr>
                                <w:top w:val="none" w:sz="0" w:space="0" w:color="auto"/>
                                <w:left w:val="none" w:sz="0" w:space="0" w:color="auto"/>
                                <w:bottom w:val="none" w:sz="0" w:space="0" w:color="auto"/>
                                <w:right w:val="none" w:sz="0" w:space="0" w:color="auto"/>
                              </w:divBdr>
                              <w:divsChild>
                                <w:div w:id="1163930971">
                                  <w:marLeft w:val="0"/>
                                  <w:marRight w:val="0"/>
                                  <w:marTop w:val="0"/>
                                  <w:marBottom w:val="0"/>
                                  <w:divBdr>
                                    <w:top w:val="none" w:sz="0" w:space="0" w:color="auto"/>
                                    <w:left w:val="none" w:sz="0" w:space="0" w:color="auto"/>
                                    <w:bottom w:val="none" w:sz="0" w:space="0" w:color="auto"/>
                                    <w:right w:val="none" w:sz="0" w:space="0" w:color="auto"/>
                                  </w:divBdr>
                                  <w:divsChild>
                                    <w:div w:id="1163930929">
                                      <w:marLeft w:val="0"/>
                                      <w:marRight w:val="0"/>
                                      <w:marTop w:val="0"/>
                                      <w:marBottom w:val="0"/>
                                      <w:divBdr>
                                        <w:top w:val="none" w:sz="0" w:space="0" w:color="auto"/>
                                        <w:left w:val="none" w:sz="0" w:space="0" w:color="auto"/>
                                        <w:bottom w:val="none" w:sz="0" w:space="0" w:color="auto"/>
                                        <w:right w:val="none" w:sz="0" w:space="0" w:color="auto"/>
                                      </w:divBdr>
                                      <w:divsChild>
                                        <w:div w:id="1163930867">
                                          <w:marLeft w:val="0"/>
                                          <w:marRight w:val="0"/>
                                          <w:marTop w:val="0"/>
                                          <w:marBottom w:val="0"/>
                                          <w:divBdr>
                                            <w:top w:val="none" w:sz="0" w:space="0" w:color="auto"/>
                                            <w:left w:val="none" w:sz="0" w:space="0" w:color="auto"/>
                                            <w:bottom w:val="none" w:sz="0" w:space="0" w:color="auto"/>
                                            <w:right w:val="none" w:sz="0" w:space="0" w:color="auto"/>
                                          </w:divBdr>
                                          <w:divsChild>
                                            <w:div w:id="116393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1018">
                      <w:marLeft w:val="0"/>
                      <w:marRight w:val="0"/>
                      <w:marTop w:val="0"/>
                      <w:marBottom w:val="0"/>
                      <w:divBdr>
                        <w:top w:val="none" w:sz="0" w:space="0" w:color="auto"/>
                        <w:left w:val="none" w:sz="0" w:space="0" w:color="auto"/>
                        <w:bottom w:val="none" w:sz="0" w:space="0" w:color="auto"/>
                        <w:right w:val="none" w:sz="0" w:space="0" w:color="auto"/>
                      </w:divBdr>
                      <w:divsChild>
                        <w:div w:id="1163931000">
                          <w:marLeft w:val="0"/>
                          <w:marRight w:val="0"/>
                          <w:marTop w:val="0"/>
                          <w:marBottom w:val="0"/>
                          <w:divBdr>
                            <w:top w:val="none" w:sz="0" w:space="0" w:color="auto"/>
                            <w:left w:val="none" w:sz="0" w:space="0" w:color="auto"/>
                            <w:bottom w:val="none" w:sz="0" w:space="0" w:color="auto"/>
                            <w:right w:val="none" w:sz="0" w:space="0" w:color="auto"/>
                          </w:divBdr>
                          <w:divsChild>
                            <w:div w:id="1163931008">
                              <w:marLeft w:val="120"/>
                              <w:marRight w:val="0"/>
                              <w:marTop w:val="0"/>
                              <w:marBottom w:val="0"/>
                              <w:divBdr>
                                <w:top w:val="none" w:sz="0" w:space="0" w:color="auto"/>
                                <w:left w:val="none" w:sz="0" w:space="0" w:color="auto"/>
                                <w:bottom w:val="none" w:sz="0" w:space="0" w:color="auto"/>
                                <w:right w:val="none" w:sz="0" w:space="0" w:color="auto"/>
                              </w:divBdr>
                              <w:divsChild>
                                <w:div w:id="1163930908">
                                  <w:marLeft w:val="0"/>
                                  <w:marRight w:val="0"/>
                                  <w:marTop w:val="0"/>
                                  <w:marBottom w:val="0"/>
                                  <w:divBdr>
                                    <w:top w:val="none" w:sz="0" w:space="0" w:color="auto"/>
                                    <w:left w:val="none" w:sz="0" w:space="0" w:color="auto"/>
                                    <w:bottom w:val="none" w:sz="0" w:space="0" w:color="auto"/>
                                    <w:right w:val="none" w:sz="0" w:space="0" w:color="auto"/>
                                  </w:divBdr>
                                  <w:divsChild>
                                    <w:div w:id="1163930952">
                                      <w:marLeft w:val="0"/>
                                      <w:marRight w:val="0"/>
                                      <w:marTop w:val="0"/>
                                      <w:marBottom w:val="0"/>
                                      <w:divBdr>
                                        <w:top w:val="none" w:sz="0" w:space="0" w:color="auto"/>
                                        <w:left w:val="none" w:sz="0" w:space="0" w:color="auto"/>
                                        <w:bottom w:val="none" w:sz="0" w:space="0" w:color="auto"/>
                                        <w:right w:val="none" w:sz="0" w:space="0" w:color="auto"/>
                                      </w:divBdr>
                                      <w:divsChild>
                                        <w:div w:id="1163930893">
                                          <w:marLeft w:val="0"/>
                                          <w:marRight w:val="0"/>
                                          <w:marTop w:val="0"/>
                                          <w:marBottom w:val="0"/>
                                          <w:divBdr>
                                            <w:top w:val="none" w:sz="0" w:space="0" w:color="auto"/>
                                            <w:left w:val="none" w:sz="0" w:space="0" w:color="auto"/>
                                            <w:bottom w:val="none" w:sz="0" w:space="0" w:color="auto"/>
                                            <w:right w:val="none" w:sz="0" w:space="0" w:color="auto"/>
                                          </w:divBdr>
                                          <w:divsChild>
                                            <w:div w:id="116393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930991">
              <w:marLeft w:val="0"/>
              <w:marRight w:val="0"/>
              <w:marTop w:val="0"/>
              <w:marBottom w:val="0"/>
              <w:divBdr>
                <w:top w:val="none" w:sz="0" w:space="0" w:color="auto"/>
                <w:left w:val="none" w:sz="0" w:space="0" w:color="auto"/>
                <w:bottom w:val="none" w:sz="0" w:space="0" w:color="auto"/>
                <w:right w:val="none" w:sz="0" w:space="0" w:color="auto"/>
              </w:divBdr>
            </w:div>
          </w:divsChild>
        </w:div>
        <w:div w:id="1163930949">
          <w:marLeft w:val="120"/>
          <w:marRight w:val="135"/>
          <w:marTop w:val="150"/>
          <w:marBottom w:val="150"/>
          <w:divBdr>
            <w:top w:val="none" w:sz="0" w:space="0" w:color="auto"/>
            <w:left w:val="none" w:sz="0" w:space="0" w:color="auto"/>
            <w:bottom w:val="none" w:sz="0" w:space="0" w:color="auto"/>
            <w:right w:val="none" w:sz="0" w:space="0" w:color="auto"/>
          </w:divBdr>
          <w:divsChild>
            <w:div w:id="1163930933">
              <w:marLeft w:val="0"/>
              <w:marRight w:val="0"/>
              <w:marTop w:val="0"/>
              <w:marBottom w:val="0"/>
              <w:divBdr>
                <w:top w:val="none" w:sz="0" w:space="0" w:color="auto"/>
                <w:left w:val="none" w:sz="0" w:space="0" w:color="auto"/>
                <w:bottom w:val="none" w:sz="0" w:space="0" w:color="auto"/>
                <w:right w:val="none" w:sz="0" w:space="0" w:color="auto"/>
              </w:divBdr>
              <w:divsChild>
                <w:div w:id="1163930947">
                  <w:marLeft w:val="0"/>
                  <w:marRight w:val="0"/>
                  <w:marTop w:val="0"/>
                  <w:marBottom w:val="0"/>
                  <w:divBdr>
                    <w:top w:val="none" w:sz="0" w:space="0" w:color="auto"/>
                    <w:left w:val="none" w:sz="0" w:space="0" w:color="auto"/>
                    <w:bottom w:val="none" w:sz="0" w:space="0" w:color="auto"/>
                    <w:right w:val="none" w:sz="0" w:space="0" w:color="auto"/>
                  </w:divBdr>
                  <w:divsChild>
                    <w:div w:id="1163930901">
                      <w:marLeft w:val="0"/>
                      <w:marRight w:val="0"/>
                      <w:marTop w:val="0"/>
                      <w:marBottom w:val="0"/>
                      <w:divBdr>
                        <w:top w:val="none" w:sz="0" w:space="0" w:color="auto"/>
                        <w:left w:val="none" w:sz="0" w:space="0" w:color="auto"/>
                        <w:bottom w:val="none" w:sz="0" w:space="0" w:color="auto"/>
                        <w:right w:val="none" w:sz="0" w:space="0" w:color="auto"/>
                      </w:divBdr>
                      <w:divsChild>
                        <w:div w:id="1163930856">
                          <w:marLeft w:val="0"/>
                          <w:marRight w:val="0"/>
                          <w:marTop w:val="0"/>
                          <w:marBottom w:val="0"/>
                          <w:divBdr>
                            <w:top w:val="none" w:sz="0" w:space="0" w:color="auto"/>
                            <w:left w:val="none" w:sz="0" w:space="0" w:color="auto"/>
                            <w:bottom w:val="none" w:sz="0" w:space="0" w:color="auto"/>
                            <w:right w:val="none" w:sz="0" w:space="0" w:color="auto"/>
                          </w:divBdr>
                          <w:divsChild>
                            <w:div w:id="1163930906">
                              <w:marLeft w:val="0"/>
                              <w:marRight w:val="0"/>
                              <w:marTop w:val="0"/>
                              <w:marBottom w:val="0"/>
                              <w:divBdr>
                                <w:top w:val="none" w:sz="0" w:space="0" w:color="auto"/>
                                <w:left w:val="none" w:sz="0" w:space="0" w:color="auto"/>
                                <w:bottom w:val="none" w:sz="0" w:space="0" w:color="auto"/>
                                <w:right w:val="none" w:sz="0" w:space="0" w:color="auto"/>
                              </w:divBdr>
                              <w:divsChild>
                                <w:div w:id="1163930905">
                                  <w:marLeft w:val="0"/>
                                  <w:marRight w:val="0"/>
                                  <w:marTop w:val="0"/>
                                  <w:marBottom w:val="0"/>
                                  <w:divBdr>
                                    <w:top w:val="none" w:sz="0" w:space="0" w:color="auto"/>
                                    <w:left w:val="none" w:sz="0" w:space="0" w:color="auto"/>
                                    <w:bottom w:val="none" w:sz="0" w:space="0" w:color="auto"/>
                                    <w:right w:val="none" w:sz="0" w:space="0" w:color="auto"/>
                                  </w:divBdr>
                                  <w:divsChild>
                                    <w:div w:id="1163930904">
                                      <w:marLeft w:val="0"/>
                                      <w:marRight w:val="0"/>
                                      <w:marTop w:val="0"/>
                                      <w:marBottom w:val="0"/>
                                      <w:divBdr>
                                        <w:top w:val="none" w:sz="0" w:space="0" w:color="auto"/>
                                        <w:left w:val="none" w:sz="0" w:space="0" w:color="auto"/>
                                        <w:bottom w:val="none" w:sz="0" w:space="0" w:color="auto"/>
                                        <w:right w:val="none" w:sz="0" w:space="0" w:color="auto"/>
                                      </w:divBdr>
                                      <w:divsChild>
                                        <w:div w:id="1163930968">
                                          <w:marLeft w:val="0"/>
                                          <w:marRight w:val="0"/>
                                          <w:marTop w:val="0"/>
                                          <w:marBottom w:val="0"/>
                                          <w:divBdr>
                                            <w:top w:val="none" w:sz="0" w:space="0" w:color="auto"/>
                                            <w:left w:val="none" w:sz="0" w:space="0" w:color="auto"/>
                                            <w:bottom w:val="none" w:sz="0" w:space="0" w:color="auto"/>
                                            <w:right w:val="none" w:sz="0" w:space="0" w:color="auto"/>
                                          </w:divBdr>
                                          <w:divsChild>
                                            <w:div w:id="116393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3930974">
          <w:marLeft w:val="120"/>
          <w:marRight w:val="135"/>
          <w:marTop w:val="150"/>
          <w:marBottom w:val="150"/>
          <w:divBdr>
            <w:top w:val="none" w:sz="0" w:space="0" w:color="auto"/>
            <w:left w:val="none" w:sz="0" w:space="0" w:color="auto"/>
            <w:bottom w:val="none" w:sz="0" w:space="0" w:color="auto"/>
            <w:right w:val="none" w:sz="0" w:space="0" w:color="auto"/>
          </w:divBdr>
          <w:divsChild>
            <w:div w:id="1163930868">
              <w:marLeft w:val="0"/>
              <w:marRight w:val="0"/>
              <w:marTop w:val="0"/>
              <w:marBottom w:val="0"/>
              <w:divBdr>
                <w:top w:val="none" w:sz="0" w:space="0" w:color="auto"/>
                <w:left w:val="none" w:sz="0" w:space="0" w:color="auto"/>
                <w:bottom w:val="none" w:sz="0" w:space="0" w:color="auto"/>
                <w:right w:val="none" w:sz="0" w:space="0" w:color="auto"/>
              </w:divBdr>
              <w:divsChild>
                <w:div w:id="1163930890">
                  <w:marLeft w:val="0"/>
                  <w:marRight w:val="0"/>
                  <w:marTop w:val="0"/>
                  <w:marBottom w:val="0"/>
                  <w:divBdr>
                    <w:top w:val="none" w:sz="0" w:space="0" w:color="auto"/>
                    <w:left w:val="none" w:sz="0" w:space="0" w:color="auto"/>
                    <w:bottom w:val="none" w:sz="0" w:space="0" w:color="auto"/>
                    <w:right w:val="none" w:sz="0" w:space="0" w:color="auto"/>
                  </w:divBdr>
                  <w:divsChild>
                    <w:div w:id="1163930930">
                      <w:marLeft w:val="0"/>
                      <w:marRight w:val="0"/>
                      <w:marTop w:val="0"/>
                      <w:marBottom w:val="0"/>
                      <w:divBdr>
                        <w:top w:val="none" w:sz="0" w:space="0" w:color="auto"/>
                        <w:left w:val="none" w:sz="0" w:space="0" w:color="auto"/>
                        <w:bottom w:val="none" w:sz="0" w:space="0" w:color="auto"/>
                        <w:right w:val="none" w:sz="0" w:space="0" w:color="auto"/>
                      </w:divBdr>
                      <w:divsChild>
                        <w:div w:id="1163930913">
                          <w:marLeft w:val="0"/>
                          <w:marRight w:val="0"/>
                          <w:marTop w:val="0"/>
                          <w:marBottom w:val="0"/>
                          <w:divBdr>
                            <w:top w:val="none" w:sz="0" w:space="0" w:color="auto"/>
                            <w:left w:val="none" w:sz="0" w:space="0" w:color="auto"/>
                            <w:bottom w:val="none" w:sz="0" w:space="0" w:color="auto"/>
                            <w:right w:val="none" w:sz="0" w:space="0" w:color="auto"/>
                          </w:divBdr>
                          <w:divsChild>
                            <w:div w:id="1163930899">
                              <w:marLeft w:val="120"/>
                              <w:marRight w:val="0"/>
                              <w:marTop w:val="0"/>
                              <w:marBottom w:val="0"/>
                              <w:divBdr>
                                <w:top w:val="none" w:sz="0" w:space="0" w:color="auto"/>
                                <w:left w:val="none" w:sz="0" w:space="0" w:color="auto"/>
                                <w:bottom w:val="none" w:sz="0" w:space="0" w:color="auto"/>
                                <w:right w:val="none" w:sz="0" w:space="0" w:color="auto"/>
                              </w:divBdr>
                              <w:divsChild>
                                <w:div w:id="1163930983">
                                  <w:marLeft w:val="0"/>
                                  <w:marRight w:val="0"/>
                                  <w:marTop w:val="0"/>
                                  <w:marBottom w:val="0"/>
                                  <w:divBdr>
                                    <w:top w:val="none" w:sz="0" w:space="0" w:color="auto"/>
                                    <w:left w:val="none" w:sz="0" w:space="0" w:color="auto"/>
                                    <w:bottom w:val="none" w:sz="0" w:space="0" w:color="auto"/>
                                    <w:right w:val="none" w:sz="0" w:space="0" w:color="auto"/>
                                  </w:divBdr>
                                  <w:divsChild>
                                    <w:div w:id="1163930967">
                                      <w:marLeft w:val="0"/>
                                      <w:marRight w:val="0"/>
                                      <w:marTop w:val="30"/>
                                      <w:marBottom w:val="30"/>
                                      <w:divBdr>
                                        <w:top w:val="none" w:sz="0" w:space="0" w:color="auto"/>
                                        <w:left w:val="none" w:sz="0" w:space="0" w:color="auto"/>
                                        <w:bottom w:val="none" w:sz="0" w:space="0" w:color="auto"/>
                                        <w:right w:val="none" w:sz="0" w:space="0" w:color="auto"/>
                                      </w:divBdr>
                                      <w:divsChild>
                                        <w:div w:id="1163930907">
                                          <w:marLeft w:val="0"/>
                                          <w:marRight w:val="0"/>
                                          <w:marTop w:val="0"/>
                                          <w:marBottom w:val="0"/>
                                          <w:divBdr>
                                            <w:top w:val="none" w:sz="0" w:space="0" w:color="auto"/>
                                            <w:left w:val="none" w:sz="0" w:space="0" w:color="auto"/>
                                            <w:bottom w:val="none" w:sz="0" w:space="0" w:color="auto"/>
                                            <w:right w:val="none" w:sz="0" w:space="0" w:color="auto"/>
                                          </w:divBdr>
                                          <w:divsChild>
                                            <w:div w:id="116393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930875">
              <w:marLeft w:val="0"/>
              <w:marRight w:val="0"/>
              <w:marTop w:val="0"/>
              <w:marBottom w:val="0"/>
              <w:divBdr>
                <w:top w:val="none" w:sz="0" w:space="0" w:color="auto"/>
                <w:left w:val="none" w:sz="0" w:space="0" w:color="auto"/>
                <w:bottom w:val="none" w:sz="0" w:space="0" w:color="auto"/>
                <w:right w:val="none" w:sz="0" w:space="0" w:color="auto"/>
              </w:divBdr>
            </w:div>
          </w:divsChild>
        </w:div>
        <w:div w:id="1163930986">
          <w:marLeft w:val="120"/>
          <w:marRight w:val="135"/>
          <w:marTop w:val="150"/>
          <w:marBottom w:val="150"/>
          <w:divBdr>
            <w:top w:val="none" w:sz="0" w:space="0" w:color="auto"/>
            <w:left w:val="none" w:sz="0" w:space="0" w:color="auto"/>
            <w:bottom w:val="none" w:sz="0" w:space="0" w:color="auto"/>
            <w:right w:val="none" w:sz="0" w:space="0" w:color="auto"/>
          </w:divBdr>
          <w:divsChild>
            <w:div w:id="1163930996">
              <w:marLeft w:val="0"/>
              <w:marRight w:val="0"/>
              <w:marTop w:val="0"/>
              <w:marBottom w:val="0"/>
              <w:divBdr>
                <w:top w:val="none" w:sz="0" w:space="0" w:color="auto"/>
                <w:left w:val="none" w:sz="0" w:space="0" w:color="auto"/>
                <w:bottom w:val="none" w:sz="0" w:space="0" w:color="auto"/>
                <w:right w:val="none" w:sz="0" w:space="0" w:color="auto"/>
              </w:divBdr>
              <w:divsChild>
                <w:div w:id="1163930859">
                  <w:marLeft w:val="0"/>
                  <w:marRight w:val="0"/>
                  <w:marTop w:val="0"/>
                  <w:marBottom w:val="0"/>
                  <w:divBdr>
                    <w:top w:val="none" w:sz="0" w:space="0" w:color="auto"/>
                    <w:left w:val="none" w:sz="0" w:space="0" w:color="auto"/>
                    <w:bottom w:val="none" w:sz="0" w:space="0" w:color="auto"/>
                    <w:right w:val="none" w:sz="0" w:space="0" w:color="auto"/>
                  </w:divBdr>
                  <w:divsChild>
                    <w:div w:id="1163930881">
                      <w:marLeft w:val="0"/>
                      <w:marRight w:val="0"/>
                      <w:marTop w:val="0"/>
                      <w:marBottom w:val="0"/>
                      <w:divBdr>
                        <w:top w:val="none" w:sz="0" w:space="0" w:color="auto"/>
                        <w:left w:val="none" w:sz="0" w:space="0" w:color="auto"/>
                        <w:bottom w:val="none" w:sz="0" w:space="0" w:color="auto"/>
                        <w:right w:val="none" w:sz="0" w:space="0" w:color="auto"/>
                      </w:divBdr>
                      <w:divsChild>
                        <w:div w:id="1163930973">
                          <w:marLeft w:val="0"/>
                          <w:marRight w:val="0"/>
                          <w:marTop w:val="0"/>
                          <w:marBottom w:val="0"/>
                          <w:divBdr>
                            <w:top w:val="none" w:sz="0" w:space="0" w:color="auto"/>
                            <w:left w:val="none" w:sz="0" w:space="0" w:color="auto"/>
                            <w:bottom w:val="none" w:sz="0" w:space="0" w:color="auto"/>
                            <w:right w:val="none" w:sz="0" w:space="0" w:color="auto"/>
                          </w:divBdr>
                          <w:divsChild>
                            <w:div w:id="1163930994">
                              <w:marLeft w:val="0"/>
                              <w:marRight w:val="0"/>
                              <w:marTop w:val="0"/>
                              <w:marBottom w:val="0"/>
                              <w:divBdr>
                                <w:top w:val="none" w:sz="0" w:space="0" w:color="auto"/>
                                <w:left w:val="none" w:sz="0" w:space="0" w:color="auto"/>
                                <w:bottom w:val="none" w:sz="0" w:space="0" w:color="auto"/>
                                <w:right w:val="none" w:sz="0" w:space="0" w:color="auto"/>
                              </w:divBdr>
                              <w:divsChild>
                                <w:div w:id="1163930914">
                                  <w:marLeft w:val="0"/>
                                  <w:marRight w:val="0"/>
                                  <w:marTop w:val="0"/>
                                  <w:marBottom w:val="0"/>
                                  <w:divBdr>
                                    <w:top w:val="none" w:sz="0" w:space="0" w:color="auto"/>
                                    <w:left w:val="none" w:sz="0" w:space="0" w:color="auto"/>
                                    <w:bottom w:val="none" w:sz="0" w:space="0" w:color="auto"/>
                                    <w:right w:val="none" w:sz="0" w:space="0" w:color="auto"/>
                                  </w:divBdr>
                                  <w:divsChild>
                                    <w:div w:id="1163931011">
                                      <w:marLeft w:val="0"/>
                                      <w:marRight w:val="0"/>
                                      <w:marTop w:val="0"/>
                                      <w:marBottom w:val="0"/>
                                      <w:divBdr>
                                        <w:top w:val="none" w:sz="0" w:space="0" w:color="auto"/>
                                        <w:left w:val="none" w:sz="0" w:space="0" w:color="auto"/>
                                        <w:bottom w:val="none" w:sz="0" w:space="0" w:color="auto"/>
                                        <w:right w:val="none" w:sz="0" w:space="0" w:color="auto"/>
                                      </w:divBdr>
                                      <w:divsChild>
                                        <w:div w:id="1163930931">
                                          <w:marLeft w:val="0"/>
                                          <w:marRight w:val="0"/>
                                          <w:marTop w:val="0"/>
                                          <w:marBottom w:val="0"/>
                                          <w:divBdr>
                                            <w:top w:val="none" w:sz="0" w:space="0" w:color="auto"/>
                                            <w:left w:val="none" w:sz="0" w:space="0" w:color="auto"/>
                                            <w:bottom w:val="none" w:sz="0" w:space="0" w:color="auto"/>
                                            <w:right w:val="none" w:sz="0" w:space="0" w:color="auto"/>
                                          </w:divBdr>
                                          <w:divsChild>
                                            <w:div w:id="11639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3931024">
          <w:marLeft w:val="120"/>
          <w:marRight w:val="135"/>
          <w:marTop w:val="150"/>
          <w:marBottom w:val="150"/>
          <w:divBdr>
            <w:top w:val="none" w:sz="0" w:space="0" w:color="auto"/>
            <w:left w:val="none" w:sz="0" w:space="0" w:color="auto"/>
            <w:bottom w:val="none" w:sz="0" w:space="0" w:color="auto"/>
            <w:right w:val="none" w:sz="0" w:space="0" w:color="auto"/>
          </w:divBdr>
          <w:divsChild>
            <w:div w:id="1163930977">
              <w:marLeft w:val="0"/>
              <w:marRight w:val="0"/>
              <w:marTop w:val="0"/>
              <w:marBottom w:val="0"/>
              <w:divBdr>
                <w:top w:val="none" w:sz="0" w:space="0" w:color="auto"/>
                <w:left w:val="none" w:sz="0" w:space="0" w:color="auto"/>
                <w:bottom w:val="none" w:sz="0" w:space="0" w:color="auto"/>
                <w:right w:val="none" w:sz="0" w:space="0" w:color="auto"/>
              </w:divBdr>
              <w:divsChild>
                <w:div w:id="1163930988">
                  <w:marLeft w:val="0"/>
                  <w:marRight w:val="0"/>
                  <w:marTop w:val="0"/>
                  <w:marBottom w:val="0"/>
                  <w:divBdr>
                    <w:top w:val="none" w:sz="0" w:space="0" w:color="auto"/>
                    <w:left w:val="none" w:sz="0" w:space="0" w:color="auto"/>
                    <w:bottom w:val="none" w:sz="0" w:space="0" w:color="auto"/>
                    <w:right w:val="none" w:sz="0" w:space="0" w:color="auto"/>
                  </w:divBdr>
                  <w:divsChild>
                    <w:div w:id="1163930938">
                      <w:marLeft w:val="0"/>
                      <w:marRight w:val="0"/>
                      <w:marTop w:val="0"/>
                      <w:marBottom w:val="0"/>
                      <w:divBdr>
                        <w:top w:val="none" w:sz="0" w:space="0" w:color="auto"/>
                        <w:left w:val="none" w:sz="0" w:space="0" w:color="auto"/>
                        <w:bottom w:val="none" w:sz="0" w:space="0" w:color="auto"/>
                        <w:right w:val="none" w:sz="0" w:space="0" w:color="auto"/>
                      </w:divBdr>
                      <w:divsChild>
                        <w:div w:id="1163930982">
                          <w:marLeft w:val="0"/>
                          <w:marRight w:val="0"/>
                          <w:marTop w:val="0"/>
                          <w:marBottom w:val="0"/>
                          <w:divBdr>
                            <w:top w:val="none" w:sz="0" w:space="0" w:color="auto"/>
                            <w:left w:val="none" w:sz="0" w:space="0" w:color="auto"/>
                            <w:bottom w:val="none" w:sz="0" w:space="0" w:color="auto"/>
                            <w:right w:val="none" w:sz="0" w:space="0" w:color="auto"/>
                          </w:divBdr>
                          <w:divsChild>
                            <w:div w:id="1163930891">
                              <w:marLeft w:val="0"/>
                              <w:marRight w:val="0"/>
                              <w:marTop w:val="0"/>
                              <w:marBottom w:val="0"/>
                              <w:divBdr>
                                <w:top w:val="none" w:sz="0" w:space="0" w:color="auto"/>
                                <w:left w:val="none" w:sz="0" w:space="0" w:color="auto"/>
                                <w:bottom w:val="none" w:sz="0" w:space="0" w:color="auto"/>
                                <w:right w:val="none" w:sz="0" w:space="0" w:color="auto"/>
                              </w:divBdr>
                              <w:divsChild>
                                <w:div w:id="1163930888">
                                  <w:marLeft w:val="0"/>
                                  <w:marRight w:val="0"/>
                                  <w:marTop w:val="0"/>
                                  <w:marBottom w:val="0"/>
                                  <w:divBdr>
                                    <w:top w:val="none" w:sz="0" w:space="0" w:color="auto"/>
                                    <w:left w:val="none" w:sz="0" w:space="0" w:color="auto"/>
                                    <w:bottom w:val="none" w:sz="0" w:space="0" w:color="auto"/>
                                    <w:right w:val="none" w:sz="0" w:space="0" w:color="auto"/>
                                  </w:divBdr>
                                  <w:divsChild>
                                    <w:div w:id="1163931014">
                                      <w:marLeft w:val="0"/>
                                      <w:marRight w:val="0"/>
                                      <w:marTop w:val="0"/>
                                      <w:marBottom w:val="0"/>
                                      <w:divBdr>
                                        <w:top w:val="none" w:sz="0" w:space="0" w:color="auto"/>
                                        <w:left w:val="none" w:sz="0" w:space="0" w:color="auto"/>
                                        <w:bottom w:val="none" w:sz="0" w:space="0" w:color="auto"/>
                                        <w:right w:val="none" w:sz="0" w:space="0" w:color="auto"/>
                                      </w:divBdr>
                                      <w:divsChild>
                                        <w:div w:id="1163930926">
                                          <w:marLeft w:val="0"/>
                                          <w:marRight w:val="0"/>
                                          <w:marTop w:val="0"/>
                                          <w:marBottom w:val="0"/>
                                          <w:divBdr>
                                            <w:top w:val="none" w:sz="0" w:space="0" w:color="auto"/>
                                            <w:left w:val="none" w:sz="0" w:space="0" w:color="auto"/>
                                            <w:bottom w:val="none" w:sz="0" w:space="0" w:color="auto"/>
                                            <w:right w:val="none" w:sz="0" w:space="0" w:color="auto"/>
                                          </w:divBdr>
                                          <w:divsChild>
                                            <w:div w:id="116393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pravo.cz/top/zakony/sbirka-zakonu/sdeleni-ministerstva-zahranicnich-veci-4874.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pravo.cz/top/zakony/sbirka-zakonu/sdeleni-ministerstva-zahranicnich-veci-4874.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epravo.cz/top/zakony/sbirka-zakonu/sdeleni-ministerstva-zahranicnich-veci-4874.html" TargetMode="External"/><Relationship Id="rId1" Type="http://schemas.openxmlformats.org/officeDocument/2006/relationships/hyperlink" Target="https://www.epravo.cz/top/zakony/sbirka-zakonu/sdeleni-ministerstva-zahranicnich-veci-487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6754</TotalTime>
  <Pages>112</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Proměny chápaní vlastnictví v průběhu dějin</dc:title>
  <dc:subject/>
  <dc:creator>Marek Matěna</dc:creator>
  <cp:keywords/>
  <dc:description/>
  <cp:lastModifiedBy>Jana Matěnová</cp:lastModifiedBy>
  <cp:revision>196</cp:revision>
  <cp:lastPrinted>2018-05-01T21:06:00Z</cp:lastPrinted>
  <dcterms:created xsi:type="dcterms:W3CDTF">2018-04-26T17:10:00Z</dcterms:created>
  <dcterms:modified xsi:type="dcterms:W3CDTF">2018-05-01T21:32:00Z</dcterms:modified>
</cp:coreProperties>
</file>