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AD1" w:rsidRPr="00B76C2D" w:rsidRDefault="00174769" w:rsidP="002A3F2D">
      <w:pPr>
        <w:pStyle w:val="Nadpis2"/>
        <w:spacing w:after="200"/>
        <w:rPr>
          <w:rFonts w:ascii="Calibri" w:hAnsi="Calibri"/>
        </w:rPr>
      </w:pPr>
      <w:r w:rsidRPr="00B76C2D">
        <w:rPr>
          <w:rFonts w:ascii="Calibri" w:hAnsi="Calibri"/>
        </w:rPr>
        <w:t xml:space="preserve">Posudek </w:t>
      </w:r>
      <w:r w:rsidR="00A24AAE">
        <w:rPr>
          <w:rFonts w:ascii="Calibri" w:hAnsi="Calibri"/>
        </w:rPr>
        <w:t>vedoucího</w:t>
      </w:r>
      <w:r w:rsidR="00497AD1" w:rsidRPr="00B76C2D">
        <w:rPr>
          <w:rFonts w:ascii="Calibri" w:hAnsi="Calibri"/>
        </w:rPr>
        <w:t xml:space="preserve"> </w:t>
      </w:r>
      <w:r w:rsidRPr="00B76C2D">
        <w:rPr>
          <w:rFonts w:ascii="Calibri" w:hAnsi="Calibri"/>
        </w:rPr>
        <w:t>diplomové</w:t>
      </w:r>
      <w:r w:rsidR="00497AD1" w:rsidRPr="00B76C2D">
        <w:rPr>
          <w:rFonts w:ascii="Calibri" w:hAnsi="Calibri"/>
        </w:rPr>
        <w:t xml:space="preserve"> práce</w:t>
      </w:r>
    </w:p>
    <w:p w:rsidR="00497AD1" w:rsidRPr="00B76C2D" w:rsidRDefault="00497AD1" w:rsidP="00CB4214">
      <w:pPr>
        <w:pStyle w:val="Nadpis4"/>
        <w:spacing w:after="200"/>
        <w:rPr>
          <w:rFonts w:ascii="Calibri" w:hAnsi="Calibri"/>
        </w:rPr>
      </w:pPr>
      <w:r w:rsidRPr="00B76C2D">
        <w:rPr>
          <w:rFonts w:ascii="Calibri" w:hAnsi="Calibri"/>
        </w:rPr>
        <w:t>Vypracoval: JUDr. Petr Bezouška Ph.D.</w:t>
      </w:r>
    </w:p>
    <w:p w:rsidR="00497AD1" w:rsidRPr="00B76C2D" w:rsidRDefault="00497AD1" w:rsidP="00CB4214">
      <w:pPr>
        <w:spacing w:after="200"/>
        <w:rPr>
          <w:rFonts w:ascii="Calibri" w:hAnsi="Calibri"/>
        </w:rPr>
      </w:pPr>
    </w:p>
    <w:p w:rsidR="00497AD1" w:rsidRPr="00B76C2D" w:rsidRDefault="00174769" w:rsidP="00C22A88">
      <w:pPr>
        <w:spacing w:after="200"/>
        <w:ind w:left="2124" w:hanging="2124"/>
        <w:rPr>
          <w:rFonts w:ascii="Calibri" w:hAnsi="Calibri"/>
          <w:b/>
          <w:bCs/>
        </w:rPr>
      </w:pPr>
      <w:r w:rsidRPr="00B76C2D">
        <w:rPr>
          <w:rFonts w:ascii="Calibri" w:hAnsi="Calibri"/>
        </w:rPr>
        <w:t xml:space="preserve">Diplomová </w:t>
      </w:r>
      <w:r w:rsidR="00497AD1" w:rsidRPr="00B76C2D">
        <w:rPr>
          <w:rFonts w:ascii="Calibri" w:hAnsi="Calibri"/>
        </w:rPr>
        <w:t>práce:</w:t>
      </w:r>
      <w:r w:rsidR="00AE3890" w:rsidRPr="00B76C2D">
        <w:rPr>
          <w:rFonts w:ascii="Calibri" w:hAnsi="Calibri"/>
          <w:b/>
          <w:bCs/>
        </w:rPr>
        <w:t xml:space="preserve"> </w:t>
      </w:r>
      <w:r w:rsidR="00AE3890" w:rsidRPr="00B76C2D">
        <w:rPr>
          <w:rFonts w:ascii="Calibri" w:hAnsi="Calibri"/>
          <w:b/>
          <w:bCs/>
        </w:rPr>
        <w:tab/>
      </w:r>
      <w:r w:rsidR="00A24AAE">
        <w:rPr>
          <w:rFonts w:ascii="Calibri" w:hAnsi="Calibri"/>
          <w:b/>
          <w:bCs/>
        </w:rPr>
        <w:t>Čekatelské právo</w:t>
      </w:r>
    </w:p>
    <w:p w:rsidR="00497AD1" w:rsidRPr="00CB075B" w:rsidRDefault="00064618" w:rsidP="002716EB">
      <w:pPr>
        <w:spacing w:after="200"/>
        <w:rPr>
          <w:rFonts w:ascii="Calibri" w:hAnsi="Calibri"/>
          <w:b/>
          <w:bCs/>
        </w:rPr>
      </w:pPr>
      <w:r w:rsidRPr="00B76C2D">
        <w:rPr>
          <w:rFonts w:ascii="Calibri" w:hAnsi="Calibri"/>
        </w:rPr>
        <w:t>Diplomant</w:t>
      </w:r>
      <w:r w:rsidR="00497AD1" w:rsidRPr="00B76C2D">
        <w:rPr>
          <w:rFonts w:ascii="Calibri" w:hAnsi="Calibri"/>
        </w:rPr>
        <w:t>:</w:t>
      </w:r>
      <w:r w:rsidR="00FE7F09" w:rsidRPr="00B76C2D">
        <w:rPr>
          <w:rFonts w:ascii="Calibri" w:hAnsi="Calibri"/>
        </w:rPr>
        <w:tab/>
      </w:r>
      <w:r w:rsidR="00FE7F09" w:rsidRPr="00B76C2D">
        <w:rPr>
          <w:rFonts w:ascii="Calibri" w:hAnsi="Calibri"/>
        </w:rPr>
        <w:tab/>
      </w:r>
      <w:r w:rsidR="00A24AAE">
        <w:rPr>
          <w:rFonts w:ascii="Calibri" w:hAnsi="Calibri"/>
          <w:b/>
        </w:rPr>
        <w:t>Michel Suchý</w:t>
      </w:r>
    </w:p>
    <w:p w:rsidR="00497AD1" w:rsidRPr="00B76C2D" w:rsidRDefault="00497AD1" w:rsidP="00CB4214">
      <w:pPr>
        <w:pBdr>
          <w:bottom w:val="single" w:sz="6" w:space="1" w:color="auto"/>
        </w:pBdr>
        <w:spacing w:after="200"/>
        <w:rPr>
          <w:rFonts w:ascii="Calibri" w:hAnsi="Calibri"/>
        </w:rPr>
      </w:pPr>
    </w:p>
    <w:p w:rsidR="00224717" w:rsidRDefault="00224717" w:rsidP="00884E79">
      <w:pPr>
        <w:spacing w:after="200" w:line="312" w:lineRule="auto"/>
        <w:jc w:val="both"/>
        <w:rPr>
          <w:rFonts w:ascii="Calibri" w:hAnsi="Calibri"/>
          <w:noProof/>
        </w:rPr>
      </w:pPr>
    </w:p>
    <w:p w:rsidR="00224717" w:rsidRPr="00224717" w:rsidRDefault="00224717" w:rsidP="00224717">
      <w:pPr>
        <w:pStyle w:val="Odstavecseseznamem"/>
        <w:numPr>
          <w:ilvl w:val="0"/>
          <w:numId w:val="26"/>
        </w:numPr>
        <w:spacing w:after="200" w:line="312" w:lineRule="auto"/>
        <w:jc w:val="both"/>
        <w:rPr>
          <w:rFonts w:ascii="Calibri" w:hAnsi="Calibri"/>
          <w:b/>
          <w:noProof/>
        </w:rPr>
      </w:pPr>
      <w:r w:rsidRPr="00224717">
        <w:rPr>
          <w:rFonts w:ascii="Calibri" w:hAnsi="Calibri"/>
          <w:b/>
          <w:noProof/>
        </w:rPr>
        <w:t>Obecně</w:t>
      </w:r>
    </w:p>
    <w:p w:rsidR="00D77C64" w:rsidRDefault="00A24AAE" w:rsidP="00884E79">
      <w:pPr>
        <w:spacing w:after="200" w:line="312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Diplomant si vybral originální téma. Institut, který se etabloval na základě judikatury německých a rakouských soudů, avšak do </w:t>
      </w:r>
      <w:r w:rsidR="006265F5">
        <w:rPr>
          <w:rFonts w:asciiTheme="minorHAnsi" w:hAnsiTheme="minorHAnsi"/>
        </w:rPr>
        <w:t xml:space="preserve">současného </w:t>
      </w:r>
      <w:r>
        <w:rPr>
          <w:rFonts w:asciiTheme="minorHAnsi" w:hAnsiTheme="minorHAnsi"/>
        </w:rPr>
        <w:t xml:space="preserve">českého právního prostředí dosud </w:t>
      </w:r>
      <w:r w:rsidR="00D9476A">
        <w:rPr>
          <w:rFonts w:asciiTheme="minorHAnsi" w:hAnsiTheme="minorHAnsi"/>
        </w:rPr>
        <w:t xml:space="preserve">(až na řídké výjimky) </w:t>
      </w:r>
      <w:r>
        <w:rPr>
          <w:rFonts w:asciiTheme="minorHAnsi" w:hAnsiTheme="minorHAnsi"/>
        </w:rPr>
        <w:t>nepronikl. Je proto jistě zajímavé zabývat se tím, nakolik jsou zahraniční myšlenky přenositelné, zda je k tomu důvod, zda existuje potřeba takové transplantace apod.</w:t>
      </w:r>
    </w:p>
    <w:p w:rsidR="00A24AAE" w:rsidRDefault="00A24AAE" w:rsidP="00884E79">
      <w:pPr>
        <w:spacing w:after="200" w:line="312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Předesílám, že autor se mnou v březnu 2017 konzultoval určitou část své práce, což vyústilo v silnější zaměření na institut čekatelského práva a jeho projevy a k omezení textu o jiných institutech. Myslím si, že ve výsledku to práci prospělo.</w:t>
      </w:r>
    </w:p>
    <w:p w:rsidR="00224717" w:rsidRDefault="00224717" w:rsidP="00884E79">
      <w:pPr>
        <w:spacing w:after="200" w:line="312" w:lineRule="auto"/>
        <w:jc w:val="both"/>
        <w:rPr>
          <w:rFonts w:asciiTheme="minorHAnsi" w:hAnsiTheme="minorHAnsi"/>
        </w:rPr>
      </w:pPr>
    </w:p>
    <w:p w:rsidR="00224717" w:rsidRPr="00224717" w:rsidRDefault="00224717" w:rsidP="00224717">
      <w:pPr>
        <w:pStyle w:val="Odstavecseseznamem"/>
        <w:numPr>
          <w:ilvl w:val="0"/>
          <w:numId w:val="26"/>
        </w:numPr>
        <w:spacing w:after="200" w:line="312" w:lineRule="auto"/>
        <w:jc w:val="both"/>
        <w:rPr>
          <w:rFonts w:asciiTheme="minorHAnsi" w:hAnsiTheme="minorHAnsi"/>
          <w:b/>
        </w:rPr>
      </w:pPr>
      <w:r w:rsidRPr="00224717">
        <w:rPr>
          <w:rFonts w:asciiTheme="minorHAnsi" w:hAnsiTheme="minorHAnsi"/>
          <w:b/>
        </w:rPr>
        <w:t>Obsahová stránka práce</w:t>
      </w:r>
    </w:p>
    <w:p w:rsidR="00F15000" w:rsidRDefault="00A24AAE" w:rsidP="00F15000">
      <w:pPr>
        <w:spacing w:after="200" w:line="312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Předložená práce je jednoznačně silnější v pasážích čerpajících ze zahraniční doktríny a judikatury. Je znát autorova výborná jazyková vybavenost a kvalitní rešeršní činnost. V těch částech, v nichž se snaží adaptovat zahraniční myšlenky do českého prostředí, je text slabší.</w:t>
      </w:r>
    </w:p>
    <w:p w:rsidR="00C32D7C" w:rsidRDefault="00C32D7C" w:rsidP="00F15000">
      <w:pPr>
        <w:spacing w:after="200" w:line="312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Na str. </w:t>
      </w:r>
      <w:r w:rsidR="006265F5">
        <w:rPr>
          <w:rFonts w:asciiTheme="minorHAnsi" w:hAnsiTheme="minorHAnsi"/>
        </w:rPr>
        <w:t xml:space="preserve">10 </w:t>
      </w:r>
      <w:r>
        <w:rPr>
          <w:rFonts w:asciiTheme="minorHAnsi" w:hAnsiTheme="minorHAnsi"/>
        </w:rPr>
        <w:t xml:space="preserve">autor avizuje, že vysvětlí, proč považuje čekatelské právo za kvazi-věcné právo i dle naší právní úpravy. Tak tomu ale není, neboť na necelé stránce pouze uvádí, proč by přijetí tohoto závěru nebylo v rozporu s § 977 </w:t>
      </w:r>
      <w:proofErr w:type="spellStart"/>
      <w:r>
        <w:rPr>
          <w:rFonts w:asciiTheme="minorHAnsi" w:hAnsiTheme="minorHAnsi"/>
        </w:rPr>
        <w:t>obč</w:t>
      </w:r>
      <w:proofErr w:type="spellEnd"/>
      <w:r>
        <w:rPr>
          <w:rFonts w:asciiTheme="minorHAnsi" w:hAnsiTheme="minorHAnsi"/>
        </w:rPr>
        <w:t xml:space="preserve">. </w:t>
      </w:r>
      <w:proofErr w:type="gramStart"/>
      <w:r>
        <w:rPr>
          <w:rFonts w:asciiTheme="minorHAnsi" w:hAnsiTheme="minorHAnsi"/>
        </w:rPr>
        <w:t>zák.</w:t>
      </w:r>
      <w:proofErr w:type="gramEnd"/>
      <w:r>
        <w:rPr>
          <w:rFonts w:asciiTheme="minorHAnsi" w:hAnsiTheme="minorHAnsi"/>
        </w:rPr>
        <w:t xml:space="preserve"> (numerus clausus věcných práv). Schází mi tu však ospravedlnění toho, proč vůbec takový závěr přijmout. Práce je tak postavena </w:t>
      </w:r>
      <w:r w:rsidR="006265F5">
        <w:rPr>
          <w:rFonts w:asciiTheme="minorHAnsi" w:hAnsiTheme="minorHAnsi"/>
        </w:rPr>
        <w:t xml:space="preserve">na </w:t>
      </w:r>
      <w:r>
        <w:rPr>
          <w:rFonts w:asciiTheme="minorHAnsi" w:hAnsiTheme="minorHAnsi"/>
        </w:rPr>
        <w:t>následujícím východisku</w:t>
      </w:r>
      <w:r w:rsidR="00A15D25">
        <w:rPr>
          <w:rFonts w:asciiTheme="minorHAnsi" w:hAnsiTheme="minorHAnsi"/>
        </w:rPr>
        <w:t>: čekatelské právo existuje</w:t>
      </w:r>
      <w:r>
        <w:rPr>
          <w:rFonts w:asciiTheme="minorHAnsi" w:hAnsiTheme="minorHAnsi"/>
        </w:rPr>
        <w:t xml:space="preserve"> i v českém právním prostředí, </w:t>
      </w:r>
      <w:r w:rsidR="00A15D25">
        <w:rPr>
          <w:rFonts w:asciiTheme="minorHAnsi" w:hAnsiTheme="minorHAnsi"/>
        </w:rPr>
        <w:t xml:space="preserve">nemusím je obhajovat, </w:t>
      </w:r>
      <w:r>
        <w:rPr>
          <w:rFonts w:asciiTheme="minorHAnsi" w:hAnsiTheme="minorHAnsi"/>
        </w:rPr>
        <w:t xml:space="preserve">popisuji </w:t>
      </w:r>
      <w:r w:rsidR="00A15D25">
        <w:rPr>
          <w:rFonts w:asciiTheme="minorHAnsi" w:hAnsiTheme="minorHAnsi"/>
        </w:rPr>
        <w:t xml:space="preserve">pouze </w:t>
      </w:r>
      <w:r>
        <w:rPr>
          <w:rFonts w:asciiTheme="minorHAnsi" w:hAnsiTheme="minorHAnsi"/>
        </w:rPr>
        <w:t>jeho dopady</w:t>
      </w:r>
      <w:r w:rsidR="00A15D25">
        <w:rPr>
          <w:rFonts w:asciiTheme="minorHAnsi" w:hAnsiTheme="minorHAnsi"/>
        </w:rPr>
        <w:t xml:space="preserve"> (např. na str. 12 se bez dalšího uvádí, že je na místě přiznat čekateli právo na vylučovací žalobu dle § 267 o. s. ř., nebo na str. 14 </w:t>
      </w:r>
      <w:proofErr w:type="spellStart"/>
      <w:r w:rsidR="00A15D25">
        <w:rPr>
          <w:rFonts w:asciiTheme="minorHAnsi" w:hAnsiTheme="minorHAnsi"/>
        </w:rPr>
        <w:t>an</w:t>
      </w:r>
      <w:proofErr w:type="spellEnd"/>
      <w:r w:rsidR="00A15D25">
        <w:rPr>
          <w:rFonts w:asciiTheme="minorHAnsi" w:hAnsiTheme="minorHAnsi"/>
        </w:rPr>
        <w:t xml:space="preserve">. </w:t>
      </w:r>
      <w:proofErr w:type="gramStart"/>
      <w:r w:rsidR="006265F5">
        <w:rPr>
          <w:rFonts w:asciiTheme="minorHAnsi" w:hAnsiTheme="minorHAnsi"/>
        </w:rPr>
        <w:t>se</w:t>
      </w:r>
      <w:proofErr w:type="gramEnd"/>
      <w:r w:rsidR="006265F5">
        <w:rPr>
          <w:rFonts w:asciiTheme="minorHAnsi" w:hAnsiTheme="minorHAnsi"/>
        </w:rPr>
        <w:t xml:space="preserve"> </w:t>
      </w:r>
      <w:r w:rsidR="00A15D25">
        <w:rPr>
          <w:rFonts w:asciiTheme="minorHAnsi" w:hAnsiTheme="minorHAnsi"/>
        </w:rPr>
        <w:t xml:space="preserve">píše o zcizení </w:t>
      </w:r>
      <w:r w:rsidR="00A15D25">
        <w:rPr>
          <w:rFonts w:asciiTheme="minorHAnsi" w:hAnsiTheme="minorHAnsi"/>
        </w:rPr>
        <w:lastRenderedPageBreak/>
        <w:t>čekatelského práva)</w:t>
      </w:r>
      <w:r>
        <w:rPr>
          <w:rFonts w:asciiTheme="minorHAnsi" w:hAnsiTheme="minorHAnsi"/>
        </w:rPr>
        <w:t>. Takový přístup je možný</w:t>
      </w:r>
      <w:r w:rsidR="00A15D25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</w:t>
      </w:r>
      <w:r w:rsidR="00A15D25">
        <w:rPr>
          <w:rFonts w:asciiTheme="minorHAnsi" w:hAnsiTheme="minorHAnsi"/>
        </w:rPr>
        <w:t xml:space="preserve">ale vede autora po úzké cestě a brání mu vidět souvislosti; navíc měl být </w:t>
      </w:r>
      <w:r>
        <w:rPr>
          <w:rFonts w:asciiTheme="minorHAnsi" w:hAnsiTheme="minorHAnsi"/>
        </w:rPr>
        <w:t xml:space="preserve">na začátku práce výslovně přiznán. </w:t>
      </w:r>
    </w:p>
    <w:p w:rsidR="00A24AAE" w:rsidRDefault="00A24AAE" w:rsidP="00F15000">
      <w:pPr>
        <w:spacing w:after="200" w:line="312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Koncepce čekatelského práva spočívá v tom, že má nabyvateli poskytnout širší míru ochrany, než pouze v obligační rovině. Proto je třeba správně popsat, jakou míru ochrany má např. kupující, který koupil věc s výhradou vlastnického práva. Zde </w:t>
      </w:r>
      <w:r w:rsidR="00C32D7C">
        <w:rPr>
          <w:rFonts w:asciiTheme="minorHAnsi" w:hAnsiTheme="minorHAnsi"/>
        </w:rPr>
        <w:t xml:space="preserve">autor několikrát zmiňuje pravidlo v § 1043 </w:t>
      </w:r>
      <w:proofErr w:type="spellStart"/>
      <w:r w:rsidR="00C32D7C">
        <w:rPr>
          <w:rFonts w:asciiTheme="minorHAnsi" w:hAnsiTheme="minorHAnsi"/>
        </w:rPr>
        <w:t>obč</w:t>
      </w:r>
      <w:proofErr w:type="spellEnd"/>
      <w:r w:rsidR="00C32D7C">
        <w:rPr>
          <w:rFonts w:asciiTheme="minorHAnsi" w:hAnsiTheme="minorHAnsi"/>
        </w:rPr>
        <w:t xml:space="preserve">. </w:t>
      </w:r>
      <w:proofErr w:type="gramStart"/>
      <w:r w:rsidR="00C32D7C">
        <w:rPr>
          <w:rFonts w:asciiTheme="minorHAnsi" w:hAnsiTheme="minorHAnsi"/>
        </w:rPr>
        <w:t>zák.</w:t>
      </w:r>
      <w:proofErr w:type="gramEnd"/>
      <w:r w:rsidR="00C32D7C">
        <w:rPr>
          <w:rFonts w:asciiTheme="minorHAnsi" w:hAnsiTheme="minorHAnsi"/>
        </w:rPr>
        <w:t xml:space="preserve"> (např. str. 12), které ale poskytuje ochranu poctivému držiteli, což </w:t>
      </w:r>
      <w:r w:rsidR="006265F5">
        <w:rPr>
          <w:rFonts w:asciiTheme="minorHAnsi" w:hAnsiTheme="minorHAnsi"/>
        </w:rPr>
        <w:t xml:space="preserve">ale </w:t>
      </w:r>
      <w:r w:rsidR="00C32D7C">
        <w:rPr>
          <w:rFonts w:asciiTheme="minorHAnsi" w:hAnsiTheme="minorHAnsi"/>
        </w:rPr>
        <w:t xml:space="preserve">čekatel není. Diplomant měl spíše uvažovat nad dopadem § 1044 </w:t>
      </w:r>
      <w:proofErr w:type="spellStart"/>
      <w:r w:rsidR="00C32D7C">
        <w:rPr>
          <w:rFonts w:asciiTheme="minorHAnsi" w:hAnsiTheme="minorHAnsi"/>
        </w:rPr>
        <w:t>obč</w:t>
      </w:r>
      <w:proofErr w:type="spellEnd"/>
      <w:r w:rsidR="00C32D7C">
        <w:rPr>
          <w:rFonts w:asciiTheme="minorHAnsi" w:hAnsiTheme="minorHAnsi"/>
        </w:rPr>
        <w:t xml:space="preserve">. </w:t>
      </w:r>
      <w:proofErr w:type="gramStart"/>
      <w:r w:rsidR="00C32D7C">
        <w:rPr>
          <w:rFonts w:asciiTheme="minorHAnsi" w:hAnsiTheme="minorHAnsi"/>
        </w:rPr>
        <w:t>zák.</w:t>
      </w:r>
      <w:proofErr w:type="gramEnd"/>
      <w:r w:rsidR="00A15D25">
        <w:rPr>
          <w:rFonts w:asciiTheme="minorHAnsi" w:hAnsiTheme="minorHAnsi"/>
        </w:rPr>
        <w:t xml:space="preserve"> Když takovému kupujícímu někdo neoprávněně </w:t>
      </w:r>
      <w:r w:rsidR="00081512">
        <w:rPr>
          <w:rFonts w:asciiTheme="minorHAnsi" w:hAnsiTheme="minorHAnsi"/>
        </w:rPr>
        <w:t>zadrží věc, nebo ho bude jinak rušit, může se vůči rušiteli bránit podobně jako vlastník? Je chráněna jen jeho detence, nebo i právo k detenci? Nad tím se autor nezamýšlí.</w:t>
      </w:r>
    </w:p>
    <w:p w:rsidR="00A24AAE" w:rsidRDefault="00A15D25" w:rsidP="00F15000">
      <w:pPr>
        <w:spacing w:after="200" w:line="312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Píše-li autor na str. 14 </w:t>
      </w:r>
      <w:proofErr w:type="spellStart"/>
      <w:proofErr w:type="gramStart"/>
      <w:r>
        <w:rPr>
          <w:rFonts w:asciiTheme="minorHAnsi" w:hAnsiTheme="minorHAnsi"/>
        </w:rPr>
        <w:t>an</w:t>
      </w:r>
      <w:proofErr w:type="spellEnd"/>
      <w:r>
        <w:rPr>
          <w:rFonts w:asciiTheme="minorHAnsi" w:hAnsiTheme="minorHAnsi"/>
        </w:rPr>
        <w:t>. o zcizení</w:t>
      </w:r>
      <w:proofErr w:type="gramEnd"/>
      <w:r>
        <w:rPr>
          <w:rFonts w:asciiTheme="minorHAnsi" w:hAnsiTheme="minorHAnsi"/>
        </w:rPr>
        <w:t xml:space="preserve"> čekatelského práva podle české právní úpravy, </w:t>
      </w:r>
      <w:r w:rsidR="00081512">
        <w:rPr>
          <w:rFonts w:asciiTheme="minorHAnsi" w:hAnsiTheme="minorHAnsi"/>
        </w:rPr>
        <w:t xml:space="preserve">je opět veden po úzké cestě, </w:t>
      </w:r>
      <w:r>
        <w:rPr>
          <w:rFonts w:asciiTheme="minorHAnsi" w:hAnsiTheme="minorHAnsi"/>
        </w:rPr>
        <w:t xml:space="preserve">nezamýšlí </w:t>
      </w:r>
      <w:r w:rsidR="00081512">
        <w:rPr>
          <w:rFonts w:asciiTheme="minorHAnsi" w:hAnsiTheme="minorHAnsi"/>
        </w:rPr>
        <w:t>se nad tím, zda nelze stejného výsledku dosáhnout zcizením věci samé. V této kapitole se dopouští i hrubé chyby, když evidenci motorových vozidel považuje za veřejný seznam a v důsledku toho automobil podřazuje do skupiny věcí zapsaných ve veřejném seznamu (str. 15).</w:t>
      </w:r>
    </w:p>
    <w:p w:rsidR="00961F06" w:rsidRDefault="00961F06" w:rsidP="00F15000">
      <w:pPr>
        <w:spacing w:after="200" w:line="312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Nerozumím úvaze na str. 16, kde autor píše, že v případě (exekučního) soupisu věcí ve vlastnictví prodávajícího, ke kterým má druhá osoba čekatelské právo, bude předmětem soupisu a následně prodeje dle § 323 o. s. ř. pouze čekatelské právo. Čekatelské právo přeci svědčí kupujícímu, ne prodávajícímu. Nemělo by tu tedy čekatelské právo působit (optikou autora) spíše jako právo zatěžující exekuovanou věc? </w:t>
      </w:r>
    </w:p>
    <w:p w:rsidR="00D9476A" w:rsidRDefault="00961F06" w:rsidP="00F15000">
      <w:pPr>
        <w:spacing w:after="200" w:line="312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V dalším textu autor nedomýšlí souvislosti ohledně výhrady vlastnictví. Podle české právní úpravy působí výhrada vlastnictví vůči třetím subjektům pouze v některých případech</w:t>
      </w:r>
      <w:r w:rsidR="00D9476A">
        <w:rPr>
          <w:rFonts w:asciiTheme="minorHAnsi" w:hAnsiTheme="minorHAnsi"/>
        </w:rPr>
        <w:t>. Není tedy pravdou, co uvádí diplomant na str. 27, že samotná výhrada nepůsobí pouze inter partes.</w:t>
      </w:r>
    </w:p>
    <w:p w:rsidR="00A15D25" w:rsidRDefault="00961F06" w:rsidP="00F15000">
      <w:pPr>
        <w:spacing w:after="200" w:line="312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Autor se dopouští i dalších dílčích chyb: str. 17 (dělícím momentem pro riziko škody není nabytí vlastnického práva, ale přechod nebezpečí škody na věci), </w:t>
      </w:r>
      <w:r w:rsidR="00D9476A">
        <w:rPr>
          <w:rFonts w:asciiTheme="minorHAnsi" w:hAnsiTheme="minorHAnsi"/>
        </w:rPr>
        <w:t>str. 22 (v Rakousku není katastr nemovitostí, ale pozemkové knihy) apod.</w:t>
      </w:r>
    </w:p>
    <w:p w:rsidR="00A24AAE" w:rsidRPr="00F15000" w:rsidRDefault="00A24AAE" w:rsidP="00F15000">
      <w:pPr>
        <w:spacing w:after="200" w:line="312" w:lineRule="auto"/>
        <w:jc w:val="both"/>
        <w:rPr>
          <w:rFonts w:asciiTheme="minorHAnsi" w:hAnsiTheme="minorHAnsi"/>
        </w:rPr>
      </w:pPr>
    </w:p>
    <w:p w:rsidR="00224717" w:rsidRPr="00224717" w:rsidRDefault="00224717" w:rsidP="00224717">
      <w:pPr>
        <w:pStyle w:val="Odstavecseseznamem"/>
        <w:numPr>
          <w:ilvl w:val="0"/>
          <w:numId w:val="26"/>
        </w:numPr>
        <w:spacing w:after="200" w:line="312" w:lineRule="auto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Formální stránka práce</w:t>
      </w:r>
    </w:p>
    <w:p w:rsidR="00D9476A" w:rsidRDefault="00D9476A" w:rsidP="00D9476A">
      <w:pPr>
        <w:spacing w:after="200" w:line="312" w:lineRule="auto"/>
        <w:jc w:val="both"/>
        <w:rPr>
          <w:rFonts w:asciiTheme="minorHAnsi" w:hAnsiTheme="minorHAnsi"/>
        </w:rPr>
      </w:pPr>
      <w:r>
        <w:rPr>
          <w:rFonts w:ascii="Calibri" w:hAnsi="Calibri"/>
        </w:rPr>
        <w:t xml:space="preserve">Autorova citační etika je v pořádku, vždy řádně označuje prameny, z nichž čerpá. Ocenit je třeba širokou škálu zahraniční literatury. Pokud jde o českou literární produkci, autor mohl alespoň upozornit na dílo „Kupní smlouva v novém občanském zákoníku“ (Tichý, L. et al., C. H. Beck, </w:t>
      </w:r>
      <w:r w:rsidR="006265F5">
        <w:rPr>
          <w:rFonts w:ascii="Calibri" w:hAnsi="Calibri"/>
        </w:rPr>
        <w:lastRenderedPageBreak/>
        <w:t xml:space="preserve">2014). </w:t>
      </w:r>
      <w:r>
        <w:rPr>
          <w:rFonts w:ascii="Calibri" w:hAnsi="Calibri"/>
        </w:rPr>
        <w:t xml:space="preserve">Bylo by to přinejmenším korektní. </w:t>
      </w:r>
      <w:r>
        <w:rPr>
          <w:rFonts w:asciiTheme="minorHAnsi" w:hAnsiTheme="minorHAnsi"/>
        </w:rPr>
        <w:t>Mrzí mne, že autor více nepracoval s</w:t>
      </w:r>
      <w:r>
        <w:rPr>
          <w:rFonts w:asciiTheme="minorHAnsi" w:hAnsiTheme="minorHAnsi"/>
        </w:rPr>
        <w:t> </w:t>
      </w:r>
      <w:r>
        <w:rPr>
          <w:rFonts w:asciiTheme="minorHAnsi" w:hAnsiTheme="minorHAnsi"/>
        </w:rPr>
        <w:t>prvorepu</w:t>
      </w:r>
      <w:r>
        <w:rPr>
          <w:rFonts w:asciiTheme="minorHAnsi" w:hAnsiTheme="minorHAnsi"/>
        </w:rPr>
        <w:t>blikovou literaturou a judikaturou</w:t>
      </w:r>
      <w:r w:rsidR="006265F5">
        <w:rPr>
          <w:rFonts w:asciiTheme="minorHAnsi" w:hAnsiTheme="minorHAnsi"/>
        </w:rPr>
        <w:t xml:space="preserve"> (např. Vážný 16393)</w:t>
      </w:r>
      <w:r>
        <w:rPr>
          <w:rFonts w:asciiTheme="minorHAnsi" w:hAnsiTheme="minorHAnsi"/>
        </w:rPr>
        <w:t>, která o čekatelském právo pojednává a jistě by mu usnadnila pochopit některé souvislosti pro české právní prostředí.</w:t>
      </w:r>
    </w:p>
    <w:p w:rsidR="00D9476A" w:rsidRDefault="00D9476A" w:rsidP="00884E79">
      <w:pPr>
        <w:spacing w:after="200" w:line="312" w:lineRule="auto"/>
        <w:jc w:val="both"/>
        <w:rPr>
          <w:rFonts w:ascii="Calibri" w:hAnsi="Calibri"/>
        </w:rPr>
      </w:pPr>
      <w:r>
        <w:rPr>
          <w:rFonts w:ascii="Calibri" w:hAnsi="Calibri"/>
        </w:rPr>
        <w:t>Z hlediska slohového nemám výhrady. Práce je psána dobrou češtinou.</w:t>
      </w:r>
    </w:p>
    <w:p w:rsidR="00081512" w:rsidRDefault="00D9476A" w:rsidP="00884E79">
      <w:pPr>
        <w:spacing w:after="200" w:line="312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V rámci hodnocení formy je </w:t>
      </w:r>
      <w:r>
        <w:rPr>
          <w:rFonts w:ascii="Calibri" w:hAnsi="Calibri"/>
        </w:rPr>
        <w:t xml:space="preserve">však </w:t>
      </w:r>
      <w:r>
        <w:rPr>
          <w:rFonts w:ascii="Calibri" w:hAnsi="Calibri"/>
        </w:rPr>
        <w:t>třeba upozornit na některé nedostatky v nadpisech – např. na str. 16 jsou nadpisy „Exekuce dle ABGB“ nebo „Exekuce dle o. z.“, což je však nesmyslné, zřejmě mělo jít o nadpisy o exekuci dle rakouského či českého práva.</w:t>
      </w:r>
    </w:p>
    <w:p w:rsidR="00D9476A" w:rsidRDefault="00D9476A" w:rsidP="00884E79">
      <w:pPr>
        <w:spacing w:after="200" w:line="312" w:lineRule="auto"/>
        <w:jc w:val="both"/>
        <w:rPr>
          <w:rFonts w:ascii="Calibri" w:hAnsi="Calibri"/>
        </w:rPr>
      </w:pPr>
    </w:p>
    <w:p w:rsidR="00944396" w:rsidRDefault="00895887" w:rsidP="00944396">
      <w:pPr>
        <w:pStyle w:val="Odstavecseseznamem"/>
        <w:numPr>
          <w:ilvl w:val="0"/>
          <w:numId w:val="26"/>
        </w:numPr>
        <w:spacing w:after="200" w:line="312" w:lineRule="auto"/>
        <w:jc w:val="both"/>
        <w:rPr>
          <w:rFonts w:ascii="Calibri" w:hAnsi="Calibri"/>
          <w:b/>
        </w:rPr>
      </w:pPr>
      <w:r w:rsidRPr="00944396">
        <w:rPr>
          <w:rFonts w:ascii="Calibri" w:hAnsi="Calibri"/>
          <w:b/>
        </w:rPr>
        <w:t>Závěr</w:t>
      </w:r>
    </w:p>
    <w:p w:rsidR="009757D1" w:rsidRDefault="007E6EF9" w:rsidP="009757D1">
      <w:pPr>
        <w:spacing w:after="200" w:line="312" w:lineRule="auto"/>
        <w:jc w:val="both"/>
        <w:rPr>
          <w:rFonts w:ascii="Calibri" w:hAnsi="Calibri"/>
        </w:rPr>
      </w:pPr>
      <w:r>
        <w:rPr>
          <w:rFonts w:ascii="Calibri" w:hAnsi="Calibri"/>
        </w:rPr>
        <w:t>I přes to, co jsem výše vytknul, se domnívám, že p</w:t>
      </w:r>
      <w:r w:rsidR="00944396">
        <w:rPr>
          <w:rFonts w:ascii="Calibri" w:hAnsi="Calibri"/>
        </w:rPr>
        <w:t>ředložená práce splňuje požadavky kladené na k</w:t>
      </w:r>
      <w:r w:rsidR="00795C6C">
        <w:rPr>
          <w:rFonts w:ascii="Calibri" w:hAnsi="Calibri"/>
        </w:rPr>
        <w:t>valifikační práci tohoto druhu, proto</w:t>
      </w:r>
    </w:p>
    <w:p w:rsidR="00944396" w:rsidRDefault="00944396" w:rsidP="00944396">
      <w:pPr>
        <w:spacing w:after="200" w:line="312" w:lineRule="auto"/>
        <w:jc w:val="both"/>
        <w:rPr>
          <w:rFonts w:ascii="Calibri" w:hAnsi="Calibri"/>
        </w:rPr>
      </w:pPr>
    </w:p>
    <w:p w:rsidR="00497AD1" w:rsidRDefault="00497AD1" w:rsidP="00562F06">
      <w:pPr>
        <w:spacing w:after="200" w:line="312" w:lineRule="auto"/>
        <w:jc w:val="center"/>
        <w:rPr>
          <w:rFonts w:ascii="Calibri" w:hAnsi="Calibri"/>
          <w:b/>
        </w:rPr>
      </w:pPr>
      <w:r w:rsidRPr="00562F06">
        <w:rPr>
          <w:rFonts w:ascii="Calibri" w:hAnsi="Calibri"/>
          <w:b/>
        </w:rPr>
        <w:t>DOPORUČUJI TUTO PRÁCI K</w:t>
      </w:r>
      <w:r w:rsidR="007E6EF9">
        <w:rPr>
          <w:rFonts w:ascii="Calibri" w:hAnsi="Calibri"/>
          <w:b/>
        </w:rPr>
        <w:t> </w:t>
      </w:r>
      <w:r w:rsidRPr="00562F06">
        <w:rPr>
          <w:rFonts w:ascii="Calibri" w:hAnsi="Calibri"/>
          <w:b/>
        </w:rPr>
        <w:t>OBHAJOBĚ</w:t>
      </w:r>
    </w:p>
    <w:p w:rsidR="007E6EF9" w:rsidRDefault="007E6EF9" w:rsidP="00562F06">
      <w:pPr>
        <w:spacing w:after="200" w:line="312" w:lineRule="auto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A HODNOTÍM JI STUPNĚM „C“.</w:t>
      </w:r>
    </w:p>
    <w:p w:rsidR="007E6EF9" w:rsidRDefault="007E6EF9" w:rsidP="00265B7C">
      <w:pPr>
        <w:spacing w:line="312" w:lineRule="auto"/>
        <w:rPr>
          <w:rFonts w:ascii="Calibri" w:hAnsi="Calibri"/>
        </w:rPr>
      </w:pPr>
    </w:p>
    <w:p w:rsidR="00162987" w:rsidRDefault="007E6EF9" w:rsidP="00265B7C">
      <w:pPr>
        <w:spacing w:line="312" w:lineRule="auto"/>
        <w:rPr>
          <w:rFonts w:ascii="Calibri" w:hAnsi="Calibri"/>
        </w:rPr>
      </w:pPr>
      <w:r>
        <w:rPr>
          <w:rFonts w:ascii="Calibri" w:hAnsi="Calibri"/>
        </w:rPr>
        <w:t>V rámci obhajoby doporučuji, aby se diplomanty vyjádřil k otázkám nastíněným v posudku.</w:t>
      </w:r>
    </w:p>
    <w:p w:rsidR="00E52C11" w:rsidRDefault="00E52C11" w:rsidP="00265B7C">
      <w:pPr>
        <w:spacing w:line="312" w:lineRule="auto"/>
        <w:rPr>
          <w:rFonts w:ascii="Calibri" w:hAnsi="Calibri"/>
        </w:rPr>
      </w:pPr>
    </w:p>
    <w:p w:rsidR="00E52C11" w:rsidRDefault="00E52C11" w:rsidP="00265B7C">
      <w:pPr>
        <w:spacing w:line="312" w:lineRule="auto"/>
        <w:rPr>
          <w:rFonts w:ascii="Calibri" w:hAnsi="Calibri"/>
        </w:rPr>
      </w:pPr>
    </w:p>
    <w:p w:rsidR="00265B7C" w:rsidRPr="00B76C2D" w:rsidRDefault="00762E2E" w:rsidP="00265B7C">
      <w:pPr>
        <w:spacing w:line="312" w:lineRule="auto"/>
        <w:rPr>
          <w:rFonts w:ascii="Calibri" w:hAnsi="Calibri"/>
        </w:rPr>
      </w:pPr>
      <w:r w:rsidRPr="00B76C2D">
        <w:rPr>
          <w:rFonts w:ascii="Calibri" w:hAnsi="Calibri"/>
        </w:rPr>
        <w:t>V P</w:t>
      </w:r>
      <w:r w:rsidR="00BB5D9D" w:rsidRPr="00B76C2D">
        <w:rPr>
          <w:rFonts w:ascii="Calibri" w:hAnsi="Calibri"/>
        </w:rPr>
        <w:t>raze</w:t>
      </w:r>
      <w:r w:rsidRPr="00B76C2D">
        <w:rPr>
          <w:rFonts w:ascii="Calibri" w:hAnsi="Calibri"/>
        </w:rPr>
        <w:t xml:space="preserve">, </w:t>
      </w:r>
      <w:r w:rsidR="008920AF">
        <w:rPr>
          <w:rFonts w:ascii="Calibri" w:hAnsi="Calibri"/>
        </w:rPr>
        <w:t>2</w:t>
      </w:r>
      <w:r w:rsidR="007E6EF9">
        <w:rPr>
          <w:rFonts w:ascii="Calibri" w:hAnsi="Calibri"/>
        </w:rPr>
        <w:t>9</w:t>
      </w:r>
      <w:r w:rsidR="00497AD1" w:rsidRPr="00B76C2D">
        <w:rPr>
          <w:rFonts w:ascii="Calibri" w:hAnsi="Calibri"/>
        </w:rPr>
        <w:t>.</w:t>
      </w:r>
      <w:r w:rsidRPr="00B76C2D">
        <w:rPr>
          <w:rFonts w:ascii="Calibri" w:hAnsi="Calibri"/>
        </w:rPr>
        <w:t xml:space="preserve"> </w:t>
      </w:r>
      <w:r w:rsidR="007E6EF9">
        <w:rPr>
          <w:rFonts w:ascii="Calibri" w:hAnsi="Calibri"/>
        </w:rPr>
        <w:t>8</w:t>
      </w:r>
      <w:r w:rsidR="00497AD1" w:rsidRPr="00B76C2D">
        <w:rPr>
          <w:rFonts w:ascii="Calibri" w:hAnsi="Calibri"/>
        </w:rPr>
        <w:t>.</w:t>
      </w:r>
      <w:r w:rsidRPr="00B76C2D">
        <w:rPr>
          <w:rFonts w:ascii="Calibri" w:hAnsi="Calibri"/>
        </w:rPr>
        <w:t xml:space="preserve"> </w:t>
      </w:r>
      <w:r w:rsidR="00497AD1" w:rsidRPr="00B76C2D">
        <w:rPr>
          <w:rFonts w:ascii="Calibri" w:hAnsi="Calibri"/>
        </w:rPr>
        <w:t>201</w:t>
      </w:r>
      <w:r w:rsidR="00795C6C">
        <w:rPr>
          <w:rFonts w:ascii="Calibri" w:hAnsi="Calibri"/>
        </w:rPr>
        <w:t>7</w:t>
      </w:r>
    </w:p>
    <w:p w:rsidR="00497AD1" w:rsidRPr="00B76C2D" w:rsidRDefault="006E4D86" w:rsidP="006E4D86">
      <w:pPr>
        <w:spacing w:after="200" w:line="312" w:lineRule="auto"/>
        <w:rPr>
          <w:rFonts w:ascii="Calibri" w:hAnsi="Calibri"/>
        </w:rPr>
      </w:pPr>
      <w:r w:rsidRPr="00B76C2D">
        <w:rPr>
          <w:rFonts w:ascii="Calibri" w:hAnsi="Calibri"/>
        </w:rPr>
        <w:tab/>
      </w:r>
      <w:r w:rsidRPr="00B76C2D">
        <w:rPr>
          <w:rFonts w:ascii="Calibri" w:hAnsi="Calibri"/>
        </w:rPr>
        <w:tab/>
      </w:r>
      <w:r w:rsidRPr="00B76C2D">
        <w:rPr>
          <w:rFonts w:ascii="Calibri" w:hAnsi="Calibri"/>
        </w:rPr>
        <w:tab/>
      </w:r>
      <w:r w:rsidRPr="00B76C2D">
        <w:rPr>
          <w:rFonts w:ascii="Calibri" w:hAnsi="Calibri"/>
        </w:rPr>
        <w:tab/>
      </w:r>
      <w:bookmarkStart w:id="0" w:name="_GoBack"/>
      <w:bookmarkEnd w:id="0"/>
      <w:r w:rsidR="00265B7C" w:rsidRPr="00B76C2D">
        <w:rPr>
          <w:rFonts w:ascii="Calibri" w:hAnsi="Calibri"/>
        </w:rPr>
        <w:tab/>
      </w:r>
      <w:r w:rsidRPr="00B76C2D">
        <w:rPr>
          <w:rFonts w:ascii="Calibri" w:hAnsi="Calibri"/>
        </w:rPr>
        <w:tab/>
      </w:r>
      <w:r w:rsidRPr="00B76C2D">
        <w:rPr>
          <w:rFonts w:ascii="Calibri" w:hAnsi="Calibri"/>
        </w:rPr>
        <w:tab/>
      </w:r>
      <w:r w:rsidRPr="00B76C2D">
        <w:rPr>
          <w:rFonts w:ascii="Calibri" w:hAnsi="Calibri"/>
        </w:rPr>
        <w:tab/>
      </w:r>
      <w:r w:rsidRPr="00B76C2D">
        <w:rPr>
          <w:rFonts w:ascii="Calibri" w:hAnsi="Calibri"/>
        </w:rPr>
        <w:tab/>
      </w:r>
      <w:r w:rsidR="00497AD1" w:rsidRPr="00B76C2D">
        <w:rPr>
          <w:rFonts w:ascii="Calibri" w:hAnsi="Calibri"/>
        </w:rPr>
        <w:t>Petr Bezouška</w:t>
      </w:r>
    </w:p>
    <w:sectPr w:rsidR="00497AD1" w:rsidRPr="00B76C2D">
      <w:footerReference w:type="default" r:id="rId8"/>
      <w:pgSz w:w="12240" w:h="15840" w:code="1"/>
      <w:pgMar w:top="1418" w:right="1418" w:bottom="1418" w:left="1418" w:header="709" w:footer="709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1A1" w:rsidRDefault="001E71A1">
      <w:r>
        <w:separator/>
      </w:r>
    </w:p>
  </w:endnote>
  <w:endnote w:type="continuationSeparator" w:id="0">
    <w:p w:rsidR="001E71A1" w:rsidRDefault="001E7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36E" w:rsidRDefault="0093636E">
    <w:pPr>
      <w:pStyle w:val="Zpat"/>
      <w:framePr w:wrap="auto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265F5">
      <w:rPr>
        <w:rStyle w:val="slostrnky"/>
        <w:noProof/>
      </w:rPr>
      <w:t>3</w:t>
    </w:r>
    <w:r>
      <w:rPr>
        <w:rStyle w:val="slostrnky"/>
      </w:rPr>
      <w:fldChar w:fldCharType="end"/>
    </w:r>
  </w:p>
  <w:p w:rsidR="0093636E" w:rsidRDefault="0093636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1A1" w:rsidRDefault="001E71A1">
      <w:r>
        <w:separator/>
      </w:r>
    </w:p>
  </w:footnote>
  <w:footnote w:type="continuationSeparator" w:id="0">
    <w:p w:rsidR="001E71A1" w:rsidRDefault="001E7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57D74"/>
    <w:multiLevelType w:val="hybridMultilevel"/>
    <w:tmpl w:val="67581E98"/>
    <w:lvl w:ilvl="0" w:tplc="B2E0AF3E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0A73B9"/>
    <w:multiLevelType w:val="hybridMultilevel"/>
    <w:tmpl w:val="EC2041B0"/>
    <w:lvl w:ilvl="0" w:tplc="57DC24D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63513"/>
    <w:multiLevelType w:val="hybridMultilevel"/>
    <w:tmpl w:val="EEAA9EF6"/>
    <w:lvl w:ilvl="0" w:tplc="8EEA0DF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CE625F"/>
    <w:multiLevelType w:val="hybridMultilevel"/>
    <w:tmpl w:val="76425EA6"/>
    <w:lvl w:ilvl="0" w:tplc="AA38A9F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F6B79C9"/>
    <w:multiLevelType w:val="hybridMultilevel"/>
    <w:tmpl w:val="164CC62C"/>
    <w:lvl w:ilvl="0" w:tplc="5F20CE7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32464E9"/>
    <w:multiLevelType w:val="hybridMultilevel"/>
    <w:tmpl w:val="2612F148"/>
    <w:lvl w:ilvl="0" w:tplc="B8FAEA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B93BB6"/>
    <w:multiLevelType w:val="hybridMultilevel"/>
    <w:tmpl w:val="E794CC9E"/>
    <w:lvl w:ilvl="0" w:tplc="6E7C216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87D718D"/>
    <w:multiLevelType w:val="hybridMultilevel"/>
    <w:tmpl w:val="239461F2"/>
    <w:lvl w:ilvl="0" w:tplc="8A0097D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EC4BE3"/>
    <w:multiLevelType w:val="hybridMultilevel"/>
    <w:tmpl w:val="8ACC3C8E"/>
    <w:lvl w:ilvl="0" w:tplc="78AA6FC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EB0D25"/>
    <w:multiLevelType w:val="hybridMultilevel"/>
    <w:tmpl w:val="E3A24842"/>
    <w:lvl w:ilvl="0" w:tplc="05C0C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073A45"/>
    <w:multiLevelType w:val="hybridMultilevel"/>
    <w:tmpl w:val="27D69C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A3B7F"/>
    <w:multiLevelType w:val="hybridMultilevel"/>
    <w:tmpl w:val="3BB03B8C"/>
    <w:lvl w:ilvl="0" w:tplc="CE0C4CD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D5B0716"/>
    <w:multiLevelType w:val="hybridMultilevel"/>
    <w:tmpl w:val="F4DA1438"/>
    <w:lvl w:ilvl="0" w:tplc="686431A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4239D7"/>
    <w:multiLevelType w:val="hybridMultilevel"/>
    <w:tmpl w:val="7334FEFC"/>
    <w:lvl w:ilvl="0" w:tplc="F45E7938">
      <w:start w:val="7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5A46EF2"/>
    <w:multiLevelType w:val="hybridMultilevel"/>
    <w:tmpl w:val="55EA8452"/>
    <w:lvl w:ilvl="0" w:tplc="686431A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0B5DC9"/>
    <w:multiLevelType w:val="hybridMultilevel"/>
    <w:tmpl w:val="0E4A727A"/>
    <w:lvl w:ilvl="0" w:tplc="2D4067EE">
      <w:start w:val="1"/>
      <w:numFmt w:val="decimal"/>
      <w:lvlText w:val="(%1)"/>
      <w:lvlJc w:val="left"/>
      <w:pPr>
        <w:tabs>
          <w:tab w:val="num" w:pos="907"/>
        </w:tabs>
        <w:ind w:left="907" w:hanging="547"/>
      </w:pPr>
      <w:rPr>
        <w:rFonts w:cs="Times New Roman" w:hint="default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D4067EE">
      <w:start w:val="1"/>
      <w:numFmt w:val="decimal"/>
      <w:lvlText w:val="(%3)"/>
      <w:lvlJc w:val="left"/>
      <w:pPr>
        <w:tabs>
          <w:tab w:val="num" w:pos="2527"/>
        </w:tabs>
        <w:ind w:left="2527" w:hanging="547"/>
      </w:pPr>
      <w:rPr>
        <w:rFonts w:cs="Times New Roman" w:hint="default"/>
        <w:color w:val="auto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D934DB7"/>
    <w:multiLevelType w:val="hybridMultilevel"/>
    <w:tmpl w:val="788AA92E"/>
    <w:lvl w:ilvl="0" w:tplc="F7C4DA5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41F769E"/>
    <w:multiLevelType w:val="hybridMultilevel"/>
    <w:tmpl w:val="2876C23C"/>
    <w:lvl w:ilvl="0" w:tplc="A486497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2D057D"/>
    <w:multiLevelType w:val="hybridMultilevel"/>
    <w:tmpl w:val="67A47094"/>
    <w:lvl w:ilvl="0" w:tplc="3800C7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BE32B2"/>
    <w:multiLevelType w:val="hybridMultilevel"/>
    <w:tmpl w:val="29B8051A"/>
    <w:lvl w:ilvl="0" w:tplc="686431A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A74593"/>
    <w:multiLevelType w:val="hybridMultilevel"/>
    <w:tmpl w:val="D9868C5A"/>
    <w:lvl w:ilvl="0" w:tplc="F45E7938">
      <w:start w:val="7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EFF6C17"/>
    <w:multiLevelType w:val="hybridMultilevel"/>
    <w:tmpl w:val="F0549044"/>
    <w:lvl w:ilvl="0" w:tplc="9CB41592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DF2903"/>
    <w:multiLevelType w:val="hybridMultilevel"/>
    <w:tmpl w:val="ECDC6FA0"/>
    <w:lvl w:ilvl="0" w:tplc="E2BCD7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7E0CAF"/>
    <w:multiLevelType w:val="hybridMultilevel"/>
    <w:tmpl w:val="77AEB1DE"/>
    <w:lvl w:ilvl="0" w:tplc="6E7C216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AE03930"/>
    <w:multiLevelType w:val="hybridMultilevel"/>
    <w:tmpl w:val="2D00E0C4"/>
    <w:lvl w:ilvl="0" w:tplc="779285A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B8A1D38"/>
    <w:multiLevelType w:val="hybridMultilevel"/>
    <w:tmpl w:val="387C4462"/>
    <w:lvl w:ilvl="0" w:tplc="6E7C216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CBD3A0C"/>
    <w:multiLevelType w:val="hybridMultilevel"/>
    <w:tmpl w:val="06FA0008"/>
    <w:lvl w:ilvl="0" w:tplc="468CD04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6"/>
  </w:num>
  <w:num w:numId="3">
    <w:abstractNumId w:val="24"/>
  </w:num>
  <w:num w:numId="4">
    <w:abstractNumId w:val="4"/>
  </w:num>
  <w:num w:numId="5">
    <w:abstractNumId w:val="23"/>
  </w:num>
  <w:num w:numId="6">
    <w:abstractNumId w:val="16"/>
  </w:num>
  <w:num w:numId="7">
    <w:abstractNumId w:val="13"/>
  </w:num>
  <w:num w:numId="8">
    <w:abstractNumId w:val="20"/>
  </w:num>
  <w:num w:numId="9">
    <w:abstractNumId w:val="2"/>
  </w:num>
  <w:num w:numId="10">
    <w:abstractNumId w:val="11"/>
  </w:num>
  <w:num w:numId="11">
    <w:abstractNumId w:val="15"/>
  </w:num>
  <w:num w:numId="12">
    <w:abstractNumId w:val="1"/>
  </w:num>
  <w:num w:numId="13">
    <w:abstractNumId w:val="18"/>
  </w:num>
  <w:num w:numId="14">
    <w:abstractNumId w:val="3"/>
  </w:num>
  <w:num w:numId="15">
    <w:abstractNumId w:val="8"/>
  </w:num>
  <w:num w:numId="16">
    <w:abstractNumId w:val="17"/>
  </w:num>
  <w:num w:numId="17">
    <w:abstractNumId w:val="9"/>
  </w:num>
  <w:num w:numId="18">
    <w:abstractNumId w:val="7"/>
  </w:num>
  <w:num w:numId="19">
    <w:abstractNumId w:val="21"/>
  </w:num>
  <w:num w:numId="20">
    <w:abstractNumId w:val="22"/>
  </w:num>
  <w:num w:numId="21">
    <w:abstractNumId w:val="14"/>
  </w:num>
  <w:num w:numId="22">
    <w:abstractNumId w:val="10"/>
  </w:num>
  <w:num w:numId="23">
    <w:abstractNumId w:val="19"/>
  </w:num>
  <w:num w:numId="24">
    <w:abstractNumId w:val="12"/>
  </w:num>
  <w:num w:numId="25">
    <w:abstractNumId w:val="26"/>
  </w:num>
  <w:num w:numId="26">
    <w:abstractNumId w:val="5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78"/>
  <w:drawingGridVerticalSpacing w:val="106"/>
  <w:displayHorizontalDrawingGridEvery w:val="0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890"/>
    <w:rsid w:val="00002823"/>
    <w:rsid w:val="00015F55"/>
    <w:rsid w:val="00027F07"/>
    <w:rsid w:val="000409B8"/>
    <w:rsid w:val="00057C88"/>
    <w:rsid w:val="000612E2"/>
    <w:rsid w:val="00064618"/>
    <w:rsid w:val="00067533"/>
    <w:rsid w:val="00081512"/>
    <w:rsid w:val="00082891"/>
    <w:rsid w:val="00085625"/>
    <w:rsid w:val="0009217E"/>
    <w:rsid w:val="000A60CA"/>
    <w:rsid w:val="000C4B60"/>
    <w:rsid w:val="000E4A10"/>
    <w:rsid w:val="000F4A41"/>
    <w:rsid w:val="000F4D74"/>
    <w:rsid w:val="000F71EF"/>
    <w:rsid w:val="00104575"/>
    <w:rsid w:val="00115D38"/>
    <w:rsid w:val="00124863"/>
    <w:rsid w:val="00126AFE"/>
    <w:rsid w:val="00144BDB"/>
    <w:rsid w:val="00156764"/>
    <w:rsid w:val="00162987"/>
    <w:rsid w:val="00174769"/>
    <w:rsid w:val="00185B09"/>
    <w:rsid w:val="001865B7"/>
    <w:rsid w:val="001B7C90"/>
    <w:rsid w:val="001C25A9"/>
    <w:rsid w:val="001C4533"/>
    <w:rsid w:val="001E6AD0"/>
    <w:rsid w:val="001E71A1"/>
    <w:rsid w:val="001F44E4"/>
    <w:rsid w:val="00224717"/>
    <w:rsid w:val="00263959"/>
    <w:rsid w:val="00265B7C"/>
    <w:rsid w:val="002714A5"/>
    <w:rsid w:val="002716EB"/>
    <w:rsid w:val="00280AF0"/>
    <w:rsid w:val="00285F0B"/>
    <w:rsid w:val="002A3F2D"/>
    <w:rsid w:val="002C0312"/>
    <w:rsid w:val="002C11B8"/>
    <w:rsid w:val="002D0B6E"/>
    <w:rsid w:val="002D37A4"/>
    <w:rsid w:val="002E48E0"/>
    <w:rsid w:val="002F0681"/>
    <w:rsid w:val="00300FDA"/>
    <w:rsid w:val="00302667"/>
    <w:rsid w:val="00310FC4"/>
    <w:rsid w:val="00321922"/>
    <w:rsid w:val="00322F56"/>
    <w:rsid w:val="00326607"/>
    <w:rsid w:val="00330086"/>
    <w:rsid w:val="0033130E"/>
    <w:rsid w:val="00332223"/>
    <w:rsid w:val="003404A8"/>
    <w:rsid w:val="00340FF0"/>
    <w:rsid w:val="00342E03"/>
    <w:rsid w:val="003743B6"/>
    <w:rsid w:val="00380DB4"/>
    <w:rsid w:val="00381AF6"/>
    <w:rsid w:val="00382F1F"/>
    <w:rsid w:val="0039029B"/>
    <w:rsid w:val="003948A7"/>
    <w:rsid w:val="003A2373"/>
    <w:rsid w:val="003C0534"/>
    <w:rsid w:val="003C2771"/>
    <w:rsid w:val="003C3277"/>
    <w:rsid w:val="003C3437"/>
    <w:rsid w:val="003C7A77"/>
    <w:rsid w:val="003D47D1"/>
    <w:rsid w:val="003D4E34"/>
    <w:rsid w:val="003E7468"/>
    <w:rsid w:val="003F6FBD"/>
    <w:rsid w:val="00406ABE"/>
    <w:rsid w:val="004149A4"/>
    <w:rsid w:val="00420758"/>
    <w:rsid w:val="00437D58"/>
    <w:rsid w:val="00476398"/>
    <w:rsid w:val="00491880"/>
    <w:rsid w:val="00497AD1"/>
    <w:rsid w:val="005007D9"/>
    <w:rsid w:val="00517417"/>
    <w:rsid w:val="0052361E"/>
    <w:rsid w:val="0053454E"/>
    <w:rsid w:val="0054519F"/>
    <w:rsid w:val="00562F06"/>
    <w:rsid w:val="00570B59"/>
    <w:rsid w:val="00587797"/>
    <w:rsid w:val="005921ED"/>
    <w:rsid w:val="005933E5"/>
    <w:rsid w:val="00596586"/>
    <w:rsid w:val="005C2C66"/>
    <w:rsid w:val="005E4881"/>
    <w:rsid w:val="0060269B"/>
    <w:rsid w:val="00622F94"/>
    <w:rsid w:val="006265F5"/>
    <w:rsid w:val="00664DF7"/>
    <w:rsid w:val="006656AC"/>
    <w:rsid w:val="00670B81"/>
    <w:rsid w:val="00691700"/>
    <w:rsid w:val="00695B9B"/>
    <w:rsid w:val="006B6D04"/>
    <w:rsid w:val="006C63FD"/>
    <w:rsid w:val="006D2C04"/>
    <w:rsid w:val="006D4129"/>
    <w:rsid w:val="006D676F"/>
    <w:rsid w:val="006D6A31"/>
    <w:rsid w:val="006E3999"/>
    <w:rsid w:val="006E4D86"/>
    <w:rsid w:val="0070170D"/>
    <w:rsid w:val="007133F2"/>
    <w:rsid w:val="007302CE"/>
    <w:rsid w:val="007479F5"/>
    <w:rsid w:val="00762E2E"/>
    <w:rsid w:val="0077265C"/>
    <w:rsid w:val="0078686D"/>
    <w:rsid w:val="00791298"/>
    <w:rsid w:val="00795C6C"/>
    <w:rsid w:val="007B4702"/>
    <w:rsid w:val="007E39E9"/>
    <w:rsid w:val="007E6EF9"/>
    <w:rsid w:val="00810D3C"/>
    <w:rsid w:val="008203FC"/>
    <w:rsid w:val="00884E79"/>
    <w:rsid w:val="008920AF"/>
    <w:rsid w:val="00895887"/>
    <w:rsid w:val="008A4BD6"/>
    <w:rsid w:val="008C792B"/>
    <w:rsid w:val="008C7B23"/>
    <w:rsid w:val="00921955"/>
    <w:rsid w:val="00924F5A"/>
    <w:rsid w:val="00936098"/>
    <w:rsid w:val="0093636E"/>
    <w:rsid w:val="00936408"/>
    <w:rsid w:val="0093731F"/>
    <w:rsid w:val="00944396"/>
    <w:rsid w:val="009452D5"/>
    <w:rsid w:val="00952930"/>
    <w:rsid w:val="00955777"/>
    <w:rsid w:val="00956FD8"/>
    <w:rsid w:val="00961F06"/>
    <w:rsid w:val="009757D1"/>
    <w:rsid w:val="00975EEB"/>
    <w:rsid w:val="009A0C2E"/>
    <w:rsid w:val="009A1232"/>
    <w:rsid w:val="009A1D70"/>
    <w:rsid w:val="009A5EEE"/>
    <w:rsid w:val="009A5F91"/>
    <w:rsid w:val="009B67C8"/>
    <w:rsid w:val="009D24E7"/>
    <w:rsid w:val="009E4C24"/>
    <w:rsid w:val="009E63CD"/>
    <w:rsid w:val="009F2BD1"/>
    <w:rsid w:val="009F3627"/>
    <w:rsid w:val="00A02945"/>
    <w:rsid w:val="00A15D25"/>
    <w:rsid w:val="00A244FF"/>
    <w:rsid w:val="00A24AAE"/>
    <w:rsid w:val="00A2745D"/>
    <w:rsid w:val="00A823B1"/>
    <w:rsid w:val="00AA26A9"/>
    <w:rsid w:val="00AC2872"/>
    <w:rsid w:val="00AC5B09"/>
    <w:rsid w:val="00AC7391"/>
    <w:rsid w:val="00AD6D36"/>
    <w:rsid w:val="00AE3890"/>
    <w:rsid w:val="00AF1A7E"/>
    <w:rsid w:val="00B061FF"/>
    <w:rsid w:val="00B20935"/>
    <w:rsid w:val="00B25052"/>
    <w:rsid w:val="00B25397"/>
    <w:rsid w:val="00B40BC0"/>
    <w:rsid w:val="00B4190A"/>
    <w:rsid w:val="00B464AE"/>
    <w:rsid w:val="00B468DF"/>
    <w:rsid w:val="00B6190A"/>
    <w:rsid w:val="00B74FFF"/>
    <w:rsid w:val="00B7685F"/>
    <w:rsid w:val="00B76C2D"/>
    <w:rsid w:val="00B84B2D"/>
    <w:rsid w:val="00BA05EA"/>
    <w:rsid w:val="00BA677F"/>
    <w:rsid w:val="00BB5D9D"/>
    <w:rsid w:val="00BC7A14"/>
    <w:rsid w:val="00C13C2A"/>
    <w:rsid w:val="00C22A88"/>
    <w:rsid w:val="00C32B19"/>
    <w:rsid w:val="00C32D7C"/>
    <w:rsid w:val="00C44963"/>
    <w:rsid w:val="00C472F4"/>
    <w:rsid w:val="00C87917"/>
    <w:rsid w:val="00CA4058"/>
    <w:rsid w:val="00CB075B"/>
    <w:rsid w:val="00CB4214"/>
    <w:rsid w:val="00CB66CB"/>
    <w:rsid w:val="00CD3018"/>
    <w:rsid w:val="00CE69DC"/>
    <w:rsid w:val="00CE7ADD"/>
    <w:rsid w:val="00CE7EAE"/>
    <w:rsid w:val="00D07634"/>
    <w:rsid w:val="00D23603"/>
    <w:rsid w:val="00D27A11"/>
    <w:rsid w:val="00D4119A"/>
    <w:rsid w:val="00D621B9"/>
    <w:rsid w:val="00D77C64"/>
    <w:rsid w:val="00D86679"/>
    <w:rsid w:val="00D9476A"/>
    <w:rsid w:val="00D94D6F"/>
    <w:rsid w:val="00DA6FFC"/>
    <w:rsid w:val="00DC7821"/>
    <w:rsid w:val="00DD7B2F"/>
    <w:rsid w:val="00DE32E2"/>
    <w:rsid w:val="00DE3C92"/>
    <w:rsid w:val="00DE68D7"/>
    <w:rsid w:val="00DE75D5"/>
    <w:rsid w:val="00E013DE"/>
    <w:rsid w:val="00E16198"/>
    <w:rsid w:val="00E3602C"/>
    <w:rsid w:val="00E47B93"/>
    <w:rsid w:val="00E52C11"/>
    <w:rsid w:val="00E627F1"/>
    <w:rsid w:val="00E80088"/>
    <w:rsid w:val="00E8169C"/>
    <w:rsid w:val="00EA4B6C"/>
    <w:rsid w:val="00EB0F2D"/>
    <w:rsid w:val="00EB5297"/>
    <w:rsid w:val="00EB5FBA"/>
    <w:rsid w:val="00EE2A60"/>
    <w:rsid w:val="00F0351F"/>
    <w:rsid w:val="00F15000"/>
    <w:rsid w:val="00F26724"/>
    <w:rsid w:val="00F323D3"/>
    <w:rsid w:val="00F42BD8"/>
    <w:rsid w:val="00F7694F"/>
    <w:rsid w:val="00F81660"/>
    <w:rsid w:val="00F816B0"/>
    <w:rsid w:val="00F861F1"/>
    <w:rsid w:val="00F92010"/>
    <w:rsid w:val="00FA5323"/>
    <w:rsid w:val="00FD0A05"/>
    <w:rsid w:val="00FD2B5B"/>
    <w:rsid w:val="00FE6324"/>
    <w:rsid w:val="00FE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foot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spacing w:before="240" w:after="60"/>
      <w:outlineLvl w:val="0"/>
    </w:pPr>
    <w:rPr>
      <w:b/>
      <w:bCs/>
      <w:kern w:val="32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9"/>
    <w:qFormat/>
    <w:pPr>
      <w:keepNext/>
      <w:jc w:val="center"/>
      <w:outlineLvl w:val="1"/>
    </w:pPr>
    <w:rPr>
      <w:sz w:val="44"/>
      <w:szCs w:val="44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spacing w:before="240" w:after="60"/>
      <w:outlineLvl w:val="2"/>
    </w:pPr>
    <w:rPr>
      <w:b/>
      <w:bCs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jc w:val="center"/>
      <w:outlineLvl w:val="3"/>
    </w:pPr>
    <w:rPr>
      <w:b/>
      <w:bCs/>
    </w:rPr>
  </w:style>
  <w:style w:type="paragraph" w:styleId="Nadpis5">
    <w:name w:val="heading 5"/>
    <w:basedOn w:val="Normln"/>
    <w:next w:val="Normln"/>
    <w:link w:val="Nadpis5Char"/>
    <w:uiPriority w:val="99"/>
    <w:qFormat/>
    <w:pPr>
      <w:keepNext/>
      <w:spacing w:line="360" w:lineRule="auto"/>
      <w:jc w:val="both"/>
      <w:outlineLvl w:val="4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4Char">
    <w:name w:val="Nadpis 4 Char"/>
    <w:link w:val="Nadpis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Nadpis5Char">
    <w:name w:val="Nadpis 5 Char"/>
    <w:link w:val="Nadpis5"/>
    <w:uiPriority w:val="9"/>
    <w:semiHidden/>
    <w:locked/>
    <w:rPr>
      <w:rFonts w:cs="Times New Roman"/>
      <w:b/>
      <w:bCs/>
      <w:i/>
      <w:iCs/>
      <w:sz w:val="26"/>
      <w:szCs w:val="26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slostrnky">
    <w:name w:val="page number"/>
    <w:uiPriority w:val="99"/>
    <w:rPr>
      <w:rFonts w:cs="Times New Roman"/>
    </w:rPr>
  </w:style>
  <w:style w:type="paragraph" w:styleId="Zkladntext">
    <w:name w:val="Body Text"/>
    <w:basedOn w:val="Normln"/>
    <w:link w:val="ZkladntextChar"/>
    <w:uiPriority w:val="99"/>
    <w:pPr>
      <w:spacing w:line="360" w:lineRule="auto"/>
      <w:jc w:val="both"/>
    </w:pPr>
  </w:style>
  <w:style w:type="character" w:customStyle="1" w:styleId="ZkladntextChar">
    <w:name w:val="Základní text Char"/>
    <w:link w:val="Zkladntext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Znakapoznpodarou">
    <w:name w:val="footnote reference"/>
    <w:uiPriority w:val="99"/>
    <w:rPr>
      <w:rFonts w:cs="Times New Roman"/>
      <w:vertAlign w:val="superscript"/>
    </w:rPr>
  </w:style>
  <w:style w:type="character" w:styleId="Hypertextovodkaz">
    <w:name w:val="Hyperlink"/>
    <w:uiPriority w:val="99"/>
    <w:unhideWhenUsed/>
    <w:rsid w:val="0060269B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64DF7"/>
    <w:pPr>
      <w:ind w:left="720"/>
      <w:contextualSpacing/>
    </w:pPr>
  </w:style>
  <w:style w:type="paragraph" w:styleId="Textkomente">
    <w:name w:val="annotation text"/>
    <w:basedOn w:val="Normln"/>
    <w:link w:val="TextkomenteChar"/>
    <w:uiPriority w:val="99"/>
    <w:semiHidden/>
    <w:unhideWhenUsed/>
    <w:rsid w:val="00F0351F"/>
    <w:pPr>
      <w:suppressAutoHyphens/>
      <w:spacing w:line="360" w:lineRule="auto"/>
      <w:jc w:val="both"/>
    </w:pPr>
    <w:rPr>
      <w:sz w:val="20"/>
      <w:szCs w:val="20"/>
      <w:lang w:eastAsia="ar-SA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0351F"/>
    <w:rPr>
      <w:rFonts w:ascii="Times New Roman" w:hAnsi="Times New Roman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26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26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foot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spacing w:before="240" w:after="60"/>
      <w:outlineLvl w:val="0"/>
    </w:pPr>
    <w:rPr>
      <w:b/>
      <w:bCs/>
      <w:kern w:val="32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9"/>
    <w:qFormat/>
    <w:pPr>
      <w:keepNext/>
      <w:jc w:val="center"/>
      <w:outlineLvl w:val="1"/>
    </w:pPr>
    <w:rPr>
      <w:sz w:val="44"/>
      <w:szCs w:val="44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spacing w:before="240" w:after="60"/>
      <w:outlineLvl w:val="2"/>
    </w:pPr>
    <w:rPr>
      <w:b/>
      <w:bCs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jc w:val="center"/>
      <w:outlineLvl w:val="3"/>
    </w:pPr>
    <w:rPr>
      <w:b/>
      <w:bCs/>
    </w:rPr>
  </w:style>
  <w:style w:type="paragraph" w:styleId="Nadpis5">
    <w:name w:val="heading 5"/>
    <w:basedOn w:val="Normln"/>
    <w:next w:val="Normln"/>
    <w:link w:val="Nadpis5Char"/>
    <w:uiPriority w:val="99"/>
    <w:qFormat/>
    <w:pPr>
      <w:keepNext/>
      <w:spacing w:line="360" w:lineRule="auto"/>
      <w:jc w:val="both"/>
      <w:outlineLvl w:val="4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4Char">
    <w:name w:val="Nadpis 4 Char"/>
    <w:link w:val="Nadpis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Nadpis5Char">
    <w:name w:val="Nadpis 5 Char"/>
    <w:link w:val="Nadpis5"/>
    <w:uiPriority w:val="9"/>
    <w:semiHidden/>
    <w:locked/>
    <w:rPr>
      <w:rFonts w:cs="Times New Roman"/>
      <w:b/>
      <w:bCs/>
      <w:i/>
      <w:iCs/>
      <w:sz w:val="26"/>
      <w:szCs w:val="26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slostrnky">
    <w:name w:val="page number"/>
    <w:uiPriority w:val="99"/>
    <w:rPr>
      <w:rFonts w:cs="Times New Roman"/>
    </w:rPr>
  </w:style>
  <w:style w:type="paragraph" w:styleId="Zkladntext">
    <w:name w:val="Body Text"/>
    <w:basedOn w:val="Normln"/>
    <w:link w:val="ZkladntextChar"/>
    <w:uiPriority w:val="99"/>
    <w:pPr>
      <w:spacing w:line="360" w:lineRule="auto"/>
      <w:jc w:val="both"/>
    </w:pPr>
  </w:style>
  <w:style w:type="character" w:customStyle="1" w:styleId="ZkladntextChar">
    <w:name w:val="Základní text Char"/>
    <w:link w:val="Zkladntext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Znakapoznpodarou">
    <w:name w:val="footnote reference"/>
    <w:uiPriority w:val="99"/>
    <w:rPr>
      <w:rFonts w:cs="Times New Roman"/>
      <w:vertAlign w:val="superscript"/>
    </w:rPr>
  </w:style>
  <w:style w:type="character" w:styleId="Hypertextovodkaz">
    <w:name w:val="Hyperlink"/>
    <w:uiPriority w:val="99"/>
    <w:unhideWhenUsed/>
    <w:rsid w:val="0060269B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64DF7"/>
    <w:pPr>
      <w:ind w:left="720"/>
      <w:contextualSpacing/>
    </w:pPr>
  </w:style>
  <w:style w:type="paragraph" w:styleId="Textkomente">
    <w:name w:val="annotation text"/>
    <w:basedOn w:val="Normln"/>
    <w:link w:val="TextkomenteChar"/>
    <w:uiPriority w:val="99"/>
    <w:semiHidden/>
    <w:unhideWhenUsed/>
    <w:rsid w:val="00F0351F"/>
    <w:pPr>
      <w:suppressAutoHyphens/>
      <w:spacing w:line="360" w:lineRule="auto"/>
      <w:jc w:val="both"/>
    </w:pPr>
    <w:rPr>
      <w:sz w:val="20"/>
      <w:szCs w:val="20"/>
      <w:lang w:eastAsia="ar-SA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0351F"/>
    <w:rPr>
      <w:rFonts w:ascii="Times New Roman" w:hAnsi="Times New Roman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26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26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729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JUDr</vt:lpstr>
    </vt:vector>
  </TitlesOfParts>
  <Company>Domacnost</Company>
  <LinksUpToDate>false</LinksUpToDate>
  <CharactersWithSpaces>5025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JUDr</dc:title>
  <dc:creator>Petr Bezouška</dc:creator>
  <cp:lastModifiedBy>Petr</cp:lastModifiedBy>
  <cp:revision>4</cp:revision>
  <cp:lastPrinted>2016-01-10T18:46:00Z</cp:lastPrinted>
  <dcterms:created xsi:type="dcterms:W3CDTF">2017-08-29T08:36:00Z</dcterms:created>
  <dcterms:modified xsi:type="dcterms:W3CDTF">2017-08-29T09:55:00Z</dcterms:modified>
</cp:coreProperties>
</file>